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502920</wp:posOffset>
            </wp:positionV>
            <wp:extent cx="693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29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528320</wp:posOffset>
            </wp:positionV>
            <wp:extent cx="693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231F20"/>
        </w:rPr>
        <w:t>UNITED STATES</w:t>
      </w:r>
    </w:p>
    <w:p>
      <w:pPr>
        <w:spacing w:after="0" w:line="4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spacing w:after="0" w:line="1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135255</wp:posOffset>
            </wp:positionV>
            <wp:extent cx="2086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27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231F20"/>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31750</wp:posOffset>
            </wp:positionV>
            <wp:extent cx="2086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160" w:lineRule="exact"/>
        <w:rPr>
          <w:sz w:val="24"/>
          <w:szCs w:val="24"/>
          <w:color w:val="auto"/>
        </w:rPr>
      </w:pPr>
    </w:p>
    <w:p>
      <w:pPr>
        <w:jc w:val="center"/>
        <w:ind w:left="4060" w:right="1460" w:hanging="2583"/>
        <w:spacing w:after="0" w:line="293" w:lineRule="auto"/>
        <w:tabs>
          <w:tab w:leader="none" w:pos="1682" w:val="left"/>
        </w:tabs>
        <w:numPr>
          <w:ilvl w:val="1"/>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2022</w:t>
      </w:r>
    </w:p>
    <w:p>
      <w:pPr>
        <w:spacing w:after="0" w:line="24" w:lineRule="exact"/>
        <w:rPr>
          <w:rFonts w:ascii="MS PGothic" w:cs="MS PGothic" w:eastAsia="MS PGothic" w:hAnsi="MS PGothic"/>
          <w:sz w:val="19"/>
          <w:szCs w:val="19"/>
          <w:color w:val="auto"/>
        </w:rPr>
      </w:pPr>
    </w:p>
    <w:p>
      <w:pPr>
        <w:jc w:val="center"/>
        <w:ind w:left="3660" w:right="1500" w:hanging="2195"/>
        <w:spacing w:after="0" w:line="311" w:lineRule="auto"/>
        <w:tabs>
          <w:tab w:leader="none" w:pos="165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ind w:left="43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001-39565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145415</wp:posOffset>
            </wp:positionV>
            <wp:extent cx="2086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2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35"/>
          <w:szCs w:val="35"/>
          <w:b w:val="1"/>
          <w:bCs w:val="1"/>
          <w:color w:val="auto"/>
        </w:rPr>
        <w:t>The Beauty Health Company</w:t>
      </w:r>
    </w:p>
    <w:p>
      <w:pPr>
        <w:spacing w:after="0" w:line="5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86360</wp:posOffset>
            </wp:positionV>
            <wp:extent cx="2086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420" w:type="dxa"/>
            <w:vAlign w:val="bottom"/>
            <w:gridSpan w:val="3"/>
          </w:tcPr>
          <w:p>
            <w:pPr>
              <w:ind w:left="22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80" w:type="dxa"/>
            <w:vAlign w:val="bottom"/>
          </w:tcPr>
          <w:p>
            <w:pPr>
              <w:spacing w:after="0"/>
              <w:rPr>
                <w:sz w:val="19"/>
                <w:szCs w:val="19"/>
                <w:color w:val="auto"/>
              </w:rPr>
            </w:pPr>
          </w:p>
        </w:tc>
        <w:tc>
          <w:tcPr>
            <w:tcW w:w="4240" w:type="dxa"/>
            <w:vAlign w:val="bottom"/>
            <w:gridSpan w:val="4"/>
          </w:tcPr>
          <w:p>
            <w:pPr>
              <w:jc w:val="right"/>
              <w:ind w:right="1878"/>
              <w:spacing w:after="0"/>
              <w:rPr>
                <w:sz w:val="20"/>
                <w:szCs w:val="20"/>
                <w:color w:val="auto"/>
              </w:rPr>
            </w:pPr>
            <w:r>
              <w:rPr>
                <w:rFonts w:ascii="Times New Roman" w:cs="Times New Roman" w:eastAsia="Times New Roman" w:hAnsi="Times New Roman"/>
                <w:sz w:val="18"/>
                <w:szCs w:val="18"/>
                <w:b w:val="1"/>
                <w:bCs w:val="1"/>
                <w:color w:val="auto"/>
              </w:rPr>
              <w:t>85-1908962</w:t>
            </w:r>
          </w:p>
        </w:tc>
        <w:tc>
          <w:tcPr>
            <w:tcW w:w="0" w:type="dxa"/>
            <w:vAlign w:val="bottom"/>
          </w:tcPr>
          <w:p>
            <w:pPr>
              <w:spacing w:after="0"/>
              <w:rPr>
                <w:sz w:val="1"/>
                <w:szCs w:val="1"/>
                <w:color w:val="auto"/>
              </w:rPr>
            </w:pPr>
          </w:p>
        </w:tc>
      </w:tr>
      <w:tr>
        <w:trPr>
          <w:trHeight w:val="177"/>
        </w:trPr>
        <w:tc>
          <w:tcPr>
            <w:tcW w:w="5420" w:type="dxa"/>
            <w:vAlign w:val="bottom"/>
            <w:gridSpan w:val="3"/>
          </w:tcPr>
          <w:p>
            <w:pPr>
              <w:ind w:left="1580"/>
              <w:spacing w:after="0" w:line="177"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jc w:val="center"/>
              <w:ind w:right="898"/>
              <w:spacing w:after="0" w:line="177" w:lineRule="exact"/>
              <w:rPr>
                <w:sz w:val="20"/>
                <w:szCs w:val="20"/>
                <w:color w:val="auto"/>
              </w:rPr>
            </w:pPr>
            <w:r>
              <w:rPr>
                <w:rFonts w:ascii="Times New Roman" w:cs="Times New Roman" w:eastAsia="Times New Roman" w:hAnsi="Times New Roman"/>
                <w:sz w:val="18"/>
                <w:szCs w:val="18"/>
                <w:color w:val="auto"/>
                <w:w w:val="97"/>
              </w:rPr>
              <w:t>(I.R.S. Employer Identification No.)</w:t>
            </w:r>
          </w:p>
        </w:tc>
        <w:tc>
          <w:tcPr>
            <w:tcW w:w="0" w:type="dxa"/>
            <w:vAlign w:val="bottom"/>
          </w:tcPr>
          <w:p>
            <w:pPr>
              <w:spacing w:after="0"/>
              <w:rPr>
                <w:sz w:val="1"/>
                <w:szCs w:val="1"/>
                <w:color w:val="auto"/>
              </w:rPr>
            </w:pPr>
          </w:p>
        </w:tc>
      </w:tr>
      <w:tr>
        <w:trPr>
          <w:trHeight w:val="231"/>
        </w:trPr>
        <w:tc>
          <w:tcPr>
            <w:tcW w:w="54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2165 Spring Street</w:t>
            </w:r>
          </w:p>
        </w:tc>
        <w:tc>
          <w:tcPr>
            <w:tcW w:w="1580" w:type="dxa"/>
            <w:vAlign w:val="bottom"/>
          </w:tcPr>
          <w:p>
            <w:pPr>
              <w:spacing w:after="0"/>
              <w:rPr>
                <w:sz w:val="24"/>
                <w:szCs w:val="24"/>
                <w:color w:val="auto"/>
              </w:rPr>
            </w:pPr>
          </w:p>
        </w:tc>
        <w:tc>
          <w:tcPr>
            <w:tcW w:w="4240" w:type="dxa"/>
            <w:vAlign w:val="bottom"/>
            <w:gridSpan w:val="4"/>
            <w:vMerge w:val="restart"/>
          </w:tcPr>
          <w:p>
            <w:pPr>
              <w:jc w:val="right"/>
              <w:ind w:right="1738"/>
              <w:spacing w:after="0"/>
              <w:rPr>
                <w:sz w:val="20"/>
                <w:szCs w:val="20"/>
                <w:color w:val="auto"/>
              </w:rPr>
            </w:pPr>
            <w:r>
              <w:rPr>
                <w:rFonts w:ascii="Times New Roman" w:cs="Times New Roman" w:eastAsia="Times New Roman" w:hAnsi="Times New Roman"/>
                <w:sz w:val="18"/>
                <w:szCs w:val="18"/>
                <w:b w:val="1"/>
                <w:bCs w:val="1"/>
                <w:color w:val="231F20"/>
              </w:rPr>
              <w:t>(800) 603-4996</w:t>
            </w:r>
          </w:p>
        </w:tc>
        <w:tc>
          <w:tcPr>
            <w:tcW w:w="0" w:type="dxa"/>
            <w:vAlign w:val="bottom"/>
          </w:tcPr>
          <w:p>
            <w:pPr>
              <w:spacing w:after="0"/>
              <w:rPr>
                <w:sz w:val="1"/>
                <w:szCs w:val="1"/>
                <w:color w:val="auto"/>
              </w:rPr>
            </w:pPr>
          </w:p>
        </w:tc>
      </w:tr>
      <w:tr>
        <w:trPr>
          <w:trHeight w:val="227"/>
        </w:trPr>
        <w:tc>
          <w:tcPr>
            <w:tcW w:w="5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Long Beach, CA 90806</w:t>
            </w:r>
          </w:p>
        </w:tc>
        <w:tc>
          <w:tcPr>
            <w:tcW w:w="1580" w:type="dxa"/>
            <w:vAlign w:val="bottom"/>
          </w:tcPr>
          <w:p>
            <w:pPr>
              <w:spacing w:after="0"/>
              <w:rPr>
                <w:sz w:val="19"/>
                <w:szCs w:val="19"/>
                <w:color w:val="auto"/>
              </w:rPr>
            </w:pPr>
          </w:p>
        </w:tc>
        <w:tc>
          <w:tcPr>
            <w:tcW w:w="42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231F20"/>
                <w:w w:val="98"/>
              </w:rPr>
              <w:t>(Address of principal executive offices, including zip code)</w:t>
            </w:r>
          </w:p>
        </w:tc>
        <w:tc>
          <w:tcPr>
            <w:tcW w:w="1580" w:type="dxa"/>
            <w:vAlign w:val="bottom"/>
          </w:tcPr>
          <w:p>
            <w:pPr>
              <w:spacing w:after="0"/>
              <w:rPr>
                <w:sz w:val="20"/>
                <w:szCs w:val="20"/>
                <w:color w:val="auto"/>
              </w:rPr>
            </w:pPr>
          </w:p>
        </w:tc>
        <w:tc>
          <w:tcPr>
            <w:tcW w:w="4240" w:type="dxa"/>
            <w:vAlign w:val="bottom"/>
            <w:gridSpan w:val="4"/>
          </w:tcPr>
          <w:p>
            <w:pPr>
              <w:jc w:val="center"/>
              <w:ind w:right="418"/>
              <w:spacing w:after="0"/>
              <w:rPr>
                <w:sz w:val="20"/>
                <w:szCs w:val="20"/>
                <w:color w:val="auto"/>
              </w:rPr>
            </w:pPr>
            <w:r>
              <w:rPr>
                <w:rFonts w:ascii="Times New Roman" w:cs="Times New Roman" w:eastAsia="Times New Roman" w:hAnsi="Times New Roman"/>
                <w:sz w:val="18"/>
                <w:szCs w:val="18"/>
                <w:color w:val="231F20"/>
                <w:w w:val="98"/>
              </w:rPr>
              <w:t>Registrant's telephone number, including area code</w:t>
            </w:r>
          </w:p>
        </w:tc>
        <w:tc>
          <w:tcPr>
            <w:tcW w:w="0" w:type="dxa"/>
            <w:vAlign w:val="bottom"/>
          </w:tcPr>
          <w:p>
            <w:pPr>
              <w:spacing w:after="0"/>
              <w:rPr>
                <w:sz w:val="1"/>
                <w:szCs w:val="1"/>
                <w:color w:val="auto"/>
              </w:rPr>
            </w:pPr>
          </w:p>
        </w:tc>
      </w:tr>
      <w:tr>
        <w:trPr>
          <w:trHeight w:val="118"/>
        </w:trPr>
        <w:tc>
          <w:tcPr>
            <w:tcW w:w="398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11240" w:type="dxa"/>
            <w:vAlign w:val="bottom"/>
            <w:gridSpan w:val="8"/>
          </w:tcPr>
          <w:p>
            <w:pPr>
              <w:ind w:left="3620"/>
              <w:spacing w:after="0"/>
              <w:rPr>
                <w:sz w:val="20"/>
                <w:szCs w:val="20"/>
                <w:color w:val="auto"/>
              </w:rPr>
            </w:pPr>
            <w:r>
              <w:rPr>
                <w:rFonts w:ascii="Times New Roman" w:cs="Times New Roman" w:eastAsia="Times New Roman" w:hAnsi="Times New Roman"/>
                <w:sz w:val="18"/>
                <w:szCs w:val="18"/>
                <w:b w:val="1"/>
                <w:bCs w:val="1"/>
                <w:color w:val="231F20"/>
              </w:rPr>
              <w:t>Securities registered pursuant to Section 12(b) of the Act:</w:t>
            </w:r>
          </w:p>
        </w:tc>
        <w:tc>
          <w:tcPr>
            <w:tcW w:w="0" w:type="dxa"/>
            <w:vAlign w:val="bottom"/>
          </w:tcPr>
          <w:p>
            <w:pPr>
              <w:spacing w:after="0"/>
              <w:rPr>
                <w:sz w:val="1"/>
                <w:szCs w:val="1"/>
                <w:color w:val="auto"/>
              </w:rPr>
            </w:pPr>
          </w:p>
        </w:tc>
      </w:tr>
      <w:tr>
        <w:trPr>
          <w:trHeight w:val="200"/>
        </w:trPr>
        <w:tc>
          <w:tcPr>
            <w:tcW w:w="5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
        </w:trPr>
        <w:tc>
          <w:tcPr>
            <w:tcW w:w="5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A Common Stock, par value $0.0001 per share</w:t>
            </w:r>
          </w:p>
        </w:tc>
        <w:tc>
          <w:tcPr>
            <w:tcW w:w="100" w:type="dxa"/>
            <w:vAlign w:val="bottom"/>
          </w:tcPr>
          <w:p>
            <w:pPr>
              <w:spacing w:after="0"/>
              <w:rPr>
                <w:sz w:val="19"/>
                <w:szCs w:val="19"/>
                <w:color w:val="auto"/>
              </w:rPr>
            </w:pPr>
          </w:p>
        </w:tc>
        <w:tc>
          <w:tcPr>
            <w:tcW w:w="1580" w:type="dxa"/>
            <w:vAlign w:val="bottom"/>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5"/>
              </w:rPr>
              <w:t>SKIN</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Nasdaq Capital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500"/>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9" w:lineRule="exact"/>
        <w:rPr>
          <w:sz w:val="24"/>
          <w:szCs w:val="24"/>
          <w:color w:val="auto"/>
        </w:rPr>
      </w:pPr>
    </w:p>
    <w:p>
      <w:pPr>
        <w:ind w:right="20"/>
        <w:spacing w:after="0" w:line="227"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4"/>
        <w:spacing w:after="0" w:line="207" w:lineRule="exact"/>
        <w:tabs>
          <w:tab w:leader="none" w:pos="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6"/>
        </w:trPr>
        <w:tc>
          <w:tcPr>
            <w:tcW w:w="1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180"/>
        <w:spacing w:after="0" w:line="21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5, 2022, there were 150,877,489 shares of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801370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200025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225425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BEAUTY HEALTH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JUNE 30, 2022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1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2"/>
        </w:trPr>
        <w:tc>
          <w:tcPr>
            <w:tcW w:w="10620" w:type="dxa"/>
            <w:vAlign w:val="bottom"/>
            <w:tcBorders>
              <w:left w:val="single" w:sz="8" w:color="CCEEFF"/>
            </w:tcBorders>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 I—FINANCIAL INFORMATION</w:t>
            </w: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r>
      <w:tr>
        <w:trPr>
          <w:trHeight w:val="185"/>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4"/>
          </w:tcPr>
          <w:p>
            <w:pPr>
              <w:ind w:left="80"/>
              <w:spacing w:after="0" w:line="186" w:lineRule="exact"/>
              <w:rPr>
                <w:sz w:val="20"/>
                <w:szCs w:val="20"/>
                <w:color w:val="auto"/>
              </w:rPr>
            </w:pPr>
            <w:r>
              <w:rPr>
                <w:rFonts w:ascii="Times New Roman" w:cs="Times New Roman" w:eastAsia="Times New Roman" w:hAnsi="Times New Roman"/>
                <w:sz w:val="18"/>
                <w:szCs w:val="18"/>
                <w:color w:val="0000FF"/>
              </w:rPr>
              <w:t>Financial Statements</w:t>
            </w:r>
          </w:p>
        </w:tc>
        <w:tc>
          <w:tcPr>
            <w:tcW w:w="360" w:type="dxa"/>
            <w:vAlign w:val="bottom"/>
            <w:gridSpan w:val="2"/>
          </w:tcPr>
          <w:p>
            <w:pPr>
              <w:jc w:val="center"/>
              <w:ind w:left="172"/>
              <w:spacing w:after="0" w:line="186" w:lineRule="exact"/>
              <w:rPr>
                <w:sz w:val="20"/>
                <w:szCs w:val="20"/>
                <w:color w:val="auto"/>
              </w:rPr>
            </w:pPr>
            <w:r>
              <w:rPr>
                <w:rFonts w:ascii="Times New Roman" w:cs="Times New Roman" w:eastAsia="Times New Roman" w:hAnsi="Times New Roman"/>
                <w:sz w:val="18"/>
                <w:szCs w:val="18"/>
                <w:color w:val="0000FF"/>
              </w:rPr>
              <w:t>3</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40" w:type="dxa"/>
            <w:vAlign w:val="bottom"/>
            <w:gridSpan w:val="14"/>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360" w:type="dxa"/>
            <w:vAlign w:val="bottom"/>
            <w:gridSpan w:val="2"/>
            <w:shd w:val="clear" w:color="auto" w:fill="CCEEFF"/>
          </w:tcPr>
          <w:p>
            <w:pPr>
              <w:jc w:val="center"/>
              <w:ind w:left="172"/>
              <w:spacing w:after="0" w:line="195" w:lineRule="exact"/>
              <w:rPr>
                <w:sz w:val="20"/>
                <w:szCs w:val="20"/>
                <w:color w:val="auto"/>
              </w:rPr>
            </w:pPr>
            <w:r>
              <w:rPr>
                <w:rFonts w:ascii="Times New Roman" w:cs="Times New Roman" w:eastAsia="Times New Roman" w:hAnsi="Times New Roman"/>
                <w:sz w:val="18"/>
                <w:szCs w:val="18"/>
                <w:color w:val="0000FF"/>
              </w:rPr>
              <w:t>3</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6"/>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40" w:type="dxa"/>
            <w:vAlign w:val="bottom"/>
            <w:gridSpan w:val="14"/>
          </w:tcPr>
          <w:p>
            <w:pPr>
              <w:ind w:left="80"/>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(Unaudited)</w:t>
            </w:r>
          </w:p>
        </w:tc>
        <w:tc>
          <w:tcPr>
            <w:tcW w:w="360" w:type="dxa"/>
            <w:vAlign w:val="bottom"/>
            <w:gridSpan w:val="2"/>
          </w:tcPr>
          <w:p>
            <w:pPr>
              <w:jc w:val="center"/>
              <w:ind w:left="172"/>
              <w:spacing w:after="0" w:line="186" w:lineRule="exact"/>
              <w:rPr>
                <w:sz w:val="20"/>
                <w:szCs w:val="20"/>
                <w:color w:val="auto"/>
              </w:rPr>
            </w:pPr>
            <w:r>
              <w:rPr>
                <w:rFonts w:ascii="Times New Roman" w:cs="Times New Roman" w:eastAsia="Times New Roman" w:hAnsi="Times New Roman"/>
                <w:sz w:val="18"/>
                <w:szCs w:val="18"/>
                <w:color w:val="0000FF"/>
              </w:rPr>
              <w:t>4</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40" w:type="dxa"/>
            <w:vAlign w:val="bottom"/>
            <w:gridSpan w:val="14"/>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(Deficit) (Unaudited)</w:t>
            </w:r>
          </w:p>
        </w:tc>
        <w:tc>
          <w:tcPr>
            <w:tcW w:w="360" w:type="dxa"/>
            <w:vAlign w:val="bottom"/>
            <w:gridSpan w:val="2"/>
            <w:shd w:val="clear" w:color="auto" w:fill="CCEEFF"/>
          </w:tcPr>
          <w:p>
            <w:pPr>
              <w:jc w:val="center"/>
              <w:ind w:left="172"/>
              <w:spacing w:after="0" w:line="195" w:lineRule="exact"/>
              <w:rPr>
                <w:sz w:val="20"/>
                <w:szCs w:val="20"/>
                <w:color w:val="auto"/>
              </w:rPr>
            </w:pPr>
            <w:r>
              <w:rPr>
                <w:rFonts w:ascii="Times New Roman" w:cs="Times New Roman" w:eastAsia="Times New Roman" w:hAnsi="Times New Roman"/>
                <w:sz w:val="18"/>
                <w:szCs w:val="18"/>
                <w:color w:val="0000FF"/>
              </w:rPr>
              <w:t>5</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60" w:type="dxa"/>
            <w:vAlign w:val="bottom"/>
            <w:tcBorders>
              <w:right w:val="single" w:sz="8" w:color="CCEEFF"/>
            </w:tcBorders>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5"/>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40" w:type="dxa"/>
            <w:vAlign w:val="bottom"/>
            <w:gridSpan w:val="14"/>
          </w:tcPr>
          <w:p>
            <w:pPr>
              <w:ind w:left="80"/>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60" w:type="dxa"/>
            <w:vAlign w:val="bottom"/>
            <w:gridSpan w:val="2"/>
          </w:tcPr>
          <w:p>
            <w:pPr>
              <w:jc w:val="center"/>
              <w:ind w:left="172"/>
              <w:spacing w:after="0" w:line="186" w:lineRule="exact"/>
              <w:rPr>
                <w:sz w:val="20"/>
                <w:szCs w:val="20"/>
                <w:color w:val="auto"/>
              </w:rPr>
            </w:pPr>
            <w:r>
              <w:rPr>
                <w:rFonts w:ascii="Times New Roman" w:cs="Times New Roman" w:eastAsia="Times New Roman" w:hAnsi="Times New Roman"/>
                <w:sz w:val="18"/>
                <w:szCs w:val="18"/>
                <w:color w:val="0000FF"/>
              </w:rPr>
              <w:t>6</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40" w:type="dxa"/>
            <w:vAlign w:val="bottom"/>
            <w:gridSpan w:val="14"/>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360" w:type="dxa"/>
            <w:vAlign w:val="bottom"/>
            <w:gridSpan w:val="2"/>
            <w:shd w:val="clear" w:color="auto" w:fill="CCEEFF"/>
          </w:tcPr>
          <w:p>
            <w:pPr>
              <w:jc w:val="center"/>
              <w:ind w:left="172"/>
              <w:spacing w:after="0" w:line="195" w:lineRule="exact"/>
              <w:rPr>
                <w:sz w:val="20"/>
                <w:szCs w:val="20"/>
                <w:color w:val="auto"/>
              </w:rPr>
            </w:pPr>
            <w:r>
              <w:rPr>
                <w:rFonts w:ascii="Times New Roman" w:cs="Times New Roman" w:eastAsia="Times New Roman" w:hAnsi="Times New Roman"/>
                <w:sz w:val="18"/>
                <w:szCs w:val="18"/>
                <w:color w:val="0000FF"/>
              </w:rPr>
              <w:t>8</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6"/>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4"/>
          </w:tcPr>
          <w:p>
            <w:pPr>
              <w:ind w:left="80"/>
              <w:spacing w:after="0" w:line="18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60" w:type="dxa"/>
            <w:vAlign w:val="bottom"/>
            <w:gridSpan w:val="2"/>
          </w:tcPr>
          <w:p>
            <w:pPr>
              <w:jc w:val="center"/>
              <w:ind w:left="92"/>
              <w:spacing w:after="0" w:line="186" w:lineRule="exact"/>
              <w:rPr>
                <w:sz w:val="20"/>
                <w:szCs w:val="20"/>
                <w:color w:val="auto"/>
              </w:rPr>
            </w:pPr>
            <w:r>
              <w:rPr>
                <w:rFonts w:ascii="Times New Roman" w:cs="Times New Roman" w:eastAsia="Times New Roman" w:hAnsi="Times New Roman"/>
                <w:sz w:val="18"/>
                <w:szCs w:val="18"/>
                <w:color w:val="0000FF"/>
                <w:w w:val="99"/>
              </w:rPr>
              <w:t>25</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tcBorders>
              <w:left w:val="single" w:sz="8" w:color="CCEEFF"/>
            </w:tcBorders>
            <w:gridSpan w:val="2"/>
            <w:shd w:val="clear" w:color="auto" w:fill="CCEEFF"/>
          </w:tcPr>
          <w:p>
            <w:pPr>
              <w:ind w:left="24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4"/>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0" w:type="dxa"/>
            <w:vAlign w:val="bottom"/>
            <w:gridSpan w:val="2"/>
            <w:shd w:val="clear" w:color="auto" w:fill="CCEEFF"/>
          </w:tcPr>
          <w:p>
            <w:pPr>
              <w:jc w:val="center"/>
              <w:ind w:left="92"/>
              <w:spacing w:after="0" w:line="195" w:lineRule="exact"/>
              <w:rPr>
                <w:sz w:val="20"/>
                <w:szCs w:val="20"/>
                <w:color w:val="auto"/>
              </w:rPr>
            </w:pPr>
            <w:r>
              <w:rPr>
                <w:rFonts w:ascii="Times New Roman" w:cs="Times New Roman" w:eastAsia="Times New Roman" w:hAnsi="Times New Roman"/>
                <w:sz w:val="18"/>
                <w:szCs w:val="18"/>
                <w:color w:val="0000FF"/>
                <w:w w:val="99"/>
              </w:rPr>
              <w:t>38</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5"/>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4"/>
          </w:tcPr>
          <w:p>
            <w:pPr>
              <w:ind w:left="80"/>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360" w:type="dxa"/>
            <w:vAlign w:val="bottom"/>
            <w:gridSpan w:val="2"/>
          </w:tcPr>
          <w:p>
            <w:pPr>
              <w:jc w:val="center"/>
              <w:ind w:left="92"/>
              <w:spacing w:after="0" w:line="186" w:lineRule="exact"/>
              <w:rPr>
                <w:sz w:val="20"/>
                <w:szCs w:val="20"/>
                <w:color w:val="auto"/>
              </w:rPr>
            </w:pPr>
            <w:r>
              <w:rPr>
                <w:rFonts w:ascii="Times New Roman" w:cs="Times New Roman" w:eastAsia="Times New Roman" w:hAnsi="Times New Roman"/>
                <w:sz w:val="18"/>
                <w:szCs w:val="18"/>
                <w:color w:val="0000FF"/>
                <w:w w:val="99"/>
              </w:rPr>
              <w:t>39</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222"/>
        </w:trPr>
        <w:tc>
          <w:tcPr>
            <w:tcW w:w="10620" w:type="dxa"/>
            <w:vAlign w:val="bottom"/>
            <w:tcBorders>
              <w:left w:val="single" w:sz="8" w:color="CCEEFF"/>
            </w:tcBorders>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 II—OTHER INFORMATION</w:t>
            </w: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left w:val="single" w:sz="8" w:color="CCEEFF"/>
            </w:tcBorders>
            <w:shd w:val="clear" w:color="auto" w:fill="CCEEFF"/>
          </w:tcPr>
          <w:p>
            <w:pPr>
              <w:spacing w:after="0"/>
              <w:rPr>
                <w:sz w:val="19"/>
                <w:szCs w:val="19"/>
                <w:color w:val="auto"/>
              </w:rPr>
            </w:pPr>
          </w:p>
        </w:tc>
      </w:tr>
      <w:tr>
        <w:trPr>
          <w:trHeight w:val="186"/>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4"/>
          </w:tcPr>
          <w:p>
            <w:pPr>
              <w:ind w:left="80"/>
              <w:spacing w:after="0" w:line="186" w:lineRule="exact"/>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gridSpan w:val="2"/>
          </w:tcPr>
          <w:p>
            <w:pPr>
              <w:jc w:val="center"/>
              <w:ind w:left="92"/>
              <w:spacing w:after="0" w:line="186" w:lineRule="exact"/>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tcBorders>
              <w:left w:val="single" w:sz="8" w:color="CCEEFF"/>
            </w:tcBorders>
            <w:gridSpan w:val="2"/>
            <w:shd w:val="clear" w:color="auto" w:fill="CCEEFF"/>
          </w:tcPr>
          <w:p>
            <w:pPr>
              <w:ind w:left="240"/>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4"/>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Risk Factors</w:t>
            </w:r>
          </w:p>
        </w:tc>
        <w:tc>
          <w:tcPr>
            <w:tcW w:w="360" w:type="dxa"/>
            <w:vAlign w:val="bottom"/>
            <w:gridSpan w:val="2"/>
            <w:shd w:val="clear" w:color="auto" w:fill="CCEEFF"/>
          </w:tcPr>
          <w:p>
            <w:pPr>
              <w:jc w:val="center"/>
              <w:ind w:left="92"/>
              <w:spacing w:after="0" w:line="195" w:lineRule="exact"/>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5"/>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4"/>
          </w:tcPr>
          <w:p>
            <w:pPr>
              <w:ind w:left="80"/>
              <w:spacing w:after="0" w:line="18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2"/>
          </w:tcPr>
          <w:p>
            <w:pPr>
              <w:jc w:val="center"/>
              <w:ind w:left="92"/>
              <w:spacing w:after="0" w:line="186" w:lineRule="exact"/>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tcBorders>
              <w:left w:val="single" w:sz="8" w:color="CCEEFF"/>
            </w:tcBorders>
            <w:gridSpan w:val="2"/>
            <w:shd w:val="clear" w:color="auto" w:fill="CCEEFF"/>
          </w:tcPr>
          <w:p>
            <w:pPr>
              <w:ind w:left="24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4"/>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360" w:type="dxa"/>
            <w:vAlign w:val="bottom"/>
            <w:gridSpan w:val="2"/>
            <w:shd w:val="clear" w:color="auto" w:fill="CCEEFF"/>
          </w:tcPr>
          <w:p>
            <w:pPr>
              <w:jc w:val="center"/>
              <w:ind w:left="92"/>
              <w:spacing w:after="0" w:line="195" w:lineRule="exact"/>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6"/>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4"/>
          </w:tcPr>
          <w:p>
            <w:pPr>
              <w:ind w:left="80"/>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p>
        </w:tc>
        <w:tc>
          <w:tcPr>
            <w:tcW w:w="360" w:type="dxa"/>
            <w:vAlign w:val="bottom"/>
            <w:gridSpan w:val="2"/>
          </w:tcPr>
          <w:p>
            <w:pPr>
              <w:jc w:val="center"/>
              <w:ind w:left="92"/>
              <w:spacing w:after="0" w:line="186" w:lineRule="exact"/>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tcBorders>
              <w:left w:val="single" w:sz="8" w:color="CCEEFF"/>
            </w:tcBorders>
            <w:gridSpan w:val="2"/>
            <w:shd w:val="clear" w:color="auto" w:fill="CCEEFF"/>
          </w:tcPr>
          <w:p>
            <w:pPr>
              <w:ind w:left="240"/>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4"/>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Other Information</w:t>
            </w:r>
          </w:p>
        </w:tc>
        <w:tc>
          <w:tcPr>
            <w:tcW w:w="360" w:type="dxa"/>
            <w:vAlign w:val="bottom"/>
            <w:gridSpan w:val="2"/>
            <w:shd w:val="clear" w:color="auto" w:fill="CCEEFF"/>
          </w:tcPr>
          <w:p>
            <w:pPr>
              <w:jc w:val="center"/>
              <w:ind w:left="92"/>
              <w:spacing w:after="0" w:line="195" w:lineRule="exact"/>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95"/>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4"/>
          </w:tcPr>
          <w:p>
            <w:pPr>
              <w:ind w:left="80"/>
              <w:spacing w:after="0" w:line="186" w:lineRule="exact"/>
              <w:rPr>
                <w:sz w:val="20"/>
                <w:szCs w:val="20"/>
                <w:color w:val="auto"/>
              </w:rPr>
            </w:pPr>
            <w:r>
              <w:rPr>
                <w:rFonts w:ascii="Times New Roman" w:cs="Times New Roman" w:eastAsia="Times New Roman" w:hAnsi="Times New Roman"/>
                <w:sz w:val="18"/>
                <w:szCs w:val="18"/>
                <w:color w:val="0000FF"/>
              </w:rPr>
              <w:t>Exhibits</w:t>
            </w:r>
          </w:p>
        </w:tc>
        <w:tc>
          <w:tcPr>
            <w:tcW w:w="360" w:type="dxa"/>
            <w:vAlign w:val="bottom"/>
            <w:gridSpan w:val="2"/>
          </w:tcPr>
          <w:p>
            <w:pPr>
              <w:jc w:val="center"/>
              <w:ind w:left="92"/>
              <w:spacing w:after="0" w:line="186" w:lineRule="exact"/>
              <w:rPr>
                <w:sz w:val="20"/>
                <w:szCs w:val="20"/>
                <w:color w:val="auto"/>
              </w:rPr>
            </w:pPr>
            <w:r>
              <w:rPr>
                <w:rFonts w:ascii="Times New Roman" w:cs="Times New Roman" w:eastAsia="Times New Roman" w:hAnsi="Times New Roman"/>
                <w:sz w:val="18"/>
                <w:szCs w:val="18"/>
                <w:color w:val="0000FF"/>
                <w:w w:val="99"/>
              </w:rPr>
              <w:t>43</w:t>
            </w:r>
          </w:p>
        </w:tc>
        <w:tc>
          <w:tcPr>
            <w:tcW w:w="260" w:type="dxa"/>
            <w:vAlign w:val="bottom"/>
          </w:tcPr>
          <w:p>
            <w:pPr>
              <w:spacing w:after="0"/>
              <w:rPr>
                <w:sz w:val="16"/>
                <w:szCs w:val="16"/>
                <w:color w:val="auto"/>
              </w:rPr>
            </w:pPr>
          </w:p>
        </w:tc>
      </w:tr>
      <w:tr>
        <w:trPr>
          <w:trHeight w:val="195"/>
        </w:trPr>
        <w:tc>
          <w:tcPr>
            <w:tcW w:w="1180" w:type="dxa"/>
            <w:vAlign w:val="bottom"/>
            <w:tcBorders>
              <w:left w:val="single" w:sz="8" w:color="CCEEFF"/>
            </w:tcBorders>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CONDENSED CONSOLIDATED BALANCE SHEETS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(in thousands, except for share amounts)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20" w:type="dxa"/>
            <w:vAlign w:val="bottom"/>
          </w:tcPr>
          <w:p>
            <w:pPr>
              <w:spacing w:after="0"/>
              <w:rPr>
                <w:sz w:val="18"/>
                <w:szCs w:val="18"/>
                <w:color w:val="auto"/>
              </w:rPr>
            </w:pP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8"/>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3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Current assets:</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231F2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820,970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901,886</w:t>
            </w:r>
          </w:p>
        </w:tc>
        <w:tc>
          <w:tcPr>
            <w:tcW w:w="0" w:type="dxa"/>
            <w:vAlign w:val="bottom"/>
          </w:tcPr>
          <w:p>
            <w:pPr>
              <w:spacing w:after="0"/>
              <w:rPr>
                <w:sz w:val="1"/>
                <w:szCs w:val="1"/>
                <w:color w:val="auto"/>
              </w:rPr>
            </w:pPr>
          </w:p>
        </w:tc>
      </w:tr>
      <w:tr>
        <w:trPr>
          <w:trHeight w:val="180"/>
        </w:trPr>
        <w:tc>
          <w:tcPr>
            <w:tcW w:w="72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231F20"/>
              </w:rPr>
              <w:t>Accounts receivable, net of allowances for doubtful accounts of $2,482 and $2,681 at June 30,</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580"/>
              <w:spacing w:after="0"/>
              <w:rPr>
                <w:sz w:val="20"/>
                <w:szCs w:val="20"/>
                <w:color w:val="auto"/>
              </w:rPr>
            </w:pPr>
            <w:r>
              <w:rPr>
                <w:rFonts w:ascii="Times New Roman" w:cs="Times New Roman" w:eastAsia="Times New Roman" w:hAnsi="Times New Roman"/>
                <w:sz w:val="18"/>
                <w:szCs w:val="18"/>
                <w:color w:val="231F20"/>
              </w:rPr>
              <w:t>2022 and December 31, 2021, respectively</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79,918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46,824</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Prepaid expenses and other current assets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12,322</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Income tax receivable</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4,599</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Inventories</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73,526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35,261</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Total current assets</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995,758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1,000,892</w:t>
            </w:r>
          </w:p>
        </w:tc>
        <w:tc>
          <w:tcPr>
            <w:tcW w:w="0" w:type="dxa"/>
            <w:vAlign w:val="bottom"/>
          </w:tcPr>
          <w:p>
            <w:pPr>
              <w:spacing w:after="0"/>
              <w:rPr>
                <w:sz w:val="1"/>
                <w:szCs w:val="1"/>
                <w:color w:val="auto"/>
              </w:rPr>
            </w:pPr>
          </w:p>
        </w:tc>
      </w:tr>
      <w:tr>
        <w:trPr>
          <w:trHeight w:val="21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Property and equipment, net</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18,041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16,183</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Right-of-use assets, net</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15,791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14,992</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Intangible assets, net</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56,010</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Goodwill</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124,033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123,694</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Deferred income tax assets, net</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330</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Other assets</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9,823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6,705</w:t>
            </w:r>
          </w:p>
        </w:tc>
        <w:tc>
          <w:tcPr>
            <w:tcW w:w="0" w:type="dxa"/>
            <w:vAlign w:val="bottom"/>
          </w:tcPr>
          <w:p>
            <w:pPr>
              <w:spacing w:after="0"/>
              <w:rPr>
                <w:sz w:val="1"/>
                <w:szCs w:val="1"/>
                <w:color w:val="auto"/>
              </w:rPr>
            </w:pPr>
          </w:p>
        </w:tc>
      </w:tr>
      <w:tr>
        <w:trPr>
          <w:trHeight w:val="243"/>
        </w:trPr>
        <w:tc>
          <w:tcPr>
            <w:tcW w:w="7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231F20"/>
              </w:rPr>
              <w:t>TOTAL ASSETS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231F20"/>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1,214,960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1,218,806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231F20"/>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2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Current liabilities: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Accounts payable</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231F2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36,830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29,049</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Accrued payroll-related expenses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27,786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28,662</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Other accrued expenses</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15,385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14,722</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Lease liabilities, current</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4,547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3,712</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231F20"/>
              </w:rPr>
              <w:t>Income tax payable</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2,510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292</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Total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87,058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76,437</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Lease liabilities, non-current</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12,781</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Deferred income tax liabilities, net</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3,561</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Warrant liabilities</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93,816</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Convertible senior notes, net</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732,028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729,914</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231F20"/>
              </w:rPr>
              <w:t>TOTAL LIABILITIES</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862,625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916,509</w:t>
            </w:r>
          </w:p>
        </w:tc>
        <w:tc>
          <w:tcPr>
            <w:tcW w:w="0" w:type="dxa"/>
            <w:vAlign w:val="bottom"/>
          </w:tcPr>
          <w:p>
            <w:pPr>
              <w:spacing w:after="0"/>
              <w:rPr>
                <w:sz w:val="1"/>
                <w:szCs w:val="1"/>
                <w:color w:val="auto"/>
              </w:rPr>
            </w:pPr>
          </w:p>
        </w:tc>
      </w:tr>
      <w:tr>
        <w:trPr>
          <w:trHeight w:val="205"/>
        </w:trPr>
        <w:tc>
          <w:tcPr>
            <w:tcW w:w="72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Commitments (Note 13)</w:t>
            </w: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Stockholders’ equity:</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26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231F20"/>
              </w:rPr>
              <w:t>Class A Common Stock, $0.0001 par value; 320,000,000 shares authorized; 150,855,025 and</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60" w:type="dxa"/>
            <w:vAlign w:val="bottom"/>
            <w:shd w:val="clear" w:color="auto" w:fill="CCEEFF"/>
          </w:tcPr>
          <w:p>
            <w:pPr>
              <w:ind w:left="500"/>
              <w:spacing w:after="0" w:line="177" w:lineRule="exact"/>
              <w:rPr>
                <w:sz w:val="20"/>
                <w:szCs w:val="20"/>
                <w:color w:val="auto"/>
              </w:rPr>
            </w:pPr>
            <w:r>
              <w:rPr>
                <w:rFonts w:ascii="Times New Roman" w:cs="Times New Roman" w:eastAsia="Times New Roman" w:hAnsi="Times New Roman"/>
                <w:sz w:val="18"/>
                <w:szCs w:val="18"/>
                <w:color w:val="231F20"/>
              </w:rPr>
              <w:t>150,598,047 shares issued and outstanding at June 30, 2022 and December 31, 2021,</w:t>
            </w:r>
          </w:p>
        </w:tc>
        <w:tc>
          <w:tcPr>
            <w:tcW w:w="32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231F20"/>
              </w:rPr>
              <w:t>respectively</w:t>
            </w:r>
          </w:p>
        </w:tc>
        <w:tc>
          <w:tcPr>
            <w:tcW w:w="32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231F20"/>
              </w:rPr>
              <w:t>Preferred Stock, $0.0001 par value; 1,000,000 shares authorized; no shares issued and</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500"/>
              <w:spacing w:after="0"/>
              <w:rPr>
                <w:sz w:val="20"/>
                <w:szCs w:val="20"/>
                <w:color w:val="auto"/>
              </w:rPr>
            </w:pPr>
            <w:r>
              <w:rPr>
                <w:rFonts w:ascii="Times New Roman" w:cs="Times New Roman" w:eastAsia="Times New Roman" w:hAnsi="Times New Roman"/>
                <w:sz w:val="18"/>
                <w:szCs w:val="18"/>
                <w:color w:val="231F20"/>
              </w:rPr>
              <w:t>outstanding at June 30, 2022 and December 31, 2021</w:t>
            </w:r>
          </w:p>
        </w:tc>
        <w:tc>
          <w:tcPr>
            <w:tcW w:w="320" w:type="dxa"/>
            <w:vAlign w:val="bottom"/>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Additional paid-in capital</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735,682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722,250</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Accumulated other comprehensive income (loss)</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(1,257)</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(378,274)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(418,712)</w:t>
            </w:r>
          </w:p>
        </w:tc>
        <w:tc>
          <w:tcPr>
            <w:tcW w:w="0" w:type="dxa"/>
            <w:vAlign w:val="bottom"/>
          </w:tcPr>
          <w:p>
            <w:pPr>
              <w:spacing w:after="0"/>
              <w:rPr>
                <w:sz w:val="1"/>
                <w:szCs w:val="1"/>
                <w:color w:val="auto"/>
              </w:rPr>
            </w:pPr>
          </w:p>
        </w:tc>
      </w:tr>
      <w:tr>
        <w:trPr>
          <w:trHeight w:val="218"/>
        </w:trPr>
        <w:tc>
          <w:tcPr>
            <w:tcW w:w="72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231F20"/>
              </w:rPr>
              <w:t>Total stockholders’ equity</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352,335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302,297</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231F20"/>
              </w:rPr>
              <w:t>LIABILITIES AND STOCKHOLDERS’ EQUITY</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231F20"/>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1,214,960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1,218,806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COMPREHENSIVE INCOME (LOSS)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(in thousands, except for share and per share amounts)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340" w:type="dxa"/>
            <w:vAlign w:val="bottom"/>
          </w:tcPr>
          <w:p>
            <w:pPr>
              <w:spacing w:after="0"/>
              <w:rPr>
                <w:sz w:val="16"/>
                <w:szCs w:val="16"/>
                <w:color w:val="auto"/>
              </w:rPr>
            </w:pPr>
          </w:p>
        </w:tc>
        <w:tc>
          <w:tcPr>
            <w:tcW w:w="278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r>
      <w:tr>
        <w:trPr>
          <w:trHeight w:val="38"/>
        </w:trPr>
        <w:tc>
          <w:tcPr>
            <w:tcW w:w="49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4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231F20"/>
              </w:rPr>
              <w:t>2021</w:t>
            </w: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Net sales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103,536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66,508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178,951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114,050</w:t>
            </w:r>
          </w:p>
        </w:tc>
      </w:tr>
      <w:tr>
        <w:trPr>
          <w:trHeight w:val="225"/>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Cost of sales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31,882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19,257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55,360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35,059</w:t>
            </w:r>
          </w:p>
        </w:tc>
      </w:tr>
      <w:tr>
        <w:trPr>
          <w:trHeight w:val="232"/>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231F20"/>
              </w:rPr>
              <w:t>Gross profit</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71,654</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47,251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123,591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78,991</w:t>
            </w:r>
          </w:p>
        </w:tc>
      </w:tr>
      <w:tr>
        <w:trPr>
          <w:trHeight w:val="205"/>
        </w:trPr>
        <w:tc>
          <w:tcPr>
            <w:tcW w:w="49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231F20"/>
              </w:rPr>
              <w:t>Operating expenses: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2"/>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Selling and marketing</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44,881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26,214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81,288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43,309</w:t>
            </w:r>
          </w:p>
        </w:tc>
      </w:tr>
      <w:tr>
        <w:trPr>
          <w:trHeight w:val="252"/>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2,601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4,440</w:t>
            </w:r>
          </w:p>
        </w:tc>
      </w:tr>
      <w:tr>
        <w:trPr>
          <w:trHeight w:val="252"/>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27,585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44,402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53,846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55,213</w:t>
            </w:r>
          </w:p>
        </w:tc>
      </w:tr>
      <w:tr>
        <w:trPr>
          <w:trHeight w:val="219"/>
        </w:trPr>
        <w:tc>
          <w:tcPr>
            <w:tcW w:w="49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75,067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73,604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139,965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102,962</w:t>
            </w:r>
          </w:p>
        </w:tc>
      </w:tr>
      <w:tr>
        <w:trPr>
          <w:trHeight w:val="29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Loss from operations</w:t>
            </w: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(3,413)</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(26,353)</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(16,374)</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(23,971)</w:t>
            </w:r>
          </w:p>
        </w:tc>
      </w:tr>
      <w:tr>
        <w:trPr>
          <w:trHeight w:val="205"/>
        </w:trPr>
        <w:tc>
          <w:tcPr>
            <w:tcW w:w="49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231F20"/>
              </w:rPr>
              <w:t>Other (income) expense: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2"/>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Interest expense, net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3,217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2,060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7,759</w:t>
            </w:r>
          </w:p>
        </w:tc>
      </w:tr>
      <w:tr>
        <w:trPr>
          <w:trHeight w:val="252"/>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231F20"/>
              </w:rPr>
              <w:t>Other (income) expense, net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4,314</w:t>
            </w:r>
          </w:p>
        </w:tc>
      </w:tr>
      <w:tr>
        <w:trPr>
          <w:trHeight w:val="252"/>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(15,185)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72,027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(67,237)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72,027</w:t>
            </w:r>
          </w:p>
        </w:tc>
      </w:tr>
      <w:tr>
        <w:trPr>
          <w:trHeight w:val="252"/>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231F20"/>
              </w:rPr>
              <w:t>Change in fair value of earn-out shares liability</w:t>
            </w:r>
          </w:p>
        </w:tc>
        <w:tc>
          <w:tcPr>
            <w:tcW w:w="3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36,525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36,525</w:t>
            </w:r>
          </w:p>
        </w:tc>
      </w:tr>
      <w:tr>
        <w:trPr>
          <w:trHeight w:val="252"/>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Foreign currency transaction loss (gain), net</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2,206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1,838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232</w:t>
            </w:r>
          </w:p>
        </w:tc>
      </w:tr>
      <w:tr>
        <w:trPr>
          <w:trHeight w:val="218"/>
        </w:trPr>
        <w:tc>
          <w:tcPr>
            <w:tcW w:w="492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Total other (income)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(11,420)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114,895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(59,503)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120,857</w:t>
            </w:r>
          </w:p>
        </w:tc>
      </w:tr>
      <w:tr>
        <w:trPr>
          <w:trHeight w:val="29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Income (loss) before provision for income taxes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8,007</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(141,248)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43,129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(144,828)</w:t>
            </w:r>
          </w:p>
        </w:tc>
      </w:tr>
      <w:tr>
        <w:trPr>
          <w:trHeight w:val="252"/>
        </w:trPr>
        <w:tc>
          <w:tcPr>
            <w:tcW w:w="49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231F20"/>
              </w:rPr>
              <w:t>Income tax expense (benefit)</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(1,870)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2,691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(2,176)</w:t>
            </w:r>
          </w:p>
        </w:tc>
      </w:tr>
      <w:tr>
        <w:trPr>
          <w:trHeight w:val="29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income (loss)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7,931</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(139,378)</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40,438</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(142,652)</w:t>
            </w:r>
          </w:p>
        </w:tc>
      </w:tr>
      <w:tr>
        <w:trPr>
          <w:trHeight w:val="205"/>
        </w:trPr>
        <w:tc>
          <w:tcPr>
            <w:tcW w:w="49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231F20"/>
              </w:rPr>
              <w:t>Comprehensive income (loss), net of tax:</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(3,687)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(281)</w:t>
            </w:r>
          </w:p>
        </w:tc>
      </w:tr>
      <w:tr>
        <w:trPr>
          <w:trHeight w:val="272"/>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Comprehensive income (loss)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4,244</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(139,654)</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36,606</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(142,933)</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8"/>
        </w:trPr>
        <w:tc>
          <w:tcPr>
            <w:tcW w:w="4920" w:type="dxa"/>
            <w:vAlign w:val="bottom"/>
            <w:tcBorders>
              <w:bottom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231F20"/>
              </w:rPr>
              <w:t>Net income (loss) per share</w:t>
            </w: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52"/>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231F20"/>
              </w:rPr>
              <w:t>Basic</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0.05</w:t>
            </w:r>
          </w:p>
        </w:tc>
        <w:tc>
          <w:tcPr>
            <w:tcW w:w="8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(1.52)</w:t>
            </w:r>
          </w:p>
        </w:tc>
        <w:tc>
          <w:tcPr>
            <w:tcW w:w="8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0.27</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(2.24)</w:t>
            </w:r>
          </w:p>
        </w:tc>
      </w:tr>
      <w:tr>
        <w:trPr>
          <w:trHeight w:val="252"/>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Diluted</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(2.24)</w:t>
            </w:r>
          </w:p>
        </w:tc>
      </w:tr>
      <w:tr>
        <w:trPr>
          <w:trHeight w:val="231"/>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Weighted average common shares outstanding</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2"/>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Basic</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150,731,491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91,798,837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150,665,166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63,805,807</w:t>
            </w:r>
          </w:p>
        </w:tc>
      </w:tr>
      <w:tr>
        <w:trPr>
          <w:trHeight w:val="253"/>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231F20"/>
              </w:rPr>
              <w:t>Diluted</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151,719,451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91,798,837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152,274,394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63,805,807</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STOCKHOLDERS’ EQUITY (DEFICIT)</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(in thousands, except for share amounts)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3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Legacy Common</w:t>
            </w:r>
          </w:p>
        </w:tc>
        <w:tc>
          <w:tcPr>
            <w:tcW w:w="12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Legacy Preferred</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1"/>
        </w:trPr>
        <w:tc>
          <w:tcPr>
            <w:tcW w:w="1960" w:type="dxa"/>
            <w:vAlign w:val="bottom"/>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260" w:type="dxa"/>
            <w:vAlign w:val="bottom"/>
            <w:gridSpan w:val="5"/>
            <w:vMerge w:val="continue"/>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3"/>
            <w:vMerge w:val="restart"/>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vMerge w:val="restart"/>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9"/>
              </w:rPr>
              <w:t>Receivable</w:t>
            </w:r>
          </w:p>
        </w:tc>
        <w:tc>
          <w:tcPr>
            <w:tcW w:w="100" w:type="dxa"/>
            <w:vAlign w:val="bottom"/>
          </w:tcPr>
          <w:p>
            <w:pPr>
              <w:spacing w:after="0"/>
              <w:rPr>
                <w:sz w:val="7"/>
                <w:szCs w:val="7"/>
                <w:color w:val="auto"/>
              </w:rPr>
            </w:pPr>
          </w:p>
        </w:tc>
        <w:tc>
          <w:tcPr>
            <w:tcW w:w="1000" w:type="dxa"/>
            <w:vAlign w:val="bottom"/>
            <w:gridSpan w:val="2"/>
            <w:vMerge w:val="restart"/>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60" w:type="dxa"/>
            <w:vAlign w:val="bottom"/>
          </w:tcPr>
          <w:p>
            <w:pPr>
              <w:spacing w:after="0"/>
              <w:rPr>
                <w:sz w:val="5"/>
                <w:szCs w:val="5"/>
                <w:color w:val="auto"/>
              </w:rPr>
            </w:pPr>
          </w:p>
        </w:tc>
        <w:tc>
          <w:tcPr>
            <w:tcW w:w="920" w:type="dxa"/>
            <w:vAlign w:val="bottom"/>
            <w:gridSpan w:val="3"/>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Stockholders’Equity</w:t>
            </w: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920" w:type="dxa"/>
            <w:vAlign w:val="bottom"/>
            <w:tcBorders>
              <w:bottom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70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110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62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92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vMerge w:val="restart"/>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80" w:type="dxa"/>
            <w:vAlign w:val="bottom"/>
            <w:vMerge w:val="restart"/>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321"/>
              <w:spacing w:after="0" w:line="13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48"/>
        </w:trPr>
        <w:tc>
          <w:tcPr>
            <w:tcW w:w="19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80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02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December 31,</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54,358</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931</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(43,604)</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(29,960)</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2020</w:t>
            </w: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Retroactive application of</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(54,358)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35,501,743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recapitalization</w:t>
            </w: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96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Adjusted balance,</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35,501,743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(29,960)</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beginning of period</w:t>
            </w: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0" w:type="dxa"/>
            <w:vAlign w:val="bottom"/>
          </w:tcPr>
          <w:p>
            <w:pPr>
              <w:spacing w:after="0"/>
              <w:rPr>
                <w:sz w:val="1"/>
                <w:szCs w:val="1"/>
                <w:color w:val="auto"/>
              </w:rPr>
            </w:pPr>
          </w:p>
        </w:tc>
      </w:tr>
      <w:tr>
        <w:trPr>
          <w:trHeight w:val="159"/>
        </w:trPr>
        <w:tc>
          <w:tcPr>
            <w:tcW w:w="196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Foreign currency</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translation adjustment</w:t>
            </w: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2021</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35,501,743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(33,205)</w:t>
            </w:r>
          </w:p>
        </w:tc>
        <w:tc>
          <w:tcPr>
            <w:tcW w:w="0" w:type="dxa"/>
            <w:vAlign w:val="bottom"/>
          </w:tcPr>
          <w:p>
            <w:pPr>
              <w:spacing w:after="0"/>
              <w:rPr>
                <w:sz w:val="1"/>
                <w:szCs w:val="1"/>
                <w:color w:val="auto"/>
              </w:rPr>
            </w:pPr>
          </w:p>
        </w:tc>
      </w:tr>
      <w:tr>
        <w:trPr>
          <w:trHeight w:val="159"/>
        </w:trPr>
        <w:tc>
          <w:tcPr>
            <w:tcW w:w="196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Reverse recapitalization</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89,827,310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183,301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183,864</w:t>
            </w:r>
          </w:p>
        </w:tc>
        <w:tc>
          <w:tcPr>
            <w:tcW w:w="0" w:type="dxa"/>
            <w:vAlign w:val="bottom"/>
          </w:tcPr>
          <w:p>
            <w:pPr>
              <w:spacing w:after="0"/>
              <w:rPr>
                <w:sz w:val="1"/>
                <w:szCs w:val="1"/>
                <w:color w:val="auto"/>
              </w:rPr>
            </w:pP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transaction, net</w:t>
            </w: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Issuance of Class A</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340"/>
              <w:spacing w:after="0" w:line="159" w:lineRule="exact"/>
              <w:rPr>
                <w:sz w:val="20"/>
                <w:szCs w:val="20"/>
                <w:color w:val="auto"/>
              </w:rPr>
            </w:pPr>
            <w:r>
              <w:rPr>
                <w:rFonts w:ascii="Times New Roman" w:cs="Times New Roman" w:eastAsia="Times New Roman" w:hAnsi="Times New Roman"/>
                <w:sz w:val="16"/>
                <w:szCs w:val="16"/>
                <w:color w:val="auto"/>
              </w:rPr>
              <w:t>Common Stock in</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340"/>
              <w:spacing w:after="0" w:line="159" w:lineRule="exact"/>
              <w:rPr>
                <w:sz w:val="20"/>
                <w:szCs w:val="20"/>
                <w:color w:val="auto"/>
              </w:rPr>
            </w:pPr>
            <w:r>
              <w:rPr>
                <w:rFonts w:ascii="Times New Roman" w:cs="Times New Roman" w:eastAsia="Times New Roman" w:hAnsi="Times New Roman"/>
                <w:sz w:val="16"/>
                <w:szCs w:val="16"/>
                <w:color w:val="auto"/>
                <w:w w:val="99"/>
              </w:rPr>
              <w:t>connection with business</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110,726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w:t>
            </w: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(139,378)</w:t>
            </w:r>
          </w:p>
        </w:tc>
        <w:tc>
          <w:tcPr>
            <w:tcW w:w="0" w:type="dxa"/>
            <w:vAlign w:val="bottom"/>
          </w:tcPr>
          <w:p>
            <w:pPr>
              <w:spacing w:after="0"/>
              <w:rPr>
                <w:sz w:val="1"/>
                <w:szCs w:val="1"/>
                <w:color w:val="auto"/>
              </w:rPr>
            </w:pPr>
          </w:p>
        </w:tc>
      </w:tr>
      <w:tr>
        <w:trPr>
          <w:trHeight w:val="159"/>
        </w:trPr>
        <w:tc>
          <w:tcPr>
            <w:tcW w:w="196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Foreign currency</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translation adjustment</w:t>
            </w: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6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BALANCE, June 30, 2021</w:t>
            </w:r>
          </w:p>
        </w:tc>
        <w:tc>
          <w:tcPr>
            <w:tcW w:w="6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shd w:val="clear" w:color="auto" w:fill="CCEEFF"/>
          </w:tcPr>
          <w:p>
            <w:pPr>
              <w:ind w:lef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125,439,779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202,352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(186,256)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16,070</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BALANCE, December 31,</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150,598,047</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722,250</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(418,712)</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302,297</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70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Issuance of common stock</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for vesting of restricted</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 units</w:t>
            </w: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w:t>
            </w:r>
          </w:p>
        </w:tc>
        <w:tc>
          <w:tcPr>
            <w:tcW w:w="0" w:type="dxa"/>
            <w:vAlign w:val="bottom"/>
          </w:tcPr>
          <w:p>
            <w:pPr>
              <w:spacing w:after="0"/>
              <w:rPr>
                <w:sz w:val="1"/>
                <w:szCs w:val="1"/>
                <w:color w:val="auto"/>
              </w:rPr>
            </w:pPr>
          </w:p>
        </w:tc>
      </w:tr>
      <w:tr>
        <w:trPr>
          <w:trHeight w:val="210"/>
        </w:trPr>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32,507</w:t>
            </w: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Foreign currency</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translation adjustment</w:t>
            </w: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2022</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150,603,231</w:t>
            </w:r>
          </w:p>
        </w:tc>
        <w:tc>
          <w:tcPr>
            <w:tcW w:w="80" w:type="dxa"/>
            <w:vAlign w:val="bottom"/>
          </w:tcPr>
          <w:p>
            <w:pPr>
              <w:spacing w:after="0"/>
              <w:rPr>
                <w:sz w:val="17"/>
                <w:szCs w:val="17"/>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729,299</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(386,205)</w:t>
            </w:r>
          </w:p>
        </w:tc>
        <w:tc>
          <w:tcPr>
            <w:tcW w:w="80" w:type="dxa"/>
            <w:vAlign w:val="bottom"/>
          </w:tcPr>
          <w:p>
            <w:pPr>
              <w:spacing w:after="0"/>
              <w:rPr>
                <w:sz w:val="17"/>
                <w:szCs w:val="17"/>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341,708</w:t>
            </w: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Issuance of Class A</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340"/>
              <w:spacing w:after="0" w:line="159" w:lineRule="exact"/>
              <w:rPr>
                <w:sz w:val="20"/>
                <w:szCs w:val="20"/>
                <w:color w:val="auto"/>
              </w:rPr>
            </w:pPr>
            <w:r>
              <w:rPr>
                <w:rFonts w:ascii="Times New Roman" w:cs="Times New Roman" w:eastAsia="Times New Roman" w:hAnsi="Times New Roman"/>
                <w:sz w:val="16"/>
                <w:szCs w:val="16"/>
                <w:color w:val="auto"/>
              </w:rPr>
              <w:t>Common Stock in</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340"/>
              <w:spacing w:after="0" w:line="159" w:lineRule="exact"/>
              <w:rPr>
                <w:sz w:val="20"/>
                <w:szCs w:val="20"/>
                <w:color w:val="auto"/>
              </w:rPr>
            </w:pPr>
            <w:r>
              <w:rPr>
                <w:rFonts w:ascii="Times New Roman" w:cs="Times New Roman" w:eastAsia="Times New Roman" w:hAnsi="Times New Roman"/>
                <w:sz w:val="16"/>
                <w:szCs w:val="16"/>
                <w:color w:val="auto"/>
              </w:rPr>
              <w:t>connection with asset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w:t>
            </w: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Issuance of common stock</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pursuant to equity</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252,536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compensation plan</w:t>
            </w: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6,378</w:t>
            </w:r>
          </w:p>
        </w:tc>
        <w:tc>
          <w:tcPr>
            <w:tcW w:w="0" w:type="dxa"/>
            <w:vAlign w:val="bottom"/>
          </w:tcPr>
          <w:p>
            <w:pPr>
              <w:spacing w:after="0"/>
              <w:rPr>
                <w:sz w:val="1"/>
                <w:szCs w:val="1"/>
                <w:color w:val="auto"/>
              </w:rPr>
            </w:pPr>
          </w:p>
        </w:tc>
      </w:tr>
      <w:tr>
        <w:trPr>
          <w:trHeight w:val="159"/>
        </w:trPr>
        <w:tc>
          <w:tcPr>
            <w:tcW w:w="196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Shares withheld for tax</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withholdings on vested</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(29,475)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 awards</w:t>
            </w: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w:t>
            </w:r>
          </w:p>
        </w:tc>
        <w:tc>
          <w:tcPr>
            <w:tcW w:w="0" w:type="dxa"/>
            <w:vAlign w:val="bottom"/>
          </w:tcPr>
          <w:p>
            <w:pPr>
              <w:spacing w:after="0"/>
              <w:rPr>
                <w:sz w:val="1"/>
                <w:szCs w:val="1"/>
                <w:color w:val="auto"/>
              </w:rPr>
            </w:pPr>
          </w:p>
        </w:tc>
      </w:tr>
      <w:tr>
        <w:trPr>
          <w:trHeight w:val="159"/>
        </w:trPr>
        <w:tc>
          <w:tcPr>
            <w:tcW w:w="196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Foreign currency</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0" w:type="dxa"/>
            <w:vAlign w:val="bottom"/>
          </w:tcPr>
          <w:p>
            <w:pPr>
              <w:spacing w:after="0"/>
              <w:rPr>
                <w:sz w:val="1"/>
                <w:szCs w:val="1"/>
                <w:color w:val="auto"/>
              </w:rPr>
            </w:pP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translation adjustment</w:t>
            </w: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2022</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150,855,025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352,335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2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CASH FLOWS</w:t>
      </w:r>
    </w:p>
    <w:p>
      <w:pPr>
        <w:spacing w:after="0" w:line="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3080" w:type="dxa"/>
            <w:vAlign w:val="bottom"/>
            <w:gridSpan w:val="5"/>
          </w:tcPr>
          <w:p>
            <w:pPr>
              <w:jc w:val="right"/>
              <w:ind w:right="641"/>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r>
      <w:tr>
        <w:trPr>
          <w:trHeight w:val="199"/>
        </w:trPr>
        <w:tc>
          <w:tcPr>
            <w:tcW w:w="79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231F20"/>
              </w:rPr>
              <w:t>2021</w:t>
            </w:r>
          </w:p>
        </w:tc>
      </w:tr>
      <w:tr>
        <w:trPr>
          <w:trHeight w:val="24"/>
        </w:trPr>
        <w:tc>
          <w:tcPr>
            <w:tcW w:w="79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2"/>
        </w:trPr>
        <w:tc>
          <w:tcPr>
            <w:tcW w:w="7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1"/>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Cash flows from operating activities: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31F20"/>
              </w:rPr>
              <w:t>Net income (loss)</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(142,652)</w:t>
            </w: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Adjustments to reconcile net income (loss) to net cash from operating</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Depreciation of property and equipment</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Amortization of capitalized software</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Provision for doubtful accounts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Non-cash lease expense</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Amortization of intangible assets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Amortization of other assets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Amortization of deferred financing costs</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Stock-based compensation</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Loss on sale and disposal of assets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In-kind interest</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Deferred income tax benefit</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Change in fair value of earn-out shares liability</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36,525</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Change in fair value adjustment of warrant liabilities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(67,237)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72,027</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Debt prepayment expense</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Amortization of debt issuance costs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Changes in operating assets and liabilities: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Accounts receivable</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(34,410)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(21,089)</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Prepaid expense and other current assets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Income taxes receivable</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Inventory</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(39,234)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Other assets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Accounts payable</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Accrued payroll and other expenses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9,047</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Other long-term liabilities</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Lease liabilities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231F20"/>
              </w:rPr>
              <w:t>Income taxes payable</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07"/>
        </w:trPr>
        <w:tc>
          <w:tcPr>
            <w:tcW w:w="7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231F20"/>
              </w:rPr>
              <w:t>Net cash used in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(69,806)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(31,938)</w:t>
            </w:r>
          </w:p>
        </w:tc>
      </w:tr>
      <w:tr>
        <w:trPr>
          <w:trHeight w:val="190"/>
        </w:trPr>
        <w:tc>
          <w:tcPr>
            <w:tcW w:w="79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Cash flows used in investing activities:</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9"/>
        </w:trPr>
        <w:tc>
          <w:tcPr>
            <w:tcW w:w="7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231F20"/>
              </w:rPr>
              <w:t>Cash paid for business acquisitions, net of cash acquired</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r>
      <w:tr>
        <w:trPr>
          <w:trHeight w:val="210"/>
        </w:trPr>
        <w:tc>
          <w:tcPr>
            <w:tcW w:w="7920" w:type="dxa"/>
            <w:vAlign w:val="bottom"/>
          </w:tcPr>
          <w:p>
            <w:pPr>
              <w:ind w:left="440"/>
              <w:spacing w:after="0"/>
              <w:rPr>
                <w:sz w:val="20"/>
                <w:szCs w:val="20"/>
                <w:color w:val="auto"/>
              </w:rPr>
            </w:pPr>
            <w:r>
              <w:rPr>
                <w:rFonts w:ascii="Times New Roman" w:cs="Times New Roman" w:eastAsia="Times New Roman" w:hAnsi="Times New Roman"/>
                <w:sz w:val="16"/>
                <w:szCs w:val="16"/>
                <w:color w:val="231F20"/>
              </w:rPr>
              <w:t>Cash paid for asset acquisition</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231F20"/>
              </w:rPr>
              <w:t>Repayment of notes receivables from shareholders</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10"/>
        </w:trPr>
        <w:tc>
          <w:tcPr>
            <w:tcW w:w="7920" w:type="dxa"/>
            <w:vAlign w:val="bottom"/>
          </w:tcPr>
          <w:p>
            <w:pPr>
              <w:ind w:left="440"/>
              <w:spacing w:after="0"/>
              <w:rPr>
                <w:sz w:val="20"/>
                <w:szCs w:val="20"/>
                <w:color w:val="auto"/>
              </w:rPr>
            </w:pPr>
            <w:r>
              <w:rPr>
                <w:rFonts w:ascii="Times New Roman" w:cs="Times New Roman" w:eastAsia="Times New Roman" w:hAnsi="Times New Roman"/>
                <w:sz w:val="16"/>
                <w:szCs w:val="16"/>
                <w:color w:val="231F20"/>
              </w:rPr>
              <w:t>Capital expenditures for intangible assets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4"/>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231F20"/>
              </w:rPr>
              <w:t>Capital expenditures for property and equipment</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(4,707)</w:t>
            </w:r>
          </w:p>
        </w:tc>
      </w:tr>
      <w:tr>
        <w:trPr>
          <w:trHeight w:val="203"/>
        </w:trPr>
        <w:tc>
          <w:tcPr>
            <w:tcW w:w="792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6"/>
                <w:szCs w:val="16"/>
                <w:color w:val="231F20"/>
              </w:rPr>
              <w:t>Net cash used in investing activities</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(9,119)</w:t>
            </w:r>
          </w:p>
        </w:tc>
      </w:tr>
      <w:tr>
        <w:trPr>
          <w:trHeight w:val="194"/>
        </w:trPr>
        <w:tc>
          <w:tcPr>
            <w:tcW w:w="7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231F20"/>
              </w:rPr>
              <w:t>Cash flows from financing activities: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0"/>
        </w:trPr>
        <w:tc>
          <w:tcPr>
            <w:tcW w:w="7920" w:type="dxa"/>
            <w:vAlign w:val="bottom"/>
          </w:tcPr>
          <w:p>
            <w:pPr>
              <w:ind w:left="440"/>
              <w:spacing w:after="0"/>
              <w:rPr>
                <w:sz w:val="20"/>
                <w:szCs w:val="20"/>
                <w:color w:val="auto"/>
              </w:rPr>
            </w:pPr>
            <w:r>
              <w:rPr>
                <w:rFonts w:ascii="Times New Roman" w:cs="Times New Roman" w:eastAsia="Times New Roman" w:hAnsi="Times New Roman"/>
                <w:sz w:val="16"/>
                <w:szCs w:val="16"/>
                <w:color w:val="231F20"/>
              </w:rPr>
              <w:t>Payment of contingent consideration related to acquisitions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231F20"/>
              </w:rPr>
              <w:t>Proceeds from revolving facility</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0"/>
        </w:trPr>
        <w:tc>
          <w:tcPr>
            <w:tcW w:w="7920" w:type="dxa"/>
            <w:vAlign w:val="bottom"/>
          </w:tcPr>
          <w:p>
            <w:pPr>
              <w:ind w:left="440"/>
              <w:spacing w:after="0"/>
              <w:rPr>
                <w:sz w:val="20"/>
                <w:szCs w:val="20"/>
                <w:color w:val="auto"/>
              </w:rPr>
            </w:pPr>
            <w:r>
              <w:rPr>
                <w:rFonts w:ascii="Times New Roman" w:cs="Times New Roman" w:eastAsia="Times New Roman" w:hAnsi="Times New Roman"/>
                <w:sz w:val="16"/>
                <w:szCs w:val="16"/>
                <w:color w:val="231F20"/>
              </w:rPr>
              <w:t>Repayment of revolving facility</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4"/>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231F20"/>
              </w:rPr>
              <w:t>Proceeds from Business Combination, net of transaction costs (See Note 3)</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358,536</w:t>
            </w:r>
          </w:p>
        </w:tc>
      </w:tr>
      <w:tr>
        <w:trPr>
          <w:trHeight w:val="210"/>
        </w:trPr>
        <w:tc>
          <w:tcPr>
            <w:tcW w:w="7920" w:type="dxa"/>
            <w:vAlign w:val="bottom"/>
          </w:tcPr>
          <w:p>
            <w:pPr>
              <w:ind w:left="440"/>
              <w:spacing w:after="0"/>
              <w:rPr>
                <w:sz w:val="20"/>
                <w:szCs w:val="20"/>
                <w:color w:val="auto"/>
              </w:rPr>
            </w:pPr>
            <w:r>
              <w:rPr>
                <w:rFonts w:ascii="Times New Roman" w:cs="Times New Roman" w:eastAsia="Times New Roman" w:hAnsi="Times New Roman"/>
                <w:sz w:val="16"/>
                <w:szCs w:val="16"/>
                <w:color w:val="231F20"/>
              </w:rPr>
              <w:t>Repayment of term loan</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(225,487)</w:t>
            </w:r>
          </w:p>
        </w:tc>
      </w:tr>
      <w:tr>
        <w:trPr>
          <w:trHeight w:val="207"/>
        </w:trPr>
        <w:tc>
          <w:tcPr>
            <w:tcW w:w="7920" w:type="dxa"/>
            <w:vAlign w:val="bottom"/>
            <w:tcBorders>
              <w:top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231F20"/>
              </w:rPr>
              <w:t>Net cash (used in) provided by financing activities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133,049</w:t>
            </w:r>
          </w:p>
        </w:tc>
      </w:tr>
      <w:tr>
        <w:trPr>
          <w:trHeight w:val="203"/>
        </w:trPr>
        <w:tc>
          <w:tcPr>
            <w:tcW w:w="792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Net (decrease) increase in cash and cash equivalents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(80,873)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91,992</w:t>
            </w:r>
          </w:p>
        </w:tc>
      </w:tr>
      <w:tr>
        <w:trPr>
          <w:trHeight w:val="214"/>
        </w:trPr>
        <w:tc>
          <w:tcPr>
            <w:tcW w:w="7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231F20"/>
              </w:rPr>
              <w:t>Effect of foreign currency translation on cash</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79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231F20"/>
              </w:rPr>
              <w:t>Cash and cash equivalents, beginning of period</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901,886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9,486</w:t>
            </w:r>
          </w:p>
        </w:tc>
      </w:tr>
      <w:tr>
        <w:trPr>
          <w:trHeight w:val="232"/>
        </w:trPr>
        <w:tc>
          <w:tcPr>
            <w:tcW w:w="7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231F20"/>
              </w:rPr>
              <w:t>Cash and cash equivalents, end of period</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820,970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101,467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ectPr>
          <w:pgSz w:w="11900" w:h="16838" w:orient="portrait"/>
          <w:cols w:equalWidth="0" w:num="1">
            <w:col w:w="11320"/>
          </w:cols>
          <w:pgMar w:left="320" w:top="121" w:right="259" w:bottom="1440" w:gutter="0" w:footer="0" w:header="0"/>
        </w:sectPr>
      </w:pPr>
    </w:p>
    <w:p>
      <w:pPr>
        <w:spacing w:after="0" w:line="27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CASH FLOWS (continued)</w:t>
      </w:r>
    </w:p>
    <w:p>
      <w:pPr>
        <w:spacing w:after="0" w:line="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380" w:type="dxa"/>
            <w:vAlign w:val="bottom"/>
            <w:gridSpan w:val="4"/>
          </w:tcPr>
          <w:p>
            <w:pPr>
              <w:jc w:val="right"/>
              <w:ind w:right="25"/>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520" w:type="dxa"/>
            <w:vAlign w:val="bottom"/>
          </w:tcPr>
          <w:p>
            <w:pPr>
              <w:spacing w:after="0"/>
              <w:rPr>
                <w:sz w:val="16"/>
                <w:szCs w:val="16"/>
                <w:color w:val="auto"/>
              </w:rPr>
            </w:pPr>
          </w:p>
        </w:tc>
      </w:tr>
      <w:tr>
        <w:trPr>
          <w:trHeight w:val="24"/>
        </w:trPr>
        <w:tc>
          <w:tcPr>
            <w:tcW w:w="8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6"/>
        </w:trPr>
        <w:tc>
          <w:tcPr>
            <w:tcW w:w="8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20" w:type="dxa"/>
            <w:vAlign w:val="bottom"/>
            <w:tcBorders>
              <w:bottom w:val="single" w:sz="8" w:color="auto"/>
            </w:tcBorders>
          </w:tcPr>
          <w:p>
            <w:pPr>
              <w:spacing w:after="0"/>
              <w:rPr>
                <w:sz w:val="16"/>
                <w:szCs w:val="16"/>
                <w:color w:val="auto"/>
              </w:rPr>
            </w:pPr>
          </w:p>
        </w:tc>
      </w:tr>
      <w:tr>
        <w:trPr>
          <w:trHeight w:val="225"/>
        </w:trPr>
        <w:tc>
          <w:tcPr>
            <w:tcW w:w="8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231F20"/>
              </w:rPr>
              <w:t>Supplemental disclosures of cash flow information and non-cash investing and financing activities: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0"/>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231F20"/>
              </w:rPr>
              <w:t>Cash paid for interest</w:t>
            </w:r>
          </w:p>
        </w:tc>
        <w:tc>
          <w:tcPr>
            <w:tcW w:w="880" w:type="dxa"/>
            <w:vAlign w:val="bottom"/>
          </w:tcPr>
          <w:p>
            <w:pPr>
              <w:jc w:val="right"/>
              <w:ind w:right="706"/>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5,130</w:t>
            </w:r>
          </w:p>
        </w:tc>
        <w:tc>
          <w:tcPr>
            <w:tcW w:w="80" w:type="dxa"/>
            <w:vAlign w:val="bottom"/>
          </w:tcPr>
          <w:p>
            <w:pPr>
              <w:spacing w:after="0"/>
              <w:rPr>
                <w:sz w:val="18"/>
                <w:szCs w:val="18"/>
                <w:color w:val="auto"/>
              </w:rPr>
            </w:pPr>
          </w:p>
        </w:tc>
        <w:tc>
          <w:tcPr>
            <w:tcW w:w="880" w:type="dxa"/>
            <w:vAlign w:val="bottom"/>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w:t>
            </w:r>
          </w:p>
        </w:tc>
      </w:tr>
      <w:tr>
        <w:trPr>
          <w:trHeight w:val="214"/>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231F20"/>
              </w:rPr>
              <w:t>Common stock issued for asset acquisition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231F20"/>
              </w:rPr>
              <w:t>Common stock issued for business acquisitions</w:t>
            </w:r>
          </w:p>
        </w:tc>
        <w:tc>
          <w:tcPr>
            <w:tcW w:w="8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r>
      <w:tr>
        <w:trPr>
          <w:trHeight w:val="214"/>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231F20"/>
              </w:rPr>
              <w:t>Cash (received) paid for income taxes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0"/>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231F20"/>
              </w:rPr>
              <w:t>Capital expenditures included in accounts payable</w:t>
            </w:r>
          </w:p>
        </w:tc>
        <w:tc>
          <w:tcPr>
            <w:tcW w:w="8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r>
      <w:tr>
        <w:trPr>
          <w:trHeight w:val="214"/>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231F20"/>
              </w:rPr>
              <w:t>Change in deferred tax liability due to reverse recapitalization</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bl>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26" w:lineRule="exact"/>
        <w:rPr>
          <w:sz w:val="20"/>
          <w:szCs w:val="20"/>
          <w:color w:val="auto"/>
        </w:rPr>
      </w:pPr>
    </w:p>
    <w:p>
      <w:pPr>
        <w:ind w:left="5320" w:right="2720" w:hanging="2593"/>
        <w:spacing w:after="0" w:line="251"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46" w:lineRule="exact"/>
        <w:rPr>
          <w:sz w:val="20"/>
          <w:szCs w:val="20"/>
          <w:color w:val="auto"/>
        </w:rPr>
      </w:pPr>
    </w:p>
    <w:p>
      <w:pPr>
        <w:ind w:right="420" w:firstLine="318"/>
        <w:spacing w:after="0" w:line="259" w:lineRule="auto"/>
        <w:rPr>
          <w:sz w:val="20"/>
          <w:szCs w:val="20"/>
          <w:color w:val="auto"/>
        </w:rPr>
      </w:pPr>
      <w:r>
        <w:rPr>
          <w:rFonts w:ascii="Times New Roman" w:cs="Times New Roman" w:eastAsia="Times New Roman" w:hAnsi="Times New Roman"/>
          <w:sz w:val="18"/>
          <w:szCs w:val="18"/>
          <w:color w:val="auto"/>
        </w:rPr>
        <w:t>The Beauty Health Company, formerly known as Vesper Healthcare Acquisition Corp. (the “Company” or “BeautyHealth”), was incorporated in Delaware on July 8, 2020. The Company was originally formed for the purpose of entering into a merger, capital stock exchange, asset acquisition, stock purchase, reorganization or similar business combination with one or more businesses.</w:t>
      </w:r>
    </w:p>
    <w:p>
      <w:pPr>
        <w:spacing w:after="0" w:line="204"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On May 4, 2021 (the “Closing Date”), the Company consummated the previously announced business combination pursuant to that certain Agreement and Plan of Merger, dated December 8, 2020 (the “Merger Agreement”), by and among Vesper Healthcare Acquisition Corp. (“Vesper”), Hydrate Merger Sub I, Inc. (“Merger Sub I”), Hydrate Merger Sub II, LLC (“Merger Sub II”), LCP Edge Intermediate, Inc., the indirect parent of Edge Systems LLC d/b/a The HydraFacial Company (“HydraFacial”), and LCP Edge Holdco, LLC (“LCP,” or “Former Parent,” and, in its capacity as the stockholders’ representative, the “Stockholders’ Representative”),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has been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p>
    <w:p>
      <w:pPr>
        <w:spacing w:after="0" w:line="224"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Closing, the Company changed its name from “Vesper Healthcare Acquisition Corp.” to “The Beauty Health Company.” Following the Closing, on May 6, 2021, the Company’s Class A Common Stock and publicly traded warrants were listed on the Nasdaq Capital Market (“Nasdaq”) under the symbols, “SKIN” and “SKINW”, respectively. The transactions set forth in the Merger Agreement constitute a “Business Combination” as contemplated by Vesper’s Second Amended and Restated Certificate of Incorporation.</w:t>
      </w:r>
    </w:p>
    <w:p>
      <w:pPr>
        <w:spacing w:after="0" w:line="20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Unless the context otherwise requires, in this Quarterly Report on Form 10-Q, the “Company” refers to Vesper Healthcare Acquisition Corp. prior to the closing of the Business Combination and to the combined company and its subsidiaries following the Closing and “HydraFacial” refers to the business of LCP Edge Intermediate, Inc. and its subsidiaries prior to the Closing. References to “Vesper” refer to Vesper Healthcare Acquisition Corp. prior to the consummation of the Business Combination.</w:t>
      </w:r>
    </w:p>
    <w:p>
      <w:pPr>
        <w:spacing w:after="0" w:line="20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Company is a category-creating beauty health company focused on bringing innovative products to market. The Company and its subsidiaries design, develop, manufacture, market, and sell a/esthetic technologies and products. The Company’s flagship brand, HydraFacial, is a non-invasive and approachable beauty health platform and ecosystem. HydraFacial uses a unique delivery system to cleanse, extract, and hydrate with their patented hydradermabrasion technology and serums that are made with nourishing ingredients.</w:t>
      </w:r>
    </w:p>
    <w:p>
      <w:pPr>
        <w:spacing w:after="0" w:line="207"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The COVID-19 pandemic has had, and may continue to have adverse impacts on our business. As government authorities around the world continue to implement significant measures intended to control the spread of the virus and institute restrictions on commercial operations, while simultaneously implementing policies designed to reopen certain markets, we are working to ensure our compliance and maintain business continuity for essential operations. The extent to which the COVID-19 pandemic impacts our business going forward will depend on numerous factors we cannot reliably predict, including the duration and scope of the pandemic; businesses and individuals’ actions in response to the pandemic; and the impact on economic activity including the possibility of recession or financial market instability.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46"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Information regarding the Company’s significant accounting policies is contained in Note 2, “Summary of Significant Accounting Policies”, to the consolidated financial statements included in the Company’s Annual Report on Form 10-K filed with the SEC on March 1,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48"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Accounting Standards Update (“ASU”) ASU 2021-08, Business Combinations (Topic 805), which primarily relates to the accounting for contract assets and contract liabilities from contracts with customers in a business combination. The standard will be effective for annual reporting periods beginning after December 31, 2022, including interim reporting periods within those periods, with early adoption permitted. We are currently evaluating the impact of adopting this new accounting guidance on our consolidated financial statements.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 and Asset Acquisitions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Business Combination — Reverse Recapitalization</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closing of the Business Combination occurred on May 4, 2021. In connection with the Business Combination:</w:t>
      </w:r>
    </w:p>
    <w:p>
      <w:pPr>
        <w:spacing w:after="0" w:line="244" w:lineRule="exact"/>
        <w:rPr>
          <w:sz w:val="20"/>
          <w:szCs w:val="20"/>
          <w:color w:val="auto"/>
        </w:rPr>
      </w:pPr>
    </w:p>
    <w:p>
      <w:pPr>
        <w:ind w:left="640" w:hanging="316"/>
        <w:spacing w:after="0" w:line="25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accredited investors (the “PIPE Investors”) entered into subscription agreements (the “PIPE Subscription Agreements”) pursuant to which the PIPE Investors agreed to purchase 35,000,000 shares (the “PIPE Shares”) of the Company’s Class A Common Stock at a purchase price per share of $10.00 for an aggregate purchase price of $350.0 million (the “PIPE Investment”). The PIPE Investment was consummated substantially concurrently with the Closing of the Business Combination.</w:t>
      </w:r>
    </w:p>
    <w:p>
      <w:pPr>
        <w:spacing w:after="0" w:line="206" w:lineRule="exact"/>
        <w:rPr>
          <w:rFonts w:ascii="Times New Roman" w:cs="Times New Roman" w:eastAsia="Times New Roman" w:hAnsi="Times New Roman"/>
          <w:sz w:val="18"/>
          <w:szCs w:val="18"/>
          <w:color w:val="auto"/>
        </w:rPr>
      </w:pPr>
    </w:p>
    <w:p>
      <w:pPr>
        <w:ind w:left="640" w:right="20" w:hanging="316"/>
        <w:spacing w:after="0" w:line="25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the Company issued an aggregate of 11,500,000 shares of the Company’s Class B Common Stock (the “Founder Shares”) to the Sponsor for an aggregate purchase price of $25,000 in cash. All outstanding Founder Shares were automatically converted into shares of the Company’s Class A Common Stock on a one-for-one basis at the Closing and will continue to be subject to the transfer restrictions applicable to such shares of Founder Shares.</w:t>
      </w:r>
    </w:p>
    <w:p>
      <w:pPr>
        <w:spacing w:after="0" w:line="206" w:lineRule="exact"/>
        <w:rPr>
          <w:rFonts w:ascii="Times New Roman" w:cs="Times New Roman" w:eastAsia="Times New Roman" w:hAnsi="Times New Roman"/>
          <w:sz w:val="18"/>
          <w:szCs w:val="18"/>
          <w:color w:val="auto"/>
        </w:rPr>
      </w:pPr>
    </w:p>
    <w:p>
      <w:pPr>
        <w:ind w:left="640" w:right="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holders of 2,672,690 shares of the Company’s Class A Common Stock exercised their rights for the Company to redeem their respective shares for cash at an approximate price of $10.00 per share, for an aggregate of approximately $26.7 million, which was paid to such holders at Closing.</w:t>
      </w:r>
    </w:p>
    <w:p>
      <w:pPr>
        <w:spacing w:after="0" w:line="204" w:lineRule="exact"/>
        <w:rPr>
          <w:rFonts w:ascii="Times New Roman" w:cs="Times New Roman" w:eastAsia="Times New Roman" w:hAnsi="Times New Roman"/>
          <w:sz w:val="18"/>
          <w:szCs w:val="18"/>
          <w:color w:val="auto"/>
        </w:rPr>
      </w:pPr>
    </w:p>
    <w:p>
      <w:pPr>
        <w:ind w:left="640" w:right="30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Merger and the PIPE Investment, there were 125,329,053 shares of the Company’s Class A Common Stock issued and outstanding.</w:t>
      </w:r>
    </w:p>
    <w:p>
      <w:pPr>
        <w:spacing w:after="0" w:line="189" w:lineRule="exact"/>
        <w:rPr>
          <w:rFonts w:ascii="Times New Roman" w:cs="Times New Roman" w:eastAsia="Times New Roman" w:hAnsi="Times New Roman"/>
          <w:sz w:val="18"/>
          <w:szCs w:val="18"/>
          <w:color w:val="auto"/>
        </w:rPr>
      </w:pPr>
    </w:p>
    <w:p>
      <w:pPr>
        <w:ind w:left="640" w:right="20" w:hanging="316"/>
        <w:spacing w:after="0" w:line="268"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gross cash consideration received by the Company in connection with the Business Combination was $783 million, which consisted of proceeds of $350 million from the PIPE Investment, plus approximately $433 million of cash from the Company’s trust account that held the proceeds from the Company’s initial public offering (the “Trust Account”). The aggregate gross cash consideration received was reduced by</w:t>
      </w:r>
    </w:p>
    <w:p>
      <w:pPr>
        <w:ind w:left="640" w:right="4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$368 million, which consisted of cash payments made to the former shareholders of HydraFacial, and further reduced by an additional $57 million for the payment of direct transaction costs incurred by HydraFacial and the Company which were reflected as a reduction of proceeds. The Company used the net proceeds to repay all of its outstanding indebtedness at the Closing. The remainder of the consideration paid to the HydraFacial Stockholders consisted of 35,501,743 newly issued shares of Class A Common Stock (the “Stock Consideration”). The net cash received from the Business Combination was subject to a working capital adjustment of $0.9 million. The Company also issued 70,860 shares related to the working capital adjustment.</w:t>
      </w:r>
    </w:p>
    <w:p>
      <w:pPr>
        <w:spacing w:after="0" w:line="324"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Company’s Consolidated Statements of Cash Flows and the Consolidated Statements of Stockholders’ Equity (Deficit) for the year ended December 31, 2021:</w:t>
      </w:r>
    </w:p>
    <w:p>
      <w:pPr>
        <w:spacing w:after="0" w:line="200" w:lineRule="exact"/>
        <w:rPr>
          <w:sz w:val="20"/>
          <w:szCs w:val="20"/>
          <w:color w:val="auto"/>
        </w:rPr>
      </w:pPr>
    </w:p>
    <w:p>
      <w:pPr>
        <w:spacing w:after="0" w:line="3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420" w:type="dxa"/>
            <w:vAlign w:val="bottom"/>
          </w:tcPr>
          <w:p>
            <w:pPr>
              <w:spacing w:after="0"/>
              <w:rPr>
                <w:sz w:val="16"/>
                <w:szCs w:val="16"/>
                <w:color w:val="auto"/>
              </w:rPr>
            </w:pPr>
          </w:p>
        </w:tc>
        <w:tc>
          <w:tcPr>
            <w:tcW w:w="216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Recapitalization</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 trust, net of redemptions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433,382</w:t>
            </w:r>
          </w:p>
        </w:tc>
        <w:tc>
          <w:tcPr>
            <w:tcW w:w="0" w:type="dxa"/>
            <w:vAlign w:val="bottom"/>
          </w:tcPr>
          <w:p>
            <w:pPr>
              <w:spacing w:after="0"/>
              <w:rPr>
                <w:sz w:val="1"/>
                <w:szCs w:val="1"/>
                <w:color w:val="auto"/>
              </w:rPr>
            </w:pPr>
          </w:p>
        </w:tc>
      </w:tr>
      <w:tr>
        <w:trPr>
          <w:trHeight w:val="225"/>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PIPE</w:t>
            </w:r>
          </w:p>
        </w:tc>
        <w:tc>
          <w:tcPr>
            <w:tcW w:w="4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2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paid out to Former Parent</w:t>
            </w:r>
          </w:p>
        </w:tc>
        <w:tc>
          <w:tcPr>
            <w:tcW w:w="4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(367,870)</w:t>
            </w:r>
          </w:p>
        </w:tc>
        <w:tc>
          <w:tcPr>
            <w:tcW w:w="0" w:type="dxa"/>
            <w:vAlign w:val="bottom"/>
          </w:tcPr>
          <w:p>
            <w:pPr>
              <w:spacing w:after="0"/>
              <w:rPr>
                <w:sz w:val="1"/>
                <w:szCs w:val="1"/>
                <w:color w:val="auto"/>
              </w:rPr>
            </w:pPr>
          </w:p>
        </w:tc>
      </w:tr>
      <w:tr>
        <w:trPr>
          <w:trHeight w:val="225"/>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Transaction costs and advisory fees</w:t>
            </w:r>
          </w:p>
        </w:tc>
        <w:tc>
          <w:tcPr>
            <w:tcW w:w="4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(56,976)</w:t>
            </w:r>
          </w:p>
        </w:tc>
        <w:tc>
          <w:tcPr>
            <w:tcW w:w="0" w:type="dxa"/>
            <w:vAlign w:val="bottom"/>
          </w:tcPr>
          <w:p>
            <w:pPr>
              <w:spacing w:after="0"/>
              <w:rPr>
                <w:sz w:val="1"/>
                <w:szCs w:val="1"/>
                <w:color w:val="auto"/>
              </w:rPr>
            </w:pPr>
          </w:p>
        </w:tc>
      </w:tr>
      <w:tr>
        <w:trPr>
          <w:trHeight w:val="22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paid out from net working capital adjustment related to acquisitions</w:t>
            </w:r>
          </w:p>
        </w:tc>
        <w:tc>
          <w:tcPr>
            <w:tcW w:w="4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8"/>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Received from Business Combination</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357,634</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w w:val="99"/>
              </w:rPr>
              <w:t>The number of shares of Class A Common Stock issued following the consummation of the Business Combination:</w:t>
            </w: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86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prior to Business Combination</w:t>
            </w:r>
          </w:p>
        </w:tc>
        <w:tc>
          <w:tcPr>
            <w:tcW w:w="4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46,000,000</w:t>
            </w:r>
          </w:p>
        </w:tc>
        <w:tc>
          <w:tcPr>
            <w:tcW w:w="0" w:type="dxa"/>
            <w:vAlign w:val="bottom"/>
          </w:tcPr>
          <w:p>
            <w:pPr>
              <w:spacing w:after="0"/>
              <w:rPr>
                <w:sz w:val="1"/>
                <w:szCs w:val="1"/>
                <w:color w:val="auto"/>
              </w:rPr>
            </w:pPr>
          </w:p>
        </w:tc>
      </w:tr>
      <w:tr>
        <w:trPr>
          <w:trHeight w:val="225"/>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Redemption of Vesper Class A Common Stock</w:t>
            </w: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(2,672,690)</w:t>
            </w:r>
          </w:p>
        </w:tc>
        <w:tc>
          <w:tcPr>
            <w:tcW w:w="0" w:type="dxa"/>
            <w:vAlign w:val="bottom"/>
          </w:tcPr>
          <w:p>
            <w:pPr>
              <w:spacing w:after="0"/>
              <w:rPr>
                <w:sz w:val="1"/>
                <w:szCs w:val="1"/>
                <w:color w:val="auto"/>
              </w:rPr>
            </w:pPr>
          </w:p>
        </w:tc>
      </w:tr>
      <w:tr>
        <w:trPr>
          <w:trHeight w:val="218"/>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of Vesper</w:t>
            </w:r>
          </w:p>
        </w:tc>
        <w:tc>
          <w:tcPr>
            <w:tcW w:w="4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43,327,310</w:t>
            </w:r>
          </w:p>
        </w:tc>
        <w:tc>
          <w:tcPr>
            <w:tcW w:w="0" w:type="dxa"/>
            <w:vAlign w:val="bottom"/>
          </w:tcPr>
          <w:p>
            <w:pPr>
              <w:spacing w:after="0"/>
              <w:rPr>
                <w:sz w:val="1"/>
                <w:szCs w:val="1"/>
                <w:color w:val="auto"/>
              </w:rPr>
            </w:pPr>
          </w:p>
        </w:tc>
      </w:tr>
      <w:tr>
        <w:trPr>
          <w:trHeight w:val="225"/>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Founder shares (Vesper Class B Common Stock)</w:t>
            </w:r>
          </w:p>
        </w:tc>
        <w:tc>
          <w:tcPr>
            <w:tcW w:w="4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11,500,000</w:t>
            </w:r>
          </w:p>
        </w:tc>
        <w:tc>
          <w:tcPr>
            <w:tcW w:w="0" w:type="dxa"/>
            <w:vAlign w:val="bottom"/>
          </w:tcPr>
          <w:p>
            <w:pPr>
              <w:spacing w:after="0"/>
              <w:rPr>
                <w:sz w:val="1"/>
                <w:szCs w:val="1"/>
                <w:color w:val="auto"/>
              </w:rPr>
            </w:pPr>
          </w:p>
        </w:tc>
      </w:tr>
      <w:tr>
        <w:trPr>
          <w:trHeight w:val="22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Shares</w:t>
            </w:r>
          </w:p>
        </w:tc>
        <w:tc>
          <w:tcPr>
            <w:tcW w:w="4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8"/>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Combination and PIPE shares</w:t>
            </w:r>
          </w:p>
        </w:tc>
        <w:tc>
          <w:tcPr>
            <w:tcW w:w="4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89,827,310</w:t>
            </w:r>
          </w:p>
        </w:tc>
        <w:tc>
          <w:tcPr>
            <w:tcW w:w="0" w:type="dxa"/>
            <w:vAlign w:val="bottom"/>
          </w:tcPr>
          <w:p>
            <w:pPr>
              <w:spacing w:after="0"/>
              <w:rPr>
                <w:sz w:val="1"/>
                <w:szCs w:val="1"/>
                <w:color w:val="auto"/>
              </w:rPr>
            </w:pPr>
          </w:p>
        </w:tc>
      </w:tr>
      <w:tr>
        <w:trPr>
          <w:trHeight w:val="22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Legacy HydraFacial shares </w:t>
            </w:r>
            <w:r>
              <w:rPr>
                <w:rFonts w:ascii="Times New Roman" w:cs="Times New Roman" w:eastAsia="Times New Roman" w:hAnsi="Times New Roman"/>
                <w:sz w:val="15"/>
                <w:szCs w:val="15"/>
                <w:color w:val="auto"/>
              </w:rPr>
              <w:t>(1)</w:t>
            </w:r>
          </w:p>
        </w:tc>
        <w:tc>
          <w:tcPr>
            <w:tcW w:w="4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35,501,743</w:t>
            </w:r>
          </w:p>
        </w:tc>
        <w:tc>
          <w:tcPr>
            <w:tcW w:w="0" w:type="dxa"/>
            <w:vAlign w:val="bottom"/>
          </w:tcPr>
          <w:p>
            <w:pPr>
              <w:spacing w:after="0"/>
              <w:rPr>
                <w:sz w:val="1"/>
                <w:szCs w:val="1"/>
                <w:color w:val="auto"/>
              </w:rPr>
            </w:pPr>
          </w:p>
        </w:tc>
      </w:tr>
      <w:tr>
        <w:trPr>
          <w:trHeight w:val="225"/>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Working capital adjustment Class A Common Stock issued</w:t>
            </w: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70,860</w:t>
            </w: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Class A Common Stock after Business Combination</w:t>
            </w:r>
          </w:p>
        </w:tc>
        <w:tc>
          <w:tcPr>
            <w:tcW w:w="42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125,399,913</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5" w:lineRule="exact"/>
        <w:rPr>
          <w:sz w:val="20"/>
          <w:szCs w:val="20"/>
          <w:color w:val="auto"/>
        </w:rPr>
      </w:pPr>
    </w:p>
    <w:p>
      <w:pPr>
        <w:ind w:left="320" w:right="400" w:hanging="314"/>
        <w:spacing w:after="0" w:line="290" w:lineRule="auto"/>
        <w:tabs>
          <w:tab w:leader="none" w:pos="34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Legacy HydraFacial shares was determined from the 54,358 shares of HydraFacial common stock outstanding immediately prior to the closing of the Business Combination multiplied by the Exchange Ratio of 653.109.</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Distributor Acquisitions</w:t>
      </w:r>
    </w:p>
    <w:p>
      <w:pPr>
        <w:spacing w:after="0" w:line="246" w:lineRule="exact"/>
        <w:rPr>
          <w:sz w:val="20"/>
          <w:szCs w:val="20"/>
          <w:color w:val="auto"/>
        </w:rPr>
      </w:pPr>
    </w:p>
    <w:p>
      <w:pPr>
        <w:ind w:right="300" w:firstLine="318"/>
        <w:spacing w:after="0" w:line="255" w:lineRule="auto"/>
        <w:rPr>
          <w:sz w:val="20"/>
          <w:szCs w:val="20"/>
          <w:color w:val="auto"/>
        </w:rPr>
      </w:pPr>
      <w:r>
        <w:rPr>
          <w:rFonts w:ascii="Times New Roman" w:cs="Times New Roman" w:eastAsia="Times New Roman" w:hAnsi="Times New Roman"/>
          <w:sz w:val="18"/>
          <w:szCs w:val="18"/>
          <w:color w:val="auto"/>
        </w:rPr>
        <w:t xml:space="preserve">On June 4, 2021, the Company acquired </w:t>
      </w:r>
      <w:r>
        <w:rPr>
          <w:rFonts w:ascii="Times New Roman" w:cs="Times New Roman" w:eastAsia="Times New Roman" w:hAnsi="Times New Roman"/>
          <w:sz w:val="18"/>
          <w:szCs w:val="18"/>
          <w:color w:val="231F20"/>
        </w:rPr>
        <w:t>High Tech Laser, Australia Pty Ltd (“HTL”), a distributor of the Company’s products in Australia. On July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2021, the Company acquired Wigmore Medical France (“Wigmore”), Ecomedic GmbH (“Ecomedic”) and Sistemas Dermatologicos Internacionales (“Sidermica”), distributors of the Company’s products in France, Germany and Mexico, respectively. Through these acquisitions, the Company plans to directly sell to the respective markets and improve services for its products. Cash paid for the four distributors totaled $23.7 million.</w:t>
      </w:r>
    </w:p>
    <w:p>
      <w:pPr>
        <w:spacing w:after="0" w:line="20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Company applied the acquisition method of accounting and established a new basis of accounting on the dates of the respective acquisitions. The assets acquired by the Company are accordingly measured at their estimated fair values as of the acquisition date. The goodwill arising from the acquisitions consists largely of the business reputation of the acquired company in the marketplace and its assembled workforce. The goodwill is not deductible for income tax purposes.</w:t>
      </w:r>
    </w:p>
    <w:p>
      <w:pPr>
        <w:spacing w:after="0" w:line="141"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 xml:space="preserve">The Company finalized the valuation of assets acquired and liabilities assumed for the distributor acquisitions as of June 30, 2022. </w:t>
      </w:r>
      <w:r>
        <w:rPr>
          <w:rFonts w:ascii="Times New Roman" w:cs="Times New Roman" w:eastAsia="Times New Roman" w:hAnsi="Times New Roman"/>
          <w:sz w:val="18"/>
          <w:szCs w:val="18"/>
          <w:color w:val="231F20"/>
        </w:rPr>
        <w:t>The following 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summarizes the consideration and fair values assigned to the assets acquired and liabilities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231F20"/>
        </w:rPr>
        <w:t>assumed at the dates of acquisition for the Wigmore, Ecomedic and Sidermica acquisitions and summarizes the HTL acquisition after measurement period adjustments.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460" w:type="dxa"/>
            <w:vAlign w:val="bottom"/>
          </w:tcPr>
          <w:p>
            <w:pPr>
              <w:spacing w:after="0"/>
              <w:rPr>
                <w:sz w:val="16"/>
                <w:szCs w:val="16"/>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231F20"/>
              </w:rPr>
              <w:t>HTL</w:t>
            </w:r>
          </w:p>
        </w:tc>
        <w:tc>
          <w:tcPr>
            <w:tcW w:w="34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231F20"/>
              </w:rPr>
              <w:t xml:space="preserve">Wigmore </w:t>
            </w:r>
            <w:r>
              <w:rPr>
                <w:rFonts w:ascii="Times New Roman" w:cs="Times New Roman" w:eastAsia="Times New Roman" w:hAnsi="Times New Roman"/>
                <w:sz w:val="14"/>
                <w:szCs w:val="14"/>
                <w:color w:val="231F20"/>
              </w:rPr>
              <w:t>(2)</w:t>
            </w:r>
          </w:p>
        </w:tc>
        <w:tc>
          <w:tcPr>
            <w:tcW w:w="30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231F20"/>
              </w:rPr>
              <w:t xml:space="preserve">Ecomedic </w:t>
            </w:r>
            <w:r>
              <w:rPr>
                <w:rFonts w:ascii="Times New Roman" w:cs="Times New Roman" w:eastAsia="Times New Roman" w:hAnsi="Times New Roman"/>
                <w:sz w:val="14"/>
                <w:szCs w:val="14"/>
                <w:color w:val="231F20"/>
              </w:rPr>
              <w:t>(3)</w:t>
            </w:r>
          </w:p>
        </w:tc>
        <w:tc>
          <w:tcPr>
            <w:tcW w:w="280" w:type="dxa"/>
            <w:vAlign w:val="bottom"/>
          </w:tcPr>
          <w:p>
            <w:pPr>
              <w:spacing w:after="0"/>
              <w:rPr>
                <w:sz w:val="16"/>
                <w:szCs w:val="16"/>
                <w:color w:val="auto"/>
              </w:rPr>
            </w:pPr>
          </w:p>
        </w:tc>
        <w:tc>
          <w:tcPr>
            <w:tcW w:w="14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231F20"/>
              </w:rPr>
              <w:t xml:space="preserve">Sidermica </w:t>
            </w:r>
            <w:r>
              <w:rPr>
                <w:rFonts w:ascii="Times New Roman" w:cs="Times New Roman" w:eastAsia="Times New Roman" w:hAnsi="Times New Roman"/>
                <w:sz w:val="14"/>
                <w:szCs w:val="14"/>
                <w:color w:val="231F20"/>
              </w:rPr>
              <w:t>(4)</w:t>
            </w:r>
          </w:p>
        </w:tc>
      </w:tr>
      <w:tr>
        <w:trPr>
          <w:trHeight w:val="24"/>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5"/>
        </w:trPr>
        <w:tc>
          <w:tcPr>
            <w:tcW w:w="3660" w:type="dxa"/>
            <w:vAlign w:val="bottom"/>
            <w:shd w:val="clear" w:color="auto" w:fill="CCEEFF"/>
          </w:tcPr>
          <w:p>
            <w:pPr>
              <w:ind w:left="60"/>
              <w:spacing w:after="0" w:line="205" w:lineRule="exact"/>
              <w:rPr>
                <w:sz w:val="20"/>
                <w:szCs w:val="20"/>
                <w:color w:val="auto"/>
              </w:rPr>
            </w:pPr>
            <w:r>
              <w:rPr>
                <w:rFonts w:ascii="Times New Roman" w:cs="Times New Roman" w:eastAsia="Times New Roman" w:hAnsi="Times New Roman"/>
                <w:sz w:val="18"/>
                <w:szCs w:val="18"/>
                <w:color w:val="231F20"/>
              </w:rPr>
              <w:t>Consideration paid:</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5"/>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Cash, net of cash acquired</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231F20"/>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4,920</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2,540</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11,338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6,861</w:t>
            </w:r>
          </w:p>
        </w:tc>
      </w:tr>
      <w:tr>
        <w:trPr>
          <w:trHeight w:val="225"/>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 xml:space="preserve">Class A Common Stock issued </w:t>
            </w:r>
            <w:r>
              <w:rPr>
                <w:rFonts w:ascii="Times New Roman" w:cs="Times New Roman" w:eastAsia="Times New Roman" w:hAnsi="Times New Roman"/>
                <w:sz w:val="15"/>
                <w:szCs w:val="15"/>
                <w:color w:val="231F20"/>
              </w:rPr>
              <w:t>(1)</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6,513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815</w:t>
            </w:r>
          </w:p>
        </w:tc>
      </w:tr>
      <w:tr>
        <w:trPr>
          <w:trHeight w:val="225"/>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Trade receivables due from seller</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1,581</w:t>
            </w:r>
          </w:p>
        </w:tc>
      </w:tr>
      <w:tr>
        <w:trPr>
          <w:trHeight w:val="225"/>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Notes payable to seller</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8"/>
        </w:trPr>
        <w:tc>
          <w:tcPr>
            <w:tcW w:w="366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231F20"/>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7,504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5,332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21,683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9,257</w:t>
            </w:r>
          </w:p>
        </w:tc>
      </w:tr>
      <w:tr>
        <w:trPr>
          <w:trHeight w:val="205"/>
        </w:trPr>
        <w:tc>
          <w:tcPr>
            <w:tcW w:w="3660" w:type="dxa"/>
            <w:vAlign w:val="bottom"/>
            <w:shd w:val="clear" w:color="auto" w:fill="CCEEFF"/>
          </w:tcPr>
          <w:p>
            <w:pPr>
              <w:ind w:left="60"/>
              <w:spacing w:after="0" w:line="205" w:lineRule="exact"/>
              <w:rPr>
                <w:sz w:val="20"/>
                <w:szCs w:val="20"/>
                <w:color w:val="auto"/>
              </w:rPr>
            </w:pPr>
            <w:r>
              <w:rPr>
                <w:rFonts w:ascii="Times New Roman" w:cs="Times New Roman" w:eastAsia="Times New Roman" w:hAnsi="Times New Roman"/>
                <w:sz w:val="18"/>
                <w:szCs w:val="18"/>
                <w:color w:val="231F20"/>
                <w:w w:val="98"/>
              </w:rPr>
              <w:t>Identifiable assets acquired and liabilities assumed</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5"/>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Accounts receivable</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231F20"/>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1,110</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2,079</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1,657</w:t>
            </w:r>
          </w:p>
        </w:tc>
      </w:tr>
      <w:tr>
        <w:trPr>
          <w:trHeight w:val="225"/>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Non-compete agreement</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w:t>
            </w:r>
          </w:p>
        </w:tc>
      </w:tr>
      <w:tr>
        <w:trPr>
          <w:trHeight w:val="225"/>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Customer relationships</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2,700</w:t>
            </w:r>
          </w:p>
        </w:tc>
      </w:tr>
      <w:tr>
        <w:trPr>
          <w:trHeight w:val="225"/>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Inventory and other assets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454</w:t>
            </w:r>
          </w:p>
        </w:tc>
      </w:tr>
      <w:tr>
        <w:trPr>
          <w:trHeight w:val="225"/>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Accounts payable</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25"/>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Deferred tax liabilities, net</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25"/>
        </w:trPr>
        <w:tc>
          <w:tcPr>
            <w:tcW w:w="3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231F20"/>
              </w:rPr>
              <w:t>Accrued and other liabilities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9"/>
        </w:trPr>
        <w:tc>
          <w:tcPr>
            <w:tcW w:w="3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identifiable net assets</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3,141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4,911</w:t>
            </w:r>
          </w:p>
        </w:tc>
      </w:tr>
      <w:tr>
        <w:trPr>
          <w:trHeight w:val="218"/>
        </w:trPr>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Goodwill</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231F20"/>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4,766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2,191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17,451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4,346</w:t>
            </w:r>
          </w:p>
        </w:tc>
      </w:tr>
      <w:tr>
        <w:trPr>
          <w:trHeight w:val="20"/>
        </w:trPr>
        <w:tc>
          <w:tcPr>
            <w:tcW w:w="3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62" w:lineRule="exact"/>
        <w:rPr>
          <w:sz w:val="20"/>
          <w:szCs w:val="20"/>
          <w:color w:val="auto"/>
        </w:rPr>
      </w:pPr>
    </w:p>
    <w:p>
      <w:pPr>
        <w:ind w:left="320" w:right="500" w:hanging="314"/>
        <w:spacing w:after="0" w:line="272" w:lineRule="auto"/>
        <w:tabs>
          <w:tab w:leader="none" w:pos="34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issued as consideration for the acquisitions was 110,726, 28,157, 401,021 and 50,195 shares for HTL, Wigmore, Ecomedic and Sidermica, respectively.</w:t>
      </w:r>
    </w:p>
    <w:p>
      <w:pPr>
        <w:spacing w:after="0" w:line="20" w:lineRule="exact"/>
        <w:rPr>
          <w:rFonts w:ascii="Times New Roman" w:cs="Times New Roman" w:eastAsia="Times New Roman" w:hAnsi="Times New Roman"/>
          <w:sz w:val="16"/>
          <w:szCs w:val="16"/>
          <w:color w:val="auto"/>
        </w:rPr>
      </w:pPr>
    </w:p>
    <w:p>
      <w:pPr>
        <w:ind w:left="320" w:right="180" w:hanging="314"/>
        <w:spacing w:after="0" w:line="255" w:lineRule="auto"/>
        <w:tabs>
          <w:tab w:leader="none" w:pos="34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fourth quarter of 2021, adjustments were made to the Wigmore valuation pertaining to contingent consideration and intangible assets. Goodwill was adjusted due to an increase of $0.3 million in contingent consideration and a decrease of $1.0 million in intangible assets. Contingent consideration payments for the Wigmore acquisition were paid during the three months ended March 31, 2022.</w:t>
      </w:r>
    </w:p>
    <w:p>
      <w:pPr>
        <w:spacing w:after="0" w:line="1" w:lineRule="exact"/>
        <w:rPr>
          <w:rFonts w:ascii="Times New Roman" w:cs="Times New Roman" w:eastAsia="Times New Roman" w:hAnsi="Times New Roman"/>
          <w:sz w:val="16"/>
          <w:szCs w:val="16"/>
          <w:color w:val="auto"/>
        </w:rPr>
      </w:pPr>
    </w:p>
    <w:p>
      <w:pPr>
        <w:ind w:left="320" w:right="80" w:hanging="314"/>
        <w:spacing w:after="0" w:line="244" w:lineRule="auto"/>
        <w:tabs>
          <w:tab w:leader="none" w:pos="34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first quarter of 2022, adjustments were made to the Ecomedic valuation pertaining to acquisition date tax liability. Goodwill was adjusted due to an increase of $0.2 million to acquisition date tax liability.</w:t>
      </w:r>
    </w:p>
    <w:p>
      <w:pPr>
        <w:spacing w:after="0" w:line="1" w:lineRule="exact"/>
        <w:rPr>
          <w:rFonts w:ascii="Times New Roman" w:cs="Times New Roman" w:eastAsia="Times New Roman" w:hAnsi="Times New Roman"/>
          <w:sz w:val="16"/>
          <w:szCs w:val="16"/>
          <w:color w:val="auto"/>
        </w:rPr>
      </w:pPr>
    </w:p>
    <w:p>
      <w:pPr>
        <w:ind w:left="320" w:right="80" w:hanging="314"/>
        <w:spacing w:after="0" w:line="261" w:lineRule="auto"/>
        <w:tabs>
          <w:tab w:leader="none" w:pos="34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second quarter of 2022, adjustments were made to the Sidermica valuation pertaining to contingent consideration. Goodwill was adjusted due to an increase in contingent consideration of $1.98 million. Contingent consideration payments for the Sidermica acquisition were paid during the three months ended June 30, 2022.</w:t>
      </w:r>
    </w:p>
    <w:p>
      <w:pPr>
        <w:spacing w:after="0" w:line="209"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231F20"/>
        </w:rPr>
        <w:t>Intangible assets acquired included customer relationships and non-compete agreements. The valuation of the acquired intangible asset was estimated by performing projections of discounted cash flows, whereby revenues and costs associated with each intangible asset are forecasted to derive expected cash flow which is discounted to present value at discount rates commensurate with perceived risk. The valuation and projection process is inherently subjective and relies on significant unobservable inputs (Level 3 inputs). The weighted average amortization period of customer relationship was 5 years, while the non-compete agreements are amortized over 3 years.</w:t>
      </w:r>
    </w:p>
    <w:p>
      <w:pPr>
        <w:spacing w:after="0" w:line="212"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operating results of the distributor acquisitions from the dates of acquisitions through June 30, 2022 are included in the Condensed Consolidated Statements of Comprehensive Income (Loss). The operating results are not material to the consolidated financial statements, and, therefore, the Company has not presented pro forma results of operations for the distributor acquisitions.</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Acquisition of The Personalized Beauty Company, Inc. (“Mxt”)</w:t>
      </w:r>
    </w:p>
    <w:p>
      <w:pPr>
        <w:spacing w:after="0" w:line="246"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7"/>
          <w:szCs w:val="17"/>
          <w:color w:val="auto"/>
        </w:rPr>
        <w:t>On April 12, 2022, the Company, through its indirect, wholly-owned subsidiary, Edge Systems Intermediate, LLC, acquired The Personalized Beauty Company, Inc., a Delaware corporation d.b.a. Mxt. Consideration paid in the aggregate was $1.5 million plus equity consideration of $0.5 million or 28,733 shares of the Company’s Class A Common Stock. Depending on the achievement of certain revenue milestones, the former Mxt shareholders are entitled to receive up to $30 million of earnout payments. The estimated fair value of the earnout was not material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The Company accounted for this transaction as an asset acquisition based on an evaluation of the U.S. GAAP guidance for business combinations and concluded that the Company acquired developed technology of $1.9 million and inventory of $0.1 million. The Company concluded that the developed technology acquired from Mxt comprised substantially all of the fair value of the gross assets acquired and that the assets acquired did not meet the definition of a business under the guidance for business combinations. The developed technology intangible asset is being amortized on a straight-line basis over 3 years and recorded in cost of sales.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Recognition</w:t>
      </w:r>
    </w:p>
    <w:p>
      <w:pPr>
        <w:spacing w:after="0" w:line="246"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231F20"/>
        </w:rPr>
        <w:t>The Company has determined that each of its products is distinct and represents a separate performance obligation. The customer can benefit from each product on its own or together with other resources that are readily available to the customer. The products are separately identifiable from other promises in the contract. Control over the Company’s products generally transfers to the customer upon shipment of the products from the Company’s warehouse facility. Therefore, revenue associated with product purchases is recognized at a point in time upon shipment to the intended customer. Typical payment terms provide for the customer to pay within 30 to 120 days, however, we provide an option for qualified customers to pay for delivery systems over 12 monthly installments.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231F20"/>
        </w:rPr>
        <w:t>Disaggregated Revenue</w:t>
      </w:r>
    </w:p>
    <w:p>
      <w:pPr>
        <w:spacing w:after="0" w:line="244" w:lineRule="exact"/>
        <w:rPr>
          <w:sz w:val="20"/>
          <w:szCs w:val="20"/>
          <w:color w:val="auto"/>
        </w:rPr>
      </w:pPr>
    </w:p>
    <w:p>
      <w:pPr>
        <w:ind w:right="100" w:firstLine="318"/>
        <w:spacing w:after="0" w:line="256" w:lineRule="auto"/>
        <w:rPr>
          <w:sz w:val="20"/>
          <w:szCs w:val="20"/>
          <w:color w:val="auto"/>
        </w:rPr>
      </w:pPr>
      <w:r>
        <w:rPr>
          <w:rFonts w:ascii="Times New Roman" w:cs="Times New Roman" w:eastAsia="Times New Roman" w:hAnsi="Times New Roman"/>
          <w:sz w:val="18"/>
          <w:szCs w:val="18"/>
          <w:color w:val="231F20"/>
        </w:rPr>
        <w:t>The Company generates revenue through manufacturing and selling HydraFacial Delivery Systems (“</w:t>
      </w:r>
      <w:r>
        <w:rPr>
          <w:rFonts w:ascii="Times New Roman" w:cs="Times New Roman" w:eastAsia="Times New Roman" w:hAnsi="Times New Roman"/>
          <w:sz w:val="18"/>
          <w:szCs w:val="18"/>
          <w:i w:val="1"/>
          <w:iCs w:val="1"/>
          <w:color w:val="231F20"/>
        </w:rPr>
        <w:t>Delivery Systems</w:t>
      </w:r>
      <w:r>
        <w:rPr>
          <w:rFonts w:ascii="Times New Roman" w:cs="Times New Roman" w:eastAsia="Times New Roman" w:hAnsi="Times New Roman"/>
          <w:sz w:val="18"/>
          <w:szCs w:val="18"/>
          <w:color w:val="231F20"/>
        </w:rPr>
        <w:t>”). In conjunction with the sale of Delivery Systems, HydraFacial also sells its serum solutions and consumables (collectively “</w:t>
      </w:r>
      <w:r>
        <w:rPr>
          <w:rFonts w:ascii="Times New Roman" w:cs="Times New Roman" w:eastAsia="Times New Roman" w:hAnsi="Times New Roman"/>
          <w:sz w:val="18"/>
          <w:szCs w:val="18"/>
          <w:i w:val="1"/>
          <w:iCs w:val="1"/>
          <w:color w:val="231F20"/>
        </w:rPr>
        <w:t>Consumables</w:t>
      </w:r>
      <w:r>
        <w:rPr>
          <w:rFonts w:ascii="Times New Roman" w:cs="Times New Roman" w:eastAsia="Times New Roman" w:hAnsi="Times New Roman"/>
          <w:sz w:val="18"/>
          <w:szCs w:val="18"/>
          <w:color w:val="231F20"/>
        </w:rPr>
        <w:t>”). Consumables are sold solely and exclusively by HydraFacial and are available for purchase separately from the purchase of Delivery Systems. For both Delivery Systems and Consumables, revenue is recognized upon transfer of control to the customer, which generally takes place at the point of shipment.</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Company’s revenue disaggregated by major product line consists of the following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Sales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Delivery Systems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64,783</w:t>
            </w:r>
          </w:p>
        </w:tc>
        <w:tc>
          <w:tcPr>
            <w:tcW w:w="80" w:type="dxa"/>
            <w:vAlign w:val="bottom"/>
          </w:tcPr>
          <w:p>
            <w:pPr>
              <w:spacing w:after="0"/>
              <w:rPr>
                <w:sz w:val="20"/>
                <w:szCs w:val="20"/>
                <w:color w:val="auto"/>
              </w:rPr>
            </w:pPr>
          </w:p>
        </w:tc>
        <w:tc>
          <w:tcPr>
            <w:tcW w:w="88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231F20"/>
                <w:w w:val="88"/>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w w:val="92"/>
              </w:rPr>
              <w:t>34,944</w:t>
            </w:r>
          </w:p>
        </w:tc>
        <w:tc>
          <w:tcPr>
            <w:tcW w:w="4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106,430</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60,616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Consumables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38,753</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2"/>
              </w:rPr>
              <w:t>31,564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72,521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53,434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260" w:type="dxa"/>
            <w:vAlign w:val="bottom"/>
          </w:tcPr>
          <w:p>
            <w:pPr>
              <w:ind w:left="980"/>
              <w:spacing w:after="0"/>
              <w:rPr>
                <w:sz w:val="20"/>
                <w:szCs w:val="20"/>
                <w:color w:val="auto"/>
              </w:rPr>
            </w:pPr>
            <w:r>
              <w:rPr>
                <w:rFonts w:ascii="Times New Roman" w:cs="Times New Roman" w:eastAsia="Times New Roman" w:hAnsi="Times New Roman"/>
                <w:sz w:val="18"/>
                <w:szCs w:val="18"/>
                <w:color w:val="231F20"/>
              </w:rPr>
              <w:t>Total net sales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103,536</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231F20"/>
                <w:w w:val="88"/>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w w:val="92"/>
              </w:rPr>
              <w:t>66,508</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231F20"/>
              </w:rPr>
              <w:t>178,951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114,050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 xml:space="preserve">See Note </w:t>
            </w:r>
            <w:r>
              <w:rPr>
                <w:rFonts w:ascii="Times New Roman" w:cs="Times New Roman" w:eastAsia="Times New Roman" w:hAnsi="Times New Roman"/>
                <w:sz w:val="18"/>
                <w:szCs w:val="18"/>
                <w:color w:val="000000"/>
              </w:rPr>
              <w:t>17</w:t>
            </w:r>
            <w:r>
              <w:rPr>
                <w:rFonts w:ascii="Times New Roman" w:cs="Times New Roman" w:eastAsia="Times New Roman" w:hAnsi="Times New Roman"/>
                <w:sz w:val="18"/>
                <w:szCs w:val="18"/>
                <w:color w:val="231F20"/>
              </w:rPr>
              <w:t xml:space="preserve"> for revenue disaggregated by geographical region.</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5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Balance Sheet Components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Inventories consist of the following as of the periods indicated:</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231F20"/>
              </w:rPr>
              <w:t>June 30, 2022</w:t>
            </w:r>
          </w:p>
        </w:tc>
        <w:tc>
          <w:tcPr>
            <w:tcW w:w="180" w:type="dxa"/>
            <w:vAlign w:val="bottom"/>
          </w:tcPr>
          <w:p>
            <w:pPr>
              <w:spacing w:after="0"/>
              <w:rPr>
                <w:sz w:val="24"/>
                <w:szCs w:val="24"/>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231F20"/>
              </w:rPr>
              <w:t>December 31, 2021</w:t>
            </w:r>
          </w:p>
        </w:tc>
        <w:tc>
          <w:tcPr>
            <w:tcW w:w="0" w:type="dxa"/>
            <w:vAlign w:val="bottom"/>
          </w:tcPr>
          <w:p>
            <w:pPr>
              <w:spacing w:after="0"/>
              <w:rPr>
                <w:sz w:val="1"/>
                <w:szCs w:val="1"/>
                <w:color w:val="auto"/>
              </w:rPr>
            </w:pPr>
          </w:p>
        </w:tc>
      </w:tr>
      <w:tr>
        <w:trPr>
          <w:trHeight w:val="24"/>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Raw materials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Finished goods</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54,518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23,237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inventories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73,526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35,261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4"/>
            <w:vMerge w:val="restart"/>
          </w:tcPr>
          <w:p>
            <w:pPr>
              <w:ind w:left="320"/>
              <w:spacing w:after="0"/>
              <w:rPr>
                <w:sz w:val="20"/>
                <w:szCs w:val="20"/>
                <w:color w:val="auto"/>
              </w:rPr>
            </w:pPr>
            <w:r>
              <w:rPr>
                <w:rFonts w:ascii="Times New Roman" w:cs="Times New Roman" w:eastAsia="Times New Roman" w:hAnsi="Times New Roman"/>
                <w:sz w:val="18"/>
                <w:szCs w:val="18"/>
                <w:color w:val="231F20"/>
              </w:rPr>
              <w:t>Accrued payroll-related expenses consist of the following as of the periods indicated:</w:t>
            </w: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676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24"/>
                <w:szCs w:val="24"/>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taxes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sales commissions</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payroll-related expenses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Other accrued expenses consist of the following as of the periods indicated: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231F20"/>
              </w:rPr>
              <w:t>June 30, 2022</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231F20"/>
              </w:rPr>
              <w:t>December 31, 2021</w:t>
            </w:r>
          </w:p>
        </w:tc>
      </w:tr>
      <w:tr>
        <w:trPr>
          <w:trHeight w:val="24"/>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9"/>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Sales and VAT tax payables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5,817</w:t>
            </w:r>
          </w:p>
        </w:tc>
      </w:tr>
      <w:tr>
        <w:trPr>
          <w:trHeight w:val="225"/>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Accrued interest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2,786</w:t>
            </w:r>
          </w:p>
        </w:tc>
      </w:tr>
      <w:tr>
        <w:trPr>
          <w:trHeight w:val="225"/>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Contingent consideration</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783</w:t>
            </w:r>
          </w:p>
        </w:tc>
      </w:tr>
      <w:tr>
        <w:trPr>
          <w:trHeight w:val="225"/>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Note payable due seller</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2,153</w:t>
            </w:r>
          </w:p>
        </w:tc>
      </w:tr>
      <w:tr>
        <w:trPr>
          <w:trHeight w:val="225"/>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Royalty liabilities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1,074</w:t>
            </w:r>
          </w:p>
        </w:tc>
      </w:tr>
      <w:tr>
        <w:trPr>
          <w:trHeight w:val="225"/>
        </w:trPr>
        <w:tc>
          <w:tcPr>
            <w:tcW w:w="7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Other</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4,052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2,109</w:t>
            </w:r>
          </w:p>
        </w:tc>
      </w:tr>
      <w:tr>
        <w:trPr>
          <w:trHeight w:val="243"/>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other accrued expenses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15,385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14,722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46"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The Company does not own any real estate. The majority of the Company’s lease liability consists of the Company’s international office spaces and warehouses, all of which are classified as operating leases. The Company’s finance leases relate to leased equipment such as office and warehouse equipment. The finance lease balances are not material but are included in property and equipment, other accrued expenses, and other long-term liabilities of the Condensed Consolidated Balance Sheets. During the three months ended June 30, 2022 the Company entered into leases for a new experience center in Paris for a right-of-use asset and lease liability of $1.1 million and an office in Frankfurt for a right-of-use asset and lease liability of $1.6 million.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46"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90"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2" w:lineRule="exact"/>
        <w:rPr>
          <w:sz w:val="20"/>
          <w:szCs w:val="20"/>
          <w:color w:val="auto"/>
        </w:rPr>
      </w:pPr>
    </w:p>
    <w:p>
      <w:pPr>
        <w:ind w:left="640" w:right="180"/>
        <w:spacing w:after="0" w:line="274"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90" w:lineRule="exact"/>
        <w:rPr>
          <w:sz w:val="20"/>
          <w:szCs w:val="20"/>
          <w:color w:val="auto"/>
        </w:rPr>
      </w:pPr>
    </w:p>
    <w:p>
      <w:pPr>
        <w:ind w:left="640" w:right="620"/>
        <w:spacing w:after="0" w:line="274"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Level 3: Unobservable inputs based on our assessment of the assumptions that market participants would use in pricing the asset or liability.</w:t>
      </w:r>
    </w:p>
    <w:p>
      <w:pPr>
        <w:spacing w:after="0" w:line="24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 June 30, 2022, and indicates the fair value hierarchy of the valuation inputs the Company utilized to determine such fair value. As of the Business Combination date, the Private Placement Warrants were valued using the Public Warrant Price, and was considered to be a Level 2 financial instrument as of that date. As of June 30, 2022, the value of the Private Placement Warrants was determined using their redemption value because these Private Placement Warrants are subject to redemption if the reference value of the common stock, as defined, is between $10.00 and $18.00 per share. The Private Placement Warrants are classified as a Level 2 financial instrument. There were no Public Warrants outstanding as of June 30, 2022. There were no valuation level transfers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42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231F20"/>
              </w:rPr>
              <w:t>Fair Value Measurements on a Recurring Basis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231F20"/>
              </w:rPr>
              <w:t>Level 1</w:t>
            </w:r>
          </w:p>
        </w:tc>
        <w:tc>
          <w:tcPr>
            <w:tcW w:w="140" w:type="dxa"/>
            <w:vAlign w:val="bottom"/>
          </w:tcPr>
          <w:p>
            <w:pPr>
              <w:spacing w:after="0"/>
              <w:rPr>
                <w:sz w:val="16"/>
                <w:szCs w:val="16"/>
                <w:color w:val="auto"/>
              </w:rPr>
            </w:pPr>
          </w:p>
        </w:tc>
        <w:tc>
          <w:tcPr>
            <w:tcW w:w="18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231F20"/>
              </w:rPr>
              <w:t>Level 2</w:t>
            </w: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231F20"/>
              </w:rPr>
              <w:t>Level 3</w:t>
            </w:r>
          </w:p>
        </w:tc>
        <w:tc>
          <w:tcPr>
            <w:tcW w:w="118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0" w:type="dxa"/>
            <w:vAlign w:val="bottom"/>
          </w:tcPr>
          <w:p>
            <w:pPr>
              <w:spacing w:after="0"/>
              <w:rPr>
                <w:sz w:val="1"/>
                <w:szCs w:val="1"/>
                <w:color w:val="auto"/>
              </w:rPr>
            </w:pPr>
          </w:p>
        </w:tc>
      </w:tr>
      <w:tr>
        <w:trPr>
          <w:trHeight w:val="212"/>
        </w:trPr>
        <w:tc>
          <w:tcPr>
            <w:tcW w:w="4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Money market funds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768,575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86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231F20"/>
              </w:rPr>
              <w:t>—   $</w:t>
            </w:r>
          </w:p>
        </w:tc>
        <w:tc>
          <w:tcPr>
            <w:tcW w:w="16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231F20"/>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768,575</w:t>
            </w:r>
          </w:p>
        </w:tc>
        <w:tc>
          <w:tcPr>
            <w:tcW w:w="0" w:type="dxa"/>
            <w:vAlign w:val="bottom"/>
          </w:tcPr>
          <w:p>
            <w:pPr>
              <w:spacing w:after="0"/>
              <w:rPr>
                <w:sz w:val="1"/>
                <w:szCs w:val="1"/>
                <w:color w:val="auto"/>
              </w:rPr>
            </w:pPr>
          </w:p>
        </w:tc>
      </w:tr>
      <w:tr>
        <w:trPr>
          <w:trHeight w:val="225"/>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231F20"/>
              </w:rPr>
              <w:t>Liabilities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Warrant liability — Private Placement Warrants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231F20"/>
              </w:rPr>
              <w:t>26,579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26,579</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Money Market Funds</w:t>
      </w:r>
    </w:p>
    <w:p>
      <w:pPr>
        <w:spacing w:after="0" w:line="246"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Company’s investment in money market funds that are classified as cash equivalents hold underlying investments with a 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w:t>
      </w:r>
      <w:r>
        <w:rPr>
          <w:rFonts w:ascii="Times New Roman" w:cs="Times New Roman" w:eastAsia="Times New Roman" w:hAnsi="Times New Roman"/>
          <w:sz w:val="18"/>
          <w:szCs w:val="18"/>
          <w:color w:val="231F20"/>
        </w:rPr>
        <w:t>June 30, 2022</w:t>
      </w:r>
      <w:r>
        <w:rPr>
          <w:rFonts w:ascii="Times New Roman" w:cs="Times New Roman" w:eastAsia="Times New Roman" w:hAnsi="Times New Roman"/>
          <w:sz w:val="18"/>
          <w:szCs w:val="18"/>
          <w:color w:val="auto"/>
        </w:rPr>
        <w:t>, the Company’s U.S. portfolio had no material exposure to money market funds with a fluctuating net asset value.</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4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The Public Warrants and Private Placement Warrants (collectively, the “Warrants”) were accounted for as liabilities in accordance with ASC 815-40 and are presented within Warrant liabilities on the Company’s Condensed Consolidated Balance Sheets. The Warrants are measured at fair value at inception and on a recurring basis, with changes in fair value presented within change in fair value of warrant liabilities in the Company’s </w:t>
      </w:r>
      <w:r>
        <w:rPr>
          <w:rFonts w:ascii="Times New Roman" w:cs="Times New Roman" w:eastAsia="Times New Roman" w:hAnsi="Times New Roman"/>
          <w:sz w:val="17"/>
          <w:szCs w:val="17"/>
          <w:color w:val="231F20"/>
        </w:rPr>
        <w:t>Condensed Consolidated Statements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Comprehensive Income (Loss)</w:t>
      </w:r>
      <w:r>
        <w:rPr>
          <w:rFonts w:ascii="Times New Roman" w:cs="Times New Roman" w:eastAsia="Times New Roman" w:hAnsi="Times New Roman"/>
          <w:sz w:val="17"/>
          <w:szCs w:val="17"/>
          <w:color w:val="000000"/>
        </w:rPr>
        <w:t>. At</w:t>
      </w:r>
      <w:r>
        <w:rPr>
          <w:rFonts w:ascii="Times New Roman" w:cs="Times New Roman" w:eastAsia="Times New Roman" w:hAnsi="Times New Roman"/>
          <w:sz w:val="17"/>
          <w:szCs w:val="17"/>
          <w:color w:val="231F20"/>
        </w:rPr>
        <w:t xml:space="preserve"> June 30, 2022</w:t>
      </w:r>
      <w:r>
        <w:rPr>
          <w:rFonts w:ascii="Times New Roman" w:cs="Times New Roman" w:eastAsia="Times New Roman" w:hAnsi="Times New Roman"/>
          <w:sz w:val="17"/>
          <w:szCs w:val="17"/>
          <w:color w:val="000000"/>
        </w:rPr>
        <w:t>, the outstanding Private Placement Warrants was determined using their redemption value because these</w:t>
      </w:r>
    </w:p>
    <w:p>
      <w:pPr>
        <w:spacing w:after="0" w:line="2" w:lineRule="exact"/>
        <w:rPr>
          <w:sz w:val="20"/>
          <w:szCs w:val="20"/>
          <w:color w:val="auto"/>
        </w:rPr>
      </w:pPr>
    </w:p>
    <w:p>
      <w:pPr>
        <w:ind w:right="260"/>
        <w:spacing w:after="0" w:line="304" w:lineRule="auto"/>
        <w:rPr>
          <w:sz w:val="20"/>
          <w:szCs w:val="20"/>
          <w:color w:val="auto"/>
        </w:rPr>
      </w:pPr>
      <w:r>
        <w:rPr>
          <w:rFonts w:ascii="Times New Roman" w:cs="Times New Roman" w:eastAsia="Times New Roman" w:hAnsi="Times New Roman"/>
          <w:sz w:val="17"/>
          <w:szCs w:val="17"/>
          <w:color w:val="auto"/>
        </w:rPr>
        <w:t xml:space="preserve">Warrants are subject to redemption if the reference value of the common stock, as defined, is between $10.00 and $18.00 per share. The Private Placement Warrants are classified as a Level 2 financial instruments as of </w:t>
      </w:r>
      <w:r>
        <w:rPr>
          <w:rFonts w:ascii="Times New Roman" w:cs="Times New Roman" w:eastAsia="Times New Roman" w:hAnsi="Times New Roman"/>
          <w:sz w:val="17"/>
          <w:szCs w:val="17"/>
          <w:color w:val="231F20"/>
        </w:rPr>
        <w:t>June 30, 2022</w:t>
      </w:r>
      <w:r>
        <w:rPr>
          <w:rFonts w:ascii="Times New Roman" w:cs="Times New Roman" w:eastAsia="Times New Roman" w:hAnsi="Times New Roman"/>
          <w:sz w:val="17"/>
          <w:szCs w:val="17"/>
          <w:color w:val="auto"/>
        </w:rPr>
        <w:t xml:space="preserve">. There were no Public Warrants outstanding as of </w:t>
      </w:r>
      <w:r>
        <w:rPr>
          <w:rFonts w:ascii="Times New Roman" w:cs="Times New Roman" w:eastAsia="Times New Roman" w:hAnsi="Times New Roman"/>
          <w:sz w:val="17"/>
          <w:szCs w:val="17"/>
          <w:color w:val="231F20"/>
        </w:rPr>
        <w:t>June 30, 2022.</w:t>
      </w:r>
    </w:p>
    <w:p>
      <w:pPr>
        <w:spacing w:after="0" w:line="16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On October 4, 2021, the Company issued a press release stating that it would redeem all of the Public Warrants that remained outstanding following 5:00 p.m. New York City time on November 3, 2021, for a redemption price of $0.10 per Public Warrant. All 16.2 million outstanding Public Warrants were either exercised for cash or on a cashless basis or were redeemed. These outstanding Public Warrants that were exercised comprised 15.3 million Public Warrants issued in connection with the Vesper initial public offering and an additional 0.9 million warrants that became Public Warrants due to the sale of Private Placement Warrants. Approximately 16.1 million Public Warrants were exercised for cash at an exercise price of $11.50 per share of Class A Common Stock, 74,104 Public Warrants were exercised on a cashless basis in exchange for an aggregate of 26,732 shares of Class A Common Stock, and 75,016 warrants were redeemed for $0.10 per warrant, in each case in accordance with the terms of the Warrant Agreement. In 2021, total cash proceeds generated from exercises of the Public Warrants were $185.4 million. In addition, 0.3 million Private Placement Warrants were exercised in 2021 for total cash proceeds of $3.0 million. As of June 30, 2022, the Company had approximately 7 million Private Placement Warrants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 net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consist of the following as of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231F20"/>
              </w:rPr>
              <w:t>June 30, 2022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231F20"/>
              </w:rPr>
              <w:t>December 31, 2021</w:t>
            </w:r>
          </w:p>
        </w:tc>
        <w:tc>
          <w:tcPr>
            <w:tcW w:w="0" w:type="dxa"/>
            <w:vAlign w:val="bottom"/>
          </w:tcPr>
          <w:p>
            <w:pPr>
              <w:spacing w:after="0"/>
              <w:rPr>
                <w:sz w:val="1"/>
                <w:szCs w:val="1"/>
                <w:color w:val="auto"/>
              </w:rPr>
            </w:pPr>
          </w:p>
        </w:tc>
      </w:tr>
      <w:tr>
        <w:trPr>
          <w:trHeight w:val="186"/>
        </w:trPr>
        <w:tc>
          <w:tcPr>
            <w:tcW w:w="47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left="417"/>
              <w:spacing w:after="0"/>
              <w:rPr>
                <w:sz w:val="20"/>
                <w:szCs w:val="20"/>
                <w:color w:val="auto"/>
              </w:rPr>
            </w:pPr>
            <w:r>
              <w:rPr>
                <w:rFonts w:ascii="Times New Roman" w:cs="Times New Roman" w:eastAsia="Times New Roman" w:hAnsi="Times New Roman"/>
                <w:sz w:val="14"/>
                <w:szCs w:val="14"/>
                <w:b w:val="1"/>
                <w:bCs w:val="1"/>
                <w:color w:val="231F20"/>
              </w:rPr>
              <w:t>(years)</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40" w:type="dxa"/>
            <w:vAlign w:val="bottom"/>
            <w:tcBorders>
              <w:bottom w:val="single" w:sz="8" w:color="CCEEFF"/>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3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Furniture and fixtures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497"/>
              <w:spacing w:after="0"/>
              <w:rPr>
                <w:sz w:val="20"/>
                <w:szCs w:val="20"/>
                <w:color w:val="auto"/>
              </w:rPr>
            </w:pPr>
            <w:r>
              <w:rPr>
                <w:rFonts w:ascii="Times New Roman" w:cs="Times New Roman" w:eastAsia="Times New Roman" w:hAnsi="Times New Roman"/>
                <w:sz w:val="18"/>
                <w:szCs w:val="18"/>
                <w:color w:val="231F20"/>
                <w:w w:val="99"/>
              </w:rPr>
              <w:t>2-7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231F20"/>
                <w:w w:val="88"/>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4,891</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4,074</w:t>
            </w:r>
          </w:p>
        </w:tc>
        <w:tc>
          <w:tcPr>
            <w:tcW w:w="0" w:type="dxa"/>
            <w:vAlign w:val="bottom"/>
          </w:tcPr>
          <w:p>
            <w:pPr>
              <w:spacing w:after="0"/>
              <w:rPr>
                <w:sz w:val="1"/>
                <w:szCs w:val="1"/>
                <w:color w:val="auto"/>
              </w:rPr>
            </w:pPr>
          </w:p>
        </w:tc>
      </w:tr>
      <w:tr>
        <w:trPr>
          <w:trHeight w:val="235"/>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Computers and equipment</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left="497"/>
              <w:spacing w:after="0"/>
              <w:rPr>
                <w:sz w:val="20"/>
                <w:szCs w:val="20"/>
                <w:color w:val="auto"/>
              </w:rPr>
            </w:pPr>
            <w:r>
              <w:rPr>
                <w:rFonts w:ascii="Times New Roman" w:cs="Times New Roman" w:eastAsia="Times New Roman" w:hAnsi="Times New Roman"/>
                <w:sz w:val="18"/>
                <w:szCs w:val="18"/>
                <w:color w:val="231F20"/>
                <w:w w:val="99"/>
              </w:rPr>
              <w:t>3-5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4,975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4,010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Machinery and equipment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497"/>
              <w:spacing w:after="0"/>
              <w:rPr>
                <w:sz w:val="20"/>
                <w:szCs w:val="20"/>
                <w:color w:val="auto"/>
              </w:rPr>
            </w:pPr>
            <w:r>
              <w:rPr>
                <w:rFonts w:ascii="Times New Roman" w:cs="Times New Roman" w:eastAsia="Times New Roman" w:hAnsi="Times New Roman"/>
                <w:sz w:val="18"/>
                <w:szCs w:val="18"/>
                <w:color w:val="231F20"/>
                <w:w w:val="99"/>
              </w:rPr>
              <w:t>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5,288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3,669</w:t>
            </w:r>
          </w:p>
        </w:tc>
        <w:tc>
          <w:tcPr>
            <w:tcW w:w="0" w:type="dxa"/>
            <w:vAlign w:val="bottom"/>
          </w:tcPr>
          <w:p>
            <w:pPr>
              <w:spacing w:after="0"/>
              <w:rPr>
                <w:sz w:val="1"/>
                <w:szCs w:val="1"/>
                <w:color w:val="auto"/>
              </w:rPr>
            </w:pPr>
          </w:p>
        </w:tc>
      </w:tr>
      <w:tr>
        <w:trPr>
          <w:trHeight w:val="225"/>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Autos and trucks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231F20"/>
              </w:rPr>
              <w:t>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1,184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1,163</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Tooling</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231F20"/>
              </w:rPr>
              <w:t>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1,837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1,389</w:t>
            </w:r>
          </w:p>
        </w:tc>
        <w:tc>
          <w:tcPr>
            <w:tcW w:w="0" w:type="dxa"/>
            <w:vAlign w:val="bottom"/>
          </w:tcPr>
          <w:p>
            <w:pPr>
              <w:spacing w:after="0"/>
              <w:rPr>
                <w:sz w:val="1"/>
                <w:szCs w:val="1"/>
                <w:color w:val="auto"/>
              </w:rPr>
            </w:pPr>
          </w:p>
        </w:tc>
      </w:tr>
      <w:tr>
        <w:trPr>
          <w:trHeight w:val="180"/>
        </w:trPr>
        <w:tc>
          <w:tcPr>
            <w:tcW w:w="47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231F20"/>
              </w:rPr>
              <w:t>Leasehold improvements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
          </w:tcPr>
          <w:p>
            <w:pPr>
              <w:jc w:val="center"/>
              <w:ind w:right="398"/>
              <w:spacing w:after="0" w:line="181" w:lineRule="exact"/>
              <w:rPr>
                <w:sz w:val="20"/>
                <w:szCs w:val="20"/>
                <w:color w:val="auto"/>
              </w:rPr>
            </w:pPr>
            <w:r>
              <w:rPr>
                <w:rFonts w:ascii="Times New Roman" w:cs="Times New Roman" w:eastAsia="Times New Roman" w:hAnsi="Times New Roman"/>
                <w:sz w:val="18"/>
                <w:szCs w:val="18"/>
                <w:color w:val="231F20"/>
                <w:w w:val="97"/>
              </w:rPr>
              <w:t>Shorter of remaining lease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gridSpan w:val="4"/>
          </w:tcPr>
          <w:p>
            <w:pPr>
              <w:jc w:val="center"/>
              <w:ind w:right="278"/>
              <w:spacing w:after="0"/>
              <w:rPr>
                <w:sz w:val="20"/>
                <w:szCs w:val="20"/>
                <w:color w:val="auto"/>
              </w:rPr>
            </w:pPr>
            <w:r>
              <w:rPr>
                <w:rFonts w:ascii="Times New Roman" w:cs="Times New Roman" w:eastAsia="Times New Roman" w:hAnsi="Times New Roman"/>
                <w:sz w:val="18"/>
                <w:szCs w:val="18"/>
                <w:color w:val="231F20"/>
                <w:w w:val="97"/>
              </w:rPr>
              <w:t>term or estimated useful life</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10,438</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5,086</w:t>
            </w: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property and equipment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28,613</w:t>
            </w: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6"/>
              </w:rPr>
              <w:t>19,391</w:t>
            </w:r>
          </w:p>
        </w:tc>
        <w:tc>
          <w:tcPr>
            <w:tcW w:w="0" w:type="dxa"/>
            <w:vAlign w:val="bottom"/>
          </w:tcPr>
          <w:p>
            <w:pPr>
              <w:spacing w:after="0"/>
              <w:rPr>
                <w:sz w:val="1"/>
                <w:szCs w:val="1"/>
                <w:color w:val="auto"/>
              </w:rPr>
            </w:pPr>
          </w:p>
        </w:tc>
      </w:tr>
      <w:tr>
        <w:trPr>
          <w:trHeight w:val="218"/>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Less: accumulated depreciation and amortization</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(11,434)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8"/>
              </w:rPr>
              <w:t>(8,561)</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Construction in progress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862</w:t>
            </w: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5,353</w:t>
            </w:r>
          </w:p>
        </w:tc>
        <w:tc>
          <w:tcPr>
            <w:tcW w:w="0" w:type="dxa"/>
            <w:vAlign w:val="bottom"/>
          </w:tcPr>
          <w:p>
            <w:pPr>
              <w:spacing w:after="0"/>
              <w:rPr>
                <w:sz w:val="1"/>
                <w:szCs w:val="1"/>
                <w:color w:val="auto"/>
              </w:rPr>
            </w:pPr>
          </w:p>
        </w:tc>
      </w:tr>
      <w:tr>
        <w:trPr>
          <w:trHeight w:val="218"/>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Property and equipment, net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231F20"/>
                <w:w w:val="88"/>
              </w:rPr>
              <w:t>$</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18,041</w:t>
            </w: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96"/>
              </w:rPr>
              <w:t>16,183</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231F20"/>
                <w:w w:val="97"/>
              </w:rPr>
              <w:t>Depreciation expense was as follows for the periods indicated:</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7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5"/>
          </w:tcPr>
          <w:p>
            <w:pPr>
              <w:jc w:val="right"/>
              <w:ind w:right="1"/>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4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Cost of sales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25"/>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Selling and marketing</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740" w:type="dxa"/>
            <w:vAlign w:val="bottom"/>
          </w:tcPr>
          <w:p>
            <w:pPr>
              <w:ind w:left="280"/>
              <w:spacing w:after="0"/>
              <w:rPr>
                <w:sz w:val="20"/>
                <w:szCs w:val="20"/>
                <w:color w:val="auto"/>
              </w:rPr>
            </w:pPr>
            <w:r>
              <w:rPr>
                <w:rFonts w:ascii="Times New Roman" w:cs="Times New Roman" w:eastAsia="Times New Roman" w:hAnsi="Times New Roman"/>
                <w:sz w:val="18"/>
                <w:szCs w:val="18"/>
                <w:color w:val="231F20"/>
              </w:rPr>
              <w:t>Total depreciation expense</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1,852</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231F20"/>
                <w:w w:val="88"/>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231F20"/>
              </w:rPr>
              <w:t>728</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231F20"/>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3,268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81"/>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1,418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Intangible Assets, net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gross carrying amount and accumulated amortization of the Company’s intangible assets, net, as of June 30, 2022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200" w:type="dxa"/>
            <w:vAlign w:val="bottom"/>
          </w:tcPr>
          <w:p>
            <w:pPr>
              <w:spacing w:after="0"/>
              <w:rPr>
                <w:sz w:val="13"/>
                <w:szCs w:val="13"/>
                <w:color w:val="auto"/>
              </w:rPr>
            </w:pPr>
          </w:p>
        </w:tc>
        <w:tc>
          <w:tcPr>
            <w:tcW w:w="12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231F20"/>
              </w:rPr>
              <w:t>Net Carrying</w:t>
            </w: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Estimated</w:t>
            </w:r>
          </w:p>
        </w:tc>
        <w:tc>
          <w:tcPr>
            <w:tcW w:w="0" w:type="dxa"/>
            <w:vAlign w:val="bottom"/>
          </w:tcPr>
          <w:p>
            <w:pPr>
              <w:spacing w:after="0"/>
              <w:rPr>
                <w:sz w:val="1"/>
                <w:szCs w:val="1"/>
                <w:color w:val="auto"/>
              </w:rPr>
            </w:pPr>
          </w:p>
        </w:tc>
      </w:tr>
      <w:tr>
        <w:trPr>
          <w:trHeight w:val="146"/>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231F20"/>
              </w:rPr>
              <w:t>Useful Life</w:t>
            </w:r>
          </w:p>
        </w:tc>
        <w:tc>
          <w:tcPr>
            <w:tcW w:w="0" w:type="dxa"/>
            <w:vAlign w:val="bottom"/>
          </w:tcPr>
          <w:p>
            <w:pPr>
              <w:spacing w:after="0"/>
              <w:rPr>
                <w:sz w:val="1"/>
                <w:szCs w:val="1"/>
                <w:color w:val="auto"/>
              </w:rPr>
            </w:pPr>
          </w:p>
        </w:tc>
      </w:tr>
      <w:tr>
        <w:trPr>
          <w:trHeight w:val="191"/>
        </w:trPr>
        <w:tc>
          <w:tcPr>
            <w:tcW w:w="52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1180" w:type="dxa"/>
            <w:vAlign w:val="bottom"/>
            <w:tcBorders>
              <w:bottom w:val="single" w:sz="8" w:color="231F20"/>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1240" w:type="dxa"/>
            <w:vAlign w:val="bottom"/>
            <w:tcBorders>
              <w:bottom w:val="single" w:sz="8" w:color="231F20"/>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231F20"/>
              </w:rPr>
              <w:t>Amortization</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231F20"/>
              </w:rPr>
              <w:t>Value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4"/>
              </w:rPr>
              <w:t>(Years)</w:t>
            </w:r>
          </w:p>
        </w:tc>
        <w:tc>
          <w:tcPr>
            <w:tcW w:w="0" w:type="dxa"/>
            <w:vAlign w:val="bottom"/>
          </w:tcPr>
          <w:p>
            <w:pPr>
              <w:spacing w:after="0"/>
              <w:rPr>
                <w:sz w:val="1"/>
                <w:szCs w:val="1"/>
                <w:color w:val="auto"/>
              </w:rPr>
            </w:pPr>
          </w:p>
        </w:tc>
      </w:tr>
      <w:tr>
        <w:trPr>
          <w:trHeight w:val="264"/>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Trademarks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10,012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(3,781)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6,231</w:t>
            </w:r>
          </w:p>
        </w:tc>
        <w:tc>
          <w:tcPr>
            <w:tcW w:w="152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231F20"/>
                <w:w w:val="99"/>
              </w:rPr>
              <w:t>15</w:t>
            </w:r>
          </w:p>
        </w:tc>
        <w:tc>
          <w:tcPr>
            <w:tcW w:w="0" w:type="dxa"/>
            <w:vAlign w:val="bottom"/>
          </w:tcPr>
          <w:p>
            <w:pPr>
              <w:spacing w:after="0"/>
              <w:rPr>
                <w:sz w:val="1"/>
                <w:szCs w:val="1"/>
                <w:color w:val="auto"/>
              </w:rPr>
            </w:pPr>
          </w:p>
        </w:tc>
      </w:tr>
      <w:tr>
        <w:trPr>
          <w:trHeight w:val="238"/>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Non-compete agreement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220</w:t>
            </w:r>
          </w:p>
        </w:tc>
        <w:tc>
          <w:tcPr>
            <w:tcW w:w="15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231F20"/>
              </w:rPr>
              <w:t>3</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Customer relationships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17,821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12,214</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6"/>
              </w:rPr>
              <w:t>5-10</w:t>
            </w:r>
          </w:p>
        </w:tc>
        <w:tc>
          <w:tcPr>
            <w:tcW w:w="0" w:type="dxa"/>
            <w:vAlign w:val="bottom"/>
          </w:tcPr>
          <w:p>
            <w:pPr>
              <w:spacing w:after="0"/>
              <w:rPr>
                <w:sz w:val="1"/>
                <w:szCs w:val="1"/>
                <w:color w:val="auto"/>
              </w:rPr>
            </w:pPr>
          </w:p>
        </w:tc>
      </w:tr>
      <w:tr>
        <w:trPr>
          <w:trHeight w:val="225"/>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Developed technology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73,188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(49,610)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23,578</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3-8</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Patents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1,679</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6"/>
              </w:rPr>
              <w:t>3-19</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Capitalized software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11,154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(3,874)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7,280</w:t>
            </w:r>
          </w:p>
        </w:tc>
        <w:tc>
          <w:tcPr>
            <w:tcW w:w="15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3-5</w:t>
            </w: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intangible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114,967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(63,765)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51,202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gross carrying amount and accumulated amortization of the Company’s intangible assets, net, as of December 31, 2021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140" w:type="dxa"/>
            <w:vAlign w:val="bottom"/>
          </w:tcPr>
          <w:p>
            <w:pPr>
              <w:spacing w:after="0"/>
              <w:rPr>
                <w:sz w:val="13"/>
                <w:szCs w:val="13"/>
                <w:color w:val="auto"/>
              </w:rPr>
            </w:pPr>
          </w:p>
        </w:tc>
        <w:tc>
          <w:tcPr>
            <w:tcW w:w="1300" w:type="dxa"/>
            <w:vAlign w:val="bottom"/>
            <w:gridSpan w:val="4"/>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231F20"/>
              </w:rPr>
              <w:t>Net Carrying</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231F20"/>
              </w:rPr>
              <w:t>Estimated</w:t>
            </w:r>
          </w:p>
        </w:tc>
        <w:tc>
          <w:tcPr>
            <w:tcW w:w="0" w:type="dxa"/>
            <w:vAlign w:val="bottom"/>
          </w:tcPr>
          <w:p>
            <w:pPr>
              <w:spacing w:after="0"/>
              <w:rPr>
                <w:sz w:val="1"/>
                <w:szCs w:val="1"/>
                <w:color w:val="auto"/>
              </w:rPr>
            </w:pPr>
          </w:p>
        </w:tc>
      </w:tr>
      <w:tr>
        <w:trPr>
          <w:trHeight w:val="144"/>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256"/>
              <w:spacing w:after="0" w:line="144" w:lineRule="exact"/>
              <w:rPr>
                <w:sz w:val="20"/>
                <w:szCs w:val="20"/>
                <w:color w:val="auto"/>
              </w:rPr>
            </w:pPr>
            <w:r>
              <w:rPr>
                <w:rFonts w:ascii="Times New Roman" w:cs="Times New Roman" w:eastAsia="Times New Roman" w:hAnsi="Times New Roman"/>
                <w:sz w:val="14"/>
                <w:szCs w:val="14"/>
                <w:b w:val="1"/>
                <w:bCs w:val="1"/>
                <w:color w:val="231F20"/>
              </w:rPr>
              <w:t>Useful Life</w:t>
            </w:r>
          </w:p>
        </w:tc>
        <w:tc>
          <w:tcPr>
            <w:tcW w:w="0" w:type="dxa"/>
            <w:vAlign w:val="bottom"/>
          </w:tcPr>
          <w:p>
            <w:pPr>
              <w:spacing w:after="0"/>
              <w:rPr>
                <w:sz w:val="1"/>
                <w:szCs w:val="1"/>
                <w:color w:val="auto"/>
              </w:rPr>
            </w:pPr>
          </w:p>
        </w:tc>
      </w:tr>
      <w:tr>
        <w:trPr>
          <w:trHeight w:val="193"/>
        </w:trPr>
        <w:tc>
          <w:tcPr>
            <w:tcW w:w="52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231F20"/>
              </w:rPr>
              <w:t>Amortization</w:t>
            </w:r>
          </w:p>
        </w:tc>
        <w:tc>
          <w:tcPr>
            <w:tcW w:w="140" w:type="dxa"/>
            <w:vAlign w:val="bottom"/>
          </w:tcPr>
          <w:p>
            <w:pPr>
              <w:spacing w:after="0"/>
              <w:rPr>
                <w:sz w:val="16"/>
                <w:szCs w:val="16"/>
                <w:color w:val="auto"/>
              </w:rPr>
            </w:pPr>
          </w:p>
        </w:tc>
        <w:tc>
          <w:tcPr>
            <w:tcW w:w="130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231F20"/>
              </w:rPr>
              <w:t>Value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231F20"/>
                <w:w w:val="94"/>
              </w:rPr>
              <w:t>(Years)</w:t>
            </w:r>
          </w:p>
        </w:tc>
        <w:tc>
          <w:tcPr>
            <w:tcW w:w="0" w:type="dxa"/>
            <w:vAlign w:val="bottom"/>
          </w:tcPr>
          <w:p>
            <w:pPr>
              <w:spacing w:after="0"/>
              <w:rPr>
                <w:sz w:val="1"/>
                <w:szCs w:val="1"/>
                <w:color w:val="auto"/>
              </w:rPr>
            </w:pPr>
          </w:p>
        </w:tc>
      </w:tr>
      <w:tr>
        <w:trPr>
          <w:trHeight w:val="264"/>
        </w:trPr>
        <w:tc>
          <w:tcPr>
            <w:tcW w:w="52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Trademarks</w:t>
            </w:r>
          </w:p>
        </w:tc>
        <w:tc>
          <w:tcPr>
            <w:tcW w:w="280" w:type="dxa"/>
            <w:vAlign w:val="bottom"/>
            <w:tcBorders>
              <w:top w:val="single" w:sz="8" w:color="231F20"/>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10,048</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231F20"/>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top w:val="single" w:sz="8" w:color="231F20"/>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(3,442)</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tcBorders>
              <w:top w:val="single" w:sz="8" w:color="231F20"/>
            </w:tcBorders>
            <w:shd w:val="clear" w:color="auto" w:fill="CCEEFF"/>
          </w:tcPr>
          <w:p>
            <w:pPr>
              <w:spacing w:after="0"/>
              <w:rPr>
                <w:sz w:val="22"/>
                <w:szCs w:val="22"/>
                <w:color w:val="auto"/>
              </w:rPr>
            </w:pPr>
          </w:p>
        </w:tc>
        <w:tc>
          <w:tcPr>
            <w:tcW w:w="560" w:type="dxa"/>
            <w:vAlign w:val="bottom"/>
            <w:tcBorders>
              <w:top w:val="single" w:sz="8" w:color="231F20"/>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6,606</w:t>
            </w:r>
          </w:p>
        </w:tc>
        <w:tc>
          <w:tcPr>
            <w:tcW w:w="100" w:type="dxa"/>
            <w:vAlign w:val="bottom"/>
            <w:tcBorders>
              <w:top w:val="single" w:sz="8" w:color="231F20"/>
            </w:tcBorders>
            <w:shd w:val="clear" w:color="auto" w:fill="CCEEFF"/>
          </w:tcPr>
          <w:p>
            <w:pPr>
              <w:spacing w:after="0"/>
              <w:rPr>
                <w:sz w:val="22"/>
                <w:szCs w:val="22"/>
                <w:color w:val="auto"/>
              </w:rPr>
            </w:pPr>
          </w:p>
        </w:tc>
        <w:tc>
          <w:tcPr>
            <w:tcW w:w="300" w:type="dxa"/>
            <w:vAlign w:val="bottom"/>
            <w:tcBorders>
              <w:top w:val="single" w:sz="8" w:color="231F20"/>
            </w:tcBorders>
            <w:shd w:val="clear" w:color="auto" w:fill="CCEEFF"/>
          </w:tcPr>
          <w:p>
            <w:pPr>
              <w:spacing w:after="0"/>
              <w:rPr>
                <w:sz w:val="22"/>
                <w:szCs w:val="22"/>
                <w:color w:val="auto"/>
              </w:rPr>
            </w:pPr>
          </w:p>
        </w:tc>
        <w:tc>
          <w:tcPr>
            <w:tcW w:w="1120" w:type="dxa"/>
            <w:vAlign w:val="bottom"/>
            <w:tcBorders>
              <w:top w:val="single" w:sz="8" w:color="231F20"/>
            </w:tcBorders>
            <w:shd w:val="clear" w:color="auto" w:fill="CCEEFF"/>
          </w:tcPr>
          <w:p>
            <w:pPr>
              <w:jc w:val="center"/>
              <w:ind w:right="216"/>
              <w:spacing w:after="0"/>
              <w:rPr>
                <w:sz w:val="20"/>
                <w:szCs w:val="20"/>
                <w:color w:val="auto"/>
              </w:rPr>
            </w:pPr>
            <w:r>
              <w:rPr>
                <w:rFonts w:ascii="Times New Roman" w:cs="Times New Roman" w:eastAsia="Times New Roman" w:hAnsi="Times New Roman"/>
                <w:sz w:val="18"/>
                <w:szCs w:val="18"/>
                <w:color w:val="231F20"/>
                <w:w w:val="99"/>
              </w:rPr>
              <w:t>15</w:t>
            </w:r>
          </w:p>
        </w:tc>
        <w:tc>
          <w:tcPr>
            <w:tcW w:w="0" w:type="dxa"/>
            <w:vAlign w:val="bottom"/>
          </w:tcPr>
          <w:p>
            <w:pPr>
              <w:spacing w:after="0"/>
              <w:rPr>
                <w:sz w:val="1"/>
                <w:szCs w:val="1"/>
                <w:color w:val="auto"/>
              </w:rPr>
            </w:pPr>
          </w:p>
        </w:tc>
      </w:tr>
      <w:tr>
        <w:trPr>
          <w:trHeight w:val="238"/>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Non-compete agreement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809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670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center"/>
              <w:ind w:right="216"/>
              <w:spacing w:after="0"/>
              <w:rPr>
                <w:sz w:val="20"/>
                <w:szCs w:val="20"/>
                <w:color w:val="auto"/>
              </w:rPr>
            </w:pPr>
            <w:r>
              <w:rPr>
                <w:rFonts w:ascii="Times New Roman" w:cs="Times New Roman" w:eastAsia="Times New Roman" w:hAnsi="Times New Roman"/>
                <w:sz w:val="18"/>
                <w:szCs w:val="18"/>
                <w:color w:val="231F20"/>
              </w:rPr>
              <w:t>3</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Customer relationships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18,625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2"/>
              </w:rPr>
              <w:t>14,234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236"/>
              <w:spacing w:after="0"/>
              <w:rPr>
                <w:sz w:val="20"/>
                <w:szCs w:val="20"/>
                <w:color w:val="auto"/>
              </w:rPr>
            </w:pPr>
            <w:r>
              <w:rPr>
                <w:rFonts w:ascii="Times New Roman" w:cs="Times New Roman" w:eastAsia="Times New Roman" w:hAnsi="Times New Roman"/>
                <w:sz w:val="18"/>
                <w:szCs w:val="18"/>
                <w:color w:val="231F20"/>
                <w:w w:val="96"/>
              </w:rPr>
              <w:t>5-10</w:t>
            </w:r>
          </w:p>
        </w:tc>
        <w:tc>
          <w:tcPr>
            <w:tcW w:w="0" w:type="dxa"/>
            <w:vAlign w:val="bottom"/>
          </w:tcPr>
          <w:p>
            <w:pPr>
              <w:spacing w:after="0"/>
              <w:rPr>
                <w:sz w:val="1"/>
                <w:szCs w:val="1"/>
                <w:color w:val="auto"/>
              </w:rPr>
            </w:pPr>
          </w:p>
        </w:tc>
      </w:tr>
      <w:tr>
        <w:trPr>
          <w:trHeight w:val="238"/>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Developed technology</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70,900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(45,051)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w w:val="92"/>
              </w:rPr>
              <w:t>25,849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center"/>
              <w:ind w:right="216"/>
              <w:spacing w:after="0"/>
              <w:rPr>
                <w:sz w:val="20"/>
                <w:szCs w:val="20"/>
                <w:color w:val="auto"/>
              </w:rPr>
            </w:pPr>
            <w:r>
              <w:rPr>
                <w:rFonts w:ascii="Times New Roman" w:cs="Times New Roman" w:eastAsia="Times New Roman" w:hAnsi="Times New Roman"/>
                <w:sz w:val="18"/>
                <w:szCs w:val="18"/>
                <w:color w:val="231F20"/>
              </w:rPr>
              <w:t>8</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Patents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236"/>
              <w:spacing w:after="0"/>
              <w:rPr>
                <w:sz w:val="20"/>
                <w:szCs w:val="20"/>
                <w:color w:val="auto"/>
              </w:rPr>
            </w:pPr>
            <w:r>
              <w:rPr>
                <w:rFonts w:ascii="Times New Roman" w:cs="Times New Roman" w:eastAsia="Times New Roman" w:hAnsi="Times New Roman"/>
                <w:sz w:val="18"/>
                <w:szCs w:val="18"/>
                <w:color w:val="231F20"/>
                <w:w w:val="96"/>
              </w:rPr>
              <w:t>3-19</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Capitalized software</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9,867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rPr>
              <w:t>(2,971)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231F20"/>
              </w:rPr>
              <w:t>6,896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center"/>
              <w:ind w:right="236"/>
              <w:spacing w:after="0"/>
              <w:rPr>
                <w:sz w:val="20"/>
                <w:szCs w:val="20"/>
                <w:color w:val="auto"/>
              </w:rPr>
            </w:pPr>
            <w:r>
              <w:rPr>
                <w:rFonts w:ascii="Times New Roman" w:cs="Times New Roman" w:eastAsia="Times New Roman" w:hAnsi="Times New Roman"/>
                <w:sz w:val="18"/>
                <w:szCs w:val="18"/>
                <w:color w:val="231F20"/>
                <w:w w:val="99"/>
              </w:rPr>
              <w:t>3-5</w:t>
            </w: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intangible assets</w:t>
            </w:r>
          </w:p>
        </w:tc>
        <w:tc>
          <w:tcPr>
            <w:tcW w:w="280" w:type="dxa"/>
            <w:vAlign w:val="bottom"/>
            <w:tcBorders>
              <w:bottom w:val="single" w:sz="8" w:color="auto"/>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112,299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(56,289)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2"/>
              </w:rPr>
              <w:t>56,010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231F20"/>
              </w:rPr>
              <w:t>Amortization expense was as follows for the periods indicated:</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9"/>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140" w:type="dxa"/>
            <w:vAlign w:val="bottom"/>
          </w:tcPr>
          <w:p>
            <w:pPr>
              <w:spacing w:after="0"/>
              <w:rPr>
                <w:sz w:val="17"/>
                <w:szCs w:val="17"/>
                <w:color w:val="auto"/>
              </w:rPr>
            </w:pPr>
          </w:p>
        </w:tc>
        <w:tc>
          <w:tcPr>
            <w:tcW w:w="2820" w:type="dxa"/>
            <w:vAlign w:val="bottom"/>
            <w:gridSpan w:val="7"/>
          </w:tcPr>
          <w:p>
            <w:pPr>
              <w:jc w:val="right"/>
              <w:ind w:right="556"/>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0" w:type="dxa"/>
            <w:vAlign w:val="bottom"/>
          </w:tcPr>
          <w:p>
            <w:pPr>
              <w:spacing w:after="0"/>
              <w:rPr>
                <w:sz w:val="1"/>
                <w:szCs w:val="1"/>
                <w:color w:val="auto"/>
              </w:rPr>
            </w:pPr>
          </w:p>
        </w:tc>
      </w:tr>
      <w:tr>
        <w:trPr>
          <w:trHeight w:val="24"/>
        </w:trPr>
        <w:tc>
          <w:tcPr>
            <w:tcW w:w="5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4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498"/>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231F20"/>
                <w:w w:val="99"/>
              </w:rPr>
              <w:t>2021</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Cost of sales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25"/>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Selling and marketing</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8"/>
        </w:trPr>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231F20"/>
              </w:rPr>
              <w:t>Total amortization expense</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3,793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rPr>
              <w:t>2,934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231F20"/>
              </w:rPr>
              <w:t>7,371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5,855</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231F20"/>
              </w:rPr>
              <w:t>The changes in the carrying value of goodwill are as follows:</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4"/>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4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7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231F20"/>
                <w:w w:val="99"/>
              </w:rPr>
              <w:t>2021</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Beginning balance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123,694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98,531</w:t>
            </w:r>
          </w:p>
        </w:tc>
        <w:tc>
          <w:tcPr>
            <w:tcW w:w="0" w:type="dxa"/>
            <w:vAlign w:val="bottom"/>
          </w:tcPr>
          <w:p>
            <w:pPr>
              <w:spacing w:after="0"/>
              <w:rPr>
                <w:sz w:val="1"/>
                <w:szCs w:val="1"/>
                <w:color w:val="auto"/>
              </w:rPr>
            </w:pPr>
          </w:p>
        </w:tc>
      </w:tr>
      <w:tr>
        <w:trPr>
          <w:trHeight w:val="225"/>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Measurement period adjustments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4,766</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Foreign currency translation impact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(197)</w:t>
            </w:r>
          </w:p>
        </w:tc>
        <w:tc>
          <w:tcPr>
            <w:tcW w:w="0" w:type="dxa"/>
            <w:vAlign w:val="bottom"/>
          </w:tcPr>
          <w:p>
            <w:pPr>
              <w:spacing w:after="0"/>
              <w:rPr>
                <w:sz w:val="1"/>
                <w:szCs w:val="1"/>
                <w:color w:val="auto"/>
              </w:rPr>
            </w:pPr>
          </w:p>
        </w:tc>
      </w:tr>
      <w:tr>
        <w:trPr>
          <w:trHeight w:val="218"/>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Ending balance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124,033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103,100</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 xml:space="preserve">The measurement period adjustments include a $0.2 million increase due to adjustment of acquisition date tax liability for Ecomedic and a $1.98 million increase due to contingent consideration paid to former owner of Sidermica during the </w:t>
      </w:r>
      <w:r>
        <w:rPr>
          <w:rFonts w:ascii="Times New Roman" w:cs="Times New Roman" w:eastAsia="Times New Roman" w:hAnsi="Times New Roman"/>
          <w:sz w:val="18"/>
          <w:szCs w:val="18"/>
          <w:color w:val="231F20"/>
        </w:rPr>
        <w:t>six months ended June 30, 2022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46" w:lineRule="exact"/>
        <w:rPr>
          <w:sz w:val="20"/>
          <w:szCs w:val="20"/>
          <w:color w:val="auto"/>
        </w:rPr>
      </w:pPr>
    </w:p>
    <w:p>
      <w:pPr>
        <w:ind w:right="280" w:firstLine="318"/>
        <w:spacing w:after="0" w:line="271" w:lineRule="auto"/>
        <w:rPr>
          <w:sz w:val="20"/>
          <w:szCs w:val="20"/>
          <w:color w:val="auto"/>
        </w:rPr>
      </w:pPr>
      <w:r>
        <w:rPr>
          <w:rFonts w:ascii="Times New Roman" w:cs="Times New Roman" w:eastAsia="Times New Roman" w:hAnsi="Times New Roman"/>
          <w:sz w:val="17"/>
          <w:szCs w:val="17"/>
          <w:color w:val="auto"/>
        </w:rPr>
        <w:t>On December 30, 2021, Edge Systems LLC, a California limited liability company (the “Borrower”) and an indirect wholly owned subsidiary of The Beauty Health Company, as borrower, entered into a Credit Agreement (the “Credit Agreement”) with Edge Systems Intermediate LLC, an indirect wholly owned subsidiary of the Company and the direct parent of the Borrower that holds the Company’s foreign and domestic operating entities, and The Hydrafacial Company Mexico Holdings, LLC, a direct wholly owned subsidiary of the Borrower that conducts the Mexican business operations , as guarantors (the “Guarantors” and, together with the Borrower, the “Loan Parties”), and JPMorgan Chase Bank, N.A., as administrative agent.</w:t>
      </w:r>
    </w:p>
    <w:p>
      <w:pPr>
        <w:spacing w:after="0" w:line="195" w:lineRule="exact"/>
        <w:rPr>
          <w:sz w:val="20"/>
          <w:szCs w:val="20"/>
          <w:color w:val="auto"/>
        </w:rPr>
      </w:pPr>
    </w:p>
    <w:p>
      <w:pPr>
        <w:jc w:val="both"/>
        <w:ind w:right="180"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Credit Agreement provides for a $50 million revolving credit facility with a maturity date of December 30, 2026. In addition, the Borrower has the ability from time to time to increase the revolving commitments or enter into one or more tranches of term loans up to an additional aggregate amount not to exceed $50 million, subject to receipt of lender commitments and certain conditions precedent. As of </w:t>
      </w:r>
      <w:r>
        <w:rPr>
          <w:rFonts w:ascii="Times New Roman" w:cs="Times New Roman" w:eastAsia="Times New Roman" w:hAnsi="Times New Roman"/>
          <w:sz w:val="18"/>
          <w:szCs w:val="18"/>
          <w:color w:val="231F20"/>
        </w:rPr>
        <w:t>June 30, 2022</w:t>
      </w:r>
      <w:r>
        <w:rPr>
          <w:rFonts w:ascii="Times New Roman" w:cs="Times New Roman" w:eastAsia="Times New Roman" w:hAnsi="Times New Roman"/>
          <w:sz w:val="18"/>
          <w:szCs w:val="18"/>
          <w:color w:val="auto"/>
        </w:rPr>
        <w:t xml:space="preserve"> the Credit Agreement remains undrawn and there is no outstanding balance under the revolving credit facility.</w:t>
      </w:r>
    </w:p>
    <w:p>
      <w:pPr>
        <w:spacing w:after="0" w:line="207"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are secured by certain collateral of the Loan Parties and are guaranteed by the Guarantors, each of whom will derive substantial benefit from the revolving credit facility. In specified circumstances, additional guarantors are required to be added. The Credit Agreement contains various restrictive covenants subject to certain exceptions, including limitations on the Borrower’s ability to incur indebtedness and certain liens, make certain investments,</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 As of June 30, 2022 the Company was in compliance with all restricted and financial covenants.</w:t>
      </w:r>
    </w:p>
    <w:p>
      <w:pPr>
        <w:spacing w:after="0" w:line="207" w:lineRule="exact"/>
        <w:rPr>
          <w:sz w:val="20"/>
          <w:szCs w:val="20"/>
          <w:color w:val="auto"/>
        </w:rPr>
      </w:pPr>
    </w:p>
    <w:p>
      <w:pPr>
        <w:ind w:right="140" w:firstLine="318"/>
        <w:spacing w:after="0" w:line="267" w:lineRule="auto"/>
        <w:rPr>
          <w:sz w:val="20"/>
          <w:szCs w:val="20"/>
          <w:color w:val="auto"/>
        </w:rPr>
      </w:pPr>
      <w:r>
        <w:rPr>
          <w:rFonts w:ascii="Times New Roman" w:cs="Times New Roman" w:eastAsia="Times New Roman" w:hAnsi="Times New Roman"/>
          <w:sz w:val="17"/>
          <w:szCs w:val="17"/>
          <w:color w:val="auto"/>
        </w:rPr>
        <w:t xml:space="preserve">The leverage ratio also determines pricing under the Credit Agreement. At the Borrower’s option, borrowings under the revolving credit facility accrue interest at a rate equal to either LIBOR or a specified base rate plus an applicable margin. The applicable margin is linked to the leverage ratio. The margins range from 2.00% to 2.50% per annum for LIBOR loans and 1.00% to 1.50% per annum for base rate loans. The revolving credit facility is subject to a commitment fee payable on the unused revolving credit facility commitments ranging from 0.25% to 0.35%, depending on the Borrower’s leverage ratio. As of </w:t>
      </w:r>
      <w:r>
        <w:rPr>
          <w:rFonts w:ascii="Times New Roman" w:cs="Times New Roman" w:eastAsia="Times New Roman" w:hAnsi="Times New Roman"/>
          <w:sz w:val="17"/>
          <w:szCs w:val="17"/>
          <w:color w:val="231F20"/>
        </w:rPr>
        <w:t>June 30, 2022</w:t>
      </w:r>
      <w:r>
        <w:rPr>
          <w:rFonts w:ascii="Times New Roman" w:cs="Times New Roman" w:eastAsia="Times New Roman" w:hAnsi="Times New Roman"/>
          <w:sz w:val="17"/>
          <w:szCs w:val="17"/>
          <w:color w:val="auto"/>
        </w:rPr>
        <w:t xml:space="preserve"> the Company’s unused commitment rate was 0.25%. The Borrower is also required to pay certain fees to the administrative agent and letter of credit issuers under the revolving credit facility. During the term of the revolving credit facility, the Borrower may borrow, repay and re-borrow amounts available under the revolving credit facility, subject to voluntary reductions of the swing line, letter of credit and revolving credit commitments.</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46"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On September 14, 2021, the Company issued an aggregate of $750 million in principal amount of its 1.25% Convertible Senior Notes due 2026 (the “Notes”). The Notes were issued pursuant to, and are governed by, an indenture (the “Indenture”), dated as of September 14, 2021, between the Company and U.S. Bank National Association, as trustee.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 million principal amount of Notes. The Notes issued on September 14, 2021 include the $100 million principal amount of Notes issued pursuant to the full exercise by the initial purchasers of such option.</w:t>
      </w:r>
    </w:p>
    <w:p>
      <w:pPr>
        <w:spacing w:after="0" w:line="212"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21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Notes accrue interest at a rate of 1.25% per annum, payable semi-annually in arrears on April 1 and October 1 of each year, beginning on April 1, 2022. The Notes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31.4859 shares of common stock per $1,000 principal amount of Notes, which represents an initial conversion price of approximately $31.76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2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Notes are redeemable, in whole or in part (subject to certain limitations described below), at the Company’s option at any time, and from time to</w:t>
      </w:r>
    </w:p>
    <w:p>
      <w:pPr>
        <w:spacing w:after="0" w:line="1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time, on or after October 6, 2024, and on or before the 40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scheduled trading day immediately before the maturity date, but only if certain liquidity conditions are satisfied and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207"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7"/>
          <w:szCs w:val="17"/>
          <w:color w:val="auto"/>
        </w:rPr>
        <w:t>The Notes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convert a Note upon the exercise of the conversion right with respect to such Note, subject to a three business-day cure period;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subsidiaries with respect to indebtedness for money borrowed of at least $45,000,000; (vii) the rendering of certain judgments against the Company or any of its significant subsidiaries for the payment of at least $45,000,000, where such judgments are not discharged or stayed within 60 days after the date on which the right to appeal has expired or on which all rights to appeal have been extinguished and (viii) certain events of bankruptcy, insolvency and reorganization involving the Company or any of its significant subsidiaries.</w:t>
      </w:r>
    </w:p>
    <w:p>
      <w:pPr>
        <w:spacing w:after="0" w:line="205"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180 days at a specified rate per annum not exceeding 1.00% on the principal amount of the Notes.</w:t>
      </w:r>
    </w:p>
    <w:p>
      <w:pPr>
        <w:spacing w:after="0" w:line="217"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231F20"/>
        </w:rPr>
        <w:t>The Notes were issued to the initial purchasers of such Notes in transactions not involving any public offering in reliance upon Section 4(a)(2) of the Securities Act. The Notes were resold by the initial purchasers to persons whom the initial purchasers reasonably believe are “qualified institutional buyers,” as defined in, and in accordance with, Rule 144A under the Securities Act.</w:t>
      </w:r>
    </w:p>
    <w:p>
      <w:pPr>
        <w:spacing w:after="0" w:line="204"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231F20"/>
        </w:rPr>
        <w:t>The total amount of debt issuance costs of $21.3 million was recorded as a reduction to “Convertible senior notes, net” in the Company’s Condensed Consolidated Balance Sheets and are being amortized as interest expense over the term of the Notes using the effective interest method. During the three and six months ended June 30, 2022, the Company recognized $1.1 million and $2.1 million in interest expense related to the amortization of the debt issuance costs related to the Notes, respectively. There was no such expense related to the Notes in the three and six months ended June 30, 2021.</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is a summary of the Company’s Notes as of June 30,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231F20"/>
              </w:rPr>
              <w:t>Fair Value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3"/>
            <w:vMerge w:val="restart"/>
          </w:tcPr>
          <w:p>
            <w:pPr>
              <w:jc w:val="right"/>
              <w:ind w:right="120"/>
              <w:spacing w:after="0" w:line="159" w:lineRule="exact"/>
              <w:rPr>
                <w:sz w:val="20"/>
                <w:szCs w:val="20"/>
                <w:color w:val="auto"/>
              </w:rPr>
            </w:pPr>
            <w:r>
              <w:rPr>
                <w:rFonts w:ascii="Times New Roman" w:cs="Times New Roman" w:eastAsia="Times New Roman" w:hAnsi="Times New Roman"/>
                <w:sz w:val="14"/>
                <w:szCs w:val="14"/>
                <w:b w:val="1"/>
                <w:bCs w:val="1"/>
                <w:color w:val="231F20"/>
              </w:rPr>
              <w:t>Unamortized Issuance</w:t>
            </w:r>
          </w:p>
        </w:tc>
        <w:tc>
          <w:tcPr>
            <w:tcW w:w="200" w:type="dxa"/>
            <w:vAlign w:val="bottom"/>
          </w:tcPr>
          <w:p>
            <w:pPr>
              <w:spacing w:after="0"/>
              <w:rPr>
                <w:sz w:val="2"/>
                <w:szCs w:val="2"/>
                <w:color w:val="auto"/>
              </w:rPr>
            </w:pPr>
          </w:p>
        </w:tc>
        <w:tc>
          <w:tcPr>
            <w:tcW w:w="1320" w:type="dxa"/>
            <w:vAlign w:val="bottom"/>
            <w:vMerge w:val="restart"/>
          </w:tcPr>
          <w:p>
            <w:pPr>
              <w:jc w:val="center"/>
              <w:ind w:right="243"/>
              <w:spacing w:after="0" w:line="159" w:lineRule="exact"/>
              <w:rPr>
                <w:sz w:val="20"/>
                <w:szCs w:val="20"/>
                <w:color w:val="auto"/>
              </w:rPr>
            </w:pPr>
            <w:r>
              <w:rPr>
                <w:rFonts w:ascii="Times New Roman" w:cs="Times New Roman" w:eastAsia="Times New Roman" w:hAnsi="Times New Roman"/>
                <w:sz w:val="14"/>
                <w:szCs w:val="14"/>
                <w:b w:val="1"/>
                <w:bCs w:val="1"/>
                <w:color w:val="231F20"/>
              </w:rPr>
              <w:t>Net Carrying</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40" w:type="dxa"/>
            <w:vAlign w:val="bottom"/>
          </w:tcPr>
          <w:p>
            <w:pPr>
              <w:spacing w:after="0"/>
              <w:rPr>
                <w:sz w:val="9"/>
                <w:szCs w:val="9"/>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5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0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4"/>
                <w:szCs w:val="14"/>
                <w:b w:val="1"/>
                <w:bCs w:val="1"/>
                <w:color w:val="231F20"/>
              </w:rPr>
              <w:t>Level</w:t>
            </w:r>
          </w:p>
        </w:tc>
        <w:tc>
          <w:tcPr>
            <w:tcW w:w="0" w:type="dxa"/>
            <w:vAlign w:val="bottom"/>
          </w:tcPr>
          <w:p>
            <w:pPr>
              <w:spacing w:after="0"/>
              <w:rPr>
                <w:sz w:val="1"/>
                <w:szCs w:val="1"/>
                <w:color w:val="auto"/>
              </w:rPr>
            </w:pPr>
          </w:p>
        </w:tc>
      </w:tr>
      <w:tr>
        <w:trPr>
          <w:trHeight w:val="191"/>
        </w:trPr>
        <w:tc>
          <w:tcPr>
            <w:tcW w:w="3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231F20"/>
              </w:rPr>
              <w:t>Costs</w:t>
            </w:r>
          </w:p>
        </w:tc>
        <w:tc>
          <w:tcPr>
            <w:tcW w:w="200" w:type="dxa"/>
            <w:vAlign w:val="bottom"/>
          </w:tcPr>
          <w:p>
            <w:pPr>
              <w:spacing w:after="0"/>
              <w:rPr>
                <w:sz w:val="16"/>
                <w:szCs w:val="16"/>
                <w:color w:val="auto"/>
              </w:rPr>
            </w:pPr>
          </w:p>
        </w:tc>
        <w:tc>
          <w:tcPr>
            <w:tcW w:w="132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231F20"/>
                <w:w w:val="97"/>
              </w:rPr>
              <w:t>Value</w:t>
            </w:r>
          </w:p>
        </w:tc>
        <w:tc>
          <w:tcPr>
            <w:tcW w:w="28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1.25% Convertible Notes due 2026</w:t>
            </w:r>
          </w:p>
        </w:tc>
        <w:tc>
          <w:tcPr>
            <w:tcW w:w="14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280" w:type="dxa"/>
            <w:vAlign w:val="bottom"/>
            <w:tcBorders>
              <w:top w:val="single" w:sz="8" w:color="231F20"/>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231F20"/>
              </w:rPr>
              <w:t>750,000</w:t>
            </w:r>
          </w:p>
        </w:tc>
        <w:tc>
          <w:tcPr>
            <w:tcW w:w="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231F20"/>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17,972</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top w:val="single" w:sz="8" w:color="231F20"/>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231F20"/>
              </w:rPr>
              <w:t>732,028</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231F20"/>
              </w:rPr>
              <w:t>602,250</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231F20"/>
            </w:tcBorders>
            <w:shd w:val="clear" w:color="auto" w:fill="CCEEFF"/>
          </w:tcPr>
          <w:p>
            <w:pPr>
              <w:spacing w:after="0"/>
              <w:rPr>
                <w:sz w:val="22"/>
                <w:szCs w:val="22"/>
                <w:color w:val="auto"/>
              </w:rPr>
            </w:pPr>
          </w:p>
        </w:tc>
        <w:tc>
          <w:tcPr>
            <w:tcW w:w="1060" w:type="dxa"/>
            <w:vAlign w:val="bottom"/>
            <w:tcBorders>
              <w:top w:val="single" w:sz="8" w:color="231F20"/>
            </w:tcBorders>
            <w:shd w:val="clear" w:color="auto" w:fill="CCEEFF"/>
          </w:tcPr>
          <w:p>
            <w:pPr>
              <w:jc w:val="center"/>
              <w:ind w:right="281"/>
              <w:spacing w:after="0"/>
              <w:rPr>
                <w:sz w:val="20"/>
                <w:szCs w:val="20"/>
                <w:color w:val="auto"/>
              </w:rPr>
            </w:pPr>
            <w:r>
              <w:rPr>
                <w:rFonts w:ascii="Times New Roman" w:cs="Times New Roman" w:eastAsia="Times New Roman" w:hAnsi="Times New Roman"/>
                <w:sz w:val="18"/>
                <w:szCs w:val="18"/>
                <w:color w:val="231F20"/>
                <w:w w:val="99"/>
              </w:rPr>
              <w:t>Level 2</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8"/>
          <w:szCs w:val="18"/>
          <w:color w:val="231F20"/>
        </w:rPr>
        <w:t>The Notes are carried at face value less the unamortized debt issuance costs on the Company’s Consolidated Balance Sheets. As of June 30, 2022, the estimated fair value of the Notes was approximately $602 million. The estimated fair value of the Notes was determined based on the actual bid price of the Notes on June 30, 2022.</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June 30, 2022, the remaining life of the Notes is approximately 4.3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4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On September 9, 2021, in connection with the pricing of the offering of Notes, the Company entered into privately negotiated capped call transactions (the “Base Capped Call Transactions”) with Bank of Montreal, Credit Suisse Capital LLC, Deutsche Bank AG, London Branch, Goldman Sachs &amp; Co. LLC, JPMorgan Chase Bank, National Association, Mizuho Markets Americas LLC and Wells Fargo Bank, National Association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approximately $90.2 million.</w:t>
      </w:r>
    </w:p>
    <w:p>
      <w:pPr>
        <w:spacing w:after="0" w:line="218"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46"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231F20"/>
        </w:rPr>
        <w:t>In connection with the Closing of the Business Combination, all of HydraFacial’s existing debt under its credit facilities were repaid and its credit facilities were extinguished. T</w:t>
      </w:r>
      <w:r>
        <w:rPr>
          <w:rFonts w:ascii="Times New Roman" w:cs="Times New Roman" w:eastAsia="Times New Roman" w:hAnsi="Times New Roman"/>
          <w:sz w:val="18"/>
          <w:szCs w:val="18"/>
          <w:color w:val="000000"/>
        </w:rPr>
        <w:t>he related write-off of the deferred financing costs totaled $2.3 million and prepayment penalties totaled $2.0 million in 2021.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Both are included in the Other expense (income), net on the Company’s Consolidated Statements of Comprehensive Income (Loss).</w:t>
      </w:r>
    </w:p>
    <w:p>
      <w:pPr>
        <w:spacing w:after="0" w:line="204" w:lineRule="exact"/>
        <w:rPr>
          <w:sz w:val="20"/>
          <w:szCs w:val="20"/>
          <w:color w:val="auto"/>
        </w:rPr>
      </w:pPr>
    </w:p>
    <w:p>
      <w:pPr>
        <w:ind w:right="600" w:firstLine="318"/>
        <w:spacing w:after="0" w:line="304" w:lineRule="auto"/>
        <w:rPr>
          <w:sz w:val="20"/>
          <w:szCs w:val="20"/>
          <w:color w:val="auto"/>
        </w:rPr>
      </w:pPr>
      <w:r>
        <w:rPr>
          <w:rFonts w:ascii="Times New Roman" w:cs="Times New Roman" w:eastAsia="Times New Roman" w:hAnsi="Times New Roman"/>
          <w:sz w:val="17"/>
          <w:szCs w:val="17"/>
          <w:color w:val="231F20"/>
        </w:rPr>
        <w:t>Defer</w:t>
      </w:r>
      <w:r>
        <w:rPr>
          <w:rFonts w:ascii="Times New Roman" w:cs="Times New Roman" w:eastAsia="Times New Roman" w:hAnsi="Times New Roman"/>
          <w:sz w:val="17"/>
          <w:szCs w:val="17"/>
          <w:color w:val="000000"/>
        </w:rPr>
        <w:t>red financing costs expense prior to the Closing of the Business Combination for the</w:t>
      </w:r>
      <w:r>
        <w:rPr>
          <w:rFonts w:ascii="Times New Roman" w:cs="Times New Roman" w:eastAsia="Times New Roman" w:hAnsi="Times New Roman"/>
          <w:sz w:val="17"/>
          <w:szCs w:val="17"/>
          <w:color w:val="231F20"/>
        </w:rPr>
        <w:t xml:space="preserve"> three and six months </w:t>
      </w:r>
      <w:r>
        <w:rPr>
          <w:rFonts w:ascii="Times New Roman" w:cs="Times New Roman" w:eastAsia="Times New Roman" w:hAnsi="Times New Roman"/>
          <w:sz w:val="17"/>
          <w:szCs w:val="17"/>
          <w:color w:val="000000"/>
        </w:rPr>
        <w:t>ended June 30, 2021 amounted to</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$0.1 million and $0.5 million and is included in Interest expense, net on the Company’s Consolidated Statements of Comprehensive Income (Loss).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income tax expense for the three months and six months ended June 30, 2022 is $0.1 million and $2.7 million, respectively</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income tax benefit for the three and six months ended June 30, 2021 is $1.9 million and $2.2 million, respectively.</w:t>
      </w:r>
    </w:p>
    <w:p>
      <w:pPr>
        <w:spacing w:after="0" w:line="230" w:lineRule="exact"/>
        <w:rPr>
          <w:sz w:val="20"/>
          <w:szCs w:val="20"/>
          <w:color w:val="auto"/>
        </w:rPr>
      </w:pPr>
    </w:p>
    <w:p>
      <w:pPr>
        <w:ind w:right="300" w:firstLine="238"/>
        <w:spacing w:after="0" w:line="244" w:lineRule="auto"/>
        <w:rPr>
          <w:sz w:val="20"/>
          <w:szCs w:val="20"/>
          <w:color w:val="auto"/>
        </w:rPr>
      </w:pPr>
      <w:r>
        <w:rPr>
          <w:rFonts w:ascii="Times New Roman" w:cs="Times New Roman" w:eastAsia="Times New Roman" w:hAnsi="Times New Roman"/>
          <w:sz w:val="18"/>
          <w:szCs w:val="18"/>
          <w:color w:val="231F20"/>
        </w:rPr>
        <w:t xml:space="preserve">The effective tax rate for the three and six months ended June 30, 2022 is 0.95% and 6.24%, which is lower than the federal statutory rate of 21.0% primarily due to the exclusion of book income from the revaluation of warrant liabilities and adjustments for various non-deductible expenses for </w:t>
      </w:r>
      <w:r>
        <w:rPr>
          <w:rFonts w:ascii="Times New Roman" w:cs="Times New Roman" w:eastAsia="Times New Roman" w:hAnsi="Times New Roman"/>
          <w:sz w:val="18"/>
          <w:szCs w:val="18"/>
          <w:color w:val="000000"/>
        </w:rPr>
        <w:t>officer’s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compensation and meals and entertainment.</w:t>
      </w:r>
    </w:p>
    <w:p>
      <w:pPr>
        <w:spacing w:after="0" w:line="217" w:lineRule="exact"/>
        <w:rPr>
          <w:sz w:val="20"/>
          <w:szCs w:val="20"/>
          <w:color w:val="auto"/>
        </w:rPr>
      </w:pPr>
    </w:p>
    <w:p>
      <w:pPr>
        <w:ind w:right="480" w:firstLine="318"/>
        <w:spacing w:after="0" w:line="304" w:lineRule="auto"/>
        <w:rPr>
          <w:sz w:val="20"/>
          <w:szCs w:val="20"/>
          <w:color w:val="auto"/>
        </w:rPr>
      </w:pPr>
      <w:r>
        <w:rPr>
          <w:rFonts w:ascii="Times New Roman" w:cs="Times New Roman" w:eastAsia="Times New Roman" w:hAnsi="Times New Roman"/>
          <w:sz w:val="17"/>
          <w:szCs w:val="17"/>
          <w:color w:val="231F20"/>
        </w:rPr>
        <w:t>The effective tax rate for the three and six months ended June 30, 2021 is 1.32% and 1.50%, which is lower than the federal statutory rate of 21.0% primarily due to the increase in valuation allowance and non-deductible expense related to stock-based compensation and meals and entertainment.</w:t>
      </w:r>
    </w:p>
    <w:p>
      <w:pPr>
        <w:spacing w:after="0" w:line="167" w:lineRule="exact"/>
        <w:rPr>
          <w:sz w:val="20"/>
          <w:szCs w:val="20"/>
          <w:color w:val="auto"/>
        </w:rPr>
      </w:pPr>
    </w:p>
    <w:p>
      <w:pPr>
        <w:ind w:right="160" w:firstLine="318"/>
        <w:spacing w:after="0" w:line="282" w:lineRule="auto"/>
        <w:rPr>
          <w:sz w:val="20"/>
          <w:szCs w:val="20"/>
          <w:color w:val="auto"/>
        </w:rPr>
      </w:pPr>
      <w:r>
        <w:rPr>
          <w:rFonts w:ascii="Times New Roman" w:cs="Times New Roman" w:eastAsia="Times New Roman" w:hAnsi="Times New Roman"/>
          <w:sz w:val="17"/>
          <w:szCs w:val="17"/>
          <w:color w:val="231F20"/>
        </w:rPr>
        <w:t>The Company has established a valuation allowance against a portion of its remaining deferred tax assets because it is more likely than not that certain deferred tax assets will not be realized. In determining whether deferred tax assets are realizable, the Company considered numerous factors including historical profitability, the amount of future taxable income and the existence of taxable temporary differences that can be used to realize deferred tax assets.</w:t>
      </w:r>
    </w:p>
    <w:p>
      <w:pPr>
        <w:spacing w:after="0" w:line="185"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231F20"/>
        </w:rPr>
        <w:t>Additionally, the Company applies ASC 740, the accounting standard governing uncertainty in income taxes that prescribes rules for recognition, measurement and classification in the financial statements of tax positions taken or expected to be taken in a tax return. The Company has gross unrecognized tax benefits of $0.2 million and $0.1 million for the six months ended June 30, 2022 and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340" w:firstLine="318"/>
        <w:spacing w:after="0" w:line="259" w:lineRule="auto"/>
        <w:rPr>
          <w:sz w:val="20"/>
          <w:szCs w:val="20"/>
          <w:color w:val="auto"/>
        </w:rPr>
      </w:pPr>
      <w:r>
        <w:rPr>
          <w:rFonts w:ascii="Times New Roman" w:cs="Times New Roman" w:eastAsia="Times New Roman" w:hAnsi="Times New Roman"/>
          <w:sz w:val="18"/>
          <w:szCs w:val="18"/>
          <w:color w:val="auto"/>
        </w:rPr>
        <w:t>On March 11, 2021 the United States enacted the American Rescue Plan Act of 2021 (“American Rescue Plan”). The American Rescue Plan includes various income and payroll tax measures. The Company does not expect a material impact of the American Rescue Plan on the Company’s Condensed Consolidated Financial Statements and related disclosures.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Compensation expense attributable to net stock-based compensation was as follows for the periods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4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6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Cost of sales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5"/>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Selling and marketing</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5"/>
        </w:trPr>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5"/>
        </w:trPr>
        <w:tc>
          <w:tcPr>
            <w:tcW w:w="5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231F20"/>
              </w:rPr>
              <w:t>Stock-based compensation expense</w:t>
            </w:r>
          </w:p>
        </w:tc>
        <w:tc>
          <w:tcPr>
            <w:tcW w:w="90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8"/>
                <w:szCs w:val="18"/>
                <w:color w:val="231F2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6,378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231F20"/>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3,508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13,427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3,542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(“RSUs”) and </w:t>
      </w:r>
      <w:r>
        <w:rPr>
          <w:rFonts w:ascii="Times New Roman" w:cs="Times New Roman" w:eastAsia="Times New Roman" w:hAnsi="Times New Roman"/>
          <w:sz w:val="18"/>
          <w:szCs w:val="18"/>
          <w:i w:val="1"/>
          <w:iCs w:val="1"/>
          <w:color w:val="231F20"/>
        </w:rPr>
        <w:t>Performance-based restricted stock units (“PSUs”)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equity award activity for the six months ended June 30,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231F20"/>
              </w:rPr>
              <w:t>Weighted Average Grant Date Fair</w:t>
            </w:r>
          </w:p>
        </w:tc>
      </w:tr>
      <w:tr>
        <w:trPr>
          <w:trHeight w:val="192"/>
        </w:trPr>
        <w:tc>
          <w:tcPr>
            <w:tcW w:w="5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231F20"/>
                <w:w w:val="97"/>
              </w:rPr>
              <w:t>Value</w:t>
            </w:r>
          </w:p>
        </w:tc>
        <w:tc>
          <w:tcPr>
            <w:tcW w:w="840" w:type="dxa"/>
            <w:vAlign w:val="bottom"/>
            <w:tcBorders>
              <w:bottom w:val="single" w:sz="8" w:color="auto"/>
            </w:tcBorders>
          </w:tcPr>
          <w:p>
            <w:pPr>
              <w:spacing w:after="0"/>
              <w:rPr>
                <w:sz w:val="16"/>
                <w:szCs w:val="16"/>
                <w:color w:val="auto"/>
              </w:rPr>
            </w:pPr>
          </w:p>
        </w:tc>
      </w:tr>
      <w:tr>
        <w:trPr>
          <w:trHeight w:val="192"/>
        </w:trPr>
        <w:tc>
          <w:tcPr>
            <w:tcW w:w="5740" w:type="dxa"/>
            <w:vAlign w:val="bottom"/>
          </w:tcPr>
          <w:p>
            <w:pPr>
              <w:spacing w:after="0"/>
              <w:rPr>
                <w:sz w:val="16"/>
                <w:szCs w:val="16"/>
                <w:color w:val="auto"/>
              </w:rPr>
            </w:pPr>
          </w:p>
        </w:tc>
        <w:tc>
          <w:tcPr>
            <w:tcW w:w="16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231F20"/>
              </w:rPr>
              <w:t>RSUs</w:t>
            </w:r>
          </w:p>
        </w:tc>
        <w:tc>
          <w:tcPr>
            <w:tcW w:w="15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231F20"/>
              </w:rPr>
              <w:t>PSUs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231F20"/>
              </w:rPr>
              <w:t>RSUs</w:t>
            </w:r>
          </w:p>
        </w:tc>
        <w:tc>
          <w:tcPr>
            <w:tcW w:w="260" w:type="dxa"/>
            <w:vAlign w:val="bottom"/>
          </w:tcPr>
          <w:p>
            <w:pPr>
              <w:spacing w:after="0"/>
              <w:rPr>
                <w:sz w:val="16"/>
                <w:szCs w:val="16"/>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231F20"/>
              </w:rPr>
              <w:t>PSUs</w:t>
            </w:r>
          </w:p>
        </w:tc>
      </w:tr>
      <w:tr>
        <w:trPr>
          <w:trHeight w:val="225"/>
        </w:trPr>
        <w:tc>
          <w:tcPr>
            <w:tcW w:w="5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Outstanding -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380,775</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975,000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11.39</w:t>
            </w:r>
          </w:p>
        </w:tc>
      </w:tr>
      <w:tr>
        <w:trPr>
          <w:trHeight w:val="225"/>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2,501,324</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1,488,770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10.02</w:t>
            </w:r>
          </w:p>
        </w:tc>
      </w:tr>
      <w:tr>
        <w:trPr>
          <w:trHeight w:val="225"/>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(122,952)</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25"/>
        </w:trPr>
        <w:tc>
          <w:tcPr>
            <w:tcW w:w="5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231F20"/>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(227,889)</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(209,738)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rPr>
              <w:t>15.76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rPr>
              <w:t>14.30</w:t>
            </w:r>
          </w:p>
        </w:tc>
      </w:tr>
      <w:tr>
        <w:trPr>
          <w:trHeight w:val="243"/>
        </w:trPr>
        <w:tc>
          <w:tcPr>
            <w:tcW w:w="5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Outstanding - June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2,531,258</w:t>
            </w:r>
          </w:p>
        </w:tc>
        <w:tc>
          <w:tcPr>
            <w:tcW w:w="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2,254,032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10.22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six months ended June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w w:val="99"/>
              </w:rPr>
              <w:t>Weighted Average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w w:val="99"/>
              </w:rPr>
              <w:t>Weighted Average</w:t>
            </w:r>
          </w:p>
        </w:tc>
        <w:tc>
          <w:tcPr>
            <w:tcW w:w="140" w:type="dxa"/>
            <w:vAlign w:val="bottom"/>
          </w:tcPr>
          <w:p>
            <w:pPr>
              <w:spacing w:after="0"/>
              <w:rPr>
                <w:sz w:val="13"/>
                <w:szCs w:val="13"/>
                <w:color w:val="auto"/>
              </w:rPr>
            </w:pPr>
          </w:p>
        </w:tc>
        <w:tc>
          <w:tcPr>
            <w:tcW w:w="13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231F20"/>
              </w:rPr>
              <w:t>Aggregate Intrinsic</w:t>
            </w: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5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231F20"/>
              </w:rPr>
              <w:t>Number of Options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231F20"/>
              </w:rPr>
              <w:t>Remaining Contractual</w:t>
            </w:r>
          </w:p>
        </w:tc>
        <w:tc>
          <w:tcPr>
            <w:tcW w:w="140" w:type="dxa"/>
            <w:vAlign w:val="bottom"/>
          </w:tcPr>
          <w:p>
            <w:pPr>
              <w:spacing w:after="0"/>
              <w:rPr>
                <w:sz w:val="12"/>
                <w:szCs w:val="12"/>
                <w:color w:val="auto"/>
              </w:rPr>
            </w:pPr>
          </w:p>
        </w:tc>
        <w:tc>
          <w:tcPr>
            <w:tcW w:w="136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231F20"/>
                <w:w w:val="97"/>
              </w:rPr>
              <w:t>Value</w:t>
            </w:r>
          </w:p>
        </w:tc>
        <w:tc>
          <w:tcPr>
            <w:tcW w:w="0" w:type="dxa"/>
            <w:vAlign w:val="bottom"/>
          </w:tcPr>
          <w:p>
            <w:pPr>
              <w:spacing w:after="0"/>
              <w:rPr>
                <w:sz w:val="1"/>
                <w:szCs w:val="1"/>
                <w:color w:val="auto"/>
              </w:rPr>
            </w:pPr>
          </w:p>
        </w:tc>
      </w:tr>
      <w:tr>
        <w:trPr>
          <w:trHeight w:val="191"/>
        </w:trPr>
        <w:tc>
          <w:tcPr>
            <w:tcW w:w="48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231F20"/>
                <w:w w:val="98"/>
              </w:rPr>
              <w:t>Exercise Price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Term (in years)</w:t>
            </w:r>
          </w:p>
        </w:tc>
        <w:tc>
          <w:tcPr>
            <w:tcW w:w="140" w:type="dxa"/>
            <w:vAlign w:val="bottom"/>
          </w:tcPr>
          <w:p>
            <w:pPr>
              <w:spacing w:after="0"/>
              <w:rPr>
                <w:sz w:val="16"/>
                <w:szCs w:val="16"/>
                <w:color w:val="auto"/>
              </w:rPr>
            </w:pPr>
          </w:p>
        </w:tc>
        <w:tc>
          <w:tcPr>
            <w:tcW w:w="13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Outstanding -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6,785,020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15.64</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22.68</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231F20"/>
              </w:rPr>
              <w:t>Unvested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(813,850)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rPr>
              <w:t>17.78</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Outstanding - June 30,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5,981,670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15.36</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(14,967)</w:t>
            </w: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Options Exercisable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1,227,750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13.45</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(727)</w:t>
            </w: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Options vested and expected to vest - June 30,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5,981,670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15.36</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(14,967)</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46" w:lineRule="exact"/>
        <w:rPr>
          <w:sz w:val="20"/>
          <w:szCs w:val="20"/>
          <w:color w:val="auto"/>
        </w:rPr>
      </w:pPr>
    </w:p>
    <w:p>
      <w:pPr>
        <w:jc w:val="both"/>
        <w:ind w:right="300" w:firstLine="318"/>
        <w:spacing w:after="0" w:line="259" w:lineRule="auto"/>
        <w:rPr>
          <w:sz w:val="20"/>
          <w:szCs w:val="20"/>
          <w:color w:val="auto"/>
        </w:rPr>
      </w:pPr>
      <w:r>
        <w:rPr>
          <w:rFonts w:ascii="Times New Roman" w:cs="Times New Roman" w:eastAsia="Times New Roman" w:hAnsi="Times New Roman"/>
          <w:sz w:val="18"/>
          <w:szCs w:val="18"/>
          <w:color w:val="231F20"/>
        </w:rPr>
        <w:t>From time to time the Company may be involved in claims, legal actions and governmental proceedings that arise from its business operations. As of June 30, 2022, the Company was not a party to any legal proceedings or threatened legal proceedings, the adverse outcome of which, individually or in the aggregate, that it believes would have a material adverse effect on its business, financial condition or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Concentrations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June 30, 2022, the Company had no customers that accounted for 10% or more of the Accounts receivable balance.</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December 31, 2021, the Company had no customers that accounted for 10% or more of the Accounts receivable balance.</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No single customer accounted for 10% or more of consolidated Net sales during the three and six months ended June 30, 2022 and June 30, 2021.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Related-Party Transactions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46"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spacing w:after="0" w:line="190"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Pursuant to the terms of the Registration Rights Agreement, (i) any outstanding share of Class A Common Stock or any other equity security (including the Private Placement Warrants and including shares of Class A Common Stock issued or issuable upon the exercise of any other equity security) of the Company held by the Sponsor or the HydraFacial Stockholders (together, the “Restricted Stockholders”) as of the date of the Registration Rights Agreement or thereafter acquired by a Restricted Stockholder (including the shares of Class A Common Stock issued upon conversion of the 11,500,000 Founder Shares that were owned by the Sponsor and converted to shares of Class A Common Stock prior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spacing w:after="0" w:line="201"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The Registration Rights Agreement provides that the Company will, within 60 days after the consummation of the Business Combination, file with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spacing w:after="0" w:line="21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Pursuant to the Registration Rights Agreement, the Sponsor agreed to restrictions on the transfer of their securities issued in the Company’s initial public offering, which (i) in the case of the Founder Shares is one year after the completion of the Business Combination unless (A) the closing price of the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common stock issuable upon the exercise thereof for 30 days following the Closing.</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246"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Amended and Restated Management Services Agreement</w:t>
      </w:r>
    </w:p>
    <w:p>
      <w:pPr>
        <w:spacing w:after="0" w:line="24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HydraFacial entered into a Management Services Agreement, dated December 1, 2016 with Linden Capital Partners III LP (“Linden Capital Partners III”) and DW Management Services, L.L.C. (“DW Management Services”) pursuant to which the parties receive quarterly monitoring fees of the greater of (a) $125,000 and (b) </w:t>
      </w:r>
      <w:r>
        <w:rPr>
          <w:rFonts w:ascii="Times New Roman" w:cs="Times New Roman" w:eastAsia="Times New Roman" w:hAnsi="Times New Roman"/>
          <w:sz w:val="18"/>
          <w:szCs w:val="18"/>
          <w:color w:val="231F20"/>
        </w:rPr>
        <w:t>1.25%</w:t>
      </w:r>
      <w:r>
        <w:rPr>
          <w:rFonts w:ascii="Times New Roman" w:cs="Times New Roman" w:eastAsia="Times New Roman" w:hAnsi="Times New Roman"/>
          <w:sz w:val="18"/>
          <w:szCs w:val="18"/>
          <w:color w:val="auto"/>
        </w:rPr>
        <w:t xml:space="preserve"> of Last Twelve Months EBITDA multiplied by the quotient of (x) the aggregate capital invested by the investors of DW Healthcare Partners IV (B), L.P. (“DWHP Investors”) into LCP and/or its subsidiaries as of such date, divided by (y) the sum of (i) the aggregate capital invested by the DWHP Investors into LCP and/or its subsidiaries, plus (ii) the aggregate capital invested by Linden Capital Partners III into LCP and/or its subsidiaries as of the date of payment. In addition, the management services agreement provides for other fees in relation to services that may be provided in connection with equity and/or debt financing, acquisition of any other business, company, product line or enterprise, or divestiture of any division, business, and product or material assets. The fees vary between </w:t>
      </w:r>
      <w:r>
        <w:rPr>
          <w:rFonts w:ascii="Times New Roman" w:cs="Times New Roman" w:eastAsia="Times New Roman" w:hAnsi="Times New Roman"/>
          <w:sz w:val="18"/>
          <w:szCs w:val="18"/>
          <w:color w:val="231F20"/>
        </w:rPr>
        <w:t>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31F20"/>
        </w:rPr>
        <w:t>2%</w:t>
      </w:r>
      <w:r>
        <w:rPr>
          <w:rFonts w:ascii="Times New Roman" w:cs="Times New Roman" w:eastAsia="Times New Roman" w:hAnsi="Times New Roman"/>
          <w:sz w:val="18"/>
          <w:szCs w:val="18"/>
          <w:color w:val="auto"/>
        </w:rPr>
        <w:t xml:space="preserve"> of the related transaction amount. Linden Capital Partners III also received a transaction fee upon the consummation of the Business Combination.</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connection with the consummation of the Business Combination, on May 4, 2021, the Company, its subsidiary, Edge Systems LLC, and Linden Capital</w:t>
      </w:r>
    </w:p>
    <w:p>
      <w:pPr>
        <w:spacing w:after="0" w:line="36" w:lineRule="exact"/>
        <w:rPr>
          <w:sz w:val="20"/>
          <w:szCs w:val="20"/>
          <w:color w:val="auto"/>
        </w:rPr>
      </w:pPr>
    </w:p>
    <w:p>
      <w:pPr>
        <w:ind w:right="40" w:firstLine="6"/>
        <w:spacing w:after="0" w:line="246" w:lineRule="auto"/>
        <w:tabs>
          <w:tab w:leader="none" w:pos="2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the general partner of Linden Manager III LP (the “Linden Manager”) entered into an Amended and Restated Management Services Agreement (the “Linden Management Services Agreement”) pursuant to which the Linden Manager may continue to provide advisory services at the request of the Company related to mergers and acquisitions for one year following the Business Combination. As consideration for such services, the Company will pay a fee, equal to 1% of enterprise value of the target acquired, to the Linden Manager upon the consummation of any such transaction (the “1% Fee”). The Company has also agreed to reimburse Linden Manager for certain expenses in connection with such advisory services. However, pursuant to the Linden Management Services Agreement, the Company’s obligation to pay the 1% Pursuant to the terms of the agreement, the fee expired twelve months after the consummation of the Business Combination on May 4, 2022.</w:t>
      </w:r>
    </w:p>
    <w:p>
      <w:pPr>
        <w:spacing w:after="0" w:line="218"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231F20"/>
        </w:rPr>
        <w:t>HydraFacial recorded approximately $0.1 million of charges related to management services fees for the six months ended June 30, 2021. There were no management fees during the three and six months ended June 30, 2022. These amounts are included in General and administrative expenses on the Company’s Consolidated Statements of Comprehensive Income (Loss). In relation to the consummation of the Business Combination, $21.0 million in transaction fees was paid to the Former Parent. These amounts are included in General and administrative expenses on the Company’s Consolidated Statements of Comprehensive Income (Loss).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Miami Beach Office</w:t>
      </w:r>
    </w:p>
    <w:p>
      <w:pPr>
        <w:spacing w:after="0" w:line="246" w:lineRule="exact"/>
        <w:rPr>
          <w:sz w:val="20"/>
          <w:szCs w:val="20"/>
          <w:color w:val="auto"/>
        </w:rPr>
      </w:pPr>
    </w:p>
    <w:p>
      <w:pPr>
        <w:jc w:val="both"/>
        <w:ind w:right="220" w:firstLine="318"/>
        <w:spacing w:after="0" w:line="259" w:lineRule="auto"/>
        <w:rPr>
          <w:sz w:val="20"/>
          <w:szCs w:val="20"/>
          <w:color w:val="auto"/>
        </w:rPr>
      </w:pPr>
      <w:r>
        <w:rPr>
          <w:rFonts w:ascii="Times New Roman" w:cs="Times New Roman" w:eastAsia="Times New Roman" w:hAnsi="Times New Roman"/>
          <w:sz w:val="18"/>
          <w:szCs w:val="18"/>
          <w:color w:val="231F20"/>
        </w:rPr>
        <w:t>The Company maintains an office in Miami Beach, Florida, whereby the Company, on a monthly basis, reimburses an entity owned by the Company’s Executive Chairman that makes such office available to the Company for its employees and affiliates. Expense for this property was not material for the six months ended June 30, 2022. No such expenses existed for the six months ended June 30, 2021.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Stockholders’ Deficit</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48"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231F20"/>
        </w:rPr>
        <w:t xml:space="preserve">The Company is authorized to issue 320,000,000 shares of Class A Common Stock, par value of $0.0001 per share. Holders of Class A Common Stock are entitled to </w:t>
      </w:r>
      <w:r>
        <w:rPr>
          <w:rFonts w:ascii="Times New Roman" w:cs="Times New Roman" w:eastAsia="Times New Roman" w:hAnsi="Times New Roman"/>
          <w:sz w:val="18"/>
          <w:szCs w:val="18"/>
          <w:color w:val="000000"/>
        </w:rPr>
        <w:t>one</w:t>
      </w:r>
      <w:r>
        <w:rPr>
          <w:rFonts w:ascii="Times New Roman" w:cs="Times New Roman" w:eastAsia="Times New Roman" w:hAnsi="Times New Roman"/>
          <w:sz w:val="18"/>
          <w:szCs w:val="18"/>
          <w:color w:val="231F20"/>
        </w:rPr>
        <w:t xml:space="preserve"> vote for each share. As of June 30, 2022 and December 31, 2021, there were 150,855,025 and 150,598,047, respectively, of Class A Common Stock issued and outstanding. The Class A Common Stock is entitled t</w:t>
      </w:r>
      <w:r>
        <w:rPr>
          <w:rFonts w:ascii="Times New Roman" w:cs="Times New Roman" w:eastAsia="Times New Roman" w:hAnsi="Times New Roman"/>
          <w:sz w:val="18"/>
          <w:szCs w:val="18"/>
          <w:color w:val="000000"/>
        </w:rPr>
        <w:t>o one vote pe</w:t>
      </w:r>
      <w:r>
        <w:rPr>
          <w:rFonts w:ascii="Times New Roman" w:cs="Times New Roman" w:eastAsia="Times New Roman" w:hAnsi="Times New Roman"/>
          <w:sz w:val="18"/>
          <w:szCs w:val="18"/>
          <w:color w:val="231F20"/>
        </w:rPr>
        <w:t>r share and all shares are outstanding. The Company has not declared or paid any dividends with respect to its Class A Common Stock</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on May 4, 2021, the Company issued 35,000,000 shares of Class A Common Stock to certain qualified institutional buyers and accredited investors that agreed to purchase such shares in connection with the Business Combination for aggregate consideration of $350 million. The Company also issued 35,501,743 shares of Class A Common Stock as partial compensation to the HydraFacial Stockholders for the Business Combination.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48"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Company is authorized to issue 1,000,000 shares of preferred stock with a par value of $0.0001 per share with such designations, voting and other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rights and preferences as may be determined from time to time by the Company’s board of directors. At June 30, 2022 and </w:t>
      </w:r>
      <w:r>
        <w:rPr>
          <w:rFonts w:ascii="Times New Roman" w:cs="Times New Roman" w:eastAsia="Times New Roman" w:hAnsi="Times New Roman"/>
          <w:sz w:val="18"/>
          <w:szCs w:val="18"/>
          <w:color w:val="231F20"/>
        </w:rPr>
        <w:t>December 31, 2021</w:t>
      </w:r>
      <w:r>
        <w:rPr>
          <w:rFonts w:ascii="Times New Roman" w:cs="Times New Roman" w:eastAsia="Times New Roman" w:hAnsi="Times New Roman"/>
          <w:sz w:val="18"/>
          <w:szCs w:val="18"/>
          <w:color w:val="000000"/>
        </w:rPr>
        <w:t>, there were no shares of preferred stock issued or outstanding.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46"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231F20"/>
        </w:rPr>
        <w:t>The Company manages its business on the basis of one operating segment and one reportable segment. As a result, the chief operating decision maker, who is the Chief Executive Officer, decides how to allocate resources and assess performance, reviews financial information presented on a consolidated basis for purposes of making operating decisions, allocates resources and evaluates financial performance.</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Net sales by geographic region were as follows for the periods indicated:</w:t>
      </w:r>
    </w:p>
    <w:p>
      <w:pPr>
        <w:sectPr>
          <w:pgSz w:w="11900" w:h="16838" w:orient="portrait"/>
          <w:cols w:equalWidth="0" w:num="1">
            <w:col w:w="11240"/>
          </w:cols>
          <w:pgMar w:left="320" w:top="121" w:right="339" w:bottom="1440" w:gutter="0" w:footer="0" w:header="0"/>
        </w:sectPr>
      </w:pP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Americas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Asia-Pacific</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Europe, the Middle East and Africa</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Total net sales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r>
      <w:tr>
        <w:trPr>
          <w:trHeight w:val="24"/>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231F20"/>
              </w:rPr>
              <w:t>2021</w:t>
            </w:r>
          </w:p>
        </w:tc>
      </w:tr>
      <w:tr>
        <w:trPr>
          <w:trHeight w:val="220"/>
        </w:trPr>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75,354</w:t>
            </w:r>
          </w:p>
        </w:tc>
        <w:tc>
          <w:tcPr>
            <w:tcW w:w="80" w:type="dxa"/>
            <w:vAlign w:val="bottom"/>
          </w:tcPr>
          <w:p>
            <w:pPr>
              <w:spacing w:after="0"/>
              <w:rPr>
                <w:sz w:val="19"/>
                <w:szCs w:val="19"/>
                <w:color w:val="auto"/>
              </w:rPr>
            </w:pPr>
          </w:p>
        </w:tc>
        <w:tc>
          <w:tcPr>
            <w:tcW w:w="88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2"/>
              </w:rPr>
              <w:t>42,660</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119,960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73,940</w:t>
            </w:r>
          </w:p>
        </w:tc>
      </w:tr>
      <w:tr>
        <w:trPr>
          <w:trHeight w:val="225"/>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10,386</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2"/>
              </w:rPr>
              <w:t>12,440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21,231</w:t>
            </w:r>
          </w:p>
        </w:tc>
      </w:tr>
      <w:tr>
        <w:trPr>
          <w:trHeight w:val="230"/>
        </w:trPr>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17,796</w:t>
            </w:r>
          </w:p>
        </w:tc>
        <w:tc>
          <w:tcPr>
            <w:tcW w:w="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92"/>
              </w:rPr>
              <w:t>11,408</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35,704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18,879</w:t>
            </w:r>
          </w:p>
        </w:tc>
      </w:tr>
      <w:tr>
        <w:trPr>
          <w:trHeight w:val="219"/>
        </w:trPr>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103,536</w:t>
            </w: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92"/>
              </w:rPr>
              <w:t>66,508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178,951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114,050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-621665</wp:posOffset>
            </wp:positionV>
            <wp:extent cx="7134860" cy="151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-327660</wp:posOffset>
            </wp:positionV>
            <wp:extent cx="7134860"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720"/>
            <w:col w:w="6000"/>
          </w:cols>
          <w:pgMar w:left="320" w:top="121" w:right="339" w:bottom="1440" w:gutter="0" w:footer="0" w:header="0"/>
          <w:type w:val="continuous"/>
        </w:sectPr>
      </w:pP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June 30, 2022 and December 31, 2021 substantially all of the Company’s property, plant and equipment were held in the United States.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Net Income (Loss) Attributable to Common Shareholders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table sets forth the calculation of both basic and diluted net income (loss) per share as follows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240" w:type="dxa"/>
            <w:vAlign w:val="bottom"/>
          </w:tcPr>
          <w:p>
            <w:pPr>
              <w:spacing w:after="0"/>
              <w:rPr>
                <w:sz w:val="16"/>
                <w:szCs w:val="16"/>
                <w:color w:val="auto"/>
              </w:rPr>
            </w:pPr>
          </w:p>
        </w:tc>
        <w:tc>
          <w:tcPr>
            <w:tcW w:w="248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0" w:type="dxa"/>
            <w:vAlign w:val="bottom"/>
          </w:tcPr>
          <w:p>
            <w:pPr>
              <w:spacing w:after="0"/>
              <w:rPr>
                <w:sz w:val="1"/>
                <w:szCs w:val="1"/>
                <w:color w:val="auto"/>
              </w:rPr>
            </w:pPr>
          </w:p>
        </w:tc>
      </w:tr>
      <w:tr>
        <w:trPr>
          <w:trHeight w:val="24"/>
        </w:trPr>
        <w:tc>
          <w:tcPr>
            <w:tcW w:w="5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 except share and per share amounts)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31"/>
        </w:trPr>
        <w:tc>
          <w:tcPr>
            <w:tcW w:w="5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Net income (loss) available to common shareholders - basic</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7,931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(139,378)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40,438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(142,652)</w:t>
            </w:r>
          </w:p>
        </w:tc>
        <w:tc>
          <w:tcPr>
            <w:tcW w:w="0" w:type="dxa"/>
            <w:vAlign w:val="bottom"/>
          </w:tcPr>
          <w:p>
            <w:pPr>
              <w:spacing w:after="0"/>
              <w:rPr>
                <w:sz w:val="1"/>
                <w:szCs w:val="1"/>
                <w:color w:val="auto"/>
              </w:rPr>
            </w:pPr>
          </w:p>
        </w:tc>
      </w:tr>
      <w:tr>
        <w:trPr>
          <w:trHeight w:val="225"/>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Plus: Income on Private placement warrants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(67,237)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44"/>
        </w:trPr>
        <w:tc>
          <w:tcPr>
            <w:tcW w:w="57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Net income (loss) available to common shareholders - diluted</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(139,378)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(142,652)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Weighted average common shares outstanding - basic</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150,731,491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91,798,837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150,665,166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63,805,807</w:t>
            </w:r>
          </w:p>
        </w:tc>
        <w:tc>
          <w:tcPr>
            <w:tcW w:w="0" w:type="dxa"/>
            <w:vAlign w:val="bottom"/>
          </w:tcPr>
          <w:p>
            <w:pPr>
              <w:spacing w:after="0"/>
              <w:rPr>
                <w:sz w:val="1"/>
                <w:szCs w:val="1"/>
                <w:color w:val="auto"/>
              </w:rPr>
            </w:pPr>
          </w:p>
        </w:tc>
      </w:tr>
      <w:tr>
        <w:trPr>
          <w:trHeight w:val="225"/>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Effect of dilutive shares: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231F20"/>
              </w:rPr>
              <w:t>Private placement warrants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987,960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1,609,228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9"/>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Weighted average common shares outstanding - diluted</w:t>
            </w: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151,719,451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91,798,837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152,274,394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63,805,807</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Basic net income (loss) per share: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0.05</w:t>
            </w:r>
          </w:p>
        </w:tc>
        <w:tc>
          <w:tcPr>
            <w:tcW w:w="100" w:type="dxa"/>
            <w:vAlign w:val="bottom"/>
          </w:tcPr>
          <w:p>
            <w:pPr>
              <w:spacing w:after="0"/>
              <w:rPr>
                <w:sz w:val="23"/>
                <w:szCs w:val="23"/>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(1.52)</w:t>
            </w:r>
          </w:p>
        </w:tc>
        <w:tc>
          <w:tcPr>
            <w:tcW w:w="80" w:type="dxa"/>
            <w:vAlign w:val="bottom"/>
          </w:tcPr>
          <w:p>
            <w:pPr>
              <w:spacing w:after="0"/>
              <w:rPr>
                <w:sz w:val="23"/>
                <w:szCs w:val="23"/>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0.27</w:t>
            </w:r>
          </w:p>
        </w:tc>
        <w:tc>
          <w:tcPr>
            <w:tcW w:w="100" w:type="dxa"/>
            <w:vAlign w:val="bottom"/>
          </w:tcPr>
          <w:p>
            <w:pPr>
              <w:spacing w:after="0"/>
              <w:rPr>
                <w:sz w:val="23"/>
                <w:szCs w:val="23"/>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(2.24)</w:t>
            </w:r>
          </w:p>
        </w:tc>
        <w:tc>
          <w:tcPr>
            <w:tcW w:w="0" w:type="dxa"/>
            <w:vAlign w:val="bottom"/>
          </w:tcPr>
          <w:p>
            <w:pPr>
              <w:spacing w:after="0"/>
              <w:rPr>
                <w:sz w:val="1"/>
                <w:szCs w:val="1"/>
                <w:color w:val="auto"/>
              </w:rPr>
            </w:pPr>
          </w:p>
        </w:tc>
      </w:tr>
      <w:tr>
        <w:trPr>
          <w:trHeight w:val="265"/>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Diluted net income (loss) per share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(1.52)</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(2.24)</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right="400" w:firstLine="318"/>
        <w:spacing w:after="0" w:line="257" w:lineRule="auto"/>
        <w:rPr>
          <w:sz w:val="20"/>
          <w:szCs w:val="20"/>
          <w:color w:val="auto"/>
        </w:rPr>
      </w:pPr>
      <w:r>
        <w:rPr>
          <w:rFonts w:ascii="Times New Roman" w:cs="Times New Roman" w:eastAsia="Times New Roman" w:hAnsi="Times New Roman"/>
          <w:sz w:val="18"/>
          <w:szCs w:val="18"/>
          <w:color w:val="auto"/>
        </w:rPr>
        <w:t>The following shares have been excluded from the calculation of the weighted average diluted shares outstanding as the effect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8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268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r>
      <w:tr>
        <w:trPr>
          <w:trHeight w:val="24"/>
        </w:trPr>
        <w:tc>
          <w:tcPr>
            <w:tcW w:w="57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57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231F20"/>
              </w:rPr>
              <w:t>2021</w:t>
            </w:r>
          </w:p>
        </w:tc>
      </w:tr>
      <w:tr>
        <w:trPr>
          <w:trHeight w:val="225"/>
        </w:trPr>
        <w:tc>
          <w:tcPr>
            <w:tcW w:w="5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Convertible Notes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23,614,425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23,614,425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RSUs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2,531,258</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2,531,258</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PSUs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2,254,032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129,231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2,254,032</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64,972</w:t>
            </w:r>
          </w:p>
        </w:tc>
      </w:tr>
      <w:tr>
        <w:trPr>
          <w:trHeight w:val="225"/>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5,981,670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4,769,062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5,981,670</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2,411,280</w:t>
            </w:r>
          </w:p>
        </w:tc>
      </w:tr>
      <w:tr>
        <w:trPr>
          <w:trHeight w:val="225"/>
        </w:trPr>
        <w:tc>
          <w:tcPr>
            <w:tcW w:w="5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Public and Private Warrants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15,450,549</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7,767,956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231F20"/>
        </w:rPr>
        <w:t>Other than as disclosed elsewhere, no subsequent events have occurred that would require recognition in the condensed consolidated financial statements or disclosure in the accompanying notes.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6"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This Quarterly Report contains “forward looking statements” within the meaning of the “safe harbor” provisions of the United States Private Securities Litigation Reform Act of 1995. When used in this Quarterly Report,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207"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not guarantees of future performance, conditions or results, and involve a number of known and unknown risks, uncertainties, assumptions and other important factors, many of which are outside The Beauty Health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w:t>
      </w:r>
    </w:p>
    <w:p>
      <w:pPr>
        <w:spacing w:after="0" w:line="207"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the inability to recognize the anticipated benefits of the Business Combination; costs related to the Business Combination; The Beauty Health Company’s availability of cash for debt service and exposure to risk of default under debt obligations; The Beauty Health Company’s ability to manage growth; The Beauty Health Company’s ability to execute its business plan; potential litigation involving The Beauty Health Company; changes in applicable laws or regulations; the possibility that The Beauty Health Company may be adversely affected by other economic, business, and/or competitive factors; and the impact of the continuing COVID-19 pandemic on our business. The Beauty Health Company does not undertake any obligation to update or revise any forward-looking statements, whether as a result of new information, future events or otherwise, except as required by law.</w:t>
      </w:r>
    </w:p>
    <w:p>
      <w:pPr>
        <w:spacing w:after="0" w:line="213" w:lineRule="exact"/>
        <w:rPr>
          <w:sz w:val="20"/>
          <w:szCs w:val="20"/>
          <w:color w:val="auto"/>
        </w:rPr>
      </w:pPr>
    </w:p>
    <w:p>
      <w:pPr>
        <w:ind w:right="100" w:firstLine="318"/>
        <w:spacing w:after="0" w:line="266"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in conjunction with our condensed consolidated financial statements and related notes appearing elsewhere in this Quarterly Report on Form 10-Q, in our Quarterly Report on Form 10-Q for the quarter ended March 31, 2022 filed with the U.S. Securities and Exchange Commission (SEC) on May 10, 2022 and also with our audited consolidated financial statements and notes thereto included in our Annual Report on Form 10-K for the fiscal year ended December 31, 2021 filed with the SEC on March 1, 2022.</w:t>
      </w:r>
    </w:p>
    <w:p>
      <w:pPr>
        <w:spacing w:after="0" w:line="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Unless the context otherwise requires, references to “</w:t>
      </w:r>
      <w:r>
        <w:rPr>
          <w:rFonts w:ascii="Times New Roman" w:cs="Times New Roman" w:eastAsia="Times New Roman" w:hAnsi="Times New Roman"/>
          <w:sz w:val="18"/>
          <w:szCs w:val="18"/>
          <w:i w:val="1"/>
          <w:iCs w:val="1"/>
          <w:color w:val="auto"/>
        </w:rPr>
        <w:t>HydraFacial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in this section are intended to mean the business and operations of The Beauty Health Company and its consolidated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46"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The Beauty Health Company is a global category-creating company focused on delivering beauty health experiences by reinventing our consumer’s relationship with their skin, their bodies and their self-confidence. Our flagship brand, HydraFacial, created the category of hydradermabrasion by using a patented Vortex-Fusion Delivery System to cleanse, peel, exfoliate, extract, infuse, and hydrate the skin with proprietary solutions and serums. HydraFacial provides a non-invasive and approachable experience with a powerful community of a/estheticians, consumers and partners, bridging medical skin correction to traditional over-the-counter beauty. Our vision is to expand our platform and connected community of providers, consumers, brand partners, and retail partners to democratize and personalize beauty health solutions across ages, genders, skin tones, and skin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Market Trends</w:t>
      </w:r>
    </w:p>
    <w:p>
      <w:pPr>
        <w:spacing w:after="0" w:line="24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231F20"/>
        </w:rPr>
        <w:t>HydraFacial is a pioneer in the attractive and growing beauty-health industry and there are several emerging market trends that we believe will play a key role in shaping the future of this industry. Recent growth in the skincare industry has been driven by an emphasis on skincare rather than cosmetics and HydraFacial is poised to capture a larger share of wallet from consumers. Further, HydraFacial’s market research conducted in 2019 demonstrated that consumers are increasingly willing to spend on high-end beauty health products. To the extent disposable income grows, we expect impacts of this trend to be amplified. We believe these favorable market trends will continue and strengthen going forward. However, we operate in the beauty health industry, which is highly competitive and changes rapidly. Our operating results could be significantly affected by our ability to develop new products and find new distribution channels for new and existing product.</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w:t>
      </w:r>
    </w:p>
    <w:p>
      <w:pPr>
        <w:spacing w:after="0" w:line="248" w:lineRule="exact"/>
        <w:rPr>
          <w:sz w:val="20"/>
          <w:szCs w:val="20"/>
          <w:color w:val="auto"/>
        </w:rPr>
      </w:pPr>
    </w:p>
    <w:p>
      <w:pPr>
        <w:ind w:right="100" w:firstLine="318"/>
        <w:spacing w:after="0" w:line="304" w:lineRule="auto"/>
        <w:rPr>
          <w:sz w:val="20"/>
          <w:szCs w:val="20"/>
          <w:color w:val="auto"/>
        </w:rPr>
      </w:pPr>
      <w:r>
        <w:rPr>
          <w:rFonts w:ascii="Times New Roman" w:cs="Times New Roman" w:eastAsia="Times New Roman" w:hAnsi="Times New Roman"/>
          <w:sz w:val="17"/>
          <w:szCs w:val="17"/>
          <w:color w:val="231F20"/>
        </w:rPr>
        <w:t>The COVID-19 pandemic has had, and may continue to have, adverse impacts on our business. Most markets have recently shown encouraging signs of emergence from the pandemic; however, sporadic containment measures and travel restrictions continue to impact volume trends in certain markets.</w:t>
      </w:r>
    </w:p>
    <w:p>
      <w:pPr>
        <w:spacing w:after="0" w:line="167"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231F20"/>
        </w:rPr>
        <w:t>As previously reported, we have implemented several key measures in response to the COVID-19 pandemic which continue to be in place. We have also amplified our measures to address the potentially longer-lasting impacts of the COVID-19 pandemic, the intermittent lockdowns and possible economic uncertainty resulting from COVID-19 that continue in many markets. We anticipate the recovery to be non-linear until COVID-19 containment measures are discontinued across all regions and normal consumer traffic resumes on a consistent basis. We currently expect that any easing of containment measures and recovery of the impacted sectors of the economy will be gradual and uneven, as regions face resurgence of COVID-19 and related uncertainties, and the availability and widespread distribution of a safe and effective vaccine varies across regions. As a result, we anticipate that consumer spending habits and consumer confidence will continue to shift, causing future sales and volume trends to be non-linear.</w:t>
      </w:r>
    </w:p>
    <w:p>
      <w:pPr>
        <w:spacing w:after="0" w:line="213" w:lineRule="exact"/>
        <w:rPr>
          <w:sz w:val="20"/>
          <w:szCs w:val="20"/>
          <w:color w:val="auto"/>
        </w:rPr>
      </w:pPr>
    </w:p>
    <w:p>
      <w:pPr>
        <w:jc w:val="both"/>
        <w:ind w:right="440" w:firstLine="318"/>
        <w:spacing w:after="0" w:line="259" w:lineRule="auto"/>
        <w:rPr>
          <w:sz w:val="20"/>
          <w:szCs w:val="20"/>
          <w:color w:val="auto"/>
        </w:rPr>
      </w:pPr>
      <w:r>
        <w:rPr>
          <w:rFonts w:ascii="Times New Roman" w:cs="Times New Roman" w:eastAsia="Times New Roman" w:hAnsi="Times New Roman"/>
          <w:sz w:val="18"/>
          <w:szCs w:val="18"/>
          <w:color w:val="auto"/>
        </w:rPr>
        <w:t>Furthermore, the extent to which the COVID-19 pandemic impacts our business going forward will depend on numerous factors we cannot reliably predict, including the duration and scope of the pandemic; businesses and individuals’ actions in response to the pandemic; and the impact on economic activity including the possibility of recession or financial market instability.</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Demographics</w:t>
      </w:r>
    </w:p>
    <w:p>
      <w:pPr>
        <w:spacing w:after="0" w:line="234" w:lineRule="exact"/>
        <w:rPr>
          <w:sz w:val="20"/>
          <w:szCs w:val="20"/>
          <w:color w:val="auto"/>
        </w:rPr>
      </w:pPr>
    </w:p>
    <w:p>
      <w:pPr>
        <w:ind w:firstLine="318"/>
        <w:spacing w:after="0" w:line="236" w:lineRule="auto"/>
        <w:rPr>
          <w:sz w:val="20"/>
          <w:szCs w:val="20"/>
          <w:color w:val="auto"/>
        </w:rPr>
      </w:pPr>
      <w:r>
        <w:rPr>
          <w:rFonts w:ascii="Times New Roman" w:cs="Times New Roman" w:eastAsia="Times New Roman" w:hAnsi="Times New Roman"/>
          <w:sz w:val="18"/>
          <w:szCs w:val="18"/>
          <w:color w:val="231F20"/>
        </w:rPr>
        <w:t>HydraFacial benefits from a large, young and diverse customer base and the ability to serve a large percentage of the population given that HydraFacial’s patented technology addresses all skin, regardless of type, tone, age or gender. At the intersection of the medical and consumer retail markets, the large potential customer base should provide significant upside to drive top-line growth. HydraFacial over indexes with males, significantly increasing the Total Addressable Market (TAM) compared to its peers. Based on a survey we conducted in 2022, we believe HydraFacial resonates strongly with Gen Z and Millennials, with over 50% of our consumers being 37 years old or younger. Millennial and Gen Z consumers appear to be taking skincare more seriously and are willing to invest in treatments such as those offered by HydraFacial.</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Marketing</w:t>
      </w:r>
    </w:p>
    <w:p>
      <w:pPr>
        <w:spacing w:after="0" w:line="248"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231F20"/>
        </w:rPr>
        <w:t>Effective marketing is vital to our ability to drive growth. We plan to further our successful demand-generating activities through educational campaigns that focus on our brand, values, and quality, as well as enhancing our digitally integrated media campaigns.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Innovation</w:t>
      </w:r>
    </w:p>
    <w:p>
      <w:pPr>
        <w:spacing w:after="0" w:line="248" w:lineRule="exact"/>
        <w:rPr>
          <w:sz w:val="20"/>
          <w:szCs w:val="20"/>
          <w:color w:val="auto"/>
        </w:rPr>
      </w:pPr>
    </w:p>
    <w:p>
      <w:pPr>
        <w:ind w:right="380" w:firstLine="318"/>
        <w:spacing w:after="0" w:line="304" w:lineRule="auto"/>
        <w:rPr>
          <w:sz w:val="20"/>
          <w:szCs w:val="20"/>
          <w:color w:val="auto"/>
        </w:rPr>
      </w:pPr>
      <w:r>
        <w:rPr>
          <w:rFonts w:ascii="Times New Roman" w:cs="Times New Roman" w:eastAsia="Times New Roman" w:hAnsi="Times New Roman"/>
          <w:sz w:val="17"/>
          <w:szCs w:val="17"/>
          <w:color w:val="231F20"/>
        </w:rPr>
        <w:t>Our strategy involves innovating our current product offering while also diversifying into attractive adjacent categories where we can leverage our strengths, capabilities and community. We intend to maintain investment in research and development to stay at the forefront of cutting-edge technology.</w:t>
      </w:r>
    </w:p>
    <w:p>
      <w:pPr>
        <w:spacing w:after="0" w:line="200" w:lineRule="exact"/>
        <w:rPr>
          <w:sz w:val="20"/>
          <w:szCs w:val="20"/>
          <w:color w:val="auto"/>
        </w:rPr>
      </w:pPr>
    </w:p>
    <w:p>
      <w:pPr>
        <w:spacing w:after="0" w:line="3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Technology</w:t>
      </w:r>
    </w:p>
    <w:p>
      <w:pPr>
        <w:spacing w:after="0" w:line="248"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231F20"/>
        </w:rPr>
        <w:t>Our investments in technology enhance the HydraFacial experience for consumers while capturing valuable and leverageable data. As we expand our capabilities, we hope to enable the world’s largest skin health database. We believe this data will allow us to drive habituation by enhancing personalization, access, trend identification and consumer education.</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Geographic Expansion</w:t>
      </w:r>
    </w:p>
    <w:p>
      <w:pPr>
        <w:spacing w:after="0" w:line="248"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231F20"/>
        </w:rPr>
        <w:t>HydraFacial’s recent growth has been driven in part by our international strategy. 27% of HydraFacial’s total revenue during the second quarter of fiscal year 2022 came from outside the United States and Canada. Our diverse distribution channels create a significant opportunity within our existing retail and wholesale channels, as well as new locations abroad. We plan to expand our global footprint, building out our team and infrastructure for further penetration across Asia, Europe and Latin America.</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Regulation</w:t>
      </w:r>
    </w:p>
    <w:p>
      <w:pPr>
        <w:spacing w:after="0" w:line="248"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231F20"/>
        </w:rPr>
        <w:t>It remains unclear how governmental authorities, including the Food and Drug Administration (“FDA”) and foreign government authorities, will regulate the products that we sell, and in the case of the FDA, whether and when it will propose or implement new or additional regulations. Unforeseen regulatory obstacles or compliance costs may hinder our business in both the short and long-term as well.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46" w:lineRule="exact"/>
        <w:rPr>
          <w:sz w:val="20"/>
          <w:szCs w:val="20"/>
          <w:color w:val="auto"/>
        </w:rPr>
      </w:pPr>
    </w:p>
    <w:p>
      <w:pPr>
        <w:ind w:right="140" w:firstLine="318"/>
        <w:spacing w:after="0" w:line="280" w:lineRule="auto"/>
        <w:rPr>
          <w:sz w:val="20"/>
          <w:szCs w:val="20"/>
          <w:color w:val="auto"/>
        </w:rPr>
      </w:pPr>
      <w:r>
        <w:rPr>
          <w:rFonts w:ascii="Times New Roman" w:cs="Times New Roman" w:eastAsia="Times New Roman" w:hAnsi="Times New Roman"/>
          <w:sz w:val="17"/>
          <w:szCs w:val="17"/>
          <w:color w:val="231F20"/>
        </w:rPr>
        <w:t>In addition to the measures presented in our consolidated financial statements, we use the following key operational and business metrics to evaluate our business, measure our performance, develop financial forecasts, and make strategic decisions. Amounts and percentages may not foot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8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0" w:type="dxa"/>
            <w:vAlign w:val="bottom"/>
          </w:tcPr>
          <w:p>
            <w:pPr>
              <w:spacing w:after="0"/>
              <w:rPr>
                <w:sz w:val="1"/>
                <w:szCs w:val="1"/>
                <w:color w:val="auto"/>
              </w:rPr>
            </w:pPr>
          </w:p>
        </w:tc>
      </w:tr>
      <w:tr>
        <w:trPr>
          <w:trHeight w:val="24"/>
        </w:trPr>
        <w:tc>
          <w:tcPr>
            <w:tcW w:w="48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(dollars in millions)</w:t>
            </w: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45"/>
        </w:trPr>
        <w:tc>
          <w:tcPr>
            <w:tcW w:w="48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Delivery Systems net sales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106.4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60.6</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Consumables net sales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38.8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31.6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53.4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net sales</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103.5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179.0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114.1</w:t>
            </w:r>
          </w:p>
        </w:tc>
        <w:tc>
          <w:tcPr>
            <w:tcW w:w="0" w:type="dxa"/>
            <w:vAlign w:val="bottom"/>
          </w:tcPr>
          <w:p>
            <w:pPr>
              <w:spacing w:after="0"/>
              <w:rPr>
                <w:sz w:val="1"/>
                <w:szCs w:val="1"/>
                <w:color w:val="auto"/>
              </w:rPr>
            </w:pPr>
          </w:p>
        </w:tc>
      </w:tr>
      <w:tr>
        <w:trPr>
          <w:trHeight w:val="218"/>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Gross profit</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71.7</w:t>
            </w:r>
          </w:p>
        </w:tc>
        <w:tc>
          <w:tcPr>
            <w:tcW w:w="100" w:type="dxa"/>
            <w:vAlign w:val="bottom"/>
          </w:tcPr>
          <w:p>
            <w:pPr>
              <w:spacing w:after="0"/>
              <w:rPr>
                <w:sz w:val="19"/>
                <w:szCs w:val="19"/>
                <w:color w:val="auto"/>
              </w:rPr>
            </w:pP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47.3</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123.6</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79.0</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Gross margin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231F20"/>
                <w:w w:val="94"/>
              </w:rPr>
              <w:t>69.2%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231F20"/>
                <w:w w:val="94"/>
              </w:rPr>
              <w:t>71.0%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231F20"/>
              </w:rPr>
              <w:t>69.1%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231F20"/>
                <w:w w:val="98"/>
              </w:rPr>
              <w:t>69.3%</w:t>
            </w:r>
          </w:p>
        </w:tc>
        <w:tc>
          <w:tcPr>
            <w:tcW w:w="0" w:type="dxa"/>
            <w:vAlign w:val="bottom"/>
          </w:tcPr>
          <w:p>
            <w:pPr>
              <w:spacing w:after="0"/>
              <w:rPr>
                <w:sz w:val="1"/>
                <w:szCs w:val="1"/>
                <w:color w:val="auto"/>
              </w:rPr>
            </w:pPr>
          </w:p>
        </w:tc>
      </w:tr>
      <w:tr>
        <w:trPr>
          <w:trHeight w:val="225"/>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Net income (loss)</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7.9</w:t>
            </w:r>
          </w:p>
        </w:tc>
        <w:tc>
          <w:tcPr>
            <w:tcW w:w="100" w:type="dxa"/>
            <w:vAlign w:val="bottom"/>
          </w:tcPr>
          <w:p>
            <w:pPr>
              <w:spacing w:after="0"/>
              <w:rPr>
                <w:sz w:val="19"/>
                <w:szCs w:val="19"/>
                <w:color w:val="auto"/>
              </w:rPr>
            </w:pP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(139.4)</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40.4</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231F20"/>
                <w:w w:val="98"/>
              </w:rPr>
              <w:t>(142.7)</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Adjusted net income (loss)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7.7</w:t>
            </w:r>
          </w:p>
        </w:tc>
        <w:tc>
          <w:tcPr>
            <w:tcW w:w="0" w:type="dxa"/>
            <w:vAlign w:val="bottom"/>
          </w:tcPr>
          <w:p>
            <w:pPr>
              <w:spacing w:after="0"/>
              <w:rPr>
                <w:sz w:val="1"/>
                <w:szCs w:val="1"/>
                <w:color w:val="auto"/>
              </w:rPr>
            </w:pPr>
          </w:p>
        </w:tc>
      </w:tr>
      <w:tr>
        <w:trPr>
          <w:trHeight w:val="225"/>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Adjusted EBITDA</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12.6</w:t>
            </w:r>
          </w:p>
        </w:tc>
        <w:tc>
          <w:tcPr>
            <w:tcW w:w="100" w:type="dxa"/>
            <w:vAlign w:val="bottom"/>
          </w:tcPr>
          <w:p>
            <w:pPr>
              <w:spacing w:after="0"/>
              <w:rPr>
                <w:sz w:val="19"/>
                <w:szCs w:val="19"/>
                <w:color w:val="auto"/>
              </w:rPr>
            </w:pP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11.4</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14.9</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18.4</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Adjusted EBITDA margin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231F20"/>
                <w:w w:val="94"/>
              </w:rPr>
              <w:t>12.2%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231F20"/>
                <w:w w:val="94"/>
              </w:rPr>
              <w:t>17.1%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231F20"/>
              </w:rPr>
              <w:t>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231F20"/>
                <w:w w:val="98"/>
              </w:rPr>
              <w:t>16.1%</w:t>
            </w:r>
          </w:p>
        </w:tc>
        <w:tc>
          <w:tcPr>
            <w:tcW w:w="0" w:type="dxa"/>
            <w:vAlign w:val="bottom"/>
          </w:tcPr>
          <w:p>
            <w:pPr>
              <w:spacing w:after="0"/>
              <w:rPr>
                <w:sz w:val="1"/>
                <w:szCs w:val="1"/>
                <w:color w:val="auto"/>
              </w:rPr>
            </w:pPr>
          </w:p>
        </w:tc>
      </w:tr>
      <w:tr>
        <w:trPr>
          <w:trHeight w:val="225"/>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Adjusted gross profit</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74.8</w:t>
            </w:r>
          </w:p>
        </w:tc>
        <w:tc>
          <w:tcPr>
            <w:tcW w:w="100" w:type="dxa"/>
            <w:vAlign w:val="bottom"/>
          </w:tcPr>
          <w:p>
            <w:pPr>
              <w:spacing w:after="0"/>
              <w:rPr>
                <w:sz w:val="19"/>
                <w:szCs w:val="19"/>
                <w:color w:val="auto"/>
              </w:rPr>
            </w:pP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49.8</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129.6</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84.1</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Adjusted gross margin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231F20"/>
                <w:w w:val="94"/>
              </w:rPr>
              <w:t>72.3%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231F20"/>
                <w:w w:val="94"/>
              </w:rPr>
              <w:t>74.9%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231F20"/>
              </w:rPr>
              <w:t>72.4%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231F20"/>
                <w:w w:val="98"/>
              </w:rPr>
              <w:t>73.8%</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Adjusted Net Income (Loss), Adjusted EBITDA (Loss) and Adjusted EBITDA Margin</w:t>
      </w:r>
    </w:p>
    <w:p>
      <w:pPr>
        <w:spacing w:after="0" w:line="248"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231F20"/>
        </w:rPr>
        <w:t>Adjusted net income (loss), adjusted EBITDA (loss) and adjusted EBITDA margin are key performance measures that our management uses to assess our operating performance. See the section titled “</w:t>
      </w:r>
      <w:r>
        <w:rPr>
          <w:rFonts w:ascii="Times New Roman" w:cs="Times New Roman" w:eastAsia="Times New Roman" w:hAnsi="Times New Roman"/>
          <w:sz w:val="18"/>
          <w:szCs w:val="18"/>
          <w:i w:val="1"/>
          <w:iCs w:val="1"/>
          <w:color w:val="231F20"/>
        </w:rPr>
        <w:t>Non-GAAP Financial Measures—adjusted net income (loss), adjusted EBITDA (loss) and adjusted EBITDA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margin</w:t>
      </w:r>
      <w:r>
        <w:rPr>
          <w:rFonts w:ascii="Times New Roman" w:cs="Times New Roman" w:eastAsia="Times New Roman" w:hAnsi="Times New Roman"/>
          <w:sz w:val="18"/>
          <w:szCs w:val="18"/>
          <w:color w:val="231F20"/>
        </w:rPr>
        <w:t>” for information regarding our use of adjusted net income (loss) and adjusted EBITDA and reconciliations of adjusted net income (loss) and adjusted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EBITDA to net loss.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Adjusted Gross Profit and Adjusted Gross Margin</w:t>
      </w:r>
    </w:p>
    <w:p>
      <w:pPr>
        <w:spacing w:after="0" w:line="248"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231F20"/>
        </w:rPr>
        <w:t>We use adjusted gross profit and adjusted gross margin to measure our profitability and ability to scale and leverage the costs of our Delivery Systems and Consumables sales. See the section titled “</w:t>
      </w:r>
      <w:r>
        <w:rPr>
          <w:rFonts w:ascii="Times New Roman" w:cs="Times New Roman" w:eastAsia="Times New Roman" w:hAnsi="Times New Roman"/>
          <w:sz w:val="18"/>
          <w:szCs w:val="18"/>
          <w:i w:val="1"/>
          <w:iCs w:val="1"/>
          <w:color w:val="231F20"/>
        </w:rPr>
        <w:t>Non-GAAP Financial Measures—adjusted gross profit and adjusted gross margin</w:t>
      </w:r>
      <w:r>
        <w:rPr>
          <w:rFonts w:ascii="Times New Roman" w:cs="Times New Roman" w:eastAsia="Times New Roman" w:hAnsi="Times New Roman"/>
          <w:sz w:val="18"/>
          <w:szCs w:val="18"/>
          <w:color w:val="231F20"/>
        </w:rPr>
        <w:t>” for information regarding our use of adjusted gross profit and a reconciliation of adjusted gross profit to gross profit.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Comparison of Three Months Ended June 30, 2022 to Three Months Ended June 30, 2021</w:t>
      </w:r>
    </w:p>
    <w:p>
      <w:pPr>
        <w:spacing w:after="0" w:line="246"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and six months ended June 30, 2022 and June 30, 2021 have been derived from the condensed consolidated financial statements included elsewhere in this Form 10-Q. Amounts and percentages may not foot due to rounding.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231F20"/>
              </w:rPr>
              <w:t>% of Net Sales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231F20"/>
              </w:rPr>
              <w:t>% of Net Sales</w:t>
            </w:r>
          </w:p>
        </w:tc>
        <w:tc>
          <w:tcPr>
            <w:tcW w:w="0" w:type="dxa"/>
            <w:vAlign w:val="bottom"/>
          </w:tcPr>
          <w:p>
            <w:pPr>
              <w:spacing w:after="0"/>
              <w:rPr>
                <w:sz w:val="1"/>
                <w:szCs w:val="1"/>
                <w:color w:val="auto"/>
              </w:rPr>
            </w:pPr>
          </w:p>
        </w:tc>
      </w:tr>
      <w:tr>
        <w:trPr>
          <w:trHeight w:val="225"/>
        </w:trPr>
        <w:tc>
          <w:tcPr>
            <w:tcW w:w="50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Net sales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103.5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100.0 %</w:t>
            </w: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66.5</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100.0 %</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Cost of sales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31.9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30.8 %</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19.3</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231F20"/>
              </w:rPr>
              <w:t>29.0</w:t>
            </w: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231F20"/>
              </w:rPr>
              <w:t>Gross profit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69.2 %</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71.0</w:t>
            </w:r>
          </w:p>
        </w:tc>
        <w:tc>
          <w:tcPr>
            <w:tcW w:w="0" w:type="dxa"/>
            <w:vAlign w:val="bottom"/>
          </w:tcPr>
          <w:p>
            <w:pPr>
              <w:spacing w:after="0"/>
              <w:rPr>
                <w:sz w:val="1"/>
                <w:szCs w:val="1"/>
                <w:color w:val="auto"/>
              </w:rPr>
            </w:pPr>
          </w:p>
        </w:tc>
      </w:tr>
      <w:tr>
        <w:trPr>
          <w:trHeight w:val="225"/>
        </w:trPr>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Operating 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231F20"/>
              </w:rPr>
              <w:t>Selling and marketing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231F20"/>
              </w:rPr>
              <w:t>43.3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26.2</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39.4</w:t>
            </w:r>
          </w:p>
        </w:tc>
        <w:tc>
          <w:tcPr>
            <w:tcW w:w="0" w:type="dxa"/>
            <w:vAlign w:val="bottom"/>
          </w:tcPr>
          <w:p>
            <w:pPr>
              <w:spacing w:after="0"/>
              <w:rPr>
                <w:sz w:val="1"/>
                <w:szCs w:val="1"/>
                <w:color w:val="auto"/>
              </w:rPr>
            </w:pPr>
          </w:p>
        </w:tc>
      </w:tr>
      <w:tr>
        <w:trPr>
          <w:trHeight w:val="225"/>
        </w:trPr>
        <w:tc>
          <w:tcPr>
            <w:tcW w:w="5060" w:type="dxa"/>
            <w:vAlign w:val="bottom"/>
          </w:tcPr>
          <w:p>
            <w:pPr>
              <w:ind w:left="56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w:t>
            </w:r>
          </w:p>
        </w:tc>
        <w:tc>
          <w:tcPr>
            <w:tcW w:w="100" w:type="dxa"/>
            <w:vAlign w:val="bottom"/>
          </w:tcPr>
          <w:p>
            <w:pPr>
              <w:spacing w:after="0"/>
              <w:rPr>
                <w:sz w:val="19"/>
                <w:szCs w:val="19"/>
                <w:color w:val="auto"/>
              </w:rPr>
            </w:pPr>
          </w:p>
        </w:tc>
        <w:tc>
          <w:tcPr>
            <w:tcW w:w="1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231F20"/>
              </w:rPr>
              <w:t>2.5</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231F20"/>
              </w:rPr>
              <w:t>4.5</w:t>
            </w: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231F20"/>
              </w:rPr>
              <w:t>26.6</w:t>
            </w:r>
          </w:p>
        </w:tc>
        <w:tc>
          <w:tcPr>
            <w:tcW w:w="14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44.4</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66.8</w:t>
            </w:r>
          </w:p>
        </w:tc>
        <w:tc>
          <w:tcPr>
            <w:tcW w:w="0" w:type="dxa"/>
            <w:vAlign w:val="bottom"/>
          </w:tcPr>
          <w:p>
            <w:pPr>
              <w:spacing w:after="0"/>
              <w:rPr>
                <w:sz w:val="1"/>
                <w:szCs w:val="1"/>
                <w:color w:val="auto"/>
              </w:rPr>
            </w:pPr>
          </w:p>
        </w:tc>
      </w:tr>
      <w:tr>
        <w:trPr>
          <w:trHeight w:val="218"/>
        </w:trPr>
        <w:tc>
          <w:tcPr>
            <w:tcW w:w="5060" w:type="dxa"/>
            <w:vAlign w:val="bottom"/>
          </w:tcPr>
          <w:p>
            <w:pPr>
              <w:ind w:left="88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75.1</w:t>
            </w:r>
          </w:p>
        </w:tc>
        <w:tc>
          <w:tcPr>
            <w:tcW w:w="100" w:type="dxa"/>
            <w:vAlign w:val="bottom"/>
          </w:tcPr>
          <w:p>
            <w:pPr>
              <w:spacing w:after="0"/>
              <w:rPr>
                <w:sz w:val="19"/>
                <w:szCs w:val="19"/>
                <w:color w:val="auto"/>
              </w:rPr>
            </w:pPr>
          </w:p>
        </w:tc>
        <w:tc>
          <w:tcPr>
            <w:tcW w:w="1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231F20"/>
              </w:rPr>
              <w:t>72.5</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73.6</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231F20"/>
              </w:rPr>
              <w:t>110.7</w:t>
            </w: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Income (loss) from operations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231F20"/>
              </w:rPr>
              <w:t>(3.3)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231F20"/>
              </w:rPr>
              <w:t>(39.6)</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Other (income) expense,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231F20"/>
              </w:rPr>
              <w:t>(11.0)</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114.9</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231F20"/>
              </w:rPr>
              <w:t>172.8</w:t>
            </w: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Income (loss) before provision for income tax</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231F20"/>
              </w:rPr>
              <w:t>7.7</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5"/>
              </w:rPr>
              <w:t>(141.2)</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231F20"/>
              </w:rPr>
              <w:t>(212.4)</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Income tax expense (benefit)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0.1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231F20"/>
              </w:rPr>
              <w:t>0.1</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(1.9)</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231F20"/>
              </w:rPr>
              <w:t>(2.8)</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Net income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7.7 %</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5"/>
              </w:rPr>
              <w:t>(139.4)</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(209.6)%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Net Sales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0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12"/>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sales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231F20"/>
              </w:rPr>
              <w:t>Delivery Systems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64.8</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34.9</w:t>
            </w:r>
          </w:p>
        </w:tc>
        <w:tc>
          <w:tcPr>
            <w:tcW w:w="3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85.4%</w:t>
            </w: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231F20"/>
              </w:rPr>
              <w:t>Consumables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22.8%</w:t>
            </w:r>
          </w:p>
        </w:tc>
        <w:tc>
          <w:tcPr>
            <w:tcW w:w="0" w:type="dxa"/>
            <w:vAlign w:val="bottom"/>
          </w:tcPr>
          <w:p>
            <w:pPr>
              <w:spacing w:after="0"/>
              <w:rPr>
                <w:sz w:val="1"/>
                <w:szCs w:val="1"/>
                <w:color w:val="auto"/>
              </w:rPr>
            </w:pPr>
          </w:p>
        </w:tc>
      </w:tr>
      <w:tr>
        <w:trPr>
          <w:trHeight w:val="218"/>
        </w:trPr>
        <w:tc>
          <w:tcPr>
            <w:tcW w:w="5320" w:type="dxa"/>
            <w:vAlign w:val="bottom"/>
          </w:tcPr>
          <w:p>
            <w:pPr>
              <w:ind w:left="780"/>
              <w:spacing w:after="0"/>
              <w:rPr>
                <w:sz w:val="20"/>
                <w:szCs w:val="20"/>
                <w:color w:val="auto"/>
              </w:rPr>
            </w:pPr>
            <w:r>
              <w:rPr>
                <w:rFonts w:ascii="Times New Roman" w:cs="Times New Roman" w:eastAsia="Times New Roman" w:hAnsi="Times New Roman"/>
                <w:sz w:val="18"/>
                <w:szCs w:val="18"/>
                <w:color w:val="231F20"/>
              </w:rPr>
              <w:t>Total net sales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103.5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66.5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37.0</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55.7%</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231F20"/>
              </w:rPr>
              <w:t>Percentage of net sales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Delivery Systems</w:t>
            </w:r>
          </w:p>
        </w:tc>
        <w:tc>
          <w:tcPr>
            <w:tcW w:w="320" w:type="dxa"/>
            <w:vAlign w:val="bottom"/>
          </w:tcPr>
          <w:p>
            <w:pPr>
              <w:spacing w:after="0"/>
              <w:rPr>
                <w:sz w:val="19"/>
                <w:szCs w:val="19"/>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231F20"/>
              </w:rPr>
              <w:t>62.6%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231F20"/>
              </w:rPr>
              <w:t>52.5%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Consumables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37.4%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231F20"/>
              </w:rPr>
              <w:t>47.5%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tcPr>
          <w:p>
            <w:pPr>
              <w:ind w:left="780"/>
              <w:spacing w:after="0"/>
              <w:rPr>
                <w:sz w:val="20"/>
                <w:szCs w:val="20"/>
                <w:color w:val="auto"/>
              </w:rPr>
            </w:pPr>
            <w:r>
              <w:rPr>
                <w:rFonts w:ascii="Times New Roman" w:cs="Times New Roman" w:eastAsia="Times New Roman" w:hAnsi="Times New Roman"/>
                <w:sz w:val="18"/>
                <w:szCs w:val="18"/>
                <w:color w:val="231F20"/>
              </w:rPr>
              <w:t>Total</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231F20"/>
              </w:rPr>
              <w:t>100.0%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231F20"/>
              </w:rPr>
              <w:t>100.0%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100" w:firstLine="318"/>
        <w:spacing w:after="0" w:line="282" w:lineRule="auto"/>
        <w:rPr>
          <w:sz w:val="20"/>
          <w:szCs w:val="20"/>
          <w:color w:val="auto"/>
        </w:rPr>
      </w:pPr>
      <w:r>
        <w:rPr>
          <w:rFonts w:ascii="Times New Roman" w:cs="Times New Roman" w:eastAsia="Times New Roman" w:hAnsi="Times New Roman"/>
          <w:sz w:val="17"/>
          <w:szCs w:val="17"/>
          <w:color w:val="231F20"/>
        </w:rPr>
        <w:t>Total net sales for the three months ended June 30, 2022 increased $37.0 million, or 55.7%, compared to the three months ended June 30, 2021. Delivery System sales for the three months ended June 30, 2022 increased $29.9 million, or 85.4%, compared to the three months ended June 30, 2021. Delivery Systems units sold for the three months ended June 30, 2022 increased primarily due to the strong demand for the Company’s new Syndeo delivery system.</w:t>
      </w:r>
    </w:p>
    <w:p>
      <w:pPr>
        <w:spacing w:after="0" w:line="159"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231F20"/>
        </w:rPr>
        <w:t>There were 2,738 Delivery Systems units sold for the three months ended June 30, 2022, of which 1,203 were trade-ups. Consumables sales for the three months ended June 30, 2022 increased $7.2 million, or 22.8%, compared to the three months ended June 30, 2021. The increase in Consumables sales was primarily attributable to increased placements of delivery systems and the adjoining consumption of consumables during the three months ended June 30, 2022.</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Sales, Gross Profit, and Gross Margin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40" w:type="dxa"/>
            <w:vAlign w:val="bottom"/>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98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Cost of sales</w:t>
            </w:r>
          </w:p>
        </w:tc>
        <w:tc>
          <w:tcPr>
            <w:tcW w:w="940" w:type="dxa"/>
            <w:vAlign w:val="bottom"/>
            <w:tcBorders>
              <w:top w:val="single" w:sz="8" w:color="auto"/>
              <w:bottom w:val="single" w:sz="8" w:color="CCEEFF"/>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31.9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19.3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231F20"/>
              </w:rPr>
              <w:t>12.6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65.6%</w:t>
            </w:r>
          </w:p>
        </w:tc>
        <w:tc>
          <w:tcPr>
            <w:tcW w:w="0" w:type="dxa"/>
            <w:vAlign w:val="bottom"/>
          </w:tcPr>
          <w:p>
            <w:pPr>
              <w:spacing w:after="0"/>
              <w:rPr>
                <w:sz w:val="1"/>
                <w:szCs w:val="1"/>
                <w:color w:val="auto"/>
              </w:rPr>
            </w:pPr>
          </w:p>
        </w:tc>
      </w:tr>
      <w:tr>
        <w:trPr>
          <w:trHeight w:val="23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Gross profit</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71.7</w:t>
            </w:r>
          </w:p>
        </w:tc>
        <w:tc>
          <w:tcPr>
            <w:tcW w:w="100" w:type="dxa"/>
            <w:vAlign w:val="bottom"/>
          </w:tcPr>
          <w:p>
            <w:pPr>
              <w:spacing w:after="0"/>
              <w:rPr>
                <w:sz w:val="20"/>
                <w:szCs w:val="20"/>
                <w:color w:val="auto"/>
              </w:rPr>
            </w:pPr>
          </w:p>
        </w:tc>
        <w:tc>
          <w:tcPr>
            <w:tcW w:w="94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47.3</w:t>
            </w:r>
          </w:p>
        </w:tc>
        <w:tc>
          <w:tcPr>
            <w:tcW w:w="8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231F20"/>
              </w:rPr>
              <w:t>24.4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Gross margin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w w:val="97"/>
              </w:rPr>
              <w:t>69.2 %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71.0 %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231F20"/>
        </w:rPr>
        <w:t>Cost of sales increased $12.6 million driven by and in conjunction with increased sales volume in delivery systems and consumables. Gross margin decreased from 71.0% during the three months ended June 30, 2021 to 69.2% during the three months ended June 30, 2022 primarily due to the shift in sales mix of delivery systems from 53% to 63% of sales in the period including lower margin trade-up units, along with higher supply chain and logistics costs. The Company expects continued headwinds from global supply chain challenges and inflationary pressures to weigh on gross margin through 2022, specifically higher shipping costs, offset by fixed cost leverage from higher sales volumes coupled with pricing initiatives, and margin accretion related to the acquired distributor inventory.</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231F20"/>
        </w:rPr>
        <w:t>Sales and Marketing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520" w:type="dxa"/>
            <w:vAlign w:val="bottom"/>
            <w:gridSpan w:val="4"/>
          </w:tcPr>
          <w:p>
            <w:pPr>
              <w:jc w:val="right"/>
              <w:ind w:right="1"/>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00" w:type="dxa"/>
            <w:vAlign w:val="bottom"/>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Selling and marketing</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44.9</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26.2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231F20"/>
              </w:rPr>
              <w:t>18.7</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0" w:type="dxa"/>
            <w:vAlign w:val="bottom"/>
          </w:tcPr>
          <w:p>
            <w:pPr>
              <w:spacing w:after="0"/>
              <w:rPr>
                <w:sz w:val="1"/>
                <w:szCs w:val="1"/>
                <w:color w:val="auto"/>
              </w:rPr>
            </w:pP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0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231F20"/>
                <w:w w:val="97"/>
              </w:rPr>
              <w:t>43.3 %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231F20"/>
              </w:rPr>
              <w:t>39.4 %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40" w:firstLine="318"/>
        <w:spacing w:after="0" w:line="234" w:lineRule="auto"/>
        <w:rPr>
          <w:sz w:val="20"/>
          <w:szCs w:val="20"/>
          <w:color w:val="auto"/>
        </w:rPr>
      </w:pPr>
      <w:r>
        <w:rPr>
          <w:rFonts w:ascii="Times New Roman" w:cs="Times New Roman" w:eastAsia="Times New Roman" w:hAnsi="Times New Roman"/>
          <w:sz w:val="18"/>
          <w:szCs w:val="18"/>
          <w:color w:val="auto"/>
        </w:rPr>
        <w:t xml:space="preserve">Selling and marketing expense for the three months ended June 30, 2022 increased </w:t>
      </w:r>
      <w:r>
        <w:rPr>
          <w:rFonts w:ascii="Times New Roman" w:cs="Times New Roman" w:eastAsia="Times New Roman" w:hAnsi="Times New Roman"/>
          <w:sz w:val="18"/>
          <w:szCs w:val="18"/>
          <w:color w:val="231F20"/>
        </w:rPr>
        <w:t>$18.7 million</w:t>
      </w:r>
      <w:r>
        <w:rPr>
          <w:rFonts w:ascii="Times New Roman" w:cs="Times New Roman" w:eastAsia="Times New Roman" w:hAnsi="Times New Roman"/>
          <w:sz w:val="18"/>
          <w:szCs w:val="18"/>
          <w:color w:val="auto"/>
        </w:rPr>
        <w:t>, or 71.2%, compared to the three months ended June 30, 2021. The overall increase as a percentage of net sales was driven by an increase in sales commissions of $3.3 million associated with higher revenue, an increase in personnel-related expenses of $5.8 million resulting from an increase in headcount, and an increase in s</w:t>
      </w:r>
      <w:r>
        <w:rPr>
          <w:rFonts w:ascii="Times New Roman" w:cs="Times New Roman" w:eastAsia="Times New Roman" w:hAnsi="Times New Roman"/>
          <w:sz w:val="18"/>
          <w:szCs w:val="18"/>
          <w:color w:val="231F20"/>
        </w:rPr>
        <w:t>tock-based compensation expense of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million. </w:t>
      </w:r>
      <w:r>
        <w:rPr>
          <w:rFonts w:ascii="Times New Roman" w:cs="Times New Roman" w:eastAsia="Times New Roman" w:hAnsi="Times New Roman"/>
          <w:sz w:val="18"/>
          <w:szCs w:val="18"/>
          <w:color w:val="000000"/>
        </w:rPr>
        <w:t>In addition, expenses related to training and</w:t>
      </w:r>
      <w:r>
        <w:rPr>
          <w:rFonts w:ascii="Times New Roman" w:cs="Times New Roman" w:eastAsia="Times New Roman" w:hAnsi="Times New Roman"/>
          <w:sz w:val="18"/>
          <w:szCs w:val="18"/>
          <w:color w:val="231F20"/>
        </w:rPr>
        <w:t xml:space="preserve"> travel expenses </w:t>
      </w:r>
      <w:r>
        <w:rPr>
          <w:rFonts w:ascii="Times New Roman" w:cs="Times New Roman" w:eastAsia="Times New Roman" w:hAnsi="Times New Roman"/>
          <w:sz w:val="18"/>
          <w:szCs w:val="18"/>
          <w:color w:val="000000"/>
        </w:rPr>
        <w:t>increased by $0.5 million due primarily to the launch of Syndeo and marketing spend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increased by $5.3 million as we invested forward in Americas and EMEA in key tradeshows, GlowVolution and other marketing programs.</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560" w:type="dxa"/>
            <w:vAlign w:val="bottom"/>
            <w:gridSpan w:val="4"/>
          </w:tcPr>
          <w:p>
            <w:pPr>
              <w:jc w:val="right"/>
              <w:ind w:right="41"/>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0" w:type="dxa"/>
            <w:vAlign w:val="bottom"/>
            <w:vMerge w:val="continue"/>
          </w:tcPr>
          <w:p>
            <w:pPr>
              <w:spacing w:after="0"/>
              <w:rPr>
                <w:sz w:val="16"/>
                <w:szCs w:val="16"/>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040" w:type="dxa"/>
            <w:vAlign w:val="bottom"/>
            <w:tcBorders>
              <w:top w:val="single" w:sz="8" w:color="auto"/>
              <w:bottom w:val="single" w:sz="8" w:color="CCEEFF"/>
            </w:tcBorders>
            <w:shd w:val="clear" w:color="auto" w:fill="CCEEFF"/>
          </w:tcPr>
          <w:p>
            <w:pPr>
              <w:jc w:val="right"/>
              <w:ind w:right="863"/>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231F20"/>
                <w:w w:val="88"/>
              </w:rPr>
              <w:t>$</w:t>
            </w:r>
          </w:p>
        </w:tc>
        <w:tc>
          <w:tcPr>
            <w:tcW w:w="5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40" w:type="dxa"/>
            <w:vAlign w:val="bottom"/>
          </w:tcPr>
          <w:p>
            <w:pPr>
              <w:spacing w:after="0"/>
              <w:rPr>
                <w:sz w:val="20"/>
                <w:szCs w:val="20"/>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231F20"/>
                <w:w w:val="99"/>
              </w:rPr>
              <w:t>2.5 %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231F20"/>
                <w:w w:val="99"/>
              </w:rPr>
              <w:t>4.5 %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 xml:space="preserve">Research and development expense for the three months ended June 30, 2022 decreased </w:t>
      </w:r>
      <w:r>
        <w:rPr>
          <w:rFonts w:ascii="Times New Roman" w:cs="Times New Roman" w:eastAsia="Times New Roman" w:hAnsi="Times New Roman"/>
          <w:sz w:val="18"/>
          <w:szCs w:val="18"/>
          <w:color w:val="231F20"/>
        </w:rPr>
        <w:t>$0.4 million</w:t>
      </w:r>
      <w:r>
        <w:rPr>
          <w:rFonts w:ascii="Times New Roman" w:cs="Times New Roman" w:eastAsia="Times New Roman" w:hAnsi="Times New Roman"/>
          <w:sz w:val="18"/>
          <w:szCs w:val="18"/>
          <w:color w:val="auto"/>
        </w:rPr>
        <w:t>, or 13.0%, compared to the three months ended June 30, 2021. The decrease was primarily due to the shifting of investments from outside consultants that were offset by increased investments in personnel of $1.2 million and additional investments into our data infrastructure.</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231F20"/>
        </w:rPr>
        <w:t>General and Administrative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520" w:type="dxa"/>
            <w:vAlign w:val="bottom"/>
            <w:gridSpan w:val="4"/>
          </w:tcPr>
          <w:p>
            <w:pPr>
              <w:jc w:val="right"/>
              <w:ind w:right="1"/>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0" w:type="dxa"/>
            <w:vAlign w:val="bottom"/>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000" w:type="dxa"/>
            <w:vAlign w:val="bottom"/>
            <w:tcBorders>
              <w:top w:val="single" w:sz="8" w:color="auto"/>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44.4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0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231F20"/>
                <w:w w:val="97"/>
              </w:rPr>
              <w:t>26.6 %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231F20"/>
              </w:rPr>
              <w:t>66.8 %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three months ended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decreased $16.8 million, or 37.9%, compared to the three months ended June 30, 2021. This decrease is primarily attributable to a decrease in transaction costs of $27.6 million related to the consummation of the Business Combination. The decrease in transaction costs were offset by an increase of $0.9 million in stock-based compensation, $3.0 million in personnel-related expenses, $3.1 million in recruiting &amp; other professional fees, and $1.1 million in legal fees which includes expenses related to litigating and enforcing patent and trademark infringement claims against third parties.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231F20"/>
        </w:rPr>
        <w:t>Other (Income) Expense, Net and Income Tax Provision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4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Other (income) expense, net</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231F20"/>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231F20"/>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114.9</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8"/>
              </w:rPr>
              <w:t>(126.3)</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Income tax expense (benefit)</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8"/>
                <w:szCs w:val="18"/>
                <w:color w:val="231F20"/>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0.1</w:t>
            </w:r>
          </w:p>
        </w:tc>
        <w:tc>
          <w:tcPr>
            <w:tcW w:w="100" w:type="dxa"/>
            <w:vAlign w:val="bottom"/>
          </w:tcPr>
          <w:p>
            <w:pPr>
              <w:spacing w:after="0"/>
              <w:rPr>
                <w:sz w:val="20"/>
                <w:szCs w:val="20"/>
                <w:color w:val="auto"/>
              </w:rPr>
            </w:pPr>
          </w:p>
        </w:tc>
        <w:tc>
          <w:tcPr>
            <w:tcW w:w="80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231F20"/>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w:t>
            </w:r>
          </w:p>
        </w:tc>
        <w:tc>
          <w:tcPr>
            <w:tcW w:w="80" w:type="dxa"/>
            <w:vAlign w:val="bottom"/>
          </w:tcPr>
          <w:p>
            <w:pPr>
              <w:spacing w:after="0"/>
              <w:rPr>
                <w:sz w:val="20"/>
                <w:szCs w:val="20"/>
                <w:color w:val="auto"/>
              </w:rPr>
            </w:pPr>
          </w:p>
        </w:tc>
        <w:tc>
          <w:tcPr>
            <w:tcW w:w="1100" w:type="dxa"/>
            <w:vAlign w:val="bottom"/>
          </w:tcPr>
          <w:p>
            <w:pPr>
              <w:jc w:val="right"/>
              <w:ind w:right="898"/>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231F20"/>
        </w:rPr>
        <w:t xml:space="preserve">Other income, net was $11.4 million for the three months ended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compared to other expense of $114.9 million for the three months ended June 30, 2021. The change was primarily driven by the changes in the fair values of our warrants and earn-out shares issued on July 15, 2021. During the three months ended June 30, 2022 the Company recognized other income of $15.2 million due to the change in the fair value of the warrant liabilities compared to an expense of $72.0 million for the three months ended June 30, 2021. In addition, during the three months ended June 30, 2021 the Company recognized a $36.5 million expense for the change in the fair value of the earn-out shares liability.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Comparison of Six Months Ended June 30, 2022 to Six Months Ended June 30, 2021</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Amounts and percentages may not foot due to rounding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1520" w:type="dxa"/>
            <w:vAlign w:val="bottom"/>
          </w:tcPr>
          <w:p>
            <w:pPr>
              <w:spacing w:after="0"/>
              <w:rPr>
                <w:sz w:val="16"/>
                <w:szCs w:val="16"/>
                <w:color w:val="auto"/>
              </w:rPr>
            </w:pPr>
          </w:p>
        </w:tc>
      </w:tr>
      <w:tr>
        <w:trPr>
          <w:trHeight w:val="24"/>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2"/>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231F20"/>
              </w:rPr>
              <w:t>% of Net Sales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4"/>
                <w:szCs w:val="14"/>
                <w:b w:val="1"/>
                <w:bCs w:val="1"/>
                <w:color w:val="231F20"/>
              </w:rPr>
              <w:t>% of Net Sales</w:t>
            </w:r>
          </w:p>
        </w:tc>
      </w:tr>
      <w:tr>
        <w:trPr>
          <w:trHeight w:val="218"/>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Net sales</w:t>
            </w: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179.0</w:t>
            </w:r>
          </w:p>
        </w:tc>
        <w:tc>
          <w:tcPr>
            <w:tcW w:w="8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100.0 %</w:t>
            </w:r>
          </w:p>
        </w:tc>
        <w:tc>
          <w:tcPr>
            <w:tcW w:w="80" w:type="dxa"/>
            <w:vAlign w:val="bottom"/>
          </w:tcPr>
          <w:p>
            <w:pPr>
              <w:spacing w:after="0"/>
              <w:rPr>
                <w:sz w:val="19"/>
                <w:szCs w:val="19"/>
                <w:color w:val="auto"/>
              </w:rPr>
            </w:pPr>
          </w:p>
        </w:tc>
        <w:tc>
          <w:tcPr>
            <w:tcW w:w="340" w:type="dxa"/>
            <w:vAlign w:val="bottom"/>
            <w:tcBorders>
              <w:top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231F2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114.1</w:t>
            </w:r>
          </w:p>
        </w:tc>
        <w:tc>
          <w:tcPr>
            <w:tcW w:w="26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100.0 %</w:t>
            </w:r>
          </w:p>
        </w:tc>
      </w:tr>
      <w:tr>
        <w:trPr>
          <w:trHeight w:val="225"/>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Cost of sales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55.4</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231F20"/>
              </w:rPr>
              <w:t>30.9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35.1</w:t>
            </w:r>
          </w:p>
        </w:tc>
        <w:tc>
          <w:tcPr>
            <w:tcW w:w="26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30.7</w:t>
            </w:r>
          </w:p>
        </w:tc>
      </w:tr>
      <w:tr>
        <w:trPr>
          <w:trHeight w:val="218"/>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231F20"/>
              </w:rPr>
              <w:t>Gross profit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123.6</w:t>
            </w:r>
          </w:p>
        </w:tc>
        <w:tc>
          <w:tcPr>
            <w:tcW w:w="8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231F20"/>
              </w:rPr>
              <w:t>69.1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79.0</w:t>
            </w:r>
          </w:p>
        </w:tc>
        <w:tc>
          <w:tcPr>
            <w:tcW w:w="26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231F20"/>
              </w:rPr>
              <w:t>69.3</w:t>
            </w:r>
          </w:p>
        </w:tc>
      </w:tr>
      <w:tr>
        <w:trPr>
          <w:trHeight w:val="225"/>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Operating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5"/>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231F20"/>
              </w:rPr>
              <w:t>Selling and marketing</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81.3</w:t>
            </w:r>
          </w:p>
        </w:tc>
        <w:tc>
          <w:tcPr>
            <w:tcW w:w="8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231F20"/>
              </w:rPr>
              <w:t>45.4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43.3</w:t>
            </w:r>
          </w:p>
        </w:tc>
        <w:tc>
          <w:tcPr>
            <w:tcW w:w="26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231F20"/>
              </w:rPr>
              <w:t>38.0</w:t>
            </w:r>
          </w:p>
        </w:tc>
      </w:tr>
      <w:tr>
        <w:trPr>
          <w:trHeight w:val="225"/>
        </w:trPr>
        <w:tc>
          <w:tcPr>
            <w:tcW w:w="5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231F20"/>
              </w:rPr>
              <w:t>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3.9</w:t>
            </w:r>
          </w:p>
        </w:tc>
      </w:tr>
      <w:tr>
        <w:trPr>
          <w:trHeight w:val="225"/>
        </w:trPr>
        <w:tc>
          <w:tcPr>
            <w:tcW w:w="50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53.8</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231F20"/>
              </w:rPr>
              <w:t>30.1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55.2</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231F20"/>
              </w:rPr>
              <w:t>48.4</w:t>
            </w:r>
          </w:p>
        </w:tc>
      </w:tr>
      <w:tr>
        <w:trPr>
          <w:trHeight w:val="218"/>
        </w:trPr>
        <w:tc>
          <w:tcPr>
            <w:tcW w:w="50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140.0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231F20"/>
              </w:rPr>
              <w:t>78.2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103.0</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90.3</w:t>
            </w:r>
          </w:p>
        </w:tc>
      </w:tr>
      <w:tr>
        <w:trPr>
          <w:trHeight w:val="225"/>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Loss from operations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(16.4)</w:t>
            </w:r>
          </w:p>
        </w:tc>
        <w:tc>
          <w:tcPr>
            <w:tcW w:w="80" w:type="dxa"/>
            <w:vAlign w:val="bottom"/>
          </w:tcPr>
          <w:p>
            <w:pPr>
              <w:spacing w:after="0"/>
              <w:rPr>
                <w:sz w:val="19"/>
                <w:szCs w:val="19"/>
                <w:color w:val="auto"/>
              </w:rPr>
            </w:pPr>
          </w:p>
        </w:tc>
        <w:tc>
          <w:tcPr>
            <w:tcW w:w="15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231F20"/>
              </w:rPr>
              <w:t>(9.1)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(24.0)</w:t>
            </w:r>
          </w:p>
        </w:tc>
        <w:tc>
          <w:tcPr>
            <w:tcW w:w="260" w:type="dxa"/>
            <w:vAlign w:val="bottom"/>
          </w:tcPr>
          <w:p>
            <w:pPr>
              <w:spacing w:after="0"/>
              <w:rPr>
                <w:sz w:val="19"/>
                <w:szCs w:val="19"/>
                <w:color w:val="auto"/>
              </w:rPr>
            </w:pPr>
          </w:p>
        </w:tc>
        <w:tc>
          <w:tcPr>
            <w:tcW w:w="15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231F20"/>
              </w:rPr>
              <w:t>(21.0)</w:t>
            </w:r>
          </w:p>
        </w:tc>
      </w:tr>
      <w:tr>
        <w:trPr>
          <w:trHeight w:val="225"/>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(59.5)</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231F20"/>
              </w:rPr>
              <w:t>(33.3)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120.9</w:t>
            </w:r>
          </w:p>
        </w:tc>
        <w:tc>
          <w:tcPr>
            <w:tcW w:w="26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106.0</w:t>
            </w:r>
          </w:p>
        </w:tc>
      </w:tr>
      <w:tr>
        <w:trPr>
          <w:trHeight w:val="218"/>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Income (loss) before provision for income tax</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43.1</w:t>
            </w:r>
          </w:p>
        </w:tc>
        <w:tc>
          <w:tcPr>
            <w:tcW w:w="8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231F20"/>
              </w:rPr>
              <w:t>24.1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(144.8)</w:t>
            </w:r>
          </w:p>
        </w:tc>
        <w:tc>
          <w:tcPr>
            <w:tcW w:w="26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231F20"/>
              </w:rPr>
              <w:t>(127.0)</w:t>
            </w:r>
          </w:p>
        </w:tc>
      </w:tr>
      <w:tr>
        <w:trPr>
          <w:trHeight w:val="225"/>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231F20"/>
              </w:rPr>
              <w:t>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w:t>
            </w:r>
          </w:p>
        </w:tc>
        <w:tc>
          <w:tcPr>
            <w:tcW w:w="26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231F20"/>
              </w:rPr>
              <w:t>(1.9)</w:t>
            </w:r>
          </w:p>
        </w:tc>
      </w:tr>
      <w:tr>
        <w:trPr>
          <w:trHeight w:val="218"/>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Net income (loss)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40.4</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22.6 %</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231F2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(142.7)</w:t>
            </w:r>
          </w:p>
        </w:tc>
        <w:tc>
          <w:tcPr>
            <w:tcW w:w="26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(125.1)%</w:t>
            </w: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Net Sales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0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12"/>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sales</w:t>
            </w: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231F20"/>
              </w:rPr>
              <w:t>Delivery Systems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106.4</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60.6</w:t>
            </w:r>
          </w:p>
        </w:tc>
        <w:tc>
          <w:tcPr>
            <w:tcW w:w="3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75.6%</w:t>
            </w: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20" w:type="dxa"/>
            <w:vAlign w:val="bottom"/>
            <w:shd w:val="clear" w:color="auto" w:fill="CCEEFF"/>
          </w:tcPr>
          <w:p>
            <w:pPr>
              <w:jc w:val="center"/>
              <w:ind w:right="3374"/>
              <w:spacing w:after="0"/>
              <w:rPr>
                <w:sz w:val="20"/>
                <w:szCs w:val="20"/>
                <w:color w:val="auto"/>
              </w:rPr>
            </w:pPr>
            <w:r>
              <w:rPr>
                <w:rFonts w:ascii="Times New Roman" w:cs="Times New Roman" w:eastAsia="Times New Roman" w:hAnsi="Times New Roman"/>
                <w:sz w:val="18"/>
                <w:szCs w:val="18"/>
                <w:color w:val="231F20"/>
                <w:w w:val="96"/>
              </w:rPr>
              <w:t>Consumables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53.4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35.7%</w:t>
            </w:r>
          </w:p>
        </w:tc>
        <w:tc>
          <w:tcPr>
            <w:tcW w:w="0" w:type="dxa"/>
            <w:vAlign w:val="bottom"/>
          </w:tcPr>
          <w:p>
            <w:pPr>
              <w:spacing w:after="0"/>
              <w:rPr>
                <w:sz w:val="1"/>
                <w:szCs w:val="1"/>
                <w:color w:val="auto"/>
              </w:rPr>
            </w:pPr>
          </w:p>
        </w:tc>
      </w:tr>
      <w:tr>
        <w:trPr>
          <w:trHeight w:val="219"/>
        </w:trPr>
        <w:tc>
          <w:tcPr>
            <w:tcW w:w="5320" w:type="dxa"/>
            <w:vAlign w:val="bottom"/>
          </w:tcPr>
          <w:p>
            <w:pPr>
              <w:ind w:left="780"/>
              <w:spacing w:after="0"/>
              <w:rPr>
                <w:sz w:val="20"/>
                <w:szCs w:val="20"/>
                <w:color w:val="auto"/>
              </w:rPr>
            </w:pPr>
            <w:r>
              <w:rPr>
                <w:rFonts w:ascii="Times New Roman" w:cs="Times New Roman" w:eastAsia="Times New Roman" w:hAnsi="Times New Roman"/>
                <w:sz w:val="18"/>
                <w:szCs w:val="18"/>
                <w:color w:val="231F20"/>
              </w:rPr>
              <w:t>Total net sales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114.1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64.9</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56.9%</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231F20"/>
              </w:rPr>
              <w:t>Percentage of net sales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Delivery Systems</w:t>
            </w:r>
          </w:p>
        </w:tc>
        <w:tc>
          <w:tcPr>
            <w:tcW w:w="340" w:type="dxa"/>
            <w:vAlign w:val="bottom"/>
          </w:tcPr>
          <w:p>
            <w:pPr>
              <w:spacing w:after="0"/>
              <w:rPr>
                <w:sz w:val="19"/>
                <w:szCs w:val="19"/>
                <w:color w:val="auto"/>
              </w:rPr>
            </w:pP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231F20"/>
              </w:rPr>
              <w:t>59.5%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231F20"/>
              </w:rPr>
              <w:t>Consumables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231F20"/>
              </w:rPr>
              <w:t>40.5%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tcPr>
          <w:p>
            <w:pPr>
              <w:jc w:val="center"/>
              <w:ind w:right="3394"/>
              <w:spacing w:after="0"/>
              <w:rPr>
                <w:sz w:val="20"/>
                <w:szCs w:val="20"/>
                <w:color w:val="auto"/>
              </w:rPr>
            </w:pPr>
            <w:r>
              <w:rPr>
                <w:rFonts w:ascii="Times New Roman" w:cs="Times New Roman" w:eastAsia="Times New Roman" w:hAnsi="Times New Roman"/>
                <w:sz w:val="18"/>
                <w:szCs w:val="18"/>
                <w:color w:val="231F20"/>
                <w:w w:val="94"/>
              </w:rPr>
              <w:t>Total</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231F20"/>
              </w:rPr>
              <w:t>100.0%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Total net sales for the six months ended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increased $64.9 million, or 56.9%, compared to the six months ended June 30, 2021. Delivery Systems sales for the six months ended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increased $45.8 million, or 75.6%, compared to the six months ended June 30, 2021. Delivery Systems units sold for the six months ended June 30, 2021 increased primarily due to the strong demand for the Company’s new Syndeo delivery system. Consumables sales for the six months ended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increased $19.1 million, or 35.7%, compared to the six months ended June 30, 2021. The increase in Consumables sales was primarily attributable to increased placements of delivery systems and the adjoining consumption of consumables during the six months ended June 30,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Cost of Sales, Gross Profit, and Gross Margin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58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0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00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Cost of sales</w:t>
            </w:r>
          </w:p>
        </w:tc>
        <w:tc>
          <w:tcPr>
            <w:tcW w:w="920" w:type="dxa"/>
            <w:vAlign w:val="bottom"/>
            <w:tcBorders>
              <w:top w:val="single" w:sz="8" w:color="auto"/>
              <w:bottom w:val="single" w:sz="8" w:color="CCEEFF"/>
            </w:tcBorders>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55.4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35.1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57.9%</w:t>
            </w:r>
          </w:p>
        </w:tc>
        <w:tc>
          <w:tcPr>
            <w:tcW w:w="0" w:type="dxa"/>
            <w:vAlign w:val="bottom"/>
          </w:tcPr>
          <w:p>
            <w:pPr>
              <w:spacing w:after="0"/>
              <w:rPr>
                <w:sz w:val="1"/>
                <w:szCs w:val="1"/>
                <w:color w:val="auto"/>
              </w:rPr>
            </w:pPr>
          </w:p>
        </w:tc>
      </w:tr>
      <w:tr>
        <w:trPr>
          <w:trHeight w:val="231"/>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Gross profit</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w w:val="93"/>
              </w:rPr>
              <w:t>123.6</w:t>
            </w:r>
          </w:p>
        </w:tc>
        <w:tc>
          <w:tcPr>
            <w:tcW w:w="80" w:type="dxa"/>
            <w:vAlign w:val="bottom"/>
          </w:tcPr>
          <w:p>
            <w:pPr>
              <w:spacing w:after="0"/>
              <w:rPr>
                <w:sz w:val="20"/>
                <w:szCs w:val="20"/>
                <w:color w:val="auto"/>
              </w:rPr>
            </w:pP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79.0</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56.5%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Gross margin</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69.1 %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w w:val="97"/>
              </w:rPr>
              <w:t>69.3 %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Cost of sales increased 57.9% driven by increased sales volume and a shift in the product mix to HydraFacial Delivery Systems. Gross margin decreased from 69.3% during the six months ended June 30, 2021 to 69.1% during the six months ended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primarily due to the shift in sales mix of delivery systems from 53% to 59% of sales in the period including lower margin trade-up units, along with higher supply chain and logistics costs. The Company expects continued headwinds from global supply chain challenges and inflationary pressures to weigh on gross margin through 2022, specifically higher shipping costs, offset by fixed cost leverage from higher sales volumes coupled with pricing initiatives, margin accretion related to the acquired distributor inventory.</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Selling and Marketing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540" w:type="dxa"/>
            <w:vAlign w:val="bottom"/>
            <w:gridSpan w:val="4"/>
          </w:tcPr>
          <w:p>
            <w:pPr>
              <w:jc w:val="right"/>
              <w:ind w:right="81"/>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gridSpan w:val="3"/>
          </w:tcPr>
          <w:p>
            <w:pPr>
              <w:jc w:val="right"/>
              <w:ind w:right="1372"/>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0" w:type="dxa"/>
            <w:vAlign w:val="bottom"/>
          </w:tcPr>
          <w:p>
            <w:pPr>
              <w:spacing w:after="0"/>
              <w:rPr>
                <w:sz w:val="1"/>
                <w:szCs w:val="1"/>
                <w:color w:val="auto"/>
              </w:rPr>
            </w:pPr>
          </w:p>
        </w:tc>
      </w:tr>
      <w:tr>
        <w:trPr>
          <w:trHeight w:val="24"/>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940" w:type="dxa"/>
            <w:vAlign w:val="bottom"/>
            <w:gridSpan w:val="3"/>
          </w:tcPr>
          <w:p>
            <w:pPr>
              <w:jc w:val="right"/>
              <w:ind w:right="732"/>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Selling and marketing</w:t>
            </w:r>
          </w:p>
        </w:tc>
        <w:tc>
          <w:tcPr>
            <w:tcW w:w="1020" w:type="dxa"/>
            <w:vAlign w:val="bottom"/>
            <w:tcBorders>
              <w:top w:val="single" w:sz="8" w:color="auto"/>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43.3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38.0</w:t>
            </w: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0" w:type="dxa"/>
            <w:vAlign w:val="bottom"/>
          </w:tcPr>
          <w:p>
            <w:pPr>
              <w:spacing w:after="0"/>
              <w:rPr>
                <w:sz w:val="1"/>
                <w:szCs w:val="1"/>
                <w:color w:val="auto"/>
              </w:rPr>
            </w:pPr>
          </w:p>
        </w:tc>
      </w:t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2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231F20"/>
                <w:w w:val="97"/>
              </w:rPr>
              <w:t>45.4 %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231F20"/>
                <w:w w:val="97"/>
              </w:rPr>
              <w:t>38.0 %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231F20"/>
        </w:rPr>
        <w:t xml:space="preserve">Selling and marketing expense for the six months ended June 30, 2022 increased $38.0 million, or 87.7%, compared to the six months ended June 30, 2021. Compared to the six months ended June 30, 2021 the </w:t>
      </w:r>
      <w:r>
        <w:rPr>
          <w:rFonts w:ascii="Times New Roman" w:cs="Times New Roman" w:eastAsia="Times New Roman" w:hAnsi="Times New Roman"/>
          <w:sz w:val="18"/>
          <w:szCs w:val="18"/>
          <w:color w:val="000000"/>
        </w:rPr>
        <w:t>year-over-year increase</w:t>
      </w:r>
      <w:r>
        <w:rPr>
          <w:rFonts w:ascii="Times New Roman" w:cs="Times New Roman" w:eastAsia="Times New Roman" w:hAnsi="Times New Roman"/>
          <w:sz w:val="18"/>
          <w:szCs w:val="18"/>
          <w:color w:val="231F20"/>
        </w:rPr>
        <w:t xml:space="preserve"> was due to an increase in sales commissions of $4.4 million, an increase in personnel-related expenses of $11.7 million, and an increase of stock-based compensation expense of $4.5 million, Personnel-related training and travel expenses increased by $5.0 million due to the launch of Syndeo and advertising/promotional spend increased by $7.7 million as we invested forward in Americas and EMEA in key tradeshows, GlowVolution and other marketing programs.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2700" w:type="dxa"/>
            <w:vAlign w:val="bottom"/>
            <w:gridSpan w:val="4"/>
          </w:tcPr>
          <w:p>
            <w:pPr>
              <w:jc w:val="right"/>
              <w:ind w:right="141"/>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20" w:type="dxa"/>
            <w:vAlign w:val="bottom"/>
            <w:gridSpan w:val="3"/>
          </w:tcPr>
          <w:p>
            <w:pPr>
              <w:jc w:val="right"/>
              <w:ind w:right="1372"/>
              <w:spacing w:after="0"/>
              <w:rPr>
                <w:sz w:val="20"/>
                <w:szCs w:val="20"/>
                <w:color w:val="auto"/>
              </w:rPr>
            </w:pPr>
            <w:r>
              <w:rPr>
                <w:rFonts w:ascii="Times New Roman" w:cs="Times New Roman" w:eastAsia="Times New Roman" w:hAnsi="Times New Roman"/>
                <w:sz w:val="14"/>
                <w:szCs w:val="14"/>
                <w:b w:val="1"/>
                <w:bCs w:val="1"/>
                <w:color w:val="231F20"/>
                <w:w w:val="95"/>
              </w:rPr>
              <w:t>Change</w:t>
            </w:r>
          </w:p>
        </w:tc>
        <w:tc>
          <w:tcPr>
            <w:tcW w:w="0" w:type="dxa"/>
            <w:vAlign w:val="bottom"/>
          </w:tcPr>
          <w:p>
            <w:pPr>
              <w:spacing w:after="0"/>
              <w:rPr>
                <w:sz w:val="1"/>
                <w:szCs w:val="1"/>
                <w:color w:val="auto"/>
              </w:rPr>
            </w:pPr>
          </w:p>
        </w:tc>
      </w:tr>
      <w:tr>
        <w:trPr>
          <w:trHeight w:val="24"/>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60" w:type="dxa"/>
            <w:vAlign w:val="bottom"/>
            <w:vMerge w:val="continue"/>
          </w:tcPr>
          <w:p>
            <w:pPr>
              <w:spacing w:after="0"/>
              <w:rPr>
                <w:sz w:val="16"/>
                <w:szCs w:val="16"/>
                <w:color w:val="auto"/>
              </w:rPr>
            </w:pPr>
          </w:p>
        </w:tc>
        <w:tc>
          <w:tcPr>
            <w:tcW w:w="110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920" w:type="dxa"/>
            <w:vAlign w:val="bottom"/>
            <w:gridSpan w:val="3"/>
          </w:tcPr>
          <w:p>
            <w:pPr>
              <w:jc w:val="right"/>
              <w:ind w:right="732"/>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100" w:type="dxa"/>
            <w:vAlign w:val="bottom"/>
            <w:tcBorders>
              <w:top w:val="single" w:sz="8" w:color="auto"/>
              <w:bottom w:val="single" w:sz="8" w:color="CCEEFF"/>
            </w:tcBorders>
            <w:shd w:val="clear" w:color="auto" w:fill="CCEEFF"/>
          </w:tcPr>
          <w:p>
            <w:pPr>
              <w:jc w:val="right"/>
              <w:ind w:right="923"/>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231F20"/>
                <w:w w:val="88"/>
              </w:rPr>
              <w:t>$</w:t>
            </w:r>
          </w:p>
        </w:tc>
        <w:tc>
          <w:tcPr>
            <w:tcW w:w="52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0.4</w:t>
            </w: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100" w:type="dxa"/>
            <w:vAlign w:val="bottom"/>
          </w:tcPr>
          <w:p>
            <w:pPr>
              <w:spacing w:after="0"/>
              <w:rPr>
                <w:sz w:val="20"/>
                <w:szCs w:val="20"/>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231F20"/>
                <w:w w:val="99"/>
              </w:rPr>
              <w:t>2.7 %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231F20"/>
                <w:w w:val="99"/>
              </w:rPr>
              <w:t>3.9 %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six months ended June 30, 2022 increased $0.4 million, or 8.8%, compared to the six months ended June 30, 2021. </w:t>
      </w:r>
      <w:r>
        <w:rPr>
          <w:rFonts w:ascii="Times New Roman" w:cs="Times New Roman" w:eastAsia="Times New Roman" w:hAnsi="Times New Roman"/>
          <w:sz w:val="18"/>
          <w:szCs w:val="18"/>
          <w:color w:val="000000"/>
        </w:rPr>
        <w:t>The increase was primarily due to additional personnel-related expense in the research and development department which increased by $1.8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year-over-year. There were additional investments into our data infrastructure which increased by $0.8 million, offset by a $2.4 million decrease in Syndeo research and development expenses.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General and Administrative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2540" w:type="dxa"/>
            <w:vAlign w:val="bottom"/>
            <w:gridSpan w:val="4"/>
          </w:tcPr>
          <w:p>
            <w:pPr>
              <w:jc w:val="right"/>
              <w:ind w:right="101"/>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60" w:type="dxa"/>
            <w:vAlign w:val="bottom"/>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000" w:type="dxa"/>
            <w:vAlign w:val="bottom"/>
            <w:tcBorders>
              <w:top w:val="single" w:sz="8" w:color="auto"/>
              <w:bottom w:val="single" w:sz="8" w:color="CCEEFF"/>
            </w:tcBorders>
            <w:shd w:val="clear" w:color="auto" w:fill="CCEEFF"/>
          </w:tcPr>
          <w:p>
            <w:pPr>
              <w:jc w:val="right"/>
              <w:ind w:right="803"/>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53.8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0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30.1 %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231F20"/>
                <w:w w:val="97"/>
              </w:rPr>
              <w:t>48.4 %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80" w:firstLine="318"/>
        <w:spacing w:after="0" w:line="255" w:lineRule="auto"/>
        <w:rPr>
          <w:sz w:val="20"/>
          <w:szCs w:val="20"/>
          <w:color w:val="auto"/>
        </w:rPr>
      </w:pPr>
      <w:r>
        <w:rPr>
          <w:rFonts w:ascii="Times New Roman" w:cs="Times New Roman" w:eastAsia="Times New Roman" w:hAnsi="Times New Roman"/>
          <w:sz w:val="18"/>
          <w:szCs w:val="18"/>
          <w:color w:val="231F20"/>
        </w:rPr>
        <w:t>General and administrative expense for the six months ended June 30, 2022 decreased $1.4 million, or 2.5%, compared to the six months ended June 30, 2021. This decrease is primarily attributable to a decrease in transaction costs of $27.2 million related to the consummation of the Business Combination. The decrease in transaction costs were offset by an increase of $4.8 million in stock-based compensation, $6.2 million in personnel-related expenses, $5.2 million in recruiting &amp; other professional fees, $2.9 million in legal fees, and $1.6 million in director and officer insurance.</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Other (Income) Expense, Net and Income Tax Provision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38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vMerge w:val="continue"/>
          </w:tcPr>
          <w:p>
            <w:pPr>
              <w:spacing w:after="0"/>
              <w:rPr>
                <w:sz w:val="16"/>
                <w:szCs w:val="16"/>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58"/>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Other (income) expense, net</w:t>
            </w:r>
          </w:p>
        </w:tc>
        <w:tc>
          <w:tcPr>
            <w:tcW w:w="960" w:type="dxa"/>
            <w:vAlign w:val="bottom"/>
            <w:tcBorders>
              <w:top w:val="single" w:sz="8" w:color="auto"/>
              <w:bottom w:val="single" w:sz="8" w:color="CCEEFF"/>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231F20"/>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8"/>
              </w:rPr>
              <w:t>120.9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3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Income tax expense (benefit)</w:t>
            </w:r>
          </w:p>
        </w:tc>
        <w:tc>
          <w:tcPr>
            <w:tcW w:w="960" w:type="dxa"/>
            <w:vAlign w:val="bottom"/>
          </w:tcPr>
          <w:p>
            <w:pPr>
              <w:jc w:val="right"/>
              <w:ind w:right="761"/>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w:t>
            </w:r>
          </w:p>
        </w:tc>
        <w:tc>
          <w:tcPr>
            <w:tcW w:w="80" w:type="dxa"/>
            <w:vAlign w:val="bottom"/>
          </w:tcPr>
          <w:p>
            <w:pPr>
              <w:spacing w:after="0"/>
              <w:rPr>
                <w:sz w:val="20"/>
                <w:szCs w:val="20"/>
                <w:color w:val="auto"/>
              </w:rPr>
            </w:pPr>
          </w:p>
        </w:tc>
        <w:tc>
          <w:tcPr>
            <w:tcW w:w="800" w:type="dxa"/>
            <w:vAlign w:val="bottom"/>
          </w:tcPr>
          <w:p>
            <w:pPr>
              <w:jc w:val="right"/>
              <w:ind w:right="598"/>
              <w:spacing w:after="0"/>
              <w:rPr>
                <w:sz w:val="20"/>
                <w:szCs w:val="20"/>
                <w:color w:val="auto"/>
              </w:rPr>
            </w:pPr>
            <w:r>
              <w:rPr>
                <w:rFonts w:ascii="Times New Roman" w:cs="Times New Roman" w:eastAsia="Times New Roman" w:hAnsi="Times New Roman"/>
                <w:sz w:val="18"/>
                <w:szCs w:val="18"/>
                <w:color w:val="231F2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w:t>
            </w:r>
          </w:p>
        </w:tc>
        <w:tc>
          <w:tcPr>
            <w:tcW w:w="8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231F20"/>
        </w:rPr>
        <w:t>Other income, net, was $59.5 million for the six months ended June 30, 2022 compared to other expense of $120.9 million for the six months ended June 30, 2021. The change was primarily driven by the changes in the fair values of our warrant liabilities and earn-out share liabilities which were issued on July 15, 2021. During the six months ended June 30, 2022 the Company recognized other income of $67.2 million due to the change in the fair value of the warrant liabilities versus a $72.0 million expense for six months ended June 30, 2021. In addition, during the six months ended June 30, 2021 the Company recognized a $36.5 million expense for the change in the fair value of the earn-out shares liability.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7"/>
          <w:szCs w:val="17"/>
          <w:color w:val="231F20"/>
        </w:rPr>
        <w:t xml:space="preserve">Our primary sources of capital have been funded by (i) cash flow from operating activities, (ii) net proceeds received from the consummation of the Business Combination, (iii) net proceeds received from the Notes (as defined below), and (iv) net proceeds received from the exercise of Public and Private Placement Warrants. As of </w:t>
      </w:r>
      <w:r>
        <w:rPr>
          <w:rFonts w:ascii="Times New Roman" w:cs="Times New Roman" w:eastAsia="Times New Roman" w:hAnsi="Times New Roman"/>
          <w:sz w:val="17"/>
          <w:szCs w:val="17"/>
          <w:color w:val="000000"/>
        </w:rPr>
        <w:t>June 30, 2022</w:t>
      </w:r>
      <w:r>
        <w:rPr>
          <w:rFonts w:ascii="Times New Roman" w:cs="Times New Roman" w:eastAsia="Times New Roman" w:hAnsi="Times New Roman"/>
          <w:sz w:val="17"/>
          <w:szCs w:val="17"/>
          <w:color w:val="231F20"/>
        </w:rPr>
        <w:t xml:space="preserve">, we had cash and cash equivalents of approximately $821.0 million. A revolving credit facility of </w:t>
      </w:r>
      <w:r>
        <w:rPr>
          <w:rFonts w:ascii="Times New Roman" w:cs="Times New Roman" w:eastAsia="Times New Roman" w:hAnsi="Times New Roman"/>
          <w:sz w:val="17"/>
          <w:szCs w:val="17"/>
          <w:color w:val="000000"/>
        </w:rPr>
        <w:t>$50 million is also</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available as a source of capital although as of June 30, 2022, the revolving credit facility remains undrawn and there is no outstanding balance thereunder.</w:t>
      </w:r>
    </w:p>
    <w:p>
      <w:pPr>
        <w:spacing w:after="0" w:line="194"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Our sources of liquidity and cash flows are used to fund ongoing operations, research and development projects for new products, services, and technologies, and provide ongoing support services for our providers and customers. Over the next year, we anticipate that we will use our liquidity and cash flows from our operations to fund our growth. In addition,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w:t>
      </w:r>
    </w:p>
    <w:p>
      <w:pPr>
        <w:spacing w:after="0" w:line="217"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We expect capital expenditures of up to $20.0 million for the year ending December 31, 2022. Based on our sources of capital (including the cash consideration received from the consummation of the Business Combination and the cash received from the issuance of the Notes), management believes that we have sufficient liquidity to satisfy our anticipated working capital requirements for our ongoing operations and obligations for at least the next twelve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spacing w:after="0" w:line="21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48" w:lineRule="exact"/>
        <w:rPr>
          <w:sz w:val="20"/>
          <w:szCs w:val="20"/>
          <w:color w:val="auto"/>
        </w:rPr>
      </w:pPr>
    </w:p>
    <w:p>
      <w:pPr>
        <w:ind w:right="120" w:firstLine="159"/>
        <w:spacing w:after="0" w:line="274" w:lineRule="auto"/>
        <w:rPr>
          <w:sz w:val="20"/>
          <w:szCs w:val="20"/>
          <w:color w:val="auto"/>
        </w:rPr>
      </w:pPr>
      <w:r>
        <w:rPr>
          <w:rFonts w:ascii="Times New Roman" w:cs="Times New Roman" w:eastAsia="Times New Roman" w:hAnsi="Times New Roman"/>
          <w:sz w:val="18"/>
          <w:szCs w:val="18"/>
          <w:color w:val="auto"/>
        </w:rPr>
        <w:t>On December 30, 2021, HydraFacial LLC, a California limited liability company f.k.a. Edge Systems LLC (the “Borrower”) and an indirect wholly owned subsidiary of The Beauty Health Company, as borrower, entered into a Credit Agreement (the</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“Credit Agreement”) with Edge Systems Intermediate LLC, an indirect wholly owned subsidiary of the Company and the direct parent of the Borrower that holds the Company’s foreign and domestic operating entities, and The Hydrafacial Company Mexico Holdings, LLC, a direct wholly owned subsidiary of the Borrower that conducts the Mexican business operations, as guarantors (the “Guarantors” and, together with the Borrower, the “Loan Parties”), and JPMorgan Chase Bank, N.A., as administrative agent.</w:t>
      </w:r>
    </w:p>
    <w:p>
      <w:pPr>
        <w:spacing w:after="0" w:line="207" w:lineRule="exact"/>
        <w:rPr>
          <w:sz w:val="20"/>
          <w:szCs w:val="20"/>
          <w:color w:val="auto"/>
        </w:rPr>
      </w:pPr>
    </w:p>
    <w:p>
      <w:pPr>
        <w:jc w:val="both"/>
        <w:ind w:right="160"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Credit Agreement provides for a $50 million revolving credit facility with a maturity date of December 30, 2026. In addition, the Borrower has the ability from time to time to increase the revolving commitments or enter into one or more tranches of term loans up to an additional aggregate amount not to exceed $50 million, subject to receipt of lender commitments and certain conditions precedent. As of </w:t>
      </w:r>
      <w:r>
        <w:rPr>
          <w:rFonts w:ascii="Times New Roman" w:cs="Times New Roman" w:eastAsia="Times New Roman" w:hAnsi="Times New Roman"/>
          <w:sz w:val="18"/>
          <w:szCs w:val="18"/>
          <w:color w:val="231F20"/>
        </w:rPr>
        <w:t>June 30, 2022,</w:t>
      </w:r>
      <w:r>
        <w:rPr>
          <w:rFonts w:ascii="Times New Roman" w:cs="Times New Roman" w:eastAsia="Times New Roman" w:hAnsi="Times New Roman"/>
          <w:sz w:val="18"/>
          <w:szCs w:val="18"/>
          <w:color w:val="auto"/>
        </w:rPr>
        <w:t xml:space="preserve"> the Credit Agreement remains undrawn and there is no outstanding balance under the revolving credit facility.</w:t>
      </w:r>
    </w:p>
    <w:p>
      <w:pPr>
        <w:spacing w:after="0" w:line="207"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Borrowings under the Credit Agreement are secured by certain collateral of the Loan Parties and are guaranteed by the Guarantors, each of whom will derive substantial benefit from the revolving credit facility. In specified circumstances, additional guarantors are required to be added. The Credit Agreement contains various restrictive covenants subject to certain exceptions, including limitations on the Borrower’s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w:t>
      </w:r>
    </w:p>
    <w:p>
      <w:pPr>
        <w:spacing w:after="0" w:line="213" w:lineRule="exact"/>
        <w:rPr>
          <w:sz w:val="20"/>
          <w:szCs w:val="20"/>
          <w:color w:val="auto"/>
        </w:rPr>
      </w:pPr>
    </w:p>
    <w:p>
      <w:pPr>
        <w:ind w:right="120" w:firstLine="318"/>
        <w:spacing w:after="0" w:line="267" w:lineRule="auto"/>
        <w:rPr>
          <w:sz w:val="20"/>
          <w:szCs w:val="20"/>
          <w:color w:val="auto"/>
        </w:rPr>
      </w:pPr>
      <w:r>
        <w:rPr>
          <w:rFonts w:ascii="Times New Roman" w:cs="Times New Roman" w:eastAsia="Times New Roman" w:hAnsi="Times New Roman"/>
          <w:sz w:val="17"/>
          <w:szCs w:val="17"/>
          <w:color w:val="auto"/>
        </w:rPr>
        <w:t xml:space="preserve">The leverage ratio also determines pricing under the Credit Agreement. At the Borrower’s option, borrowings under the revolving credit facility accrue interest at a rate equal to either LIBOR or a specified base rate plus an applicable margin. The applicable margin is linked to the leverage ratio. The margins range from 2.00% to 2.50% per annum for LIBOR loans and 1.00% to 1.50% per annum for base rate loans. The revolving credit facility is subject to a commitment fee payable on the unused revolving credit facility commitments ranging from 0.25% to 0.35%, depending on the Borrower’s leverage ratio. As of </w:t>
      </w:r>
      <w:r>
        <w:rPr>
          <w:rFonts w:ascii="Times New Roman" w:cs="Times New Roman" w:eastAsia="Times New Roman" w:hAnsi="Times New Roman"/>
          <w:sz w:val="17"/>
          <w:szCs w:val="17"/>
          <w:color w:val="231F20"/>
        </w:rPr>
        <w:t>June 30, 2022</w:t>
      </w:r>
      <w:r>
        <w:rPr>
          <w:rFonts w:ascii="Times New Roman" w:cs="Times New Roman" w:eastAsia="Times New Roman" w:hAnsi="Times New Roman"/>
          <w:sz w:val="17"/>
          <w:szCs w:val="17"/>
          <w:color w:val="auto"/>
        </w:rPr>
        <w:t xml:space="preserve"> the Company’s unused commitment rate was 0.25%. The Borrower is also required to pay certain fees to the administrative agent and letter of credit issuers under the revolving credit facility. During the term of the revolving credit facility, the Borrower may borrow, repay and re-borrow amounts available under the revolving credit facility, subject to voluntary reductions of the swing line, letter of credit and revolving credit commitments.</w:t>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4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On September 14, 2021, we issued $750 million aggregate principal amount of Notes in a private placement to qualified institutional buyers pursuant to Rule 144A under the Securities Act of 1933, as amended. The Notes were issued pursuant to, and are governed by, an indenture, dated as of September 14, 2021, between the Company and U.S. Bank National Association, as trustee. The Notes accrue interest at a rate of 1.25% per annum, payable semi-annually in arrears on April 1 and October 1 of each year, beginning on April 1, 2022. The Notes will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We will settle conversions by paying or delivering, as applicable, cash, shares of our Class A Common Stock or a combination of cash and shares of our Class A Common Stock, at our election. The initial conversion rate is 31.4859 shares of Class A Common Stock per $1,000 principal amount of Notes, which represents an initial conversion price of approximately $31.76 per share of Class A Common Stock. We used $90.2 million of the net proceeds from the sale of the Notes to fund the cost of entering into capped call transactions. The net proceeds from the issuance of the Notes were approximately $638.7 million, net of capped call transaction costs of $90.2 million and debt issuance costs totaling $21.3 million. See Note 10 - Debt, to the Notes to the Condensed Consolidated Financial Statements included elsewhere in this report.</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48"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7"/>
          <w:szCs w:val="17"/>
          <w:color w:val="auto"/>
        </w:rPr>
        <w:t>Capped call transactions cover the aggregate number of shares of our Class A Common Stock that will initially underlie the Notes, and generally reduce potential dilution to our common stock upon any conversion of Notes and/or offset any cash payments we may make in excess of the principal amount of the converted Notes, as the case may be, with such reduction and/or offset subject to a cap, based on the cap price of the capped call transactions. See Note 2 - Summary of Significant Accounting Policies, to the Notes to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Commercial Commitments</w:t>
      </w:r>
    </w:p>
    <w:p>
      <w:pPr>
        <w:spacing w:after="0" w:line="248"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As of June 30, 2022, our material contractual obligations is approximately $39.8 million in interest related to the Notes, the Notes of $750 million, and $17.7 million in lease obligations.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Known Trends or Uncertainties</w:t>
      </w:r>
    </w:p>
    <w:p>
      <w:pPr>
        <w:spacing w:after="0" w:line="248"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We believe there are several emerging trends that may play a key role in shaping the future of the beauty health industry. Our market research demonstrated that consumers are increasingly willing to spend on high-end beauty health products. Some of the key industry trends identified by this market research are:</w:t>
      </w:r>
    </w:p>
    <w:p>
      <w:pPr>
        <w:spacing w:after="0" w:line="202" w:lineRule="exact"/>
        <w:rPr>
          <w:sz w:val="20"/>
          <w:szCs w:val="20"/>
          <w:color w:val="auto"/>
        </w:rPr>
      </w:pPr>
    </w:p>
    <w:p>
      <w:pPr>
        <w:jc w:val="both"/>
        <w:ind w:left="640" w:right="140" w:hanging="316"/>
        <w:spacing w:after="0" w:line="261" w:lineRule="auto"/>
        <w:tabs>
          <w:tab w:leader="none" w:pos="63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Millennials/Gen Z aging</w:t>
      </w:r>
      <w:r>
        <w:rPr>
          <w:rFonts w:ascii="Times New Roman" w:cs="Times New Roman" w:eastAsia="Times New Roman" w:hAnsi="Times New Roman"/>
          <w:sz w:val="18"/>
          <w:szCs w:val="18"/>
          <w:color w:val="auto"/>
        </w:rPr>
        <w:t>: HydraFacial customers are young. We believe HydraFacial resonates strongly with Gen Z and Millennials, with over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consumers being 37 years old or younger. As the Millennial and Gen Z consumers age, they appear to be taking skincare more seriously and are willing to invest in premium experiences such as those offered by HydraFacial.</w:t>
      </w:r>
    </w:p>
    <w:p>
      <w:pPr>
        <w:spacing w:after="0" w:line="199" w:lineRule="exact"/>
        <w:rPr>
          <w:rFonts w:ascii="Times New Roman" w:cs="Times New Roman" w:eastAsia="Times New Roman" w:hAnsi="Times New Roman"/>
          <w:sz w:val="18"/>
          <w:szCs w:val="18"/>
          <w:i w:val="1"/>
          <w:iCs w:val="1"/>
          <w:color w:val="auto"/>
        </w:rPr>
      </w:pPr>
    </w:p>
    <w:p>
      <w:pPr>
        <w:ind w:left="640" w:hanging="316"/>
        <w:spacing w:after="0" w:line="276" w:lineRule="auto"/>
        <w:tabs>
          <w:tab w:leader="none" w:pos="63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Influencers and social media driving purchase decisions</w:t>
      </w:r>
      <w:r>
        <w:rPr>
          <w:rFonts w:ascii="Times New Roman" w:cs="Times New Roman" w:eastAsia="Times New Roman" w:hAnsi="Times New Roman"/>
          <w:sz w:val="18"/>
          <w:szCs w:val="18"/>
          <w:color w:val="auto"/>
        </w:rPr>
        <w:t>: Social media personalities are increasingly opining and having an effect on skin care,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gained more prominence in the age of selfies.</w:t>
      </w:r>
    </w:p>
    <w:p>
      <w:pPr>
        <w:spacing w:after="0" w:line="186"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in disposable income</w:t>
      </w:r>
      <w:r>
        <w:rPr>
          <w:rFonts w:ascii="Times New Roman" w:cs="Times New Roman" w:eastAsia="Times New Roman" w:hAnsi="Times New Roman"/>
          <w:sz w:val="18"/>
          <w:szCs w:val="18"/>
          <w:color w:val="auto"/>
        </w:rPr>
        <w:t>: As the global economy grows, consumers have more disposable income to spend on premium products.</w:t>
      </w:r>
    </w:p>
    <w:p>
      <w:pPr>
        <w:spacing w:after="0" w:line="243" w:lineRule="exact"/>
        <w:rPr>
          <w:rFonts w:ascii="Times New Roman" w:cs="Times New Roman" w:eastAsia="Times New Roman" w:hAnsi="Times New Roman"/>
          <w:sz w:val="18"/>
          <w:szCs w:val="18"/>
          <w:i w:val="1"/>
          <w:iCs w:val="1"/>
          <w:color w:val="auto"/>
        </w:rPr>
      </w:pPr>
    </w:p>
    <w:p>
      <w:pPr>
        <w:ind w:left="640" w:right="80" w:hanging="316"/>
        <w:spacing w:after="0" w:line="275" w:lineRule="auto"/>
        <w:tabs>
          <w:tab w:leader="none" w:pos="635" w:val="left"/>
        </w:tabs>
        <w:numPr>
          <w:ilvl w:val="0"/>
          <w:numId w:val="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Shift in spend from makeup to skin care</w:t>
      </w:r>
      <w:r>
        <w:rPr>
          <w:rFonts w:ascii="Times New Roman" w:cs="Times New Roman" w:eastAsia="Times New Roman" w:hAnsi="Times New Roman"/>
          <w:sz w:val="17"/>
          <w:szCs w:val="17"/>
          <w:color w:val="auto"/>
        </w:rPr>
        <w:t>: There appears to be an increasing movement towards treating underlying skin to make it healthy and reveal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 (i.e., “clean beauty”), as opposed to using products such as make-up to cover it. Clean beauty places an emphasis on unveiling fresh, naked skin as the star, as opposed to covering it up. The HydraFacial experience not only physically cleanses skin with vortex suction, exfoliation and extraction, and removal of debris, but it also actively infuses the skin with innovative, clean ingredients to nourish and hydrate the newly cleaned skin canvas.</w:t>
      </w:r>
    </w:p>
    <w:p>
      <w:pPr>
        <w:spacing w:after="0" w:line="190" w:lineRule="exact"/>
        <w:rPr>
          <w:rFonts w:ascii="Times New Roman" w:cs="Times New Roman" w:eastAsia="Times New Roman" w:hAnsi="Times New Roman"/>
          <w:sz w:val="17"/>
          <w:szCs w:val="17"/>
          <w:i w:val="1"/>
          <w:iCs w:val="1"/>
          <w:color w:val="auto"/>
        </w:rPr>
      </w:pPr>
    </w:p>
    <w:p>
      <w:pPr>
        <w:ind w:left="640" w:right="300" w:hanging="316"/>
        <w:spacing w:after="0" w:line="276" w:lineRule="auto"/>
        <w:tabs>
          <w:tab w:leader="none" w:pos="63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in multi-brand and online retailers</w:t>
      </w:r>
      <w:r>
        <w:rPr>
          <w:rFonts w:ascii="Times New Roman" w:cs="Times New Roman" w:eastAsia="Times New Roman" w:hAnsi="Times New Roman"/>
          <w:sz w:val="18"/>
          <w:szCs w:val="18"/>
          <w:color w:val="auto"/>
        </w:rPr>
        <w:t>: Multi-brand retailers and digital native brands play an important role in captivating the consumer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pushing innovation.</w:t>
      </w:r>
    </w:p>
    <w:p>
      <w:pPr>
        <w:spacing w:after="0" w:line="186" w:lineRule="exact"/>
        <w:rPr>
          <w:rFonts w:ascii="Times New Roman" w:cs="Times New Roman" w:eastAsia="Times New Roman" w:hAnsi="Times New Roman"/>
          <w:sz w:val="18"/>
          <w:szCs w:val="18"/>
          <w:i w:val="1"/>
          <w:iCs w:val="1"/>
          <w:color w:val="auto"/>
        </w:rPr>
      </w:pPr>
    </w:p>
    <w:p>
      <w:pPr>
        <w:ind w:left="640" w:right="40" w:hanging="316"/>
        <w:spacing w:after="0" w:line="276" w:lineRule="auto"/>
        <w:tabs>
          <w:tab w:leader="none" w:pos="63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Consumers shopping across mass and premium brands</w:t>
      </w:r>
      <w:r>
        <w:rPr>
          <w:rFonts w:ascii="Times New Roman" w:cs="Times New Roman" w:eastAsia="Times New Roman" w:hAnsi="Times New Roman"/>
          <w:sz w:val="18"/>
          <w:szCs w:val="18"/>
          <w:color w:val="auto"/>
        </w:rPr>
        <w:t>: Consumers appear to be willing to shop across mass and premium brands in order to allocate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money towards trending categories and products that help make them look and feel better.</w:t>
      </w:r>
    </w:p>
    <w:p>
      <w:pPr>
        <w:spacing w:after="0" w:line="18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However, we operate in the beauty health industry, which is highly competitive and changes rapidly. Our operating results could be significantly affected by our ability to develop new products and find new distribution channels for new and existing products.</w:t>
      </w:r>
    </w:p>
    <w:p>
      <w:pPr>
        <w:spacing w:after="0" w:line="19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Furthermore, the majority of our customers are in the medical, (dermatologists and plastic surgeons), esthetician, and beauty retail industry. During economic downturns, we have seen consolidations in such industries. Also, the extent to which the COVID-19 pandemic impacts our business going forward will depend on numerous factors we cannot reliably predict, including the duration and scope of the pandemic; businesses and individuals' actions in response to the pandemic; and the impact on economic activity including the possibility of recession or financial market instability. These factors may adversely impact consumer, business, and government spending as well as customers' ability to pay for our products and services on an ongoing basis. As a result, our growth rate could be affected by consolidation and downsizing in the medical, esthetician, and beauty retail industry.</w:t>
      </w:r>
    </w:p>
    <w:p>
      <w:pPr>
        <w:spacing w:after="0" w:line="212"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In addition, we expect continued headwinds from global supply chain challenges and inflationary pressures to weigh on gross margin in 2022, specifically higher shipping costs, offset by margin accretion related to the acquired distributor inventory and pricing initiatives aimed at improving our margins.</w:t>
      </w:r>
    </w:p>
    <w:p>
      <w:pPr>
        <w:spacing w:after="0" w:line="1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48"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We do not maintain any off-balance sheet arrangements, transactions, obligations or other relationships with unconsolidated entities that would be expected to have a material current or future effect upon our financial condition or results of operations.</w:t>
      </w:r>
    </w:p>
    <w:p>
      <w:pPr>
        <w:spacing w:after="0" w:line="200" w:lineRule="exact"/>
        <w:rPr>
          <w:sz w:val="20"/>
          <w:szCs w:val="20"/>
          <w:color w:val="auto"/>
        </w:rPr>
      </w:pPr>
    </w:p>
    <w:p>
      <w:pPr>
        <w:spacing w:after="0" w:line="3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activities from our statements of cash flows. Amounts may not foot due to rounding.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0" w:type="dxa"/>
            <w:vAlign w:val="bottom"/>
          </w:tcPr>
          <w:p>
            <w:pPr>
              <w:spacing w:after="0"/>
              <w:rPr>
                <w:sz w:val="1"/>
                <w:szCs w:val="1"/>
                <w:color w:val="auto"/>
              </w:rPr>
            </w:pPr>
          </w:p>
        </w:tc>
      </w:tr>
      <w:tr>
        <w:trPr>
          <w:trHeight w:val="64"/>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8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Cash and cash equivalents at beginning of period</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Operating activities: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income (loss)</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Non-cash adjustments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Changes in working capital</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Net cash flows (used in) provided by operating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(31.9)</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cash flows (used in) provided by investing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Net cash flows (used in) provided by financing activities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change in cash and cash equivalents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Effect of foreign currency translation</w:t>
            </w:r>
          </w:p>
        </w:tc>
        <w:tc>
          <w:tcPr>
            <w:tcW w:w="4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Cash and cash equivalents at end of period</w:t>
            </w: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248" w:lineRule="exact"/>
        <w:rPr>
          <w:sz w:val="20"/>
          <w:szCs w:val="20"/>
          <w:color w:val="auto"/>
        </w:rPr>
      </w:pPr>
    </w:p>
    <w:p>
      <w:pPr>
        <w:ind w:right="40" w:firstLine="318"/>
        <w:spacing w:after="0" w:line="271" w:lineRule="auto"/>
        <w:rPr>
          <w:sz w:val="20"/>
          <w:szCs w:val="20"/>
          <w:color w:val="auto"/>
        </w:rPr>
      </w:pPr>
      <w:r>
        <w:rPr>
          <w:rFonts w:ascii="Times New Roman" w:cs="Times New Roman" w:eastAsia="Times New Roman" w:hAnsi="Times New Roman"/>
          <w:sz w:val="17"/>
          <w:szCs w:val="17"/>
          <w:color w:val="231F20"/>
        </w:rPr>
        <w:t xml:space="preserve">Net cash used in operating activities of $69.8 million for the six months ended June 30, 2022 was primarily due to </w:t>
      </w:r>
      <w:r>
        <w:rPr>
          <w:rFonts w:ascii="Times New Roman" w:cs="Times New Roman" w:eastAsia="Times New Roman" w:hAnsi="Times New Roman"/>
          <w:sz w:val="17"/>
          <w:szCs w:val="17"/>
          <w:color w:val="000000"/>
        </w:rPr>
        <w:t>investment in inventory in relation to</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the launch of Syndeo Delivery Systems, combined with a corresponding shift in the average collection period of receivables related to increased payment plan participation on delivery systems globally, as well as continued investments globally in people and systems to fuel future growth. The </w:t>
      </w:r>
      <w:r>
        <w:rPr>
          <w:rFonts w:ascii="Times New Roman" w:cs="Times New Roman" w:eastAsia="Times New Roman" w:hAnsi="Times New Roman"/>
          <w:sz w:val="17"/>
          <w:szCs w:val="17"/>
          <w:color w:val="231F20"/>
        </w:rPr>
        <w:t>net income of $40.4</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million was driven by non-cash adjustments of $37.1 million, with the largest adjustment being the fair value adjustment to warrant liabilities. The decrease in working capital of $73.2 million was primarily due to the increase in accounts receivable of $34.4 million and the increase in inventory of $39.2 million .</w:t>
      </w:r>
    </w:p>
    <w:p>
      <w:pPr>
        <w:spacing w:after="0" w:line="195"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8"/>
          <w:szCs w:val="18"/>
          <w:color w:val="231F20"/>
        </w:rPr>
        <w:t>Net cash used in operating activities of $31.9 million for the six months ended June 30, 2021 was primarily due to an increase in accounts receivable of $21.1 million. The net loss of $142.7 million was driven by non-cash adjustments of $125.6 million related to fair value adjustment of earn-out shares and warrant liabilities, and a decrease in working capital of $14.8 million.</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248"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231F20"/>
        </w:rPr>
        <w:t>Cash used in investing activities for the six months ended June 30, 2022 of $8.3 million was primarily related to $5.6 million in capital expenditures for property and equipment, $1.5 million in capital expenditures for the asset acquisition of Mxt and related developed technology, and $1.3 million in capitalized software.</w:t>
      </w:r>
    </w:p>
    <w:p>
      <w:pPr>
        <w:spacing w:after="0" w:line="204"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231F20"/>
        </w:rPr>
        <w:t>Cash used in investing activities for the six months ended June 30, 2021 of $9.1 million was primarily related to capital expenditures of $4.7 million and distributor business acquisition expenditures of $4.9 million.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248"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231F20"/>
        </w:rPr>
        <w:t>There was $2.8 million used in financing activities for the six months ended June 30, 2022 related to the distributor acquisitions of Wigmore and Sidermica. The Company did not withdraw from the line of credit and there were no transactions related to the warrants during the six months ended June 30, 2022.</w:t>
      </w:r>
    </w:p>
    <w:p>
      <w:pPr>
        <w:spacing w:after="0" w:line="204" w:lineRule="exact"/>
        <w:rPr>
          <w:sz w:val="20"/>
          <w:szCs w:val="20"/>
          <w:color w:val="auto"/>
        </w:rPr>
      </w:pPr>
    </w:p>
    <w:p>
      <w:pPr>
        <w:ind w:right="740" w:firstLine="318"/>
        <w:spacing w:after="0" w:line="274" w:lineRule="auto"/>
        <w:rPr>
          <w:sz w:val="20"/>
          <w:szCs w:val="20"/>
          <w:color w:val="auto"/>
        </w:rPr>
      </w:pPr>
      <w:r>
        <w:rPr>
          <w:rFonts w:ascii="Times New Roman" w:cs="Times New Roman" w:eastAsia="Times New Roman" w:hAnsi="Times New Roman"/>
          <w:sz w:val="18"/>
          <w:szCs w:val="18"/>
          <w:color w:val="231F20"/>
        </w:rPr>
        <w:t>Net cash from financing activities of $133.0 million for the six months ended June 30, 2021 was primarily related to proceeds from the business combination of $358.5 million, net of debt repayments of $230.5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6"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231F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231F20"/>
        </w:rPr>
        <w:t>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There has been no change to our critical accounting policies as included in our Annual Report on Form 10-K for the fiscal year ended December 31, 2021.</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6"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231F20"/>
        </w:rPr>
        <w:t xml:space="preserve">See Note </w:t>
      </w:r>
      <w:r>
        <w:rPr>
          <w:rFonts w:ascii="Times New Roman" w:cs="Times New Roman" w:eastAsia="Times New Roman" w:hAnsi="Times New Roman"/>
          <w:sz w:val="18"/>
          <w:szCs w:val="18"/>
          <w:color w:val="000000"/>
        </w:rPr>
        <w:t>2</w:t>
      </w:r>
      <w:r>
        <w:rPr>
          <w:rFonts w:ascii="Times New Roman" w:cs="Times New Roman" w:eastAsia="Times New Roman" w:hAnsi="Times New Roman"/>
          <w:sz w:val="18"/>
          <w:szCs w:val="18"/>
          <w:color w:val="231F20"/>
        </w:rPr>
        <w:t xml:space="preserve"> of the notes to our Condensed Consolidated Financial Statements in the section titled “Summary of Significant Accounting Policies” in our Note </w:t>
      </w:r>
      <w:r>
        <w:rPr>
          <w:rFonts w:ascii="Times New Roman" w:cs="Times New Roman" w:eastAsia="Times New Roman" w:hAnsi="Times New Roman"/>
          <w:sz w:val="18"/>
          <w:szCs w:val="18"/>
          <w:color w:val="000000"/>
        </w:rPr>
        <w:t>2</w:t>
      </w:r>
      <w:r>
        <w:rPr>
          <w:rFonts w:ascii="Times New Roman" w:cs="Times New Roman" w:eastAsia="Times New Roman" w:hAnsi="Times New Roman"/>
          <w:sz w:val="18"/>
          <w:szCs w:val="18"/>
          <w:color w:val="231F20"/>
        </w:rPr>
        <w:t xml:space="preserve"> to our consolidated financial statements included elsewhere in this Quarterly Report on Form 10-Q for a discussion about new accounting pronouncements adopted and not yet adopted.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6"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8"/>
          <w:szCs w:val="18"/>
          <w:color w:val="auto"/>
        </w:rPr>
        <w:t>In addition to our results determined in accordance with accounting principles generally accepted in the United States of America (GAAP), management utilizes certain non-GAAP performance measures, adjusted net income (loss), adjusted EBITDA (loss), adjusted EBITDA margin, adjusted gross profit, and adjusted gross margin, for purposes of evaluating our ongoing operations and for internal planning and forecasting purposes. We believe that these non-GAAP operating measures, when reviewed collectively with our GAAP financial information, provide useful supplemental information to investors in assessing our operating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(Loss), Adjusted EBITDA and Adjusted EBITDA Margin</w:t>
      </w:r>
    </w:p>
    <w:p>
      <w:pPr>
        <w:spacing w:after="0" w:line="246"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auto"/>
        </w:rPr>
        <w:t>Adjusted net income (loss), adjusted EBITDA and adjusted EBITDA margin are key performance measures that we use to assess our operating performance. Because adjusted net income (loss), adjusted EBITDA and adjusted EBITDA margin facilitate internal comparisons of our historical operating performance on a more consistent basis, we use these measures for business planning purposes.</w:t>
      </w:r>
    </w:p>
    <w:p>
      <w:pPr>
        <w:spacing w:after="0" w:line="204" w:lineRule="exact"/>
        <w:rPr>
          <w:sz w:val="20"/>
          <w:szCs w:val="20"/>
          <w:color w:val="auto"/>
        </w:rPr>
      </w:pPr>
    </w:p>
    <w:p>
      <w:pPr>
        <w:ind w:right="380" w:firstLine="318"/>
        <w:spacing w:after="0" w:line="304" w:lineRule="auto"/>
        <w:rPr>
          <w:sz w:val="20"/>
          <w:szCs w:val="20"/>
          <w:color w:val="auto"/>
        </w:rPr>
      </w:pPr>
      <w:r>
        <w:rPr>
          <w:rFonts w:ascii="Times New Roman" w:cs="Times New Roman" w:eastAsia="Times New Roman" w:hAnsi="Times New Roman"/>
          <w:sz w:val="17"/>
          <w:szCs w:val="17"/>
          <w:color w:val="auto"/>
        </w:rPr>
        <w:t>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operating leverage.</w:t>
      </w:r>
    </w:p>
    <w:p>
      <w:pPr>
        <w:spacing w:after="0" w:line="167"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We calculate adjusted net income (loss) as net income (loss) adjusted to exclude: change in fair value of Public and Private Placement Warrants, change in fair value of earn-out shares liability, other expense (income), net; amortization expense; stock-based compensation expense; management fees incurred from our historical private equity owners; one-time or non-recurring items such as transaction costs (including transactions costs with respect to the Business Combination); restructuring costs (including those associated with COVID-19) and the aggregate adjustment for income taxes for the tax effect of the adjustments described above.</w:t>
      </w:r>
    </w:p>
    <w:p>
      <w:pPr>
        <w:spacing w:after="0" w:line="212" w:lineRule="exact"/>
        <w:rPr>
          <w:sz w:val="20"/>
          <w:szCs w:val="20"/>
          <w:color w:val="auto"/>
        </w:rPr>
      </w:pPr>
    </w:p>
    <w:p>
      <w:pPr>
        <w:ind w:right="200" w:firstLine="318"/>
        <w:spacing w:after="0" w:line="252" w:lineRule="auto"/>
        <w:rPr>
          <w:sz w:val="20"/>
          <w:szCs w:val="20"/>
          <w:color w:val="auto"/>
        </w:rPr>
      </w:pPr>
      <w:r>
        <w:rPr>
          <w:rFonts w:ascii="Times New Roman" w:cs="Times New Roman" w:eastAsia="Times New Roman" w:hAnsi="Times New Roman"/>
          <w:sz w:val="18"/>
          <w:szCs w:val="18"/>
          <w:color w:val="auto"/>
        </w:rPr>
        <w:t>We calculate adjusted EBITDA as net income (loss) adjusted to exclude: change in fair value of Public and Private Placement Warrants, change in fair value of earn-out shares liability, other expense (income), net; interest expense; income tax benefit (expense); depreciation and amortization expense; stock-based compensation expense; foreign currency (gain) loss; management fees incurred from our historical private equity owners; one-time or non-recurring items such as transaction costs (including transactions costs with respect to the Business Combination); and restructuring costs (including those associated with COVID-19).</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our net income (loss) to adjusted net income (loss) and adjusted EBITDA for the periods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08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231F20"/>
              </w:rPr>
              <w:t>Six months ended June 30,</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231F20"/>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231F20"/>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231F20"/>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231F20"/>
              </w:rPr>
              <w:t>2021</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(142,652)</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FV of warrant liability</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72,027</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FV of earn-out shares liability</w:t>
            </w:r>
          </w:p>
        </w:tc>
        <w:tc>
          <w:tcPr>
            <w:tcW w:w="3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36,525</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(1)</w:t>
            </w:r>
          </w:p>
        </w:tc>
        <w:tc>
          <w:tcPr>
            <w:tcW w:w="3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related costs (2)</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31,157</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non-recurring and one-time fees (3)</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adjustment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1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Remaining benefit for income taxes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62" w:lineRule="exact"/>
        <w:rPr>
          <w:sz w:val="20"/>
          <w:szCs w:val="20"/>
          <w:color w:val="auto"/>
        </w:rPr>
      </w:pPr>
    </w:p>
    <w:p>
      <w:pPr>
        <w:ind w:left="320" w:right="200" w:hanging="314"/>
        <w:spacing w:after="0" w:line="253" w:lineRule="auto"/>
        <w:tabs>
          <w:tab w:leader="none" w:pos="34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quarterly management fees paid to the majority shareholder of HydraFacial based on a pre-determined formula. Following the Business Combination, these fees are no longer paid.</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49" w:lineRule="auto"/>
        <w:tabs>
          <w:tab w:leader="none" w:pos="34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and six months ended June 30, 2022, such amounts primarily represent direct costs incurred in relation to potential acquisitions. For the three months and six months ended June 30, 2021, such amounts primarily represent direct costs incurred with the Business Combination and to prepare HydraFacial to be marketed for sale by HydraFacial’s shareholders in previous periods.</w:t>
      </w:r>
    </w:p>
    <w:p>
      <w:pPr>
        <w:spacing w:after="0" w:line="1" w:lineRule="exact"/>
        <w:rPr>
          <w:rFonts w:ascii="Times New Roman" w:cs="Times New Roman" w:eastAsia="Times New Roman" w:hAnsi="Times New Roman"/>
          <w:sz w:val="16"/>
          <w:szCs w:val="16"/>
          <w:color w:val="auto"/>
        </w:rPr>
      </w:pPr>
    </w:p>
    <w:p>
      <w:pPr>
        <w:jc w:val="both"/>
        <w:ind w:left="320" w:right="100" w:hanging="314"/>
        <w:spacing w:after="0" w:line="251" w:lineRule="auto"/>
        <w:tabs>
          <w:tab w:leader="none" w:pos="34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June 30, 2022, such costs primarily represent one-time severance costs due to a Company re-organization. For the six months ended June 30, 2022, such costs include the re-organization severance, other one-time personnel costs related to executive recruiting, executive severance, a one-time loss on fixed asset write-offs and a CEO sign-on bonus.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246"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We use adjusted gross profit and adjusted gross margin to measure profitability and the ability to scale and leverage the costs of Delivery Systems and Consumables. The continued growth of Delivery Systems is expected to improve adjusted gross margin, as additional Delivery Systems sold will increase our recurring Consumables net sales, which has higher margins.</w:t>
      </w:r>
    </w:p>
    <w:p>
      <w:pPr>
        <w:spacing w:after="0" w:line="204"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We believe adjusted gross profit and adjusted gross margin are useful measures to us and to our investors to assist in evaluating our operating performance because they provide consistency and direct comparability with past financial performance and between fiscal periods, as the metric eliminates the effects of amortization and depreciation and stock-based compensation expense, which are non-cash expenses that may fluctuate for reasons unrelated to overall continuing operating performance. Adjusted gross margin has been and will continue to be affected by a variety of factors, including the product mix, geographic mix, direct vs. indirect mix, the average selling price on Delivery Systems, and new product launches. We expect our adjusted gross margin to fluctuate over time depending on the factors described above.</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reconciles gross profit to adjusted gross profit for the periods indicated. </w:t>
      </w:r>
      <w:r>
        <w:rPr>
          <w:rFonts w:ascii="Times New Roman" w:cs="Times New Roman" w:eastAsia="Times New Roman" w:hAnsi="Times New Roman"/>
          <w:sz w:val="18"/>
          <w:szCs w:val="18"/>
          <w:color w:val="231F20"/>
        </w:rPr>
        <w:t>Amounts and percentages may not foot due to rounding:</w:t>
      </w:r>
    </w:p>
    <w:p>
      <w:pPr>
        <w:spacing w:after="0" w:line="200" w:lineRule="exact"/>
        <w:rPr>
          <w:sz w:val="20"/>
          <w:szCs w:val="20"/>
          <w:color w:val="auto"/>
        </w:rPr>
      </w:pPr>
    </w:p>
    <w:p>
      <w:pPr>
        <w:spacing w:after="0" w:line="3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4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60" w:type="dxa"/>
            <w:vAlign w:val="bottom"/>
            <w:tcBorders>
              <w:bottom w:val="single" w:sz="8" w:color="CFF0FC"/>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5"/>
        </w:trPr>
        <w:tc>
          <w:tcPr>
            <w:tcW w:w="4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103,536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66,508</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178,951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114,050</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31,882</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19,257</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35,059</w:t>
            </w: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71,654</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47,251</w:t>
            </w: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123,591</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78,991</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
              <w:spacing w:after="0" w:line="198" w:lineRule="exact"/>
              <w:rPr>
                <w:sz w:val="20"/>
                <w:szCs w:val="20"/>
                <w:color w:val="auto"/>
              </w:rPr>
            </w:pPr>
            <w:r>
              <w:rPr>
                <w:rFonts w:ascii="Times New Roman" w:cs="Times New Roman" w:eastAsia="Times New Roman" w:hAnsi="Times New Roman"/>
                <w:sz w:val="18"/>
                <w:szCs w:val="18"/>
                <w:color w:val="231F20"/>
              </w:rPr>
              <w:t>69.1%</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
              <w:spacing w:after="0" w:line="198" w:lineRule="exact"/>
              <w:rPr>
                <w:sz w:val="20"/>
                <w:szCs w:val="20"/>
                <w:color w:val="auto"/>
              </w:rPr>
            </w:pPr>
            <w:r>
              <w:rPr>
                <w:rFonts w:ascii="Times New Roman" w:cs="Times New Roman" w:eastAsia="Times New Roman" w:hAnsi="Times New Roman"/>
                <w:sz w:val="18"/>
                <w:szCs w:val="18"/>
                <w:color w:val="231F20"/>
              </w:rPr>
              <w:t>69.3%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 included in cost of sales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Depreciation and amortization expense included in cost of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Adjusted gross profit</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84,149</w:t>
            </w: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Adjusted gross margin</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6" w:lineRule="exact"/>
        <w:rPr>
          <w:sz w:val="20"/>
          <w:szCs w:val="20"/>
          <w:color w:val="auto"/>
        </w:rPr>
      </w:pPr>
    </w:p>
    <w:p>
      <w:pPr>
        <w:ind w:right="340" w:firstLine="318"/>
        <w:spacing w:after="0" w:line="259" w:lineRule="auto"/>
        <w:rPr>
          <w:sz w:val="20"/>
          <w:szCs w:val="20"/>
          <w:color w:val="auto"/>
        </w:rPr>
      </w:pPr>
      <w:r>
        <w:rPr>
          <w:rFonts w:ascii="Times New Roman" w:cs="Times New Roman" w:eastAsia="Times New Roman" w:hAnsi="Times New Roman"/>
          <w:sz w:val="18"/>
          <w:szCs w:val="18"/>
          <w:color w:val="auto"/>
        </w:rPr>
        <w:t xml:space="preserve">We had cash and cash equivalents of approximately </w:t>
      </w:r>
      <w:r>
        <w:rPr>
          <w:rFonts w:ascii="Times New Roman" w:cs="Times New Roman" w:eastAsia="Times New Roman" w:hAnsi="Times New Roman"/>
          <w:sz w:val="18"/>
          <w:szCs w:val="18"/>
          <w:color w:val="231F20"/>
        </w:rPr>
        <w:t>$821.0 million</w:t>
      </w:r>
      <w:r>
        <w:rPr>
          <w:rFonts w:ascii="Times New Roman" w:cs="Times New Roman" w:eastAsia="Times New Roman" w:hAnsi="Times New Roman"/>
          <w:sz w:val="18"/>
          <w:szCs w:val="18"/>
          <w:color w:val="auto"/>
        </w:rPr>
        <w:t xml:space="preserve"> as of June 30, 2022. We do not enter into investments for trading or speculative purposes. We have not been exposed, nor do we anticipate being exposed to material risks due to changes in interest rates. A hypothetical 10% increase in interest rates during any of the periods presented would not have had a material impact on our consolidated financial statements.</w:t>
      </w:r>
    </w:p>
    <w:p>
      <w:pPr>
        <w:spacing w:after="0" w:line="204"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We are primarily potentially exposed to changes in short-term interest rates with respect to our cost of borrowing under our Credit Agreement, from which we have yet to draw on. Our debt obligations related to the Notes are long-term in nature with fixed interest rates. We monitor our cost of borrowing, taking into account our funding requirements, and our expectations for short-term rates in the future. A hypothetical 10% change in the interest rate on our Credit Agreement for all periods presented would not have a material impact on our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4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w:t>
      </w:r>
    </w:p>
    <w:p>
      <w:pPr>
        <w:spacing w:after="0" w:line="207"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46"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particularly if we are unable to achieve commensurate increases in the prices we charge our customers. The existence of inflation in the economy has resulted in, and may continue to result in, higher interest rates and capital costs, shipping costs, supply shortages, increased costs of labor, weakening exchange rates, and other similar effects. As a result of inflation, we have experienced and may continue to experience, cost increases.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6" w:lineRule="exact"/>
        <w:rPr>
          <w:sz w:val="20"/>
          <w:szCs w:val="20"/>
          <w:color w:val="auto"/>
        </w:rPr>
      </w:pPr>
    </w:p>
    <w:p>
      <w:pPr>
        <w:ind w:right="580" w:firstLine="318"/>
        <w:spacing w:after="0" w:line="255" w:lineRule="auto"/>
        <w:rPr>
          <w:sz w:val="20"/>
          <w:szCs w:val="20"/>
          <w:color w:val="auto"/>
        </w:rPr>
      </w:pPr>
      <w:r>
        <w:rPr>
          <w:rFonts w:ascii="Times New Roman" w:cs="Times New Roman" w:eastAsia="Times New Roman" w:hAnsi="Times New Roman"/>
          <w:sz w:val="18"/>
          <w:szCs w:val="18"/>
          <w:color w:val="231F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0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As required by Rules 13a-15 and 15d-15 under the Exchange Act, our Chief Executive Officer and Chief Financial Officer carried out an evaluation of the effectiveness of the design and operation of our disclosure controls and procedures as of June 30, 2022. Based upon their evaluation, our Chief Executive Officer and Chief Financial Officer concluded that, due to the material weaknesses that existed as of December 31, 2020 and continued to exist as of June 30, 2022, our disclosure controls and procedures (as defined in Rules 13a-15(e) and 15d-15(e) under the Exchange Act) were not effective. This was accordingly disclosed in our Annual Report on Form 10-K for the year ended December 31, 2021, Form 10-K/A for the year ended December 31, 2020 and in our Definitive Proxy Statement filed on April 7,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Weaknesses in Internal Control over Financial Reporting</w:t>
      </w:r>
    </w:p>
    <w:p>
      <w:pPr>
        <w:spacing w:after="0" w:line="246"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231F20"/>
        </w:rPr>
        <w:t>In connection with the audit of HydraFacial as of and for the year ended December 31, 2020, we previously identified material weaknesses in our internal control over financial reporting. The material weaknesses were related to segregation of duties, including the review and approval of journal entries, our lack of sufficient accounting resources and the lack of a formalized risk assessment process. These material weaknesses may not allow for us to have proper segregation of duties and the ability to close our books and records and report our results on a timely basis.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In response to the material weaknesses, management completed the following remediation actions:</w:t>
      </w:r>
    </w:p>
    <w:p>
      <w:pPr>
        <w:spacing w:after="0" w:line="244"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established a formal risk assessment process to identify and evaluate risks relevant to financial reporting objectives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segregation of duties around the approval of journal entries and accounting processes</w:t>
      </w:r>
    </w:p>
    <w:p>
      <w:pPr>
        <w:spacing w:after="0" w:line="5" w:lineRule="exact"/>
        <w:rPr>
          <w:rFonts w:ascii="Times New Roman" w:cs="Times New Roman" w:eastAsia="Times New Roman" w:hAnsi="Times New Roman"/>
          <w:sz w:val="18"/>
          <w:szCs w:val="18"/>
          <w:color w:val="auto"/>
        </w:rPr>
      </w:pPr>
    </w:p>
    <w:p>
      <w:pPr>
        <w:ind w:left="640" w:right="840" w:hanging="316"/>
        <w:spacing w:after="0" w:line="25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a training program addressing internal control over financial reporting, including educating control owners regarding the requirements of each control</w:t>
      </w:r>
    </w:p>
    <w:p>
      <w:pPr>
        <w:spacing w:after="0" w:line="210" w:lineRule="exact"/>
        <w:rPr>
          <w:sz w:val="20"/>
          <w:szCs w:val="20"/>
          <w:color w:val="auto"/>
        </w:rPr>
      </w:pPr>
    </w:p>
    <w:p>
      <w:pPr>
        <w:ind w:right="500" w:firstLine="318"/>
        <w:spacing w:after="0" w:line="304" w:lineRule="auto"/>
        <w:rPr>
          <w:sz w:val="20"/>
          <w:szCs w:val="20"/>
          <w:color w:val="auto"/>
        </w:rPr>
      </w:pPr>
      <w:r>
        <w:rPr>
          <w:rFonts w:ascii="Times New Roman" w:cs="Times New Roman" w:eastAsia="Times New Roman" w:hAnsi="Times New Roman"/>
          <w:sz w:val="17"/>
          <w:szCs w:val="17"/>
          <w:color w:val="231F20"/>
        </w:rPr>
        <w:t>We determined that the material weakness around lack of sufficient accounting resources continued to exist as of December 31, 2021. This material weakness may not allow for us to have proper segregation of duties and the ability to close our books and report our results on a timely basis.</w:t>
      </w:r>
    </w:p>
    <w:p>
      <w:pPr>
        <w:spacing w:after="0" w:line="167"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231F20"/>
        </w:rPr>
        <w:t>We have begun the process of, and we are focused on, designing and implementing effective internal controls measures to improve our internal control over financial reporting and remediate the material weakness. Our efforts include a number of actions:</w:t>
      </w:r>
    </w:p>
    <w:p>
      <w:pPr>
        <w:spacing w:after="0" w:line="190" w:lineRule="exact"/>
        <w:rPr>
          <w:sz w:val="20"/>
          <w:szCs w:val="20"/>
          <w:color w:val="auto"/>
        </w:rPr>
      </w:pPr>
    </w:p>
    <w:p>
      <w:pPr>
        <w:ind w:left="640" w:right="40" w:hanging="316"/>
        <w:spacing w:after="0" w:line="25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recruiting additional personnel, in addition to engaging and utilizing third party consultants and specialists to supplement our internal resources and segregate key functions within our business processes, if appropriate;</w:t>
      </w:r>
    </w:p>
    <w:p>
      <w:pPr>
        <w:ind w:left="640" w:right="320" w:hanging="316"/>
        <w:spacing w:after="0" w:line="245"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designing and implementing additional review procedures within our accounting and finance department to provide more robust and comprehensive internal controls over financial reporting that address the relative financial statement assertions and risks of material misstatement within our business processes;</w:t>
      </w:r>
    </w:p>
    <w:p>
      <w:pPr>
        <w:spacing w:after="0" w:line="2" w:lineRule="exact"/>
        <w:rPr>
          <w:rFonts w:ascii="Times New Roman" w:cs="Times New Roman" w:eastAsia="Times New Roman" w:hAnsi="Times New Roman"/>
          <w:sz w:val="18"/>
          <w:szCs w:val="18"/>
          <w:color w:val="auto"/>
        </w:rPr>
      </w:pPr>
    </w:p>
    <w:p>
      <w:pPr>
        <w:ind w:left="640" w:right="340" w:hanging="316"/>
        <w:spacing w:after="0" w:line="251"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designing and implementing information technology and application controls in our financially significant systems to address our relative information processing objectives</w:t>
      </w:r>
    </w:p>
    <w:p>
      <w:pPr>
        <w:spacing w:after="0" w:line="210"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231F20"/>
        </w:rPr>
        <w:t>While these actions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controls over financial reporting and will continue to diligently review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231F20"/>
        </w:rPr>
        <w:t>Other than the remediation efforts described in this Item 4, there have been no changes in our internal control over financial reporting during the quarter ended June 30, 2022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6"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see Note 13, Commitments and Contingencies, to our consolidated financial statements included in Part I, Item 1 of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7"/>
          <w:szCs w:val="17"/>
          <w:color w:val="auto"/>
        </w:rPr>
        <w:t>Please carefully consider the information set forth in this Quarterly Report on Form 10-Q and the risk factors discussed in Part I, “Item 1A. Risk Factors” in our Annual Report on Form 10-K for the year ended December 31, 2021, filed with the SEC on March 1, 2022 (the “Annual Report”) and Part II “Item 1A. Risk Factors” in our Quarterly Report on Form 10-Q for the quarter ended March 31, 2022 (the “Q1 Quarterly Report”), which could materially affect our business, financial condition, or future results. The risks described in our Annual Report and Q1 Quarterly Report, as well as other risks and uncertainties, could materially and adversely affect our business, results of operations, and financial condition, which in turn could materially and adversely affect the trading price of shares of our Class A Common Stock. There have been no material updates or changes to the risk factors previously disclosed in our Annual Report and Q1 Quarterly Report; provided, however, additional risks not currently known or currently material to us may also harm our business.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6"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On April 12, 2022, we issued an aggregate of 28,733 restricted shares of our Class A Common Stock to shareholders of Mxt on a pro rata basis as partial consideration of our acquisition of Mxt (the “Mxt Shares”). The Mxt Shares were valued at $17.40 per share, which was the price per share based on the average closing price of our Class A Common Stock for the thirty (30) trading days immediately preceding our acquisition of Mxt. For additional information about the Mxt transaction please see our description in Note 3, Business Combinations, to our consolidated financial statements included in Part I, Item 1 of this Quarterly Report on Form 10-Q.</w:t>
      </w:r>
    </w:p>
    <w:p>
      <w:pPr>
        <w:spacing w:after="0" w:line="212" w:lineRule="exact"/>
        <w:rPr>
          <w:sz w:val="20"/>
          <w:szCs w:val="20"/>
          <w:color w:val="auto"/>
        </w:rPr>
      </w:pPr>
    </w:p>
    <w:p>
      <w:pPr>
        <w:jc w:val="both"/>
        <w:ind w:right="140" w:firstLine="318"/>
        <w:spacing w:after="0" w:line="304" w:lineRule="auto"/>
        <w:rPr>
          <w:sz w:val="20"/>
          <w:szCs w:val="20"/>
          <w:color w:val="auto"/>
        </w:rPr>
      </w:pPr>
      <w:r>
        <w:rPr>
          <w:rFonts w:ascii="Times New Roman" w:cs="Times New Roman" w:eastAsia="Times New Roman" w:hAnsi="Times New Roman"/>
          <w:sz w:val="17"/>
          <w:szCs w:val="17"/>
          <w:color w:val="auto"/>
        </w:rPr>
        <w:t>The Mxt Shares were not registered under the Securities Act of 1933, as amended. However, the Mxt Shares were issued in reliance upon the exemption from registration provided for under Section 4(a)(2) of the Securities Act of 1933, as amended, and/or Section 506 of Regulation D promulgated thereunder.</w:t>
      </w:r>
    </w:p>
    <w:p>
      <w:pPr>
        <w:spacing w:after="0" w:line="167" w:lineRule="exact"/>
        <w:rPr>
          <w:sz w:val="20"/>
          <w:szCs w:val="20"/>
          <w:color w:val="auto"/>
        </w:rPr>
      </w:pPr>
    </w:p>
    <w:p>
      <w:pPr>
        <w:ind w:right="660" w:firstLine="318"/>
        <w:spacing w:after="0" w:line="274" w:lineRule="auto"/>
        <w:rPr>
          <w:sz w:val="20"/>
          <w:szCs w:val="20"/>
          <w:color w:val="auto"/>
        </w:rPr>
      </w:pPr>
      <w:r>
        <w:rPr>
          <w:rFonts w:ascii="Times New Roman" w:cs="Times New Roman" w:eastAsia="Times New Roman" w:hAnsi="Times New Roman"/>
          <w:sz w:val="18"/>
          <w:szCs w:val="18"/>
          <w:color w:val="auto"/>
        </w:rPr>
        <w:t>Except as set forth above, we did not sell any other unregistered equity securities during the period covered by this report that were not otherwise disclosed in a Current Report on Form 8-K.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included in this Item 5 is provided in lieu of filing such information on a Current Report on Form 8-K under Item 5.02. Departure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or Certain Officers; Election of Directors; Appointment of Certain Officers; Compensatory Arrangements of Certain Officers:</w:t>
      </w:r>
    </w:p>
    <w:p>
      <w:pPr>
        <w:spacing w:after="0" w:line="224"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On August 3, 2022, the Company’s indirect, wholly-owned subsidiary, HydraFacial LLC, f.k.a. Edge Systems, LLC, and Indra Pamamull, the former President of APAC of the Company, entered into a Separation Agreement (the “Separation Agreement”) in connection with Ms. Pamamull’s transition out of the Company. The Separation Agreement is effective as of June 8, 2022 (the “Separation Date”).</w:t>
      </w:r>
    </w:p>
    <w:p>
      <w:pPr>
        <w:spacing w:after="0" w:line="204"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7"/>
          <w:szCs w:val="17"/>
          <w:color w:val="auto"/>
        </w:rPr>
        <w:t>Pursuant to the terms of the Separation Agreement, HydraFacial has agreed to (i) pay to Ms. Pamamull cash consideration of (a) $12,641 Singapore dollars, which represents the prorated monthly salary for the month of June up to the Separation Date, (b) $21,392 Singapore dollars, which represents the prorated, accrued and unutilized paid annual leave up to the Separation Date, (c) $278,100 Singapore dollars, which represents severance payment equivalent to six months’ salary, (d) $18,180 Singapore dollars, which represents the amounts owed had Ms. Pamamull taken part in the Central Provident Fund in</w:t>
      </w: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Singapore, (e) an amount equal to Ms. Pamamull’s monthly base salary for up to six (6) months, or such shorter period thereof in the event that Ms. Pamamull commences paid employment with any other entity, and (f) an amount equal to the pro-rata target bonus up to the Separation Date, and (ii) continue Ms. Pamamull’s current health benefits for up to six (6) months after the Separation Date (collectively, the “Severance Payments”).</w:t>
      </w:r>
    </w:p>
    <w:p>
      <w:pPr>
        <w:spacing w:after="0" w:line="204" w:lineRule="exact"/>
        <w:rPr>
          <w:sz w:val="20"/>
          <w:szCs w:val="20"/>
          <w:color w:val="auto"/>
        </w:rPr>
      </w:pPr>
    </w:p>
    <w:p>
      <w:pPr>
        <w:ind w:right="720" w:firstLine="318"/>
        <w:spacing w:after="0" w:line="274" w:lineRule="auto"/>
        <w:rPr>
          <w:sz w:val="20"/>
          <w:szCs w:val="20"/>
          <w:color w:val="auto"/>
        </w:rPr>
      </w:pPr>
      <w:r>
        <w:rPr>
          <w:rFonts w:ascii="Times New Roman" w:cs="Times New Roman" w:eastAsia="Times New Roman" w:hAnsi="Times New Roman"/>
          <w:sz w:val="18"/>
          <w:szCs w:val="18"/>
          <w:color w:val="auto"/>
        </w:rPr>
        <w:t>In consideration for the Severance Payments, Ms. Pamamull has agreed to customary general releases and waivers in favor of the Company and HydraFacial, and customary post-employment covenants with respect to confidential information of the Company and HydraFacial.</w:t>
      </w:r>
    </w:p>
    <w:p>
      <w:pPr>
        <w:spacing w:after="0" w:line="190"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complete and is qualified in its entirety by reference to the full text of the Separation Agreement, a copy of which is attached hereto as Exhibit 10.3 and is incorporated herein by reference.</w:t>
      </w:r>
    </w:p>
    <w:p>
      <w:pPr>
        <w:spacing w:after="0" w:line="200" w:lineRule="exact"/>
        <w:rPr>
          <w:sz w:val="20"/>
          <w:szCs w:val="20"/>
          <w:color w:val="auto"/>
        </w:rPr>
      </w:pPr>
    </w:p>
    <w:p>
      <w:pPr>
        <w:spacing w:after="0" w:line="3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5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44"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7"/>
          <w:szCs w:val="17"/>
          <w:b w:val="1"/>
          <w:bCs w:val="1"/>
          <w:color w:val="auto"/>
        </w:rPr>
        <w:t>Filed</w:t>
      </w:r>
    </w:p>
    <w:p>
      <w:pPr>
        <w:sectPr>
          <w:pgSz w:w="11900" w:h="16838" w:orient="portrait"/>
          <w:cols w:equalWidth="0" w:num="1">
            <w:col w:w="11180"/>
          </w:cols>
          <w:pgMar w:left="320" w:top="121" w:right="399" w:bottom="1440" w:gutter="0" w:footer="0" w:header="0"/>
        </w:sect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79"/>
        </w:trPr>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300" w:type="dxa"/>
            <w:vAlign w:val="bottom"/>
            <w:tcBorders>
              <w:top w:val="single" w:sz="8" w:color="auto"/>
            </w:tcBorders>
            <w:gridSpan w:val="23"/>
          </w:tcPr>
          <w:p>
            <w:pPr>
              <w:spacing w:after="0" w:line="17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Agreement and Plan of Merger, dated as of December 8, 2020, by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gridSpan w:val="23"/>
          </w:tcPr>
          <w:p>
            <w:pPr>
              <w:spacing w:after="0" w:line="152"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among Vesper Healthcare Acquisition Corp., Hydrate Merger Sub I, Inc.,</w:t>
              </w:r>
            </w:hyperlink>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20" w:type="dxa"/>
            <w:vAlign w:val="bottom"/>
            <w:vMerge w:val="restart"/>
          </w:tcPr>
          <w:p>
            <w:pPr>
              <w:spacing w:after="0"/>
              <w:rPr>
                <w:rFonts w:ascii="Times New Roman" w:cs="Times New Roman" w:eastAsia="Times New Roman" w:hAnsi="Times New Roman"/>
                <w:sz w:val="18"/>
                <w:szCs w:val="18"/>
                <w:color w:val="0000FF"/>
                <w:w w:val="88"/>
              </w:rPr>
            </w:pPr>
            <w:hyperlink r:id="rId61">
              <w:r>
                <w:rPr>
                  <w:rFonts w:ascii="Times New Roman" w:cs="Times New Roman" w:eastAsia="Times New Roman" w:hAnsi="Times New Roman"/>
                  <w:sz w:val="18"/>
                  <w:szCs w:val="18"/>
                  <w:color w:val="0000FF"/>
                  <w:w w:val="88"/>
                </w:rPr>
                <w:t>2.</w:t>
              </w:r>
              <w:r>
                <w:rPr>
                  <w:rFonts w:ascii="Times New Roman" w:cs="Times New Roman" w:eastAsia="Times New Roman" w:hAnsi="Times New Roman"/>
                  <w:sz w:val="18"/>
                  <w:szCs w:val="18"/>
                  <w:u w:val="single" w:color="auto"/>
                  <w:color w:val="0000FF"/>
                  <w:w w:val="88"/>
                </w:rPr>
                <w:t>1</w:t>
              </w:r>
            </w:hyperlink>
          </w:p>
        </w:tc>
        <w:tc>
          <w:tcPr>
            <w:tcW w:w="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Borders>
              <w:top w:val="single" w:sz="8" w:color="0000FF"/>
              <w:bottom w:val="single" w:sz="8" w:color="0000FF"/>
            </w:tcBorders>
            <w:gridSpan w:val="16"/>
          </w:tcPr>
          <w:p>
            <w:pPr>
              <w:spacing w:after="0" w:line="165" w:lineRule="exact"/>
              <w:rPr>
                <w:rFonts w:ascii="Times New Roman" w:cs="Times New Roman" w:eastAsia="Times New Roman" w:hAnsi="Times New Roman"/>
                <w:sz w:val="18"/>
                <w:szCs w:val="18"/>
                <w:color w:val="0000FF"/>
                <w:w w:val="96"/>
              </w:rPr>
            </w:pPr>
            <w:hyperlink r:id="rId61">
              <w:r>
                <w:rPr>
                  <w:rFonts w:ascii="Times New Roman" w:cs="Times New Roman" w:eastAsia="Times New Roman" w:hAnsi="Times New Roman"/>
                  <w:sz w:val="18"/>
                  <w:szCs w:val="18"/>
                  <w:color w:val="0000FF"/>
                  <w:w w:val="96"/>
                </w:rPr>
                <w:t>Hydrate Merger Sub II, LLC, LCP Edge Intermediate, Inc. and LCP Edge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20" w:type="dxa"/>
            <w:vAlign w:val="bottom"/>
            <w:tcBorders>
              <w:bottom w:val="single" w:sz="8" w:color="0000FF"/>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Holdco, LLC, in its capacity as the Stockholders’ Representative</w:t>
              </w:r>
            </w:hyperlink>
          </w:p>
        </w:tc>
        <w:tc>
          <w:tcPr>
            <w:tcW w:w="66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205" w:lineRule="exact"/>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Second Amended and Restated Certificate of Incorporation of The Beauty</w:t>
              </w:r>
            </w:hyperlink>
          </w:p>
        </w:tc>
        <w:tc>
          <w:tcPr>
            <w:tcW w:w="0" w:type="dxa"/>
            <w:vAlign w:val="bottom"/>
          </w:tcPr>
          <w:p>
            <w:pPr>
              <w:spacing w:after="0"/>
              <w:rPr>
                <w:sz w:val="1"/>
                <w:szCs w:val="1"/>
                <w:color w:val="auto"/>
              </w:rPr>
            </w:pPr>
          </w:p>
        </w:tc>
      </w:tr>
      <w:tr>
        <w:trPr>
          <w:trHeight w:val="179"/>
        </w:trPr>
        <w:tc>
          <w:tcPr>
            <w:tcW w:w="260" w:type="dxa"/>
            <w:vAlign w:val="bottom"/>
            <w:gridSpan w:val="3"/>
          </w:tcPr>
          <w:p>
            <w:pPr>
              <w:ind w:left="20"/>
              <w:spacing w:after="0" w:line="179" w:lineRule="exact"/>
              <w:rPr>
                <w:rFonts w:ascii="Times New Roman" w:cs="Times New Roman" w:eastAsia="Times New Roman" w:hAnsi="Times New Roman"/>
                <w:sz w:val="18"/>
                <w:szCs w:val="18"/>
                <w:color w:val="0000FF"/>
                <w:w w:val="97"/>
              </w:rPr>
            </w:pPr>
            <w:hyperlink r:id="rId6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0000FF"/>
              <w:bottom w:val="single" w:sz="8" w:color="0000FF"/>
            </w:tcBorders>
            <w:gridSpan w:val="2"/>
          </w:tcPr>
          <w:p>
            <w:pPr>
              <w:spacing w:after="0" w:line="165" w:lineRule="exact"/>
              <w:rPr>
                <w:rFonts w:ascii="Times New Roman" w:cs="Times New Roman" w:eastAsia="Times New Roman" w:hAnsi="Times New Roman"/>
                <w:sz w:val="18"/>
                <w:szCs w:val="18"/>
                <w:color w:val="0000FF"/>
                <w:w w:val="96"/>
              </w:rPr>
            </w:pPr>
            <w:hyperlink r:id="rId62">
              <w:r>
                <w:rPr>
                  <w:rFonts w:ascii="Times New Roman" w:cs="Times New Roman" w:eastAsia="Times New Roman" w:hAnsi="Times New Roman"/>
                  <w:sz w:val="18"/>
                  <w:szCs w:val="18"/>
                  <w:color w:val="0000FF"/>
                  <w:w w:val="96"/>
                </w:rPr>
                <w:t>Health Company</w:t>
              </w:r>
            </w:hyperlink>
          </w:p>
        </w:tc>
        <w:tc>
          <w:tcPr>
            <w:tcW w:w="6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gridSpan w:val="2"/>
          </w:tcPr>
          <w:p>
            <w:pPr>
              <w:spacing w:after="0"/>
              <w:rPr>
                <w:sz w:val="15"/>
                <w:szCs w:val="15"/>
                <w:color w:val="auto"/>
              </w:rPr>
            </w:pPr>
          </w:p>
        </w:tc>
        <w:tc>
          <w:tcPr>
            <w:tcW w:w="340" w:type="dxa"/>
            <w:vAlign w:val="bottom"/>
            <w:tcBorders>
              <w:top w:val="single" w:sz="8" w:color="0000FF"/>
            </w:tcBorders>
            <w:gridSpan w:val="2"/>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Pr>
          <w:p>
            <w:pPr>
              <w:spacing w:after="0"/>
              <w:rPr>
                <w:rFonts w:ascii="Times New Roman" w:cs="Times New Roman" w:eastAsia="Times New Roman" w:hAnsi="Times New Roman"/>
                <w:sz w:val="18"/>
                <w:szCs w:val="18"/>
                <w:color w:val="0000FF"/>
                <w:w w:val="88"/>
              </w:rPr>
            </w:pPr>
            <w:hyperlink r:id="rId63">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2</w:t>
              </w:r>
            </w:hyperlink>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3"/>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Amended and Restated Bylaws of The Beauty Health Company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220" w:type="dxa"/>
            <w:vAlign w:val="bottom"/>
            <w:vMerge w:val="restart"/>
          </w:tcPr>
          <w:p>
            <w:pPr>
              <w:spacing w:after="0"/>
              <w:rPr>
                <w:rFonts w:ascii="Times New Roman" w:cs="Times New Roman" w:eastAsia="Times New Roman" w:hAnsi="Times New Roman"/>
                <w:sz w:val="18"/>
                <w:szCs w:val="18"/>
                <w:color w:val="0000FF"/>
                <w:w w:val="88"/>
              </w:rPr>
            </w:pPr>
            <w:hyperlink r:id="rId64">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hyperlink>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205"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Indenture, dated as of September 14, 2021, between The Beauty Health</w:t>
              </w:r>
            </w:hyperlink>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2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5"/>
                <w:szCs w:val="15"/>
                <w:color w:val="0000FF"/>
              </w:rPr>
            </w:pPr>
            <w:hyperlink r:id="rId64">
              <w:r>
                <w:rPr>
                  <w:rFonts w:ascii="Times New Roman" w:cs="Times New Roman" w:eastAsia="Times New Roman" w:hAnsi="Times New Roman"/>
                  <w:sz w:val="15"/>
                  <w:szCs w:val="15"/>
                  <w:color w:val="0000FF"/>
                </w:rPr>
                <w:t>Company and U.S. Bank National Association, as trustee</w:t>
              </w:r>
            </w:hyperlink>
          </w:p>
        </w:tc>
        <w:tc>
          <w:tcPr>
            <w:tcW w:w="1000" w:type="dxa"/>
            <w:vAlign w:val="bottom"/>
            <w:tcBorders>
              <w:top w:val="single" w:sz="8" w:color="0000FF"/>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19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Form of certificate representing the 1.25% Convertible Senior Notes due</w:t>
              </w:r>
            </w:hyperlink>
          </w:p>
        </w:tc>
        <w:tc>
          <w:tcPr>
            <w:tcW w:w="0" w:type="dxa"/>
            <w:vAlign w:val="bottom"/>
          </w:tcPr>
          <w:p>
            <w:pPr>
              <w:spacing w:after="0"/>
              <w:rPr>
                <w:sz w:val="1"/>
                <w:szCs w:val="1"/>
                <w:color w:val="auto"/>
              </w:rPr>
            </w:pPr>
          </w:p>
        </w:tc>
      </w:tr>
      <w:tr>
        <w:trPr>
          <w:trHeight w:val="179"/>
        </w:trPr>
        <w:tc>
          <w:tcPr>
            <w:tcW w:w="260" w:type="dxa"/>
            <w:vAlign w:val="bottom"/>
            <w:gridSpan w:val="3"/>
          </w:tcPr>
          <w:p>
            <w:pPr>
              <w:ind w:left="20"/>
              <w:spacing w:after="0" w:line="179" w:lineRule="exact"/>
              <w:rPr>
                <w:rFonts w:ascii="Times New Roman" w:cs="Times New Roman" w:eastAsia="Times New Roman" w:hAnsi="Times New Roman"/>
                <w:sz w:val="18"/>
                <w:szCs w:val="18"/>
                <w:color w:val="0000FF"/>
                <w:w w:val="97"/>
              </w:rPr>
            </w:pPr>
            <w:hyperlink r:id="rId6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tcBorders>
              <w:top w:val="single" w:sz="8" w:color="0000FF"/>
              <w:bottom w:val="single" w:sz="8" w:color="0000FF"/>
            </w:tcBorders>
            <w:gridSpan w:val="5"/>
          </w:tcPr>
          <w:p>
            <w:pPr>
              <w:spacing w:after="0" w:line="165" w:lineRule="exact"/>
              <w:rPr>
                <w:rFonts w:ascii="Times New Roman" w:cs="Times New Roman" w:eastAsia="Times New Roman" w:hAnsi="Times New Roman"/>
                <w:sz w:val="18"/>
                <w:szCs w:val="18"/>
                <w:color w:val="0000FF"/>
                <w:w w:val="97"/>
              </w:rPr>
            </w:pPr>
            <w:hyperlink r:id="rId64">
              <w:r>
                <w:rPr>
                  <w:rFonts w:ascii="Times New Roman" w:cs="Times New Roman" w:eastAsia="Times New Roman" w:hAnsi="Times New Roman"/>
                  <w:sz w:val="18"/>
                  <w:szCs w:val="18"/>
                  <w:color w:val="0000FF"/>
                  <w:w w:val="97"/>
                </w:rPr>
                <w:t>2026 (included as Exhibit A to Exhibit 4.1)</w:t>
              </w:r>
            </w:hyperlink>
          </w:p>
        </w:tc>
        <w:tc>
          <w:tcPr>
            <w:tcW w:w="620" w:type="dxa"/>
            <w:vAlign w:val="bottom"/>
            <w:tcBorders>
              <w:top w:val="single" w:sz="8" w:color="0000FF"/>
              <w:bottom w:val="single" w:sz="8" w:color="0000FF"/>
            </w:tcBorders>
          </w:tcPr>
          <w:p>
            <w:pPr>
              <w:spacing w:after="0"/>
              <w:rPr>
                <w:sz w:val="15"/>
                <w:szCs w:val="15"/>
                <w:color w:val="auto"/>
              </w:rPr>
            </w:pPr>
          </w:p>
        </w:tc>
        <w:tc>
          <w:tcPr>
            <w:tcW w:w="960" w:type="dxa"/>
            <w:vAlign w:val="bottom"/>
            <w:tcBorders>
              <w:top w:val="single" w:sz="8" w:color="0000FF"/>
              <w:bottom w:val="single" w:sz="8" w:color="0000FF"/>
            </w:tcBorders>
            <w:gridSpan w:val="4"/>
          </w:tcPr>
          <w:p>
            <w:pPr>
              <w:spacing w:after="0"/>
              <w:rPr>
                <w:sz w:val="15"/>
                <w:szCs w:val="15"/>
                <w:color w:val="auto"/>
              </w:rPr>
            </w:pPr>
          </w:p>
        </w:tc>
        <w:tc>
          <w:tcPr>
            <w:tcW w:w="340" w:type="dxa"/>
            <w:vAlign w:val="bottom"/>
            <w:tcBorders>
              <w:top w:val="single" w:sz="8" w:color="0000FF"/>
              <w:bottom w:val="single" w:sz="8" w:color="0000FF"/>
            </w:tcBorders>
            <w:gridSpan w:val="2"/>
          </w:tcPr>
          <w:p>
            <w:pPr>
              <w:spacing w:after="0"/>
              <w:rPr>
                <w:sz w:val="15"/>
                <w:szCs w:val="15"/>
                <w:color w:val="auto"/>
              </w:rPr>
            </w:pPr>
          </w:p>
        </w:tc>
        <w:tc>
          <w:tcPr>
            <w:tcW w:w="40" w:type="dxa"/>
            <w:vAlign w:val="bottom"/>
            <w:tcBorders>
              <w:top w:val="single" w:sz="8" w:color="0000FF"/>
              <w:bottom w:val="single" w:sz="8" w:color="0000FF"/>
            </w:tcBorders>
          </w:tcPr>
          <w:p>
            <w:pPr>
              <w:spacing w:after="0"/>
              <w:rPr>
                <w:sz w:val="15"/>
                <w:szCs w:val="15"/>
                <w:color w:val="auto"/>
              </w:rPr>
            </w:pPr>
          </w:p>
        </w:tc>
        <w:tc>
          <w:tcPr>
            <w:tcW w:w="120" w:type="dxa"/>
            <w:vAlign w:val="bottom"/>
            <w:tcBorders>
              <w:top w:val="single" w:sz="8" w:color="0000FF"/>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5"/>
              </w:rPr>
            </w:pPr>
            <w:hyperlink r:id="rId6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65">
              <w:r>
                <w:rPr>
                  <w:rFonts w:ascii="Times New Roman" w:cs="Times New Roman" w:eastAsia="Times New Roman" w:hAnsi="Times New Roman"/>
                  <w:sz w:val="18"/>
                  <w:szCs w:val="18"/>
                  <w:color w:val="0000FF"/>
                  <w:w w:val="97"/>
                </w:rPr>
                <w:t>Form of Confirmation for Capped Call Transactions</w:t>
              </w:r>
            </w:hyperlink>
          </w:p>
        </w:tc>
        <w:tc>
          <w:tcPr>
            <w:tcW w:w="162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Retention Agreement, dated May 7, 2022, between Daniel Watson and</w:t>
            </w: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0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12"/>
          </w:tcPr>
          <w:p>
            <w:pPr>
              <w:spacing w:after="0" w:line="139" w:lineRule="exact"/>
              <w:rPr>
                <w:sz w:val="20"/>
                <w:szCs w:val="20"/>
                <w:color w:val="auto"/>
              </w:rPr>
            </w:pPr>
            <w:r>
              <w:rPr>
                <w:rFonts w:ascii="Times New Roman" w:cs="Times New Roman" w:eastAsia="Times New Roman" w:hAnsi="Times New Roman"/>
                <w:sz w:val="15"/>
                <w:szCs w:val="15"/>
                <w:color w:val="0000FF"/>
              </w:rPr>
              <w:t>The Beauty Health Company</w:t>
            </w:r>
          </w:p>
        </w:tc>
        <w:tc>
          <w:tcPr>
            <w:tcW w:w="4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199" w:lineRule="exact"/>
              <w:rPr>
                <w:sz w:val="20"/>
                <w:szCs w:val="20"/>
                <w:color w:val="auto"/>
              </w:rPr>
            </w:pPr>
            <w:r>
              <w:rPr>
                <w:rFonts w:ascii="Times New Roman" w:cs="Times New Roman" w:eastAsia="Times New Roman" w:hAnsi="Times New Roman"/>
                <w:sz w:val="18"/>
                <w:szCs w:val="18"/>
                <w:color w:val="0000FF"/>
              </w:rPr>
              <w:t>Separation Agreement, dated as of August 3, 2022, between Hyrdrafacial</w:t>
            </w:r>
          </w:p>
        </w:tc>
        <w:tc>
          <w:tcPr>
            <w:tcW w:w="0" w:type="dxa"/>
            <w:vAlign w:val="bottom"/>
          </w:tcPr>
          <w:p>
            <w:pPr>
              <w:spacing w:after="0"/>
              <w:rPr>
                <w:sz w:val="1"/>
                <w:szCs w:val="1"/>
                <w:color w:val="auto"/>
              </w:rPr>
            </w:pPr>
          </w:p>
        </w:tc>
      </w:tr>
      <w:tr>
        <w:trPr>
          <w:trHeight w:val="152"/>
        </w:trPr>
        <w:tc>
          <w:tcPr>
            <w:tcW w:w="88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18"/>
          </w:tcPr>
          <w:p>
            <w:pPr>
              <w:spacing w:after="0" w:line="139" w:lineRule="exact"/>
              <w:rPr>
                <w:sz w:val="20"/>
                <w:szCs w:val="20"/>
                <w:color w:val="auto"/>
              </w:rPr>
            </w:pPr>
            <w:r>
              <w:rPr>
                <w:rFonts w:ascii="Times New Roman" w:cs="Times New Roman" w:eastAsia="Times New Roman" w:hAnsi="Times New Roman"/>
                <w:sz w:val="15"/>
                <w:szCs w:val="15"/>
                <w:color w:val="0000FF"/>
              </w:rPr>
              <w:t>LLC and Indra Pamamull</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19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Securities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258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gridSpan w:val="23"/>
          </w:tcPr>
          <w:p>
            <w:pPr>
              <w:spacing w:after="0" w:line="152" w:lineRule="exact"/>
              <w:rPr>
                <w:sz w:val="20"/>
                <w:szCs w:val="20"/>
                <w:color w:val="auto"/>
              </w:rPr>
            </w:pPr>
            <w:r>
              <w:rPr>
                <w:rFonts w:ascii="Times New Roman" w:cs="Times New Roman" w:eastAsia="Times New Roman" w:hAnsi="Times New Roman"/>
                <w:sz w:val="17"/>
                <w:szCs w:val="17"/>
                <w:color w:val="0000FF"/>
              </w:rPr>
              <w:t>Exchange Act Rules 13a-14(a), as adopted Pursuant to Section 302 of the</w:t>
            </w: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00" w:type="dxa"/>
            <w:vAlign w:val="bottom"/>
            <w:tcBorders>
              <w:bottom w:val="single" w:sz="8" w:color="0000FF"/>
            </w:tcBorders>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4"/>
          </w:tcPr>
          <w:p>
            <w:pPr>
              <w:spacing w:after="0" w:line="165" w:lineRule="exact"/>
              <w:rPr>
                <w:sz w:val="20"/>
                <w:szCs w:val="20"/>
                <w:color w:val="auto"/>
              </w:rPr>
            </w:pPr>
            <w:r>
              <w:rPr>
                <w:rFonts w:ascii="Times New Roman" w:cs="Times New Roman" w:eastAsia="Times New Roman" w:hAnsi="Times New Roman"/>
                <w:sz w:val="18"/>
                <w:szCs w:val="18"/>
                <w:color w:val="0000FF"/>
                <w:w w:val="98"/>
              </w:rPr>
              <w:t>Sarbanes-Oxley Act of 2002</w:t>
            </w:r>
          </w:p>
        </w:tc>
        <w:tc>
          <w:tcPr>
            <w:tcW w:w="3160" w:type="dxa"/>
            <w:vAlign w:val="bottom"/>
            <w:tcBorders>
              <w:top w:val="single" w:sz="8" w:color="0000FF"/>
            </w:tcBorders>
            <w:gridSpan w:val="15"/>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Principal Financial Officer Pursuant to Securities</w:t>
            </w:r>
          </w:p>
        </w:tc>
        <w:tc>
          <w:tcPr>
            <w:tcW w:w="6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gridSpan w:val="23"/>
          </w:tcPr>
          <w:p>
            <w:pPr>
              <w:spacing w:after="0" w:line="152" w:lineRule="exact"/>
              <w:rPr>
                <w:sz w:val="20"/>
                <w:szCs w:val="20"/>
                <w:color w:val="auto"/>
              </w:rPr>
            </w:pPr>
            <w:r>
              <w:rPr>
                <w:rFonts w:ascii="Times New Roman" w:cs="Times New Roman" w:eastAsia="Times New Roman" w:hAnsi="Times New Roman"/>
                <w:sz w:val="17"/>
                <w:szCs w:val="17"/>
                <w:color w:val="0000FF"/>
              </w:rPr>
              <w:t>Exchange Act Rules 13a-14(a), as adopted Pursuant to Section 302 of the</w:t>
            </w: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00" w:type="dxa"/>
            <w:vAlign w:val="bottom"/>
            <w:tcBorders>
              <w:bottom w:val="single" w:sz="8" w:color="0000FF"/>
            </w:tcBorders>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Borders>
              <w:top w:val="single" w:sz="8" w:color="0000FF"/>
              <w:bottom w:val="single" w:sz="8" w:color="0000FF"/>
            </w:tcBorders>
            <w:gridSpan w:val="4"/>
          </w:tcPr>
          <w:p>
            <w:pPr>
              <w:spacing w:after="0" w:line="165" w:lineRule="exact"/>
              <w:rPr>
                <w:sz w:val="20"/>
                <w:szCs w:val="20"/>
                <w:color w:val="auto"/>
              </w:rPr>
            </w:pPr>
            <w:r>
              <w:rPr>
                <w:rFonts w:ascii="Times New Roman" w:cs="Times New Roman" w:eastAsia="Times New Roman" w:hAnsi="Times New Roman"/>
                <w:sz w:val="18"/>
                <w:szCs w:val="18"/>
                <w:color w:val="0000FF"/>
                <w:w w:val="98"/>
              </w:rPr>
              <w:t>Sarbanes-Oxley Act of 2002</w:t>
            </w:r>
          </w:p>
        </w:tc>
        <w:tc>
          <w:tcPr>
            <w:tcW w:w="3160" w:type="dxa"/>
            <w:vAlign w:val="bottom"/>
            <w:tcBorders>
              <w:top w:val="single" w:sz="8" w:color="0000FF"/>
            </w:tcBorders>
            <w:gridSpan w:val="15"/>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00" w:type="dxa"/>
            <w:vAlign w:val="bottom"/>
            <w:gridSpan w:val="23"/>
          </w:tcPr>
          <w:p>
            <w:pPr>
              <w:spacing w:after="0" w:line="185"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3"/>
              </w:rPr>
              <w:t>32.</w:t>
            </w:r>
            <w:r>
              <w:rPr>
                <w:rFonts w:ascii="Times New Roman" w:cs="Times New Roman" w:eastAsia="Times New Roman" w:hAnsi="Times New Roman"/>
                <w:sz w:val="18"/>
                <w:szCs w:val="18"/>
                <w:u w:val="single" w:color="auto"/>
                <w:color w:val="0000FF"/>
                <w:w w:val="93"/>
              </w:rPr>
              <w:t>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21"/>
          </w:tcPr>
          <w:p>
            <w:pPr>
              <w:spacing w:after="0" w:line="152"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00" w:type="dxa"/>
            <w:vAlign w:val="bottom"/>
            <w:tcBorders>
              <w:bottom w:val="single" w:sz="8" w:color="0000FF"/>
            </w:tcBorders>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5" w:lineRule="exact"/>
              <w:rPr>
                <w:sz w:val="20"/>
                <w:szCs w:val="20"/>
                <w:color w:val="auto"/>
              </w:rPr>
            </w:pPr>
            <w:r>
              <w:rPr>
                <w:rFonts w:ascii="Times New Roman" w:cs="Times New Roman" w:eastAsia="Times New Roman" w:hAnsi="Times New Roman"/>
                <w:sz w:val="18"/>
                <w:szCs w:val="18"/>
                <w:color w:val="0000FF"/>
                <w:w w:val="94"/>
              </w:rPr>
              <w:t>2002</w:t>
            </w:r>
          </w:p>
        </w:tc>
        <w:tc>
          <w:tcPr>
            <w:tcW w:w="8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3"/>
              </w:rPr>
              <w:t>32.</w:t>
            </w:r>
            <w:r>
              <w:rPr>
                <w:rFonts w:ascii="Times New Roman" w:cs="Times New Roman" w:eastAsia="Times New Roman" w:hAnsi="Times New Roman"/>
                <w:sz w:val="18"/>
                <w:szCs w:val="18"/>
                <w:u w:val="single" w:color="auto"/>
                <w:color w:val="0000FF"/>
                <w:w w:val="93"/>
              </w:rPr>
              <w:t>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17"/>
          </w:tcPr>
          <w:p>
            <w:pPr>
              <w:spacing w:after="0" w:line="152"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00" w:type="dxa"/>
            <w:vAlign w:val="bottom"/>
            <w:tcBorders>
              <w:bottom w:val="single" w:sz="8" w:color="0000FF"/>
            </w:tcBorders>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5" w:lineRule="exact"/>
              <w:rPr>
                <w:sz w:val="20"/>
                <w:szCs w:val="20"/>
                <w:color w:val="auto"/>
              </w:rPr>
            </w:pPr>
            <w:r>
              <w:rPr>
                <w:rFonts w:ascii="Times New Roman" w:cs="Times New Roman" w:eastAsia="Times New Roman" w:hAnsi="Times New Roman"/>
                <w:sz w:val="18"/>
                <w:szCs w:val="18"/>
                <w:color w:val="0000FF"/>
                <w:w w:val="94"/>
              </w:rPr>
              <w:t>2002</w:t>
            </w:r>
          </w:p>
        </w:tc>
        <w:tc>
          <w:tcPr>
            <w:tcW w:w="8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0"/>
                <w:szCs w:val="20"/>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23"/>
          </w:tcPr>
          <w:p>
            <w:pPr>
              <w:spacing w:after="0" w:line="177"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0" w:type="dxa"/>
            <w:vAlign w:val="bottom"/>
          </w:tcPr>
          <w:p>
            <w:pPr>
              <w:spacing w:after="0"/>
              <w:rPr>
                <w:sz w:val="1"/>
                <w:szCs w:val="1"/>
                <w:color w:val="auto"/>
              </w:rPr>
            </w:pPr>
          </w:p>
        </w:tc>
      </w:tr>
      <w:tr>
        <w:trPr>
          <w:trHeight w:val="240"/>
        </w:trPr>
        <w:tc>
          <w:tcPr>
            <w:tcW w:w="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contained in Exhibit 101 attachments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-3988435</wp:posOffset>
            </wp:positionV>
            <wp:extent cx="7134860" cy="160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-3567430</wp:posOffset>
            </wp:positionV>
            <wp:extent cx="7134860" cy="286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48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-3121660</wp:posOffset>
            </wp:positionV>
            <wp:extent cx="7134860" cy="260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-2599690</wp:posOffset>
            </wp:positionV>
            <wp:extent cx="7134860" cy="3702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-1859280</wp:posOffset>
            </wp:positionV>
            <wp:extent cx="7134860" cy="370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-1118870</wp:posOffset>
            </wp:positionV>
            <wp:extent cx="7134860" cy="142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-833120</wp:posOffset>
            </wp:positionV>
            <wp:extent cx="7134860" cy="142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-546735</wp:posOffset>
            </wp:positionV>
            <wp:extent cx="7134860" cy="142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-260985</wp:posOffset>
            </wp:positionV>
            <wp:extent cx="7134860" cy="260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-4761865</wp:posOffset>
            </wp:positionV>
            <wp:extent cx="7134860" cy="487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4860" cy="48768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 No.</w:t>
            </w:r>
          </w:p>
        </w:tc>
        <w:tc>
          <w:tcPr>
            <w:tcW w:w="100" w:type="dxa"/>
            <w:vAlign w:val="bottom"/>
          </w:tcPr>
          <w:p>
            <w:pPr>
              <w:spacing w:after="0"/>
              <w:rPr>
                <w:sz w:val="19"/>
                <w:szCs w:val="19"/>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749"/>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9, 2020</w:t>
            </w:r>
          </w:p>
        </w:tc>
      </w:tr>
      <w:tr>
        <w:trPr>
          <w:trHeight w:val="444"/>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10, 2021</w:t>
            </w:r>
          </w:p>
        </w:tc>
      </w:tr>
      <w:tr>
        <w:trPr>
          <w:trHeight w:val="258"/>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10, 2021</w:t>
            </w:r>
          </w:p>
        </w:tc>
      </w:tr>
      <w:tr>
        <w:trPr>
          <w:trHeight w:val="411"/>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14, 2021</w:t>
            </w:r>
          </w:p>
        </w:tc>
      </w:tr>
      <w:tr>
        <w:trPr>
          <w:trHeight w:val="444"/>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14, 2021</w:t>
            </w:r>
          </w:p>
        </w:tc>
      </w:tr>
      <w:tr>
        <w:trPr>
          <w:trHeight w:val="258"/>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14, 2021</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3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3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3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3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3">
            <w:col w:w="6280" w:space="80"/>
            <w:col w:w="3980" w:space="140"/>
            <w:col w:w="700"/>
          </w:cols>
          <w:pgMar w:left="320" w:top="121" w:right="3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320" w:right="80" w:hanging="314"/>
        <w:spacing w:after="0" w:line="244" w:lineRule="auto"/>
        <w:tabs>
          <w:tab w:leader="none" w:pos="21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 w:lineRule="exact"/>
        <w:rPr>
          <w:sz w:val="20"/>
          <w:szCs w:val="20"/>
          <w:color w:val="auto"/>
        </w:rPr>
      </w:pPr>
    </w:p>
    <w:p>
      <w:pPr>
        <w:ind w:left="320" w:hanging="314"/>
        <w:spacing w:after="0" w:line="237" w:lineRule="auto"/>
        <w:tabs>
          <w:tab w:leader="none" w:pos="2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ind w:left="260" w:hanging="254"/>
        <w:spacing w:after="0" w:line="237"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redacted in compliance with Regulation S-K Item 601(b)(10)</w:t>
      </w: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plan or arrangement.</w:t>
      </w:r>
    </w:p>
    <w:p>
      <w:pPr>
        <w:spacing w:after="0" w:line="200" w:lineRule="exact"/>
        <w:rPr>
          <w:sz w:val="20"/>
          <w:szCs w:val="20"/>
          <w:color w:val="auto"/>
        </w:rPr>
      </w:pPr>
    </w:p>
    <w:p>
      <w:pPr>
        <w:spacing w:after="0" w:line="3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right="84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8" w:lineRule="exact"/>
        <w:rPr>
          <w:sz w:val="20"/>
          <w:szCs w:val="20"/>
          <w:color w:val="auto"/>
        </w:rPr>
      </w:pPr>
    </w:p>
    <w:tbl>
      <w:tblPr>
        <w:tblLayout w:type="fixed"/>
        <w:tblInd w:w="240" w:type="dxa"/>
        <w:tblCellMar>
          <w:top w:w="0" w:type="dxa"/>
          <w:left w:w="0" w:type="dxa"/>
          <w:bottom w:w="0" w:type="dxa"/>
          <w:right w:w="0" w:type="dxa"/>
        </w:tblCellMar>
      </w:tblPr>
      <w:tr>
        <w:trPr>
          <w:trHeight w:val="233"/>
        </w:trPr>
        <w:tc>
          <w:tcPr>
            <w:tcW w:w="2980" w:type="dxa"/>
            <w:vAlign w:val="bottom"/>
          </w:tcPr>
          <w:p>
            <w:pPr>
              <w:spacing w:after="0"/>
              <w:rPr>
                <w:sz w:val="20"/>
                <w:szCs w:val="20"/>
                <w:color w:val="auto"/>
              </w:rPr>
            </w:pPr>
          </w:p>
        </w:tc>
        <w:tc>
          <w:tcPr>
            <w:tcW w:w="8020" w:type="dxa"/>
            <w:vAlign w:val="bottom"/>
            <w:gridSpan w:val="2"/>
          </w:tcPr>
          <w:p>
            <w:pPr>
              <w:jc w:val="center"/>
              <w:ind w:right="2052"/>
              <w:spacing w:after="0"/>
              <w:rPr>
                <w:sz w:val="20"/>
                <w:szCs w:val="20"/>
                <w:color w:val="auto"/>
              </w:rPr>
            </w:pPr>
            <w:r>
              <w:rPr>
                <w:rFonts w:ascii="Times New Roman" w:cs="Times New Roman" w:eastAsia="Times New Roman" w:hAnsi="Times New Roman"/>
                <w:sz w:val="18"/>
                <w:szCs w:val="18"/>
                <w:b w:val="1"/>
                <w:bCs w:val="1"/>
                <w:color w:val="auto"/>
                <w:w w:val="96"/>
              </w:rPr>
              <w:t>THE BEAUTY HEALTH COMPANY</w:t>
            </w:r>
          </w:p>
        </w:tc>
      </w:tr>
      <w:tr>
        <w:trPr>
          <w:trHeight w:val="47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80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Andrew Stanleick</w:t>
            </w:r>
          </w:p>
        </w:tc>
      </w:tr>
      <w:tr>
        <w:trPr>
          <w:trHeight w:val="213"/>
        </w:trPr>
        <w:tc>
          <w:tcPr>
            <w:tcW w:w="2980" w:type="dxa"/>
            <w:vAlign w:val="bottom"/>
          </w:tcPr>
          <w:p>
            <w:pPr>
              <w:spacing w:after="0"/>
              <w:rPr>
                <w:sz w:val="18"/>
                <w:szCs w:val="18"/>
                <w:color w:val="auto"/>
              </w:rPr>
            </w:pPr>
          </w:p>
        </w:tc>
        <w:tc>
          <w:tcPr>
            <w:tcW w:w="228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5"/>
              </w:rPr>
              <w:t>Name:</w:t>
            </w:r>
          </w:p>
        </w:tc>
        <w:tc>
          <w:tcPr>
            <w:tcW w:w="5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Andrew Stanleick</w:t>
            </w:r>
          </w:p>
        </w:tc>
      </w:tr>
      <w:tr>
        <w:trPr>
          <w:trHeight w:val="225"/>
        </w:trPr>
        <w:tc>
          <w:tcPr>
            <w:tcW w:w="2980" w:type="dxa"/>
            <w:vAlign w:val="bottom"/>
          </w:tcPr>
          <w:p>
            <w:pPr>
              <w:spacing w:after="0"/>
              <w:rPr>
                <w:sz w:val="19"/>
                <w:szCs w:val="19"/>
                <w:color w:val="auto"/>
              </w:rPr>
            </w:pPr>
          </w:p>
        </w:tc>
        <w:tc>
          <w:tcPr>
            <w:tcW w:w="8020" w:type="dxa"/>
            <w:vAlign w:val="bottom"/>
            <w:gridSpan w:val="2"/>
          </w:tcPr>
          <w:p>
            <w:pPr>
              <w:jc w:val="center"/>
              <w:ind w:right="2032"/>
              <w:spacing w:after="0"/>
              <w:rPr>
                <w:sz w:val="20"/>
                <w:szCs w:val="20"/>
                <w:color w:val="auto"/>
              </w:rPr>
            </w:pPr>
            <w:r>
              <w:rPr>
                <w:rFonts w:ascii="Times New Roman" w:cs="Times New Roman" w:eastAsia="Times New Roman" w:hAnsi="Times New Roman"/>
                <w:sz w:val="18"/>
                <w:szCs w:val="18"/>
                <w:color w:val="auto"/>
                <w:w w:val="96"/>
              </w:rPr>
              <w:t>Title: Chief Executive Officer</w:t>
            </w:r>
          </w:p>
        </w:tc>
      </w:tr>
      <w:tr>
        <w:trPr>
          <w:trHeight w:val="231"/>
        </w:trPr>
        <w:tc>
          <w:tcPr>
            <w:tcW w:w="29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80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Liyuan Woo</w:t>
            </w:r>
          </w:p>
        </w:tc>
      </w:tr>
      <w:tr>
        <w:trPr>
          <w:trHeight w:val="213"/>
        </w:trPr>
        <w:tc>
          <w:tcPr>
            <w:tcW w:w="2980" w:type="dxa"/>
            <w:vAlign w:val="bottom"/>
          </w:tcPr>
          <w:p>
            <w:pPr>
              <w:spacing w:after="0"/>
              <w:rPr>
                <w:sz w:val="18"/>
                <w:szCs w:val="18"/>
                <w:color w:val="auto"/>
              </w:rPr>
            </w:pPr>
          </w:p>
        </w:tc>
        <w:tc>
          <w:tcPr>
            <w:tcW w:w="228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5"/>
              </w:rPr>
              <w:t>Name:</w:t>
            </w:r>
          </w:p>
        </w:tc>
        <w:tc>
          <w:tcPr>
            <w:tcW w:w="5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Liyuan Woo</w:t>
            </w:r>
          </w:p>
        </w:tc>
      </w:tr>
      <w:tr>
        <w:trPr>
          <w:trHeight w:val="225"/>
        </w:trPr>
        <w:tc>
          <w:tcPr>
            <w:tcW w:w="2980" w:type="dxa"/>
            <w:vAlign w:val="bottom"/>
          </w:tcPr>
          <w:p>
            <w:pPr>
              <w:spacing w:after="0"/>
              <w:rPr>
                <w:sz w:val="19"/>
                <w:szCs w:val="19"/>
                <w:color w:val="auto"/>
              </w:rPr>
            </w:pPr>
          </w:p>
        </w:tc>
        <w:tc>
          <w:tcPr>
            <w:tcW w:w="8020" w:type="dxa"/>
            <w:vAlign w:val="bottom"/>
            <w:gridSpan w:val="2"/>
          </w:tcPr>
          <w:p>
            <w:pPr>
              <w:jc w:val="center"/>
              <w:ind w:right="2092"/>
              <w:spacing w:after="0"/>
              <w:rPr>
                <w:sz w:val="20"/>
                <w:szCs w:val="20"/>
                <w:color w:val="auto"/>
              </w:rPr>
            </w:pPr>
            <w:r>
              <w:rPr>
                <w:rFonts w:ascii="Times New Roman" w:cs="Times New Roman" w:eastAsia="Times New Roman" w:hAnsi="Times New Roman"/>
                <w:sz w:val="18"/>
                <w:szCs w:val="18"/>
                <w:color w:val="auto"/>
                <w:w w:val="96"/>
              </w:rPr>
              <w:t>Title: Chief Financial Officer</w:t>
            </w:r>
          </w:p>
        </w:tc>
      </w:tr>
      <w:tr>
        <w:trPr>
          <w:trHeight w:val="231"/>
        </w:trPr>
        <w:tc>
          <w:tcPr>
            <w:tcW w:w="29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 and Financial Officer)</w:t>
            </w:r>
          </w:p>
        </w:tc>
      </w:tr>
    </w:tbl>
    <w:p>
      <w:pPr>
        <w:sectPr>
          <w:pgSz w:w="11900" w:h="16838" w:orient="portrait"/>
          <w:cols w:equalWidth="0" w:num="1">
            <w:col w:w="11240"/>
          </w:cols>
          <w:pgMar w:left="320" w:top="11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5, 2022 Daniel Watson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 Retention Bonus Dear Dan:</w:t>
      </w:r>
    </w:p>
    <w:p>
      <w:pPr>
        <w:spacing w:after="0" w:line="103"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21"/>
          <w:szCs w:val="21"/>
          <w:color w:val="auto"/>
        </w:rPr>
        <w:t>As you know, The Beauty Health Company (the “Company”) desires to have you remain with the Company in your current role. We consider your continued service and dedication to the Company to be critical to our business success. To incentivize you to remain employed with the Company, we are pleased to offer you a retention bonus, as described in this letter agreement.</w:t>
      </w:r>
    </w:p>
    <w:p>
      <w:pPr>
        <w:spacing w:after="0" w:line="183" w:lineRule="exact"/>
        <w:rPr>
          <w:sz w:val="20"/>
          <w:szCs w:val="20"/>
          <w:color w:val="auto"/>
        </w:rPr>
      </w:pPr>
    </w:p>
    <w:p>
      <w:pPr>
        <w:jc w:val="both"/>
        <w:ind w:right="120"/>
        <w:spacing w:after="0" w:line="233" w:lineRule="auto"/>
        <w:rPr>
          <w:sz w:val="20"/>
          <w:szCs w:val="20"/>
          <w:color w:val="auto"/>
        </w:rPr>
      </w:pPr>
      <w:r>
        <w:rPr>
          <w:rFonts w:ascii="Times New Roman" w:cs="Times New Roman" w:eastAsia="Times New Roman" w:hAnsi="Times New Roman"/>
          <w:sz w:val="21"/>
          <w:szCs w:val="21"/>
          <w:color w:val="auto"/>
        </w:rPr>
        <w:t>In recognition of your continued service with the Company through and until December 31, 2022 (the "</w:t>
      </w:r>
      <w:r>
        <w:rPr>
          <w:rFonts w:ascii="Times New Roman" w:cs="Times New Roman" w:eastAsia="Times New Roman" w:hAnsi="Times New Roman"/>
          <w:sz w:val="21"/>
          <w:szCs w:val="21"/>
          <w:b w:val="1"/>
          <w:bCs w:val="1"/>
          <w:color w:val="auto"/>
        </w:rPr>
        <w:t>Retention Period</w:t>
      </w:r>
      <w:r>
        <w:rPr>
          <w:rFonts w:ascii="Times New Roman" w:cs="Times New Roman" w:eastAsia="Times New Roman" w:hAnsi="Times New Roman"/>
          <w:sz w:val="21"/>
          <w:szCs w:val="21"/>
          <w:color w:val="auto"/>
        </w:rPr>
        <w:t>"), we are offering you a retention bonus in the amount of 371,196.54 less all applicable withholdings and deductions required by law (the "</w:t>
      </w:r>
      <w:r>
        <w:rPr>
          <w:rFonts w:ascii="Times New Roman" w:cs="Times New Roman" w:eastAsia="Times New Roman" w:hAnsi="Times New Roman"/>
          <w:sz w:val="21"/>
          <w:szCs w:val="21"/>
          <w:b w:val="1"/>
          <w:bCs w:val="1"/>
          <w:color w:val="auto"/>
        </w:rPr>
        <w:t>Retention Bonus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 will be eligible to receive this Retention Bonus if all of the following eligibility criteria are satisfied:</w:t>
      </w:r>
    </w:p>
    <w:p>
      <w:pPr>
        <w:spacing w:after="0" w:line="209" w:lineRule="exact"/>
        <w:rPr>
          <w:sz w:val="20"/>
          <w:szCs w:val="20"/>
          <w:color w:val="auto"/>
        </w:rPr>
      </w:pPr>
    </w:p>
    <w:p>
      <w:pPr>
        <w:ind w:left="620" w:right="120" w:hanging="309"/>
        <w:spacing w:after="0" w:line="245" w:lineRule="auto"/>
        <w:tabs>
          <w:tab w:leader="none" w:pos="6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performance has been satisfactory, as determined in the Company’s sole discretion, from the date of this agreement through the end of the Retention Period.</w:t>
      </w:r>
    </w:p>
    <w:p>
      <w:pPr>
        <w:spacing w:after="0" w:line="36" w:lineRule="exact"/>
        <w:rPr>
          <w:rFonts w:ascii="Times New Roman" w:cs="Times New Roman" w:eastAsia="Times New Roman" w:hAnsi="Times New Roman"/>
          <w:sz w:val="21"/>
          <w:szCs w:val="21"/>
          <w:color w:val="auto"/>
        </w:rPr>
      </w:pPr>
    </w:p>
    <w:p>
      <w:pPr>
        <w:ind w:left="620" w:hanging="310"/>
        <w:spacing w:after="0"/>
        <w:tabs>
          <w:tab w:leader="none" w:pos="6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are actively employed by the Company on the last day of the Retention Period.</w:t>
      </w:r>
    </w:p>
    <w:p>
      <w:pPr>
        <w:spacing w:after="0" w:line="76" w:lineRule="exact"/>
        <w:rPr>
          <w:rFonts w:ascii="Times New Roman" w:cs="Times New Roman" w:eastAsia="Times New Roman" w:hAnsi="Times New Roman"/>
          <w:sz w:val="21"/>
          <w:szCs w:val="21"/>
          <w:color w:val="auto"/>
        </w:rPr>
      </w:pPr>
    </w:p>
    <w:p>
      <w:pPr>
        <w:ind w:left="620" w:hanging="309"/>
        <w:spacing w:after="0"/>
        <w:tabs>
          <w:tab w:leader="none" w:pos="6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have not given notice of your intent to resign from employment on or before the last day of the Retention Period.</w:t>
      </w:r>
    </w:p>
    <w:p>
      <w:pPr>
        <w:spacing w:after="0" w:line="76" w:lineRule="exact"/>
        <w:rPr>
          <w:rFonts w:ascii="Times New Roman" w:cs="Times New Roman" w:eastAsia="Times New Roman" w:hAnsi="Times New Roman"/>
          <w:sz w:val="21"/>
          <w:szCs w:val="21"/>
          <w:color w:val="auto"/>
        </w:rPr>
      </w:pPr>
    </w:p>
    <w:p>
      <w:pPr>
        <w:jc w:val="both"/>
        <w:ind w:left="620" w:right="100" w:hanging="309"/>
        <w:spacing w:after="0" w:line="216" w:lineRule="auto"/>
        <w:tabs>
          <w:tab w:leader="none" w:pos="6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has not given you notice of its intent to terminate your employment on or before the last day of the Retention Period; provided, however, that you will be eligible to receive a pro rata portion of the Retention Bonus if the Company gives you notice of its intent to terminate your employment other than for cause, as determined in the Company's sole discretion, on or before the last day of the Retention Period </w:t>
      </w:r>
      <w:r>
        <w:rPr>
          <w:rFonts w:ascii="Times New Roman" w:cs="Times New Roman" w:eastAsia="Times New Roman" w:hAnsi="Times New Roman"/>
          <w:sz w:val="21"/>
          <w:szCs w:val="21"/>
          <w:b w:val="1"/>
          <w:bCs w:val="1"/>
          <w:color w:val="auto"/>
        </w:rPr>
        <w:t>and</w:t>
      </w:r>
      <w:r>
        <w:rPr>
          <w:rFonts w:ascii="Times New Roman" w:cs="Times New Roman" w:eastAsia="Times New Roman" w:hAnsi="Times New Roman"/>
          <w:sz w:val="21"/>
          <w:szCs w:val="21"/>
          <w:color w:val="auto"/>
        </w:rPr>
        <w:t xml:space="preserve"> you</w:t>
      </w:r>
    </w:p>
    <w:p>
      <w:pPr>
        <w:spacing w:after="0" w:line="2"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satisfy all of the other eligibility criteria.</w:t>
      </w:r>
    </w:p>
    <w:p>
      <w:pPr>
        <w:spacing w:after="0" w:line="212"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21"/>
          <w:szCs w:val="21"/>
          <w:color w:val="auto"/>
        </w:rPr>
        <w:t>If you are eligible to receive the Retention Bonus, it will be paid to you in one lump sum cash payment within 30 days after the end of the Retention Period.</w:t>
      </w:r>
    </w:p>
    <w:p>
      <w:pPr>
        <w:spacing w:after="0" w:line="15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1"/>
          <w:szCs w:val="21"/>
          <w:b w:val="1"/>
          <w:bCs w:val="1"/>
          <w:color w:val="auto"/>
        </w:rPr>
        <w:t>Your employment remains at-will, meaning that you and the Company] may terminate the employment relationship at any time, with or without cause, and with or without notice.</w:t>
      </w:r>
    </w:p>
    <w:p>
      <w:pPr>
        <w:spacing w:after="0" w:line="165"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1"/>
          <w:szCs w:val="21"/>
          <w:color w:val="auto"/>
        </w:rPr>
        <w:t>This letter agreement is intended to comply with, or be exempt from, Section 409A of the Internal Revenue Code of 1986, as amended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and shall be construed and administered in accordance with</w:t>
      </w:r>
    </w:p>
    <w:p>
      <w:pPr>
        <w:spacing w:after="0"/>
        <w:rPr>
          <w:sz w:val="20"/>
          <w:szCs w:val="20"/>
          <w:color w:val="auto"/>
        </w:rPr>
      </w:pPr>
      <w:r>
        <w:rPr>
          <w:rFonts w:ascii="Times New Roman" w:cs="Times New Roman" w:eastAsia="Times New Roman" w:hAnsi="Times New Roman"/>
          <w:sz w:val="21"/>
          <w:szCs w:val="21"/>
          <w:color w:val="auto"/>
        </w:rPr>
        <w:t>Section 409A.</w:t>
      </w:r>
    </w:p>
    <w:p>
      <w:pPr>
        <w:sectPr>
          <w:pgSz w:w="11900" w:h="16838" w:orient="portrait"/>
          <w:cols w:equalWidth="0" w:num="1">
            <w:col w:w="11120"/>
          </w:cols>
          <w:pgMar w:left="440" w:top="362" w:right="339" w:bottom="1440" w:gutter="0" w:footer="0" w:header="0"/>
        </w:sectPr>
      </w:pPr>
    </w:p>
    <w:bookmarkStart w:id="47" w:name="page48"/>
    <w:bookmarkEnd w:id="47"/>
    <w:p>
      <w:pPr>
        <w:spacing w:after="0" w:line="316" w:lineRule="exact"/>
        <w:rPr>
          <w:sz w:val="20"/>
          <w:szCs w:val="20"/>
          <w:color w:val="auto"/>
        </w:rPr>
      </w:pPr>
    </w:p>
    <w:p>
      <w:pPr>
        <w:jc w:val="both"/>
        <w:ind w:left="120"/>
        <w:spacing w:after="0" w:line="219" w:lineRule="auto"/>
        <w:rPr>
          <w:sz w:val="20"/>
          <w:szCs w:val="20"/>
          <w:color w:val="auto"/>
        </w:rPr>
      </w:pPr>
      <w:r>
        <w:rPr>
          <w:rFonts w:ascii="Times New Roman" w:cs="Times New Roman" w:eastAsia="Times New Roman" w:hAnsi="Times New Roman"/>
          <w:sz w:val="21"/>
          <w:szCs w:val="21"/>
          <w:color w:val="auto"/>
        </w:rPr>
        <w:t>This letter agreement contains all of the understandings and representations between the Company, and you relating to the Retention Bonus and supersedes all prior and contemporaneous understandings, discussions, agreements, representations, and warranties, both written and oral, with respect to any retention bonus; provided, however, that this letter agreement shall not supersede any other agreements between the Company and you, and specifically your previous offer letter. All other agreements between the Company any you related to, without limitation, Arbitration, Severance, Trade Secrets, Proprietary Information, shall remain in full force and effect. This letter agreement may not be amended or modified unless in writing signed by both the Chief Human Resources Officer and you.</w:t>
      </w:r>
    </w:p>
    <w:p>
      <w:pPr>
        <w:spacing w:after="0" w:line="180" w:lineRule="exact"/>
        <w:rPr>
          <w:sz w:val="20"/>
          <w:szCs w:val="20"/>
          <w:color w:val="auto"/>
        </w:rPr>
      </w:pPr>
    </w:p>
    <w:p>
      <w:pPr>
        <w:jc w:val="both"/>
        <w:ind w:left="120"/>
        <w:spacing w:after="0" w:line="226" w:lineRule="auto"/>
        <w:rPr>
          <w:sz w:val="20"/>
          <w:szCs w:val="20"/>
          <w:color w:val="auto"/>
        </w:rPr>
      </w:pPr>
      <w:r>
        <w:rPr>
          <w:rFonts w:ascii="Times New Roman" w:cs="Times New Roman" w:eastAsia="Times New Roman" w:hAnsi="Times New Roman"/>
          <w:sz w:val="21"/>
          <w:szCs w:val="21"/>
          <w:color w:val="auto"/>
        </w:rPr>
        <w:t>This letter agreement and all related documents, and all matters arising out of or relating to this letter agreement, whether sounding in contract, tort, or statute for all purposes shall be governed by and construed in accordance with the laws of the State of California, including its applicable choice of law statutes, without giving effect to any conflict of laws principles that would cause the laws of any other jurisdiction to apply.</w:t>
      </w:r>
    </w:p>
    <w:p>
      <w:pPr>
        <w:spacing w:after="0" w:line="3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Please sign and date this letter agreement and return the signed copy to Kellie Sears. We look forward to your</w:t>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continued employment with us.</w:t>
      </w:r>
    </w:p>
    <w:p>
      <w:pPr>
        <w:spacing w:after="0" w:line="1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The Beauty Health Company</w:t>
      </w:r>
    </w:p>
    <w:p>
      <w:pPr>
        <w:spacing w:after="0" w:line="200" w:lineRule="exact"/>
        <w:rPr>
          <w:sz w:val="20"/>
          <w:szCs w:val="20"/>
          <w:color w:val="auto"/>
        </w:rPr>
      </w:pP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Kellie Sears</w:t>
      </w:r>
    </w:p>
    <w:p>
      <w:pPr>
        <w:ind w:left="4460"/>
        <w:spacing w:after="0"/>
        <w:rPr>
          <w:sz w:val="20"/>
          <w:szCs w:val="20"/>
          <w:color w:val="auto"/>
        </w:rPr>
      </w:pPr>
      <w:r>
        <w:rPr>
          <w:rFonts w:ascii="Times New Roman" w:cs="Times New Roman" w:eastAsia="Times New Roman" w:hAnsi="Times New Roman"/>
          <w:sz w:val="21"/>
          <w:szCs w:val="21"/>
          <w:color w:val="auto"/>
        </w:rPr>
        <w:t>Kellie Sears</w:t>
      </w:r>
    </w:p>
    <w:p>
      <w:pPr>
        <w:spacing w:after="0" w:line="5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Chief Human Resources Officer</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to and accepted by:</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Daniel Watson</w:t>
      </w:r>
    </w:p>
    <w:p>
      <w:pPr>
        <w:spacing w:after="0"/>
        <w:rPr>
          <w:sz w:val="20"/>
          <w:szCs w:val="20"/>
          <w:color w:val="auto"/>
        </w:rPr>
      </w:pPr>
      <w:r>
        <w:rPr>
          <w:rFonts w:ascii="Times New Roman" w:cs="Times New Roman" w:eastAsia="Times New Roman" w:hAnsi="Times New Roman"/>
          <w:sz w:val="21"/>
          <w:szCs w:val="21"/>
          <w:color w:val="auto"/>
        </w:rPr>
        <w:t>Daniel Watson</w:t>
      </w:r>
    </w:p>
    <w:p>
      <w:pPr>
        <w:sectPr>
          <w:pgSz w:w="11900" w:h="16838" w:orient="portrait"/>
          <w:cols w:equalWidth="0" w:num="1">
            <w:col w:w="11140"/>
          </w:cols>
          <w:pgMar w:left="320" w:top="1440"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720"/>
        <w:spacing w:after="0" w:line="261"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THE EXHIBIT BECAUSE IT IS BOTH (I) NOT MATERIAL, AND (II) WOULD LIKELY CAUSE COMPETITIVE HARM TO THE COMPANY IF PUBLICLY DISCLOSED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Separation Agreement</w:t>
      </w:r>
      <w:r>
        <w:rPr>
          <w:rFonts w:ascii="Arial" w:cs="Arial" w:eastAsia="Arial" w:hAnsi="Arial"/>
          <w:sz w:val="18"/>
          <w:szCs w:val="18"/>
          <w:color w:val="auto"/>
        </w:rPr>
        <w:t>”) is entered into as of 3 August 2022 but shall be effective as of 8 June 2022 between:</w:t>
      </w:r>
    </w:p>
    <w:p>
      <w:pPr>
        <w:spacing w:after="0" w:line="217" w:lineRule="exact"/>
        <w:rPr>
          <w:sz w:val="20"/>
          <w:szCs w:val="20"/>
          <w:color w:val="auto"/>
        </w:rPr>
      </w:pPr>
    </w:p>
    <w:p>
      <w:pPr>
        <w:ind w:left="640" w:hanging="634"/>
        <w:spacing w:after="0" w:line="249" w:lineRule="auto"/>
        <w:tabs>
          <w:tab w:leader="none" w:pos="63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HydraFacial LLC (f/k/a Edge Systems, LLC)</w:t>
      </w:r>
      <w:r>
        <w:rPr>
          <w:rFonts w:ascii="Arial" w:cs="Arial" w:eastAsia="Arial" w:hAnsi="Arial"/>
          <w:sz w:val="18"/>
          <w:szCs w:val="18"/>
          <w:color w:val="auto"/>
        </w:rPr>
        <w:t>, a company incorporated in the United States of America with its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2165 East Spring Street, Long Beach, CA 90806, USA (“</w:t>
      </w:r>
      <w:r>
        <w:rPr>
          <w:rFonts w:ascii="Arial" w:cs="Arial" w:eastAsia="Arial" w:hAnsi="Arial"/>
          <w:sz w:val="18"/>
          <w:szCs w:val="18"/>
          <w:b w:val="1"/>
          <w:bCs w:val="1"/>
          <w:color w:val="auto"/>
        </w:rPr>
        <w:t>HydraFacial</w:t>
      </w:r>
      <w:r>
        <w:rPr>
          <w:rFonts w:ascii="Arial" w:cs="Arial" w:eastAsia="Arial" w:hAnsi="Arial"/>
          <w:sz w:val="18"/>
          <w:szCs w:val="18"/>
          <w:color w:val="auto"/>
        </w:rPr>
        <w:t>”); and</w:t>
      </w:r>
    </w:p>
    <w:p>
      <w:pPr>
        <w:spacing w:after="0" w:line="153" w:lineRule="exact"/>
        <w:rPr>
          <w:rFonts w:ascii="Arial" w:cs="Arial" w:eastAsia="Arial" w:hAnsi="Arial"/>
          <w:sz w:val="18"/>
          <w:szCs w:val="18"/>
          <w:color w:val="auto"/>
        </w:rPr>
      </w:pPr>
    </w:p>
    <w:p>
      <w:pPr>
        <w:ind w:left="640" w:hanging="634"/>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Indra Pamamull</w:t>
      </w:r>
      <w:r>
        <w:rPr>
          <w:rFonts w:ascii="Arial" w:cs="Arial" w:eastAsia="Arial" w:hAnsi="Arial"/>
          <w:sz w:val="18"/>
          <w:szCs w:val="18"/>
          <w:color w:val="auto"/>
        </w:rPr>
        <w:t>, a natural person with Passport/FIN No. [*****], residing at [*****]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02" w:lineRule="exact"/>
        <w:rPr>
          <w:sz w:val="20"/>
          <w:szCs w:val="20"/>
          <w:color w:val="auto"/>
        </w:rPr>
      </w:pPr>
    </w:p>
    <w:p>
      <w:pPr>
        <w:jc w:val="both"/>
        <w:ind w:left="640" w:hanging="634"/>
        <w:spacing w:after="0" w:line="230" w:lineRule="auto"/>
        <w:tabs>
          <w:tab w:leader="none" w:pos="6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an employment agreement dated 4 August 2021 (“</w:t>
      </w:r>
      <w:r>
        <w:rPr>
          <w:rFonts w:ascii="Arial" w:cs="Arial" w:eastAsia="Arial" w:hAnsi="Arial"/>
          <w:sz w:val="18"/>
          <w:szCs w:val="18"/>
          <w:b w:val="1"/>
          <w:bCs w:val="1"/>
          <w:color w:val="auto"/>
        </w:rPr>
        <w:t>Employment Agreement</w:t>
      </w:r>
      <w:r>
        <w:rPr>
          <w:rFonts w:ascii="Arial" w:cs="Arial" w:eastAsia="Arial" w:hAnsi="Arial"/>
          <w:sz w:val="18"/>
          <w:szCs w:val="18"/>
          <w:color w:val="auto"/>
        </w:rPr>
        <w:t>”) entered into between the Employee and GoGlobal GEO Pte. Ltd., a company incorporated in Singapore with its registered office at [*****] (“</w:t>
      </w:r>
      <w:r>
        <w:rPr>
          <w:rFonts w:ascii="Arial" w:cs="Arial" w:eastAsia="Arial" w:hAnsi="Arial"/>
          <w:sz w:val="18"/>
          <w:szCs w:val="18"/>
          <w:b w:val="1"/>
          <w:bCs w:val="1"/>
          <w:color w:val="auto"/>
        </w:rPr>
        <w:t>GoGlobal GEO</w:t>
      </w:r>
      <w:r>
        <w:rPr>
          <w:rFonts w:ascii="Arial" w:cs="Arial" w:eastAsia="Arial" w:hAnsi="Arial"/>
          <w:sz w:val="18"/>
          <w:szCs w:val="18"/>
          <w:color w:val="auto"/>
        </w:rPr>
        <w:t>”), the Employee is employed by GoGlobal GEO for dedicated assignment as President of APAC for HydraFacial.</w:t>
      </w:r>
    </w:p>
    <w:p>
      <w:pPr>
        <w:spacing w:after="0" w:line="175" w:lineRule="exact"/>
        <w:rPr>
          <w:rFonts w:ascii="Arial" w:cs="Arial" w:eastAsia="Arial" w:hAnsi="Arial"/>
          <w:sz w:val="18"/>
          <w:szCs w:val="18"/>
          <w:color w:val="auto"/>
        </w:rPr>
      </w:pPr>
    </w:p>
    <w:p>
      <w:pPr>
        <w:ind w:left="640" w:hanging="634"/>
        <w:spacing w:after="0" w:line="237" w:lineRule="auto"/>
        <w:tabs>
          <w:tab w:leader="none" w:pos="6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Clause 16 of the Employment Agreement, either party to the Employment Agreement may terminate the employment without cause by giving at least 6 months’ notice in writing.</w:t>
      </w:r>
    </w:p>
    <w:p>
      <w:pPr>
        <w:spacing w:after="0" w:line="185" w:lineRule="exact"/>
        <w:rPr>
          <w:rFonts w:ascii="Arial" w:cs="Arial" w:eastAsia="Arial" w:hAnsi="Arial"/>
          <w:sz w:val="18"/>
          <w:szCs w:val="18"/>
          <w:color w:val="auto"/>
        </w:rPr>
      </w:pPr>
    </w:p>
    <w:p>
      <w:pPr>
        <w:ind w:left="640" w:hanging="63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GoGlobal GEO has delivered to the Employee written notice of termination of employment of June 8, 2022 (“</w:t>
      </w:r>
      <w:r>
        <w:rPr>
          <w:rFonts w:ascii="Arial" w:cs="Arial" w:eastAsia="Arial" w:hAnsi="Arial"/>
          <w:sz w:val="18"/>
          <w:szCs w:val="18"/>
          <w:b w:val="1"/>
          <w:bCs w:val="1"/>
          <w:color w:val="auto"/>
        </w:rPr>
        <w:t>Separation Notice</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ind w:left="640" w:hanging="634"/>
        <w:spacing w:after="0" w:line="237" w:lineRule="auto"/>
        <w:tabs>
          <w:tab w:leader="none" w:pos="6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HydraFacial agrees to provide the separation benefits set out in this Separation Agreement to Employee, provided the Employee complies with the terms set out in this Separation Agreement.</w:t>
      </w:r>
    </w:p>
    <w:p>
      <w:pPr>
        <w:spacing w:after="0" w:line="18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consideration of the promises, covenants and agreements set forth in this Separation Agreement, and intending to be legally bound hereby, the Parties agree as follows:</w:t>
      </w:r>
    </w:p>
    <w:p>
      <w:pPr>
        <w:spacing w:after="0" w:line="172" w:lineRule="exact"/>
        <w:rPr>
          <w:sz w:val="20"/>
          <w:szCs w:val="20"/>
          <w:color w:val="auto"/>
        </w:rPr>
      </w:pPr>
    </w:p>
    <w:p>
      <w:pPr>
        <w:ind w:left="640" w:hanging="634"/>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19" w:lineRule="exact"/>
        <w:rPr>
          <w:sz w:val="20"/>
          <w:szCs w:val="20"/>
          <w:color w:val="auto"/>
        </w:rPr>
      </w:pPr>
    </w:p>
    <w:p>
      <w:pPr>
        <w:jc w:val="both"/>
        <w:ind w:left="640" w:hanging="635"/>
        <w:spacing w:after="0" w:line="225"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This Separation Agreement sets out the terms which have been agreed between the Parties concerning the termination of the Employee’s employment under the Employment Agreement. This Separation Agreement is to be read in conjunction with and does not supersede the Employment Agreement (including the annexures thereto). In the event of any inconsistency between the terms of this</w:t>
      </w:r>
    </w:p>
    <w:p>
      <w:pPr>
        <w:spacing w:after="0" w:line="2" w:lineRule="exact"/>
        <w:rPr>
          <w:sz w:val="20"/>
          <w:szCs w:val="20"/>
          <w:color w:val="auto"/>
        </w:rPr>
      </w:pPr>
    </w:p>
    <w:p>
      <w:pPr>
        <w:jc w:val="both"/>
        <w:ind w:left="640"/>
        <w:spacing w:after="0" w:line="216" w:lineRule="auto"/>
        <w:rPr>
          <w:sz w:val="20"/>
          <w:szCs w:val="20"/>
          <w:color w:val="auto"/>
        </w:rPr>
      </w:pPr>
      <w:r>
        <w:rPr>
          <w:rFonts w:ascii="Arial" w:cs="Arial" w:eastAsia="Arial" w:hAnsi="Arial"/>
          <w:sz w:val="18"/>
          <w:szCs w:val="18"/>
          <w:color w:val="auto"/>
        </w:rPr>
        <w:t>Separation Agreement and the terms of the Employment Agreement, the terms of this Separation Agreement shall prevail. Unless otherwise defined herein, capitalized terms used herein shall have the meaning ascribed in the Employment Agreement (or the relevant annexure thereto, as the case may be).</w:t>
      </w:r>
    </w:p>
    <w:p>
      <w:pPr>
        <w:spacing w:after="0" w:line="186" w:lineRule="exact"/>
        <w:rPr>
          <w:sz w:val="20"/>
          <w:szCs w:val="20"/>
          <w:color w:val="auto"/>
        </w:rPr>
      </w:pPr>
    </w:p>
    <w:p>
      <w:pPr>
        <w:ind w:left="640" w:hanging="634"/>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04" w:lineRule="exact"/>
        <w:rPr>
          <w:sz w:val="20"/>
          <w:szCs w:val="20"/>
          <w:color w:val="auto"/>
        </w:rPr>
      </w:pPr>
    </w:p>
    <w:p>
      <w:pPr>
        <w:jc w:val="right"/>
        <w:spacing w:after="0" w:line="221" w:lineRule="auto"/>
        <w:rPr>
          <w:sz w:val="20"/>
          <w:szCs w:val="20"/>
          <w:color w:val="auto"/>
        </w:rPr>
      </w:pPr>
      <w:r>
        <w:rPr>
          <w:rFonts w:ascii="Arial" w:cs="Arial" w:eastAsia="Arial" w:hAnsi="Arial"/>
          <w:sz w:val="18"/>
          <w:szCs w:val="18"/>
          <w:color w:val="auto"/>
        </w:rPr>
        <w:t>2.1    The Employee’s employment will terminate on June 8, 2022 (the “</w:t>
      </w:r>
      <w:r>
        <w:rPr>
          <w:rFonts w:ascii="Arial" w:cs="Arial" w:eastAsia="Arial" w:hAnsi="Arial"/>
          <w:sz w:val="18"/>
          <w:szCs w:val="18"/>
          <w:b w:val="1"/>
          <w:bCs w:val="1"/>
          <w:color w:val="auto"/>
        </w:rPr>
        <w:t>Separation Date</w:t>
      </w:r>
      <w:r>
        <w:rPr>
          <w:rFonts w:ascii="Arial" w:cs="Arial" w:eastAsia="Arial" w:hAnsi="Arial"/>
          <w:sz w:val="18"/>
          <w:szCs w:val="18"/>
          <w:color w:val="auto"/>
        </w:rPr>
        <w:t>”). After the Separation Date, the Employee’s employment under the Employment Agreement will cease, and all of her contractual entitlements and any non-contractual benefits of</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employment will cease forthwith.</w:t>
      </w:r>
    </w:p>
    <w:p>
      <w:pPr>
        <w:spacing w:after="0" w:line="18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Employee agrees to sign the PEP Notification Form that Employer then will submit to the Ministry of Manpower</w:t>
      </w:r>
    </w:p>
    <w:p>
      <w:pPr>
        <w:spacing w:after="0" w:line="2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2.3</w:t>
        <w:tab/>
        <w:t>The Employee acknowledges that the termination of her employment shall be without prejudice to any right of action by HydraFacial in</w:t>
      </w:r>
    </w:p>
    <w:p>
      <w:pPr>
        <w:spacing w:after="0" w:line="1" w:lineRule="exact"/>
        <w:rPr>
          <w:sz w:val="20"/>
          <w:szCs w:val="20"/>
          <w:color w:val="auto"/>
        </w:rPr>
      </w:pPr>
    </w:p>
    <w:p>
      <w:pPr>
        <w:jc w:val="both"/>
        <w:ind w:left="640"/>
        <w:spacing w:after="0" w:line="216" w:lineRule="auto"/>
        <w:rPr>
          <w:sz w:val="20"/>
          <w:szCs w:val="20"/>
          <w:color w:val="auto"/>
        </w:rPr>
      </w:pPr>
      <w:r>
        <w:rPr>
          <w:rFonts w:ascii="Arial" w:cs="Arial" w:eastAsia="Arial" w:hAnsi="Arial"/>
          <w:sz w:val="18"/>
          <w:szCs w:val="18"/>
          <w:color w:val="auto"/>
        </w:rPr>
        <w:t>respect of any antecedent breach by the Employee of any of the terms and conditions of the Employment Agreement or this Separation Agreement or to claim for losses or damages arising from any contractual breaches, breaches of duty or other wrongdoing (including subsequent breaches of any continuing obligations which survive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02" w:right="339" w:bottom="1440" w:gutter="0" w:footer="0" w:header="0"/>
        </w:sectPr>
      </w:pPr>
    </w:p>
    <w:bookmarkStart w:id="49" w:name="page50"/>
    <w:bookmarkEnd w:id="49"/>
    <w:p>
      <w:pPr>
        <w:ind w:left="640"/>
        <w:spacing w:after="0"/>
        <w:rPr>
          <w:sz w:val="20"/>
          <w:szCs w:val="20"/>
          <w:color w:val="auto"/>
        </w:rPr>
      </w:pPr>
      <w:r>
        <w:rPr>
          <w:rFonts w:ascii="Arial" w:cs="Arial" w:eastAsia="Arial" w:hAnsi="Arial"/>
          <w:sz w:val="18"/>
          <w:szCs w:val="18"/>
          <w:color w:val="auto"/>
        </w:rPr>
        <w:t>termination of the Agreement) by the Employee which may subsequently come to the attention of HydraFacial.</w:t>
      </w:r>
    </w:p>
    <w:p>
      <w:pPr>
        <w:spacing w:after="0" w:line="202"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AND SEPARATION BENEFITS</w:t>
      </w:r>
    </w:p>
    <w:p>
      <w:pPr>
        <w:spacing w:after="0" w:line="219" w:lineRule="exact"/>
        <w:rPr>
          <w:sz w:val="20"/>
          <w:szCs w:val="20"/>
          <w:color w:val="auto"/>
        </w:rPr>
      </w:pPr>
    </w:p>
    <w:p>
      <w:pPr>
        <w:jc w:val="both"/>
        <w:ind w:left="440" w:hanging="635"/>
        <w:spacing w:after="0" w:line="225" w:lineRule="auto"/>
        <w:tabs>
          <w:tab w:leader="none" w:pos="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Payments</w:t>
      </w:r>
      <w:r>
        <w:rPr>
          <w:rFonts w:ascii="Arial" w:cs="Arial" w:eastAsia="Arial" w:hAnsi="Arial"/>
          <w:sz w:val="17"/>
          <w:szCs w:val="17"/>
          <w:color w:val="auto"/>
        </w:rPr>
        <w:t>. As soon as reasonably practicable following the Separation Date, HydraFacial will direct GoGlobal GEO to arrange payment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following sums to the Employee after full payment of assessed taxes, less any applicable statutory deductions/withholdings and any deductions for excess utilisation of annual leave or damage or loss of Company property (if applicable) and the Employee consents to</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withholding of or deductions from any payments to be made to her:</w:t>
      </w:r>
    </w:p>
    <w:p>
      <w:pPr>
        <w:spacing w:after="0" w:line="182" w:lineRule="exact"/>
        <w:rPr>
          <w:sz w:val="20"/>
          <w:szCs w:val="20"/>
          <w:color w:val="auto"/>
        </w:rPr>
      </w:pPr>
    </w:p>
    <w:p>
      <w:pPr>
        <w:jc w:val="both"/>
        <w:ind w:left="960" w:hanging="318"/>
        <w:spacing w:after="0" w:line="234" w:lineRule="auto"/>
        <w:tabs>
          <w:tab w:leader="none" w:pos="9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sum of Singapore Dollars, Twelve Thousand, Six-Hundred and Forty One (SGD $12,641), representing the prorated monthly salary for the month of June being earned but unpaid of Employee’s basic salary (currently Singapore Dollars Forty Six Thousand Three Hundred Fifty (SGD $46,350) per month) (“</w:t>
      </w:r>
      <w:r>
        <w:rPr>
          <w:rFonts w:ascii="Arial" w:cs="Arial" w:eastAsia="Arial" w:hAnsi="Arial"/>
          <w:sz w:val="18"/>
          <w:szCs w:val="18"/>
          <w:b w:val="1"/>
          <w:bCs w:val="1"/>
          <w:color w:val="auto"/>
        </w:rPr>
        <w:t>Monthly Basic Salary</w:t>
      </w:r>
      <w:r>
        <w:rPr>
          <w:rFonts w:ascii="Arial" w:cs="Arial" w:eastAsia="Arial" w:hAnsi="Arial"/>
          <w:sz w:val="18"/>
          <w:szCs w:val="18"/>
          <w:color w:val="auto"/>
        </w:rPr>
        <w:t>”), pro-rated up to the Separation Date;</w:t>
      </w:r>
    </w:p>
    <w:p>
      <w:pPr>
        <w:spacing w:after="0" w:line="163" w:lineRule="exact"/>
        <w:rPr>
          <w:rFonts w:ascii="Arial" w:cs="Arial" w:eastAsia="Arial" w:hAnsi="Arial"/>
          <w:sz w:val="18"/>
          <w:szCs w:val="18"/>
          <w:color w:val="auto"/>
        </w:rPr>
      </w:pPr>
    </w:p>
    <w:p>
      <w:pPr>
        <w:ind w:left="960" w:hanging="318"/>
        <w:spacing w:after="0" w:line="237" w:lineRule="auto"/>
        <w:tabs>
          <w:tab w:leader="none" w:pos="9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sum of Singapore Dollars, Twenty-One Thousand, Three-Hundred and Ninety-Two (SGD $21,392), being encashment of accrued and unutilised paid annual leave, pro-rated up to the Separation Date;</w:t>
      </w:r>
    </w:p>
    <w:p>
      <w:pPr>
        <w:spacing w:after="0" w:line="187" w:lineRule="exact"/>
        <w:rPr>
          <w:rFonts w:ascii="Arial" w:cs="Arial" w:eastAsia="Arial" w:hAnsi="Arial"/>
          <w:sz w:val="18"/>
          <w:szCs w:val="18"/>
          <w:color w:val="auto"/>
        </w:rPr>
      </w:pPr>
    </w:p>
    <w:p>
      <w:pPr>
        <w:ind w:left="960" w:hanging="318"/>
        <w:spacing w:after="0" w:line="263" w:lineRule="auto"/>
        <w:tabs>
          <w:tab w:leader="none" w:pos="9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reimbursement of out-of-pocket expense incurred in the normal course of work and duly supported by receipts, bills and vouchers, etc, as per Company policy, submitted in writing with the requisite supporting documents within three (3) days from the date hereof;</w:t>
      </w:r>
    </w:p>
    <w:p>
      <w:pPr>
        <w:spacing w:after="0" w:line="154" w:lineRule="exact"/>
        <w:rPr>
          <w:rFonts w:ascii="Arial" w:cs="Arial" w:eastAsia="Arial" w:hAnsi="Arial"/>
          <w:sz w:val="17"/>
          <w:szCs w:val="17"/>
          <w:color w:val="auto"/>
        </w:rPr>
      </w:pPr>
    </w:p>
    <w:p>
      <w:pPr>
        <w:ind w:left="960" w:hanging="318"/>
        <w:spacing w:after="0" w:line="250" w:lineRule="auto"/>
        <w:tabs>
          <w:tab w:leader="none" w:pos="9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sum of Singapore Dollars Two Hundred Seventy Eight Thousand, One Hundred (SGD $278,100), being salary in lieu of six (6) months’ notice pursuant to Clause 16 of the Employment Agreement; and</w:t>
      </w:r>
    </w:p>
    <w:p>
      <w:pPr>
        <w:spacing w:after="0" w:line="165" w:lineRule="exact"/>
        <w:rPr>
          <w:rFonts w:ascii="Arial" w:cs="Arial" w:eastAsia="Arial" w:hAnsi="Arial"/>
          <w:sz w:val="18"/>
          <w:szCs w:val="18"/>
          <w:color w:val="auto"/>
        </w:rPr>
      </w:pPr>
    </w:p>
    <w:p>
      <w:pPr>
        <w:ind w:left="960" w:hanging="318"/>
        <w:spacing w:after="0" w:line="237" w:lineRule="auto"/>
        <w:tabs>
          <w:tab w:leader="none" w:pos="9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sum of Singapore Dollars, Eighteen Thousand, One-Hundred and Eighty (SGD$18,180) being the sum to which Employee would have been entitled had she taken part in the Central Provident Fund in Singapore.</w:t>
      </w:r>
    </w:p>
    <w:p>
      <w:pPr>
        <w:spacing w:after="0" w:line="187" w:lineRule="exact"/>
        <w:rPr>
          <w:sz w:val="20"/>
          <w:szCs w:val="20"/>
          <w:color w:val="auto"/>
        </w:rPr>
      </w:pPr>
    </w:p>
    <w:p>
      <w:pPr>
        <w:ind w:left="640"/>
        <w:spacing w:after="0" w:line="237" w:lineRule="auto"/>
        <w:rPr>
          <w:sz w:val="20"/>
          <w:szCs w:val="20"/>
          <w:color w:val="auto"/>
        </w:rPr>
      </w:pPr>
      <w:r>
        <w:rPr>
          <w:rFonts w:ascii="Arial" w:cs="Arial" w:eastAsia="Arial" w:hAnsi="Arial"/>
          <w:sz w:val="18"/>
          <w:szCs w:val="18"/>
          <w:color w:val="auto"/>
        </w:rPr>
        <w:t>The Employee confirms that she has received full payment of the Annual Bonus for the fiscal year ending 31 December 2021 (pro-rated based on her start date) referenced at Clause 8 of the Employment Agreement.</w:t>
      </w:r>
    </w:p>
    <w:p>
      <w:pPr>
        <w:spacing w:after="0" w:line="1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Separation Benefits</w:t>
      </w:r>
      <w:r>
        <w:rPr>
          <w:rFonts w:ascii="Arial" w:cs="Arial" w:eastAsia="Arial" w:hAnsi="Arial"/>
          <w:sz w:val="17"/>
          <w:szCs w:val="17"/>
          <w:color w:val="auto"/>
        </w:rPr>
        <w:t>. Subject to: (i) the Employee’s entry into and continued compliance with the terms of this Separation Agreement; and</w:t>
      </w:r>
    </w:p>
    <w:p>
      <w:pPr>
        <w:spacing w:after="0" w:line="1" w:lineRule="exact"/>
        <w:rPr>
          <w:sz w:val="20"/>
          <w:szCs w:val="20"/>
          <w:color w:val="auto"/>
        </w:rPr>
      </w:pPr>
    </w:p>
    <w:p>
      <w:pPr>
        <w:ind w:left="880" w:hanging="238"/>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the Hydrafacial Company Executive Severance Plan (Annex 4 of the Employment Agreement), HydraFacial will:</w:t>
      </w:r>
    </w:p>
    <w:p>
      <w:pPr>
        <w:spacing w:after="0" w:line="181"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the following additional payments to the Employee:</w:t>
      </w:r>
    </w:p>
    <w:p>
      <w:pPr>
        <w:spacing w:after="0" w:line="203" w:lineRule="exact"/>
        <w:rPr>
          <w:rFonts w:ascii="Arial" w:cs="Arial" w:eastAsia="Arial" w:hAnsi="Arial"/>
          <w:sz w:val="18"/>
          <w:szCs w:val="18"/>
          <w:color w:val="auto"/>
        </w:rPr>
      </w:pPr>
    </w:p>
    <w:p>
      <w:pPr>
        <w:jc w:val="both"/>
        <w:ind w:left="1600" w:hanging="640"/>
        <w:spacing w:after="0" w:line="221" w:lineRule="auto"/>
        <w:tabs>
          <w:tab w:leader="none" w:pos="159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Cash Salary Severance, that is, her Monthly Basic Salary (currently Singapore Dollars Forty Six Thousand Three Hundred Fifty (SGD $46,350) per month) per month), as severance pay, for six (6) months from the Separation Date or such shorter period in the event that the Employee commences paid employment with any other entity pursuant to Clause 4.5 (Impact of Subsequent Employment) of the Hydrafacial Company Executive Severance Plan (the “</w:t>
      </w:r>
      <w:r>
        <w:rPr>
          <w:rFonts w:ascii="Arial" w:cs="Arial" w:eastAsia="Arial" w:hAnsi="Arial"/>
          <w:sz w:val="18"/>
          <w:szCs w:val="18"/>
          <w:b w:val="1"/>
          <w:bCs w:val="1"/>
          <w:color w:val="auto"/>
        </w:rPr>
        <w:t>Separation Period</w:t>
      </w:r>
      <w:r>
        <w:rPr>
          <w:rFonts w:ascii="Arial" w:cs="Arial" w:eastAsia="Arial" w:hAnsi="Arial"/>
          <w:sz w:val="18"/>
          <w:szCs w:val="18"/>
          <w:color w:val="auto"/>
        </w:rPr>
        <w:t>”), paid in accordance with HydraFacial’s regular payroll practices;</w:t>
      </w:r>
    </w:p>
    <w:p>
      <w:pPr>
        <w:spacing w:after="0" w:line="173" w:lineRule="exact"/>
        <w:rPr>
          <w:rFonts w:ascii="Arial" w:cs="Arial" w:eastAsia="Arial" w:hAnsi="Arial"/>
          <w:sz w:val="18"/>
          <w:szCs w:val="18"/>
          <w:color w:val="auto"/>
        </w:rPr>
      </w:pPr>
    </w:p>
    <w:p>
      <w:pPr>
        <w:ind w:left="1600" w:hanging="640"/>
        <w:spacing w:after="0" w:line="237" w:lineRule="auto"/>
        <w:tabs>
          <w:tab w:leader="none" w:pos="159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Pro-Rata Target Bonus, that is, an amount equal to her Pro-Rated Target Bonus, within seventy (70) days from the Separation Date; and</w:t>
      </w:r>
    </w:p>
    <w:p>
      <w:pPr>
        <w:spacing w:after="0" w:line="187" w:lineRule="exact"/>
        <w:rPr>
          <w:sz w:val="20"/>
          <w:szCs w:val="20"/>
          <w:color w:val="auto"/>
        </w:rPr>
      </w:pPr>
    </w:p>
    <w:p>
      <w:pPr>
        <w:ind w:left="640" w:right="2220" w:firstLine="2"/>
        <w:spacing w:after="0" w:line="476" w:lineRule="auto"/>
        <w:tabs>
          <w:tab w:leader="none" w:pos="9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continuation of current Heath Benefits at the current cost to the employee during the Separation Period, (collectively, the “</w:t>
      </w:r>
      <w:r>
        <w:rPr>
          <w:rFonts w:ascii="Arial" w:cs="Arial" w:eastAsia="Arial" w:hAnsi="Arial"/>
          <w:sz w:val="18"/>
          <w:szCs w:val="18"/>
          <w:b w:val="1"/>
          <w:bCs w:val="1"/>
          <w:color w:val="auto"/>
        </w:rPr>
        <w:t>Separation Benefits</w:t>
      </w:r>
      <w:r>
        <w:rPr>
          <w:rFonts w:ascii="Arial" w:cs="Arial" w:eastAsia="Arial" w:hAnsi="Arial"/>
          <w:sz w:val="18"/>
          <w:szCs w:val="18"/>
          <w:color w:val="auto"/>
        </w:rPr>
        <w:t>”).</w:t>
      </w:r>
    </w:p>
    <w:p>
      <w:pPr>
        <w:ind w:left="640"/>
        <w:spacing w:after="0"/>
        <w:rPr>
          <w:sz w:val="20"/>
          <w:szCs w:val="20"/>
          <w:color w:val="auto"/>
        </w:rPr>
      </w:pPr>
      <w:r>
        <w:rPr>
          <w:rFonts w:ascii="Arial" w:cs="Arial" w:eastAsia="Arial" w:hAnsi="Arial"/>
          <w:sz w:val="18"/>
          <w:szCs w:val="18"/>
          <w:color w:val="auto"/>
        </w:rPr>
        <w:t>The Employee acknowledges and agrees that her receipt of the Separation Benefits is conditional on her executing this Separation</w:t>
      </w:r>
    </w:p>
    <w:p>
      <w:pPr>
        <w:spacing w:after="0" w:line="1" w:lineRule="exact"/>
        <w:rPr>
          <w:sz w:val="20"/>
          <w:szCs w:val="20"/>
          <w:color w:val="auto"/>
        </w:rPr>
      </w:pPr>
    </w:p>
    <w:p>
      <w:pPr>
        <w:ind w:left="640" w:right="20"/>
        <w:spacing w:after="0" w:line="224" w:lineRule="auto"/>
        <w:rPr>
          <w:sz w:val="20"/>
          <w:szCs w:val="20"/>
          <w:color w:val="auto"/>
        </w:rPr>
      </w:pPr>
      <w:r>
        <w:rPr>
          <w:rFonts w:ascii="Arial" w:cs="Arial" w:eastAsia="Arial" w:hAnsi="Arial"/>
          <w:sz w:val="18"/>
          <w:szCs w:val="18"/>
          <w:color w:val="auto"/>
        </w:rPr>
        <w:t>Agreement and continued compliance with its terms at all times. The Employee further acknowledges and agrees that he is entitled to receive only that additional compensation listed in this Clause 4.2 (Separation Benefits) after the Separation Date, and that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75" w:right="339" w:bottom="1440" w:gutter="0" w:footer="0" w:header="0"/>
        </w:sectPr>
      </w:pPr>
    </w:p>
    <w:bookmarkStart w:id="50" w:name="page51"/>
    <w:bookmarkEnd w:id="50"/>
    <w:p>
      <w:pPr>
        <w:jc w:val="both"/>
        <w:ind w:left="640"/>
        <w:spacing w:after="0" w:line="237" w:lineRule="auto"/>
        <w:rPr>
          <w:sz w:val="20"/>
          <w:szCs w:val="20"/>
          <w:color w:val="auto"/>
        </w:rPr>
      </w:pPr>
      <w:r>
        <w:rPr>
          <w:rFonts w:ascii="Arial" w:cs="Arial" w:eastAsia="Arial" w:hAnsi="Arial"/>
          <w:sz w:val="18"/>
          <w:szCs w:val="18"/>
          <w:color w:val="auto"/>
        </w:rPr>
        <w:t>he will not be entitled to any other salary, bonus, payment, vacation or any other payments or benefits whosoever after the Separation Date</w:t>
      </w:r>
    </w:p>
    <w:p>
      <w:pPr>
        <w:spacing w:after="0" w:line="187" w:lineRule="exact"/>
        <w:rPr>
          <w:sz w:val="20"/>
          <w:szCs w:val="20"/>
          <w:color w:val="auto"/>
        </w:rPr>
      </w:pPr>
    </w:p>
    <w:p>
      <w:pPr>
        <w:ind w:left="640" w:hanging="635"/>
        <w:spacing w:after="0" w:line="237" w:lineRule="auto"/>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Deductions and Withholdings</w:t>
      </w:r>
      <w:r>
        <w:rPr>
          <w:rFonts w:ascii="Arial" w:cs="Arial" w:eastAsia="Arial" w:hAnsi="Arial"/>
          <w:sz w:val="18"/>
          <w:szCs w:val="18"/>
          <w:color w:val="auto"/>
        </w:rPr>
        <w:t>. All sums payable to the Employee shall be made after deduction of any applicable statutory</w:t>
      </w:r>
      <w:r>
        <w:rPr>
          <w:rFonts w:ascii="Arial" w:cs="Arial" w:eastAsia="Arial" w:hAnsi="Arial"/>
          <w:sz w:val="18"/>
          <w:szCs w:val="18"/>
          <w:u w:val="single" w:color="auto"/>
          <w:color w:val="auto"/>
        </w:rPr>
        <w:t xml:space="preserve"> </w:t>
      </w:r>
      <w:r>
        <w:rPr>
          <w:rFonts w:ascii="Arial" w:cs="Arial" w:eastAsia="Arial" w:hAnsi="Arial"/>
          <w:sz w:val="18"/>
          <w:szCs w:val="18"/>
          <w:color w:val="auto"/>
        </w:rPr>
        <w:t>deductions/withholdings as may be required in accordance with the applicable legislation in force from time to time.</w:t>
      </w:r>
    </w:p>
    <w:p>
      <w:pPr>
        <w:spacing w:after="0" w:line="1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No Further Payments or Benefits</w:t>
      </w:r>
      <w:r>
        <w:rPr>
          <w:rFonts w:ascii="Arial" w:cs="Arial" w:eastAsia="Arial" w:hAnsi="Arial"/>
          <w:sz w:val="17"/>
          <w:szCs w:val="17"/>
          <w:color w:val="auto"/>
        </w:rPr>
        <w:t>. The Employee understands, acknowledges, and agrees that these Separation Benefits exceed what the</w:t>
      </w:r>
    </w:p>
    <w:p>
      <w:pPr>
        <w:spacing w:after="0" w:line="1" w:lineRule="exact"/>
        <w:rPr>
          <w:sz w:val="20"/>
          <w:szCs w:val="20"/>
          <w:color w:val="auto"/>
        </w:rPr>
      </w:pPr>
    </w:p>
    <w:p>
      <w:pPr>
        <w:jc w:val="both"/>
        <w:ind w:left="640"/>
        <w:spacing w:after="0" w:line="216" w:lineRule="auto"/>
        <w:rPr>
          <w:sz w:val="20"/>
          <w:szCs w:val="20"/>
          <w:color w:val="auto"/>
        </w:rPr>
      </w:pPr>
      <w:r>
        <w:rPr>
          <w:rFonts w:ascii="Arial" w:cs="Arial" w:eastAsia="Arial" w:hAnsi="Arial"/>
          <w:sz w:val="17"/>
          <w:szCs w:val="17"/>
          <w:color w:val="auto"/>
        </w:rPr>
        <w:t>Employee is otherwise entitled under applicable law to receive on termination of employment, and that these benefits are being given as consideration in exchange for executing this Separation Agreement and the general release contained herein. The Employee further acknowledges that he is not entitled to any other payment or benefit not specifically referenced in this Separation Agreement. Nothing</w:t>
      </w:r>
    </w:p>
    <w:p>
      <w:pPr>
        <w:spacing w:after="0" w:line="2" w:lineRule="exact"/>
        <w:rPr>
          <w:sz w:val="20"/>
          <w:szCs w:val="20"/>
          <w:color w:val="auto"/>
        </w:rPr>
      </w:pPr>
    </w:p>
    <w:p>
      <w:pPr>
        <w:jc w:val="both"/>
        <w:ind w:left="640"/>
        <w:spacing w:after="0" w:line="224" w:lineRule="auto"/>
        <w:rPr>
          <w:sz w:val="20"/>
          <w:szCs w:val="20"/>
          <w:color w:val="auto"/>
        </w:rPr>
      </w:pPr>
      <w:r>
        <w:rPr>
          <w:rFonts w:ascii="Arial" w:cs="Arial" w:eastAsia="Arial" w:hAnsi="Arial"/>
          <w:sz w:val="18"/>
          <w:szCs w:val="18"/>
          <w:color w:val="auto"/>
        </w:rPr>
        <w:t>in this Separation Agreement shall be deemed or construed as an express or implied policy or practice of HydraFacial to provide these or other benefits to any individuals other than the Employee.</w:t>
      </w:r>
    </w:p>
    <w:p>
      <w:pPr>
        <w:spacing w:after="0" w:line="17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 The Employee shall be responsible for the proper declaration, filing and payment of income tax payable on her salary and any</w:t>
      </w:r>
    </w:p>
    <w:p>
      <w:pPr>
        <w:spacing w:after="0" w:line="1" w:lineRule="exact"/>
        <w:rPr>
          <w:sz w:val="20"/>
          <w:szCs w:val="20"/>
          <w:color w:val="auto"/>
        </w:rPr>
      </w:pPr>
    </w:p>
    <w:p>
      <w:pPr>
        <w:ind w:left="640" w:right="120"/>
        <w:spacing w:after="0" w:line="216" w:lineRule="auto"/>
        <w:rPr>
          <w:sz w:val="20"/>
          <w:szCs w:val="20"/>
          <w:color w:val="auto"/>
        </w:rPr>
      </w:pPr>
      <w:r>
        <w:rPr>
          <w:rFonts w:ascii="Arial" w:cs="Arial" w:eastAsia="Arial" w:hAnsi="Arial"/>
          <w:sz w:val="18"/>
          <w:szCs w:val="18"/>
          <w:color w:val="auto"/>
        </w:rPr>
        <w:t>benefits, and shall indemnify HydraFacial for all payments, if any, made by HydraFacial to the Inland Revenue Authority of Singapore (“</w:t>
      </w:r>
      <w:r>
        <w:rPr>
          <w:rFonts w:ascii="Arial" w:cs="Arial" w:eastAsia="Arial" w:hAnsi="Arial"/>
          <w:sz w:val="18"/>
          <w:szCs w:val="18"/>
          <w:b w:val="1"/>
          <w:bCs w:val="1"/>
          <w:color w:val="auto"/>
        </w:rPr>
        <w:t>IRAS</w:t>
      </w:r>
      <w:r>
        <w:rPr>
          <w:rFonts w:ascii="Arial" w:cs="Arial" w:eastAsia="Arial" w:hAnsi="Arial"/>
          <w:sz w:val="18"/>
          <w:szCs w:val="18"/>
          <w:color w:val="auto"/>
        </w:rPr>
        <w:t>”) on account of the Employee’s income tax or any other applicable tax obligation. This provision does not oblige HydraFacial to make payments of any taxes on behalf of the Employee.</w:t>
      </w:r>
    </w:p>
    <w:p>
      <w:pPr>
        <w:spacing w:after="0" w:line="186" w:lineRule="exact"/>
        <w:rPr>
          <w:sz w:val="20"/>
          <w:szCs w:val="20"/>
          <w:color w:val="auto"/>
        </w:rPr>
      </w:pPr>
    </w:p>
    <w:p>
      <w:pPr>
        <w:ind w:left="640" w:hanging="634"/>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GENERAL WAIVER AND RELEASE</w:t>
      </w:r>
    </w:p>
    <w:p>
      <w:pPr>
        <w:spacing w:after="0" w:line="206" w:lineRule="exact"/>
        <w:rPr>
          <w:sz w:val="20"/>
          <w:szCs w:val="20"/>
          <w:color w:val="auto"/>
        </w:rPr>
      </w:pPr>
    </w:p>
    <w:p>
      <w:pPr>
        <w:jc w:val="right"/>
        <w:spacing w:after="0" w:line="220" w:lineRule="auto"/>
        <w:rPr>
          <w:sz w:val="20"/>
          <w:szCs w:val="20"/>
          <w:color w:val="auto"/>
        </w:rPr>
      </w:pPr>
      <w:r>
        <w:rPr>
          <w:rFonts w:ascii="Arial" w:cs="Arial" w:eastAsia="Arial" w:hAnsi="Arial"/>
          <w:sz w:val="18"/>
          <w:szCs w:val="18"/>
          <w:color w:val="auto"/>
        </w:rPr>
        <w:t>4.1   The Employee hereby irrevocably releases and forever discharges HydraFacial, each current, former and future Group Company, as well as any of their respective current and former insurers, directors, officers, agents, shareholders, employees, attorneys, predecessors,</w:t>
      </w:r>
    </w:p>
    <w:p>
      <w:pPr>
        <w:jc w:val="both"/>
        <w:ind w:left="640"/>
        <w:spacing w:after="0" w:line="216" w:lineRule="auto"/>
        <w:rPr>
          <w:sz w:val="20"/>
          <w:szCs w:val="20"/>
          <w:color w:val="auto"/>
        </w:rPr>
      </w:pPr>
      <w:r>
        <w:rPr>
          <w:rFonts w:ascii="Arial" w:cs="Arial" w:eastAsia="Arial" w:hAnsi="Arial"/>
          <w:sz w:val="17"/>
          <w:szCs w:val="17"/>
          <w:color w:val="auto"/>
        </w:rPr>
        <w:t>successors, assigns, representatives and/or any other person or body acting on behalf of, or connected with HydraFacial or any Group Company, past and present (the “</w:t>
      </w:r>
      <w:r>
        <w:rPr>
          <w:rFonts w:ascii="Arial" w:cs="Arial" w:eastAsia="Arial" w:hAnsi="Arial"/>
          <w:sz w:val="17"/>
          <w:szCs w:val="17"/>
          <w:b w:val="1"/>
          <w:bCs w:val="1"/>
          <w:color w:val="auto"/>
        </w:rPr>
        <w:t>Released Parties</w:t>
      </w:r>
      <w:r>
        <w:rPr>
          <w:rFonts w:ascii="Arial" w:cs="Arial" w:eastAsia="Arial" w:hAnsi="Arial"/>
          <w:sz w:val="17"/>
          <w:szCs w:val="17"/>
          <w:color w:val="auto"/>
        </w:rPr>
        <w:t>”) of and from claims and rights that the Employee has, had, or may have against the Released Parties, including but not limited to any and all claims, cross claims, damages, demands, liabilities, obligations, actions,</w:t>
      </w:r>
    </w:p>
    <w:p>
      <w:pPr>
        <w:spacing w:after="0" w:line="2" w:lineRule="exact"/>
        <w:rPr>
          <w:sz w:val="20"/>
          <w:szCs w:val="20"/>
          <w:color w:val="auto"/>
        </w:rPr>
      </w:pPr>
    </w:p>
    <w:p>
      <w:pPr>
        <w:jc w:val="both"/>
        <w:ind w:left="640"/>
        <w:spacing w:after="0" w:line="216" w:lineRule="auto"/>
        <w:rPr>
          <w:sz w:val="20"/>
          <w:szCs w:val="20"/>
          <w:color w:val="auto"/>
        </w:rPr>
      </w:pPr>
      <w:r>
        <w:rPr>
          <w:rFonts w:ascii="Arial" w:cs="Arial" w:eastAsia="Arial" w:hAnsi="Arial"/>
          <w:sz w:val="17"/>
          <w:szCs w:val="17"/>
          <w:color w:val="auto"/>
        </w:rPr>
        <w:t>causes, and causes of action of whatever kind or nature based on any cause, circumstance, fact, matter, thing, event, act, or failure to act whatsoever, whether arising at law or in equity, whether based on tort, contract, statutory, or common law principles, and whether known, unknown, foreseen, or unforeseen, but does not mean any of the Employee’s rights in this waiver and release, (including all</w:t>
      </w:r>
    </w:p>
    <w:p>
      <w:pPr>
        <w:spacing w:after="0" w:line="2" w:lineRule="exact"/>
        <w:rPr>
          <w:sz w:val="20"/>
          <w:szCs w:val="20"/>
          <w:color w:val="auto"/>
        </w:rPr>
      </w:pPr>
    </w:p>
    <w:p>
      <w:pPr>
        <w:jc w:val="both"/>
        <w:ind w:left="640"/>
        <w:spacing w:after="0" w:line="216" w:lineRule="auto"/>
        <w:rPr>
          <w:sz w:val="20"/>
          <w:szCs w:val="20"/>
          <w:color w:val="auto"/>
        </w:rPr>
      </w:pPr>
      <w:r>
        <w:rPr>
          <w:rFonts w:ascii="Arial" w:cs="Arial" w:eastAsia="Arial" w:hAnsi="Arial"/>
          <w:sz w:val="17"/>
          <w:szCs w:val="17"/>
          <w:color w:val="auto"/>
        </w:rPr>
        <w:t>damage, loss and injury not now known or anticipated but which may arise in the future and all effects and consequences thereof), however and wherever arising, which the Employee had, now has, or which the Employee, its heirs, administrators and assigns or any of them hereafter can, shall or may have in respect of the Employee’s employment under the Employment Agreement or the termination</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thereof (“</w:t>
      </w:r>
      <w:r>
        <w:rPr>
          <w:rFonts w:ascii="Arial" w:cs="Arial" w:eastAsia="Arial" w:hAnsi="Arial"/>
          <w:sz w:val="18"/>
          <w:szCs w:val="18"/>
          <w:b w:val="1"/>
          <w:bCs w:val="1"/>
          <w:color w:val="auto"/>
        </w:rPr>
        <w:t>Claims</w:t>
      </w:r>
      <w:r>
        <w:rPr>
          <w:rFonts w:ascii="Arial" w:cs="Arial" w:eastAsia="Arial" w:hAnsi="Arial"/>
          <w:sz w:val="18"/>
          <w:szCs w:val="18"/>
          <w:color w:val="auto"/>
        </w:rPr>
        <w:t>”).</w:t>
      </w:r>
    </w:p>
    <w:p>
      <w:pPr>
        <w:spacing w:after="0" w:line="182" w:lineRule="exact"/>
        <w:rPr>
          <w:sz w:val="20"/>
          <w:szCs w:val="20"/>
          <w:color w:val="auto"/>
        </w:rPr>
      </w:pPr>
    </w:p>
    <w:p>
      <w:pPr>
        <w:jc w:val="right"/>
        <w:ind w:left="80"/>
        <w:spacing w:after="0" w:line="220" w:lineRule="auto"/>
        <w:rPr>
          <w:sz w:val="20"/>
          <w:szCs w:val="20"/>
          <w:color w:val="auto"/>
        </w:rPr>
      </w:pPr>
      <w:r>
        <w:rPr>
          <w:rFonts w:ascii="Arial" w:cs="Arial" w:eastAsia="Arial" w:hAnsi="Arial"/>
          <w:sz w:val="18"/>
          <w:szCs w:val="18"/>
          <w:color w:val="auto"/>
        </w:rPr>
        <w:t>4.2   The Employee covenants that he (and that he shall procure anyone acting on her behalf): (a) shall not sue any Released Party; (b) shall finally, fully and irrevocably waive and release, to the maximum extent permitted by law, all Claims against the Released Parties,</w:t>
      </w:r>
    </w:p>
    <w:p>
      <w:pPr>
        <w:jc w:val="both"/>
        <w:ind w:left="560"/>
        <w:spacing w:after="0" w:line="204" w:lineRule="auto"/>
        <w:rPr>
          <w:sz w:val="20"/>
          <w:szCs w:val="20"/>
          <w:color w:val="auto"/>
        </w:rPr>
      </w:pPr>
      <w:r>
        <w:rPr>
          <w:rFonts w:ascii="Arial" w:cs="Arial" w:eastAsia="Arial" w:hAnsi="Arial"/>
          <w:sz w:val="18"/>
          <w:szCs w:val="18"/>
          <w:color w:val="auto"/>
        </w:rPr>
        <w:t>including, without limitation, all such Claims: (i) arising out of statements, actions, or omissions of the Released Parties; (ii) for the payment of money, property, salary, wages, severance, options, bonuses, overtime, other compensation or amounts, compensatory damages, liquidated damages, punitive damages, costs, expenses, expense reimbursements, disbursements, attorneys’ fees, and</w:t>
      </w:r>
    </w:p>
    <w:p>
      <w:pPr>
        <w:spacing w:after="0" w:line="2" w:lineRule="exact"/>
        <w:rPr>
          <w:sz w:val="20"/>
          <w:szCs w:val="20"/>
          <w:color w:val="auto"/>
        </w:rPr>
      </w:pPr>
    </w:p>
    <w:p>
      <w:pPr>
        <w:jc w:val="both"/>
        <w:ind w:left="560"/>
        <w:spacing w:after="0" w:line="212" w:lineRule="auto"/>
        <w:rPr>
          <w:sz w:val="20"/>
          <w:szCs w:val="20"/>
          <w:color w:val="auto"/>
        </w:rPr>
      </w:pPr>
      <w:r>
        <w:rPr>
          <w:rFonts w:ascii="Arial" w:cs="Arial" w:eastAsia="Arial" w:hAnsi="Arial"/>
          <w:sz w:val="18"/>
          <w:szCs w:val="18"/>
          <w:color w:val="auto"/>
        </w:rPr>
        <w:t>benefits; (iii) for wrongful or constructive discharge, breach of express or implied contract, reinstatement of employment, or loss of office; and (iv) based on any applicable laws and/or regulations; and (c) not to make or continue any claim or take or continue any proceeding against the Released Parties in Singapore or elsewhere in the world, arising out of or in any way connected with the Employee’s employment under the Employment Agreement or the termination thereof.</w:t>
      </w:r>
    </w:p>
    <w:p>
      <w:pPr>
        <w:spacing w:after="0" w:line="187" w:lineRule="exact"/>
        <w:rPr>
          <w:sz w:val="20"/>
          <w:szCs w:val="20"/>
          <w:color w:val="auto"/>
        </w:rPr>
      </w:pPr>
    </w:p>
    <w:p>
      <w:pPr>
        <w:jc w:val="both"/>
        <w:ind w:left="500" w:hanging="555"/>
        <w:spacing w:after="0" w:line="250" w:lineRule="auto"/>
        <w:tabs>
          <w:tab w:leader="none" w:pos="480" w:val="left"/>
        </w:tabs>
        <w:rPr>
          <w:sz w:val="20"/>
          <w:szCs w:val="20"/>
          <w:color w:val="auto"/>
        </w:rPr>
      </w:pPr>
      <w:r>
        <w:rPr>
          <w:rFonts w:ascii="Arial" w:cs="Arial" w:eastAsia="Arial" w:hAnsi="Arial"/>
          <w:sz w:val="18"/>
          <w:szCs w:val="18"/>
          <w:color w:val="auto"/>
        </w:rPr>
        <w:t>4.3</w:t>
        <w:tab/>
        <w:t>The Employee acknowledges and agrees that this waiver and release shall ensure to the benefit of the Released Parties and shall be binding on the Employee and her descendants, dependents, heirs, executors, administrators, assigns, and successors.</w:t>
      </w:r>
    </w:p>
    <w:p>
      <w:pPr>
        <w:spacing w:after="0" w:line="178" w:lineRule="exact"/>
        <w:rPr>
          <w:sz w:val="20"/>
          <w:szCs w:val="20"/>
          <w:color w:val="auto"/>
        </w:rPr>
      </w:pPr>
    </w:p>
    <w:p>
      <w:pPr>
        <w:jc w:val="both"/>
        <w:ind w:left="480" w:hanging="555"/>
        <w:spacing w:after="0" w:line="225" w:lineRule="auto"/>
        <w:tabs>
          <w:tab w:leader="none" w:pos="460" w:val="left"/>
        </w:tabs>
        <w:rPr>
          <w:sz w:val="20"/>
          <w:szCs w:val="20"/>
          <w:color w:val="auto"/>
        </w:rPr>
      </w:pPr>
      <w:r>
        <w:rPr>
          <w:rFonts w:ascii="Arial" w:cs="Arial" w:eastAsia="Arial" w:hAnsi="Arial"/>
          <w:sz w:val="18"/>
          <w:szCs w:val="18"/>
          <w:color w:val="auto"/>
        </w:rPr>
        <w:t>4.4</w:t>
        <w:tab/>
        <w:t>The Employee warrants and represents to HydraFacial and any Group Company that there are no circumstances of which the Employee is aware or of which the Employee ought reasonably to be aware which would amount to a repudiatory breach by the Employee of any express or implied term of the Employment Agreement which would have given rise to the right to terminate the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75" w:right="339" w:bottom="1440" w:gutter="0" w:footer="0" w:header="0"/>
        </w:sectPr>
      </w:pPr>
    </w:p>
    <w:bookmarkStart w:id="51" w:name="page52"/>
    <w:bookmarkEnd w:id="51"/>
    <w:p>
      <w:pPr>
        <w:ind w:left="560"/>
        <w:spacing w:after="0" w:line="237" w:lineRule="auto"/>
        <w:rPr>
          <w:sz w:val="20"/>
          <w:szCs w:val="20"/>
          <w:color w:val="auto"/>
        </w:rPr>
      </w:pPr>
      <w:r>
        <w:rPr>
          <w:rFonts w:ascii="Arial" w:cs="Arial" w:eastAsia="Arial" w:hAnsi="Arial"/>
          <w:sz w:val="18"/>
          <w:szCs w:val="18"/>
          <w:color w:val="auto"/>
        </w:rPr>
        <w:t>Employment without notice or payment in lieu of notice and any payment to the Employee pursuant to Clause 4 is conditional upon this being true at all times.</w:t>
      </w:r>
    </w:p>
    <w:p>
      <w:pPr>
        <w:spacing w:after="0" w:line="185" w:lineRule="exact"/>
        <w:rPr>
          <w:sz w:val="20"/>
          <w:szCs w:val="20"/>
          <w:color w:val="auto"/>
        </w:rPr>
      </w:pPr>
    </w:p>
    <w:p>
      <w:pPr>
        <w:jc w:val="both"/>
        <w:ind w:left="460" w:hanging="555"/>
        <w:spacing w:after="0" w:line="214" w:lineRule="auto"/>
        <w:tabs>
          <w:tab w:leader="none" w:pos="440" w:val="left"/>
        </w:tabs>
        <w:rPr>
          <w:sz w:val="20"/>
          <w:szCs w:val="20"/>
          <w:color w:val="auto"/>
        </w:rPr>
      </w:pPr>
      <w:r>
        <w:rPr>
          <w:rFonts w:ascii="Arial" w:cs="Arial" w:eastAsia="Arial" w:hAnsi="Arial"/>
          <w:sz w:val="18"/>
          <w:szCs w:val="18"/>
          <w:color w:val="auto"/>
        </w:rPr>
        <w:t>4.5</w:t>
        <w:tab/>
        <w:t>For the purposes of this Separation Agreement, “</w:t>
      </w:r>
      <w:r>
        <w:rPr>
          <w:rFonts w:ascii="Arial" w:cs="Arial" w:eastAsia="Arial" w:hAnsi="Arial"/>
          <w:sz w:val="18"/>
          <w:szCs w:val="18"/>
          <w:b w:val="1"/>
          <w:bCs w:val="1"/>
          <w:color w:val="auto"/>
        </w:rPr>
        <w:t>Group Company</w:t>
      </w:r>
      <w:r>
        <w:rPr>
          <w:rFonts w:ascii="Arial" w:cs="Arial" w:eastAsia="Arial" w:hAnsi="Arial"/>
          <w:sz w:val="18"/>
          <w:szCs w:val="18"/>
          <w:color w:val="auto"/>
        </w:rPr>
        <w:t>” means any holding company or parent undertaking of HydraFacial or any subsidiaries or subsidiary undertakings of HydraFacial or of any such holding company or parent undertaking; a company shall be deemed to be a Group Company for the purposes of this Separation Agreement. All references in this Separation Agreement to</w:t>
      </w:r>
    </w:p>
    <w:p>
      <w:pPr>
        <w:ind w:left="560"/>
        <w:spacing w:after="0"/>
        <w:rPr>
          <w:sz w:val="20"/>
          <w:szCs w:val="20"/>
          <w:color w:val="auto"/>
        </w:rPr>
      </w:pPr>
      <w:r>
        <w:rPr>
          <w:rFonts w:ascii="Arial" w:cs="Arial" w:eastAsia="Arial" w:hAnsi="Arial"/>
          <w:sz w:val="18"/>
          <w:szCs w:val="18"/>
          <w:color w:val="auto"/>
        </w:rPr>
        <w:t>HydraFacial or Group Company shall include any successor in title or assignee of HydraFacial or any Group Company.</w:t>
      </w:r>
    </w:p>
    <w:p>
      <w:pPr>
        <w:spacing w:after="0" w:line="180" w:lineRule="exact"/>
        <w:rPr>
          <w:sz w:val="20"/>
          <w:szCs w:val="20"/>
          <w:color w:val="auto"/>
        </w:rPr>
      </w:pPr>
    </w:p>
    <w:p>
      <w:pPr>
        <w:ind w:left="640" w:hanging="634"/>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 AND APPOINTMENTS</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On the Separation Date, the Employee shall: (a) return to HydraFacial all books, documents, papers, data (including any copies or</w:t>
      </w:r>
    </w:p>
    <w:p>
      <w:pPr>
        <w:spacing w:after="0" w:line="1" w:lineRule="exact"/>
        <w:rPr>
          <w:sz w:val="20"/>
          <w:szCs w:val="20"/>
          <w:color w:val="auto"/>
        </w:rPr>
      </w:pPr>
    </w:p>
    <w:p>
      <w:pPr>
        <w:jc w:val="both"/>
        <w:ind w:left="560"/>
        <w:spacing w:after="0" w:line="216" w:lineRule="auto"/>
        <w:rPr>
          <w:sz w:val="20"/>
          <w:szCs w:val="20"/>
          <w:color w:val="auto"/>
        </w:rPr>
      </w:pPr>
      <w:r>
        <w:rPr>
          <w:rFonts w:ascii="Arial" w:cs="Arial" w:eastAsia="Arial" w:hAnsi="Arial"/>
          <w:sz w:val="17"/>
          <w:szCs w:val="17"/>
          <w:color w:val="auto"/>
        </w:rPr>
        <w:t>extracts and whether in printed or electronic format), materials, software, lap-top, mobile phone, credit cards, keys, security passes and any other property belonging to HydraFacial or any Group Company or their respective clients or suppliers which are or which come under his/her possession or control; provide HydraFacial with full details of any current passwords the Employee uses in respect of any</w:t>
      </w:r>
    </w:p>
    <w:p>
      <w:pPr>
        <w:spacing w:after="0" w:line="2" w:lineRule="exact"/>
        <w:rPr>
          <w:sz w:val="20"/>
          <w:szCs w:val="20"/>
          <w:color w:val="auto"/>
        </w:rPr>
      </w:pPr>
    </w:p>
    <w:p>
      <w:pPr>
        <w:jc w:val="both"/>
        <w:ind w:left="560"/>
        <w:spacing w:after="0" w:line="216" w:lineRule="auto"/>
        <w:rPr>
          <w:sz w:val="20"/>
          <w:szCs w:val="20"/>
          <w:color w:val="auto"/>
        </w:rPr>
      </w:pPr>
      <w:r>
        <w:rPr>
          <w:rFonts w:ascii="Arial" w:cs="Arial" w:eastAsia="Arial" w:hAnsi="Arial"/>
          <w:sz w:val="17"/>
          <w:szCs w:val="17"/>
          <w:color w:val="auto"/>
        </w:rPr>
        <w:t>computer equipment used by HydraFacial or any Group Company; (c) irrevocably delete from any personal computer in the Employee’s possession all and any confidential information relating to HydraFacial; and (d) provide a written confirmation to HydraFacial that this has been done and that no copies of any property of HydraFacial of whatever nature have been retained in the Employee’s possession or</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control.</w:t>
      </w:r>
    </w:p>
    <w:p>
      <w:pPr>
        <w:spacing w:after="0" w:line="182" w:lineRule="exact"/>
        <w:rPr>
          <w:sz w:val="20"/>
          <w:szCs w:val="20"/>
          <w:color w:val="auto"/>
        </w:rPr>
      </w:pPr>
    </w:p>
    <w:p>
      <w:pPr>
        <w:jc w:val="right"/>
        <w:spacing w:after="0" w:line="220" w:lineRule="auto"/>
        <w:rPr>
          <w:sz w:val="20"/>
          <w:szCs w:val="20"/>
          <w:color w:val="auto"/>
        </w:rPr>
      </w:pPr>
      <w:r>
        <w:rPr>
          <w:rFonts w:ascii="Arial" w:cs="Arial" w:eastAsia="Arial" w:hAnsi="Arial"/>
          <w:sz w:val="18"/>
          <w:szCs w:val="18"/>
          <w:color w:val="auto"/>
        </w:rPr>
        <w:t>5.2   The Employee shall immediately deliver to HydraFacial duly signed written resignations from: (a) her appointments as a director of the board of directors of HydraFacial and of any Group Company; and (ii) her appointments in any other offices or positions that she was</w:t>
      </w:r>
    </w:p>
    <w:p>
      <w:pPr>
        <w:ind w:left="560"/>
        <w:spacing w:after="0" w:line="224" w:lineRule="auto"/>
        <w:rPr>
          <w:sz w:val="20"/>
          <w:szCs w:val="20"/>
          <w:color w:val="auto"/>
        </w:rPr>
      </w:pPr>
      <w:r>
        <w:rPr>
          <w:rFonts w:ascii="Arial" w:cs="Arial" w:eastAsia="Arial" w:hAnsi="Arial"/>
          <w:sz w:val="18"/>
          <w:szCs w:val="18"/>
          <w:color w:val="auto"/>
        </w:rPr>
        <w:t>appointed to pursuant to or in connection with her employment with HydraFacial, together with any other documents reasonably necessary to effect such resignations, each case in form satisfactory to HydraFacial.</w:t>
      </w:r>
    </w:p>
    <w:p>
      <w:pPr>
        <w:spacing w:after="0" w:line="173" w:lineRule="exact"/>
        <w:rPr>
          <w:sz w:val="20"/>
          <w:szCs w:val="20"/>
          <w:color w:val="auto"/>
        </w:rPr>
      </w:pPr>
    </w:p>
    <w:p>
      <w:pPr>
        <w:ind w:left="640" w:hanging="634"/>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OBLIGATIONS</w:t>
      </w:r>
    </w:p>
    <w:p>
      <w:pPr>
        <w:spacing w:after="0" w:line="219" w:lineRule="exact"/>
        <w:rPr>
          <w:sz w:val="20"/>
          <w:szCs w:val="20"/>
          <w:color w:val="auto"/>
        </w:rPr>
      </w:pPr>
    </w:p>
    <w:p>
      <w:pPr>
        <w:jc w:val="both"/>
        <w:ind w:left="460" w:hanging="555"/>
        <w:spacing w:after="0" w:line="225"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Employee shall comply with her continuing obligations under the Employment Agreement (including the annexures thereto), including but not limited to: Clause 14 (Confidentiality), Clause 15 (Intellectual Property Right) read with the Proprietary Information and Inventions Assignment Agreement (Annex 3) and Clause 17 (Non-solicitation), which shall, where applicable, survive the termination of the</w:t>
      </w:r>
    </w:p>
    <w:p>
      <w:pPr>
        <w:spacing w:after="0" w:line="2" w:lineRule="exact"/>
        <w:rPr>
          <w:sz w:val="20"/>
          <w:szCs w:val="20"/>
          <w:color w:val="auto"/>
        </w:rPr>
      </w:pPr>
    </w:p>
    <w:p>
      <w:pPr>
        <w:jc w:val="both"/>
        <w:ind w:left="560"/>
        <w:spacing w:after="0" w:line="224" w:lineRule="auto"/>
        <w:rPr>
          <w:sz w:val="20"/>
          <w:szCs w:val="20"/>
          <w:color w:val="auto"/>
        </w:rPr>
      </w:pPr>
      <w:r>
        <w:rPr>
          <w:rFonts w:ascii="Arial" w:cs="Arial" w:eastAsia="Arial" w:hAnsi="Arial"/>
          <w:sz w:val="18"/>
          <w:szCs w:val="18"/>
          <w:color w:val="auto"/>
        </w:rPr>
        <w:t>Employment Agreement and continue to bind him/her notwithstanding termination of his/her employment under the Employment Agreement.</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6.2</w:t>
        <w:tab/>
        <w:t>The Employee expressly acknowledges that by reason of her employment and position with HydraFacial, he has been given access to</w:t>
      </w:r>
    </w:p>
    <w:p>
      <w:pPr>
        <w:spacing w:after="0" w:line="1" w:lineRule="exact"/>
        <w:rPr>
          <w:sz w:val="20"/>
          <w:szCs w:val="20"/>
          <w:color w:val="auto"/>
        </w:rPr>
      </w:pPr>
    </w:p>
    <w:p>
      <w:pPr>
        <w:jc w:val="both"/>
        <w:ind w:left="560"/>
        <w:spacing w:after="0" w:line="216" w:lineRule="auto"/>
        <w:rPr>
          <w:sz w:val="20"/>
          <w:szCs w:val="20"/>
          <w:color w:val="auto"/>
        </w:rPr>
      </w:pPr>
      <w:r>
        <w:rPr>
          <w:rFonts w:ascii="Arial" w:cs="Arial" w:eastAsia="Arial" w:hAnsi="Arial"/>
          <w:sz w:val="17"/>
          <w:szCs w:val="17"/>
          <w:color w:val="auto"/>
        </w:rPr>
        <w:t>confidential information concerning the business affairs of HydraFacial and the Group Companies, including but limited to marketing lists, lists of customers, business partners, marketing plans, strategic business projections and plans, creative materials and similar confidential or proprietary materials or information. The Employee agrees that he shall not disclose, use, or induce or assist in the use or</w:t>
      </w:r>
    </w:p>
    <w:p>
      <w:pPr>
        <w:spacing w:after="0" w:line="2" w:lineRule="exact"/>
        <w:rPr>
          <w:sz w:val="20"/>
          <w:szCs w:val="20"/>
          <w:color w:val="auto"/>
        </w:rPr>
      </w:pPr>
    </w:p>
    <w:p>
      <w:pPr>
        <w:jc w:val="both"/>
        <w:ind w:left="560"/>
        <w:spacing w:after="0" w:line="216" w:lineRule="auto"/>
        <w:rPr>
          <w:sz w:val="20"/>
          <w:szCs w:val="20"/>
          <w:color w:val="auto"/>
        </w:rPr>
      </w:pPr>
      <w:r>
        <w:rPr>
          <w:rFonts w:ascii="Arial" w:cs="Arial" w:eastAsia="Arial" w:hAnsi="Arial"/>
          <w:sz w:val="17"/>
          <w:szCs w:val="17"/>
          <w:color w:val="auto"/>
        </w:rPr>
        <w:t>disclosure of any such confidential information, or anything related thereto, nor to ever use such information for any business with which Employee is affiliated, or for any competitor of HydraFacial, without the prior express written consent of HydraFacial. The Employee may disclose confidential information only if it is required to do so in compliance with the law, an order of court, or the rules or regulations of</w:t>
      </w:r>
    </w:p>
    <w:p>
      <w:pPr>
        <w:spacing w:after="0" w:line="2" w:lineRule="exact"/>
        <w:rPr>
          <w:sz w:val="20"/>
          <w:szCs w:val="20"/>
          <w:color w:val="auto"/>
        </w:rPr>
      </w:pPr>
    </w:p>
    <w:p>
      <w:pPr>
        <w:jc w:val="both"/>
        <w:ind w:left="560"/>
        <w:spacing w:after="0" w:line="215" w:lineRule="auto"/>
        <w:rPr>
          <w:sz w:val="20"/>
          <w:szCs w:val="20"/>
          <w:color w:val="auto"/>
        </w:rPr>
      </w:pPr>
      <w:r>
        <w:rPr>
          <w:rFonts w:ascii="Arial" w:cs="Arial" w:eastAsia="Arial" w:hAnsi="Arial"/>
          <w:sz w:val="17"/>
          <w:szCs w:val="17"/>
          <w:color w:val="auto"/>
        </w:rPr>
        <w:t>any relevant regulatory or administrative authority with jurisdiction over the Parties, provided always that the Employee shall: (a) give HydraFacial reasonable notice prior to the impending disclosure so that HydraFacial may have the opportunity to seek a protective order and/or waive the duty of non-disclosure; (b) restrict any disclosure of confidential information to such minimal extent as is necessary for such compliance; and (c) use its best endeavours to ensure that any person who receives the confidential information keeps such</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confidential information confidential and does not use it except for the purpose for which the disclosure is made.</w:t>
      </w:r>
    </w:p>
    <w:p>
      <w:pPr>
        <w:spacing w:after="0" w:line="182" w:lineRule="exact"/>
        <w:rPr>
          <w:sz w:val="20"/>
          <w:szCs w:val="20"/>
          <w:color w:val="auto"/>
        </w:rPr>
      </w:pPr>
    </w:p>
    <w:p>
      <w:pPr>
        <w:jc w:val="right"/>
        <w:spacing w:after="0" w:line="220" w:lineRule="auto"/>
        <w:rPr>
          <w:sz w:val="20"/>
          <w:szCs w:val="20"/>
          <w:color w:val="auto"/>
        </w:rPr>
      </w:pPr>
      <w:r>
        <w:rPr>
          <w:rFonts w:ascii="Arial" w:cs="Arial" w:eastAsia="Arial" w:hAnsi="Arial"/>
          <w:sz w:val="18"/>
          <w:szCs w:val="18"/>
          <w:color w:val="auto"/>
        </w:rPr>
        <w:t>6.3   The Employee further agrees that that she shall keep the terms, amount, and fact of this Separation Agreement completely confidential, and that she shall not hereafter disclose any information concerning this Separation Agreement to anyone; provided, however, that she</w:t>
      </w:r>
    </w:p>
    <w:p>
      <w:pPr>
        <w:ind w:left="560"/>
        <w:spacing w:after="0" w:line="224" w:lineRule="auto"/>
        <w:rPr>
          <w:sz w:val="20"/>
          <w:szCs w:val="20"/>
          <w:color w:val="auto"/>
        </w:rPr>
      </w:pPr>
      <w:r>
        <w:rPr>
          <w:rFonts w:ascii="Arial" w:cs="Arial" w:eastAsia="Arial" w:hAnsi="Arial"/>
          <w:sz w:val="18"/>
          <w:szCs w:val="18"/>
          <w:color w:val="auto"/>
        </w:rPr>
        <w:t>may make such disclosure to her professional advisors (e.g. attorneys, accountants, auditors, and tax preparers) strictly on a need to know basis, all of whom will be informed of and have agreed in writing to be bound by this confidentiality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375" w:right="339" w:bottom="1440" w:gutter="0" w:footer="0" w:header="0"/>
        </w:sectPr>
      </w:pPr>
    </w:p>
    <w:bookmarkStart w:id="52" w:name="page53"/>
    <w:bookmarkEnd w:id="52"/>
    <w:p>
      <w:pPr>
        <w:jc w:val="both"/>
        <w:ind w:left="540" w:hanging="555"/>
        <w:spacing w:after="0" w:line="233" w:lineRule="auto"/>
        <w:tabs>
          <w:tab w:leader="none" w:pos="5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The Employee acknowledges that during the Separation Period, HydraFacial may make reasonable, minimal requests for information related to her duties and work product arising in the period prior to the Separation Date and agrees to cooperate with any such requests</w:t>
      </w:r>
    </w:p>
    <w:p>
      <w:pPr>
        <w:ind w:left="560"/>
        <w:spacing w:after="0"/>
        <w:rPr>
          <w:sz w:val="20"/>
          <w:szCs w:val="20"/>
          <w:color w:val="auto"/>
        </w:rPr>
      </w:pPr>
      <w:r>
        <w:rPr>
          <w:rFonts w:ascii="Arial" w:cs="Arial" w:eastAsia="Arial" w:hAnsi="Arial"/>
          <w:sz w:val="18"/>
          <w:szCs w:val="18"/>
          <w:color w:val="auto"/>
        </w:rPr>
        <w:t>without expectation nor entitlement to any further compensation or consideration.</w:t>
      </w:r>
    </w:p>
    <w:p>
      <w:pPr>
        <w:spacing w:after="0" w:line="182" w:lineRule="exact"/>
        <w:rPr>
          <w:sz w:val="20"/>
          <w:szCs w:val="20"/>
          <w:color w:val="auto"/>
        </w:rPr>
      </w:pPr>
    </w:p>
    <w:p>
      <w:pPr>
        <w:jc w:val="both"/>
        <w:ind w:left="520" w:hanging="555"/>
        <w:spacing w:after="0" w:line="237" w:lineRule="auto"/>
        <w:tabs>
          <w:tab w:leader="none" w:pos="500" w:val="left"/>
        </w:tabs>
        <w:rPr>
          <w:sz w:val="20"/>
          <w:szCs w:val="20"/>
          <w:color w:val="auto"/>
        </w:rPr>
      </w:pPr>
      <w:r>
        <w:rPr>
          <w:rFonts w:ascii="Arial" w:cs="Arial" w:eastAsia="Arial" w:hAnsi="Arial"/>
          <w:sz w:val="18"/>
          <w:szCs w:val="18"/>
          <w:color w:val="auto"/>
        </w:rPr>
        <w:t>6.5.</w:t>
        <w:tab/>
        <w:t>The Employee shall not at any time hereafter represent himself still to be connected to HydraFacial or any Group Company, whether as an employee, director or otherwise.</w:t>
      </w:r>
    </w:p>
    <w:p>
      <w:pPr>
        <w:spacing w:after="0" w:line="187" w:lineRule="exact"/>
        <w:rPr>
          <w:sz w:val="20"/>
          <w:szCs w:val="20"/>
          <w:color w:val="auto"/>
        </w:rPr>
      </w:pPr>
    </w:p>
    <w:p>
      <w:pPr>
        <w:jc w:val="both"/>
        <w:ind w:left="440" w:hanging="555"/>
        <w:spacing w:after="0" w:line="225" w:lineRule="auto"/>
        <w:tabs>
          <w:tab w:leader="none" w:pos="4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color w:val="auto"/>
        </w:rPr>
        <w:t>The Employee (or anyone on her behalf) has not and will not (either directly or indirectly) make or otherwise communicate any disparaging or derogatory comments whether in writing or by spoken word and whether or not they are considered by the Employee to be true, concerning the Released Parties (including but not limited to any on line diary or website which relates to HydraFacial or any Group</w:t>
      </w:r>
    </w:p>
    <w:p>
      <w:pPr>
        <w:spacing w:after="0" w:line="2" w:lineRule="exact"/>
        <w:rPr>
          <w:sz w:val="20"/>
          <w:szCs w:val="20"/>
          <w:color w:val="auto"/>
        </w:rPr>
      </w:pPr>
    </w:p>
    <w:p>
      <w:pPr>
        <w:jc w:val="both"/>
        <w:ind w:left="560"/>
        <w:spacing w:after="0" w:line="204" w:lineRule="auto"/>
        <w:rPr>
          <w:sz w:val="20"/>
          <w:szCs w:val="20"/>
          <w:color w:val="auto"/>
        </w:rPr>
      </w:pPr>
      <w:r>
        <w:rPr>
          <w:rFonts w:ascii="Arial" w:cs="Arial" w:eastAsia="Arial" w:hAnsi="Arial"/>
          <w:sz w:val="18"/>
          <w:szCs w:val="18"/>
          <w:color w:val="auto"/>
        </w:rPr>
        <w:t>Company or their employees or directors, or shareholders, commonly referred to as “blogging”). For the purposes of this Separation Agreement, “disparaging or “derogatory” means any action or deed which may or does in any way adversely affect a Released Party’s reputation or good standing, or of its business, including but not limited to conduct, comments, statements or communications that</w:t>
      </w:r>
    </w:p>
    <w:p>
      <w:pPr>
        <w:spacing w:after="0" w:line="2" w:lineRule="exact"/>
        <w:rPr>
          <w:sz w:val="20"/>
          <w:szCs w:val="20"/>
          <w:color w:val="auto"/>
        </w:rPr>
      </w:pPr>
    </w:p>
    <w:p>
      <w:pPr>
        <w:jc w:val="both"/>
        <w:ind w:left="560"/>
        <w:spacing w:after="0" w:line="224" w:lineRule="auto"/>
        <w:rPr>
          <w:sz w:val="20"/>
          <w:szCs w:val="20"/>
          <w:color w:val="auto"/>
        </w:rPr>
      </w:pPr>
      <w:r>
        <w:rPr>
          <w:rFonts w:ascii="Arial" w:cs="Arial" w:eastAsia="Arial" w:hAnsi="Arial"/>
          <w:sz w:val="18"/>
          <w:szCs w:val="18"/>
          <w:color w:val="auto"/>
        </w:rPr>
        <w:t>discredits, belittles, defames or is untrue or misleading and is made to negatively influence, tends to negatively influence or negatively influences or prejudices the reputation, business or image of any Released Party.</w:t>
      </w:r>
    </w:p>
    <w:p>
      <w:pPr>
        <w:spacing w:after="0" w:line="17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The Employee acknowledges and agrees that a violation of the foregoing at any time, would be treated as a material breach of this</w:t>
      </w:r>
    </w:p>
    <w:p>
      <w:pPr>
        <w:spacing w:after="0" w:line="1" w:lineRule="exact"/>
        <w:rPr>
          <w:sz w:val="20"/>
          <w:szCs w:val="20"/>
          <w:color w:val="auto"/>
        </w:rPr>
      </w:pPr>
    </w:p>
    <w:p>
      <w:pPr>
        <w:jc w:val="both"/>
        <w:ind w:left="560"/>
        <w:spacing w:after="0" w:line="224" w:lineRule="auto"/>
        <w:rPr>
          <w:sz w:val="20"/>
          <w:szCs w:val="20"/>
          <w:color w:val="auto"/>
        </w:rPr>
      </w:pPr>
      <w:r>
        <w:rPr>
          <w:rFonts w:ascii="Arial" w:cs="Arial" w:eastAsia="Arial" w:hAnsi="Arial"/>
          <w:sz w:val="18"/>
          <w:szCs w:val="18"/>
          <w:color w:val="auto"/>
        </w:rPr>
        <w:t>Separation Agreement, entitling HydraFacial to cease any additional payments and immediately to seek recovery of any consideration already paid to the Employee herein without affecting the enforceability of the releases provided herein by the Employee.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6.8</w:t>
        <w:tab/>
        <w:t>For the avoidance of doubt, this Separation Agreement is without prejudice to the right of HydraFacial to claim for losses or damages</w:t>
      </w:r>
    </w:p>
    <w:p>
      <w:pPr>
        <w:spacing w:after="0" w:line="1" w:lineRule="exact"/>
        <w:rPr>
          <w:sz w:val="20"/>
          <w:szCs w:val="20"/>
          <w:color w:val="auto"/>
        </w:rPr>
      </w:pPr>
    </w:p>
    <w:p>
      <w:pPr>
        <w:jc w:val="both"/>
        <w:ind w:left="560"/>
        <w:spacing w:after="0" w:line="216" w:lineRule="auto"/>
        <w:rPr>
          <w:sz w:val="20"/>
          <w:szCs w:val="20"/>
          <w:color w:val="auto"/>
        </w:rPr>
      </w:pPr>
      <w:r>
        <w:rPr>
          <w:rFonts w:ascii="Arial" w:cs="Arial" w:eastAsia="Arial" w:hAnsi="Arial"/>
          <w:sz w:val="18"/>
          <w:szCs w:val="18"/>
          <w:color w:val="auto"/>
        </w:rPr>
        <w:t>arising from any contractual breaches, breaches of duty or other wrongdoing (including subsequent breaches of any continuing obligations which survive the termination of the Employment Agreement) by the Employee which may subsequently come to the attention of HydraFacial.</w:t>
      </w:r>
    </w:p>
    <w:p>
      <w:pPr>
        <w:spacing w:after="0" w:line="186" w:lineRule="exact"/>
        <w:rPr>
          <w:sz w:val="20"/>
          <w:szCs w:val="20"/>
          <w:color w:val="auto"/>
        </w:rPr>
      </w:pPr>
    </w:p>
    <w:p>
      <w:pPr>
        <w:ind w:left="640" w:hanging="634"/>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w:t>
      </w:r>
    </w:p>
    <w:p>
      <w:pPr>
        <w:spacing w:after="0" w:line="206" w:lineRule="exact"/>
        <w:rPr>
          <w:sz w:val="20"/>
          <w:szCs w:val="20"/>
          <w:color w:val="auto"/>
        </w:rPr>
      </w:pPr>
    </w:p>
    <w:p>
      <w:pPr>
        <w:jc w:val="right"/>
        <w:spacing w:after="0" w:line="220" w:lineRule="auto"/>
        <w:rPr>
          <w:sz w:val="20"/>
          <w:szCs w:val="20"/>
          <w:color w:val="auto"/>
        </w:rPr>
      </w:pPr>
      <w:r>
        <w:rPr>
          <w:rFonts w:ascii="Arial" w:cs="Arial" w:eastAsia="Arial" w:hAnsi="Arial"/>
          <w:sz w:val="18"/>
          <w:szCs w:val="18"/>
          <w:color w:val="auto"/>
        </w:rPr>
        <w:t>7.1   This Separation Agreement together with any of the documents referred to in it sets out the entire agreement between the Parties and supersedes all previous agreements and arrangements (if any), whether oral, or in writing regarding the Employee’s employment or</w:t>
      </w:r>
    </w:p>
    <w:p>
      <w:pPr>
        <w:ind w:left="560"/>
        <w:spacing w:after="0"/>
        <w:rPr>
          <w:sz w:val="20"/>
          <w:szCs w:val="20"/>
          <w:color w:val="auto"/>
        </w:rPr>
      </w:pPr>
      <w:r>
        <w:rPr>
          <w:rFonts w:ascii="Arial" w:cs="Arial" w:eastAsia="Arial" w:hAnsi="Arial"/>
          <w:sz w:val="18"/>
          <w:szCs w:val="18"/>
          <w:color w:val="auto"/>
        </w:rPr>
        <w:t>separation.</w:t>
      </w:r>
    </w:p>
    <w:p>
      <w:pPr>
        <w:spacing w:after="0" w:line="182" w:lineRule="exact"/>
        <w:rPr>
          <w:sz w:val="20"/>
          <w:szCs w:val="20"/>
          <w:color w:val="auto"/>
        </w:rPr>
      </w:pPr>
    </w:p>
    <w:p>
      <w:pPr>
        <w:ind w:left="460" w:hanging="555"/>
        <w:spacing w:after="0" w:line="237" w:lineRule="auto"/>
        <w:tabs>
          <w:tab w:leader="none" w:pos="440" w:val="left"/>
        </w:tabs>
        <w:rPr>
          <w:sz w:val="20"/>
          <w:szCs w:val="20"/>
          <w:color w:val="auto"/>
        </w:rPr>
      </w:pPr>
      <w:r>
        <w:rPr>
          <w:rFonts w:ascii="Arial" w:cs="Arial" w:eastAsia="Arial" w:hAnsi="Arial"/>
          <w:sz w:val="18"/>
          <w:szCs w:val="18"/>
          <w:color w:val="auto"/>
        </w:rPr>
        <w:t>7.2</w:t>
        <w:tab/>
        <w:t>The Employee agrees to execute, do and procure all other persons if any to execute and do all such further deeds, assurances, acts and things as may be reasonably required so that the full effect may be given to the terms and conditions of this Separation Agreement.</w:t>
      </w:r>
    </w:p>
    <w:p>
      <w:pPr>
        <w:spacing w:after="0" w:line="187" w:lineRule="exact"/>
        <w:rPr>
          <w:sz w:val="20"/>
          <w:szCs w:val="20"/>
          <w:color w:val="auto"/>
        </w:rPr>
      </w:pPr>
    </w:p>
    <w:p>
      <w:pPr>
        <w:ind w:left="460" w:hanging="555"/>
        <w:spacing w:after="0" w:line="237" w:lineRule="auto"/>
        <w:tabs>
          <w:tab w:leader="none" w:pos="440" w:val="left"/>
        </w:tabs>
        <w:rPr>
          <w:sz w:val="20"/>
          <w:szCs w:val="20"/>
          <w:color w:val="auto"/>
        </w:rPr>
      </w:pPr>
      <w:r>
        <w:rPr>
          <w:rFonts w:ascii="Arial" w:cs="Arial" w:eastAsia="Arial" w:hAnsi="Arial"/>
          <w:sz w:val="18"/>
          <w:szCs w:val="18"/>
          <w:color w:val="auto"/>
        </w:rPr>
        <w:t>7.3</w:t>
        <w:tab/>
        <w:t>Any and all amendments or modifications to this Separation Agreement must be written and signed by the authorised representative(s) of the Parties.</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This Separation Agreement shall benefit and be binding on the Parties and their respective successors and permitted assigns.</w:t>
      </w:r>
    </w:p>
    <w:p>
      <w:pPr>
        <w:spacing w:after="0" w:line="1" w:lineRule="exact"/>
        <w:rPr>
          <w:sz w:val="20"/>
          <w:szCs w:val="20"/>
          <w:color w:val="auto"/>
        </w:rPr>
      </w:pPr>
    </w:p>
    <w:p>
      <w:pPr>
        <w:jc w:val="both"/>
        <w:ind w:left="560"/>
        <w:spacing w:after="0" w:line="216" w:lineRule="auto"/>
        <w:rPr>
          <w:sz w:val="20"/>
          <w:szCs w:val="20"/>
          <w:color w:val="auto"/>
        </w:rPr>
      </w:pPr>
      <w:r>
        <w:rPr>
          <w:rFonts w:ascii="Arial" w:cs="Arial" w:eastAsia="Arial" w:hAnsi="Arial"/>
          <w:sz w:val="18"/>
          <w:szCs w:val="18"/>
          <w:color w:val="auto"/>
        </w:rPr>
        <w:t>HydraFacial may at its absolute discretion freely assign or transfer any or all of its rights and obligations under this Separation Agreement. The Employee may not assign or transfer all or any part of its rights and obligations under this Separation Agreement except with the prior written consent of HydraFacial.</w:t>
      </w:r>
    </w:p>
    <w:p>
      <w:pPr>
        <w:spacing w:after="0" w:line="188" w:lineRule="exact"/>
        <w:rPr>
          <w:sz w:val="20"/>
          <w:szCs w:val="20"/>
          <w:color w:val="auto"/>
        </w:rPr>
      </w:pPr>
    </w:p>
    <w:p>
      <w:pPr>
        <w:jc w:val="both"/>
        <w:ind w:left="480" w:hanging="555"/>
        <w:spacing w:after="0" w:line="225" w:lineRule="auto"/>
        <w:tabs>
          <w:tab w:leader="none" w:pos="460" w:val="left"/>
        </w:tabs>
        <w:rPr>
          <w:sz w:val="20"/>
          <w:szCs w:val="20"/>
          <w:color w:val="auto"/>
        </w:rPr>
      </w:pPr>
      <w:r>
        <w:rPr>
          <w:rFonts w:ascii="Arial" w:cs="Arial" w:eastAsia="Arial" w:hAnsi="Arial"/>
          <w:sz w:val="18"/>
          <w:szCs w:val="18"/>
          <w:color w:val="auto"/>
        </w:rPr>
        <w:t>7.5</w:t>
        <w:tab/>
        <w:t>Any failure to exercise or delay in the exercise of any right or remedy vested in a Party under or pursuant to this Separation Agreement shall not constitute a waiver of such right or remedy or a waiver of any other right or remedy and no single or partial exercise of any right or remedy shall prevent any further exercise of such right or remedy or the exercise of any other right or remedy available.</w:t>
      </w:r>
    </w:p>
    <w:p>
      <w:pPr>
        <w:spacing w:after="0" w:line="17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7.6</w:t>
        <w:tab/>
        <w:t>If any provision is for any reason determined by a court or arbitral tribunal to be invalid or unenforceable, the remaining provisions shall</w:t>
      </w:r>
    </w:p>
    <w:p>
      <w:pPr>
        <w:spacing w:after="0" w:line="1" w:lineRule="exact"/>
        <w:rPr>
          <w:sz w:val="20"/>
          <w:szCs w:val="20"/>
          <w:color w:val="auto"/>
        </w:rPr>
      </w:pPr>
    </w:p>
    <w:p>
      <w:pPr>
        <w:ind w:left="560"/>
        <w:spacing w:after="0" w:line="224" w:lineRule="auto"/>
        <w:rPr>
          <w:sz w:val="20"/>
          <w:szCs w:val="20"/>
          <w:color w:val="auto"/>
        </w:rPr>
      </w:pPr>
      <w:r>
        <w:rPr>
          <w:rFonts w:ascii="Arial" w:cs="Arial" w:eastAsia="Arial" w:hAnsi="Arial"/>
          <w:sz w:val="18"/>
          <w:szCs w:val="18"/>
          <w:color w:val="auto"/>
        </w:rPr>
        <w:t>not be affected, impaired, or invalidated, and remain in full force and effect with such modifications as may be necessary to make them valid and effective.</w:t>
      </w:r>
    </w:p>
    <w:p>
      <w:pPr>
        <w:spacing w:after="0" w:line="175" w:lineRule="exact"/>
        <w:rPr>
          <w:sz w:val="20"/>
          <w:szCs w:val="20"/>
          <w:color w:val="auto"/>
        </w:rPr>
      </w:pPr>
    </w:p>
    <w:p>
      <w:pPr>
        <w:ind w:left="480" w:hanging="555"/>
        <w:spacing w:after="0" w:line="250" w:lineRule="auto"/>
        <w:tabs>
          <w:tab w:leader="none" w:pos="460" w:val="left"/>
        </w:tabs>
        <w:rPr>
          <w:sz w:val="20"/>
          <w:szCs w:val="20"/>
          <w:color w:val="auto"/>
        </w:rPr>
      </w:pPr>
      <w:r>
        <w:rPr>
          <w:rFonts w:ascii="Arial" w:cs="Arial" w:eastAsia="Arial" w:hAnsi="Arial"/>
          <w:sz w:val="18"/>
          <w:szCs w:val="18"/>
          <w:color w:val="auto"/>
        </w:rPr>
        <w:t>7.7</w:t>
        <w:tab/>
        <w:t>The Employee recognizes that in the event of breach by the Employee of any provision of this Separation Agreement, HydraFacial may suffer irreparable damages, and that monetary damages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75" w:right="339" w:bottom="1440" w:gutter="0" w:footer="0" w:header="0"/>
        </w:sectPr>
      </w:pPr>
    </w:p>
    <w:bookmarkStart w:id="53" w:name="page54"/>
    <w:bookmarkEnd w:id="53"/>
    <w:p>
      <w:pPr>
        <w:jc w:val="both"/>
        <w:ind w:left="560"/>
        <w:spacing w:after="0" w:line="220" w:lineRule="auto"/>
        <w:rPr>
          <w:sz w:val="20"/>
          <w:szCs w:val="20"/>
          <w:color w:val="auto"/>
        </w:rPr>
      </w:pPr>
      <w:r>
        <w:rPr>
          <w:rFonts w:ascii="Arial" w:cs="Arial" w:eastAsia="Arial" w:hAnsi="Arial"/>
          <w:sz w:val="18"/>
          <w:szCs w:val="18"/>
          <w:color w:val="auto"/>
        </w:rPr>
        <w:t>may not compensate HydraFacial for its loss. Accordingly, in addition to all other remedies available to HydraFacial at law or in equity, upon a showing by HydraFacial that the Employee has violated or is about to violate the terms of this Separation Agreement, the</w:t>
      </w:r>
    </w:p>
    <w:p>
      <w:pPr>
        <w:jc w:val="both"/>
        <w:ind w:left="560"/>
        <w:spacing w:after="0" w:line="216" w:lineRule="auto"/>
        <w:rPr>
          <w:sz w:val="20"/>
          <w:szCs w:val="20"/>
          <w:color w:val="auto"/>
        </w:rPr>
      </w:pPr>
      <w:r>
        <w:rPr>
          <w:rFonts w:ascii="Arial" w:cs="Arial" w:eastAsia="Arial" w:hAnsi="Arial"/>
          <w:sz w:val="18"/>
          <w:szCs w:val="18"/>
          <w:color w:val="auto"/>
        </w:rPr>
        <w:t>Employee irrevocably consents to the entry by a court of competent jurisdiction of an injunction or declaratory judgment enforcing the terms of this Separation Agreement, including without limitation preventing disclosure or further disclosure by him of confidential information.</w:t>
      </w:r>
    </w:p>
    <w:p>
      <w:pPr>
        <w:spacing w:after="0" w:line="188" w:lineRule="exact"/>
        <w:rPr>
          <w:sz w:val="20"/>
          <w:szCs w:val="20"/>
          <w:color w:val="auto"/>
        </w:rPr>
      </w:pPr>
    </w:p>
    <w:p>
      <w:pPr>
        <w:jc w:val="both"/>
        <w:ind w:left="460" w:hanging="555"/>
        <w:spacing w:after="0" w:line="237" w:lineRule="auto"/>
        <w:tabs>
          <w:tab w:leader="none" w:pos="440" w:val="left"/>
        </w:tabs>
        <w:rPr>
          <w:sz w:val="20"/>
          <w:szCs w:val="20"/>
          <w:color w:val="auto"/>
        </w:rPr>
      </w:pPr>
      <w:r>
        <w:rPr>
          <w:rFonts w:ascii="Arial" w:cs="Arial" w:eastAsia="Arial" w:hAnsi="Arial"/>
          <w:sz w:val="18"/>
          <w:szCs w:val="18"/>
          <w:color w:val="auto"/>
        </w:rPr>
        <w:t>7.8</w:t>
        <w:tab/>
        <w:t>Nothing in this Separation Agreement (including the payment of any sum of money) shall be construed as an admission by HydraFacial of any wrongdoing, liability or noncompliance with any applicable law or regulation.</w:t>
      </w:r>
    </w:p>
    <w:p>
      <w:pPr>
        <w:spacing w:after="0" w:line="174" w:lineRule="exact"/>
        <w:rPr>
          <w:sz w:val="20"/>
          <w:szCs w:val="20"/>
          <w:color w:val="auto"/>
        </w:rPr>
      </w:pPr>
    </w:p>
    <w:p>
      <w:pPr>
        <w:jc w:val="both"/>
        <w:ind w:left="460" w:hanging="555"/>
        <w:spacing w:after="0" w:line="250" w:lineRule="auto"/>
        <w:tabs>
          <w:tab w:leader="none" w:pos="440" w:val="left"/>
        </w:tabs>
        <w:rPr>
          <w:sz w:val="20"/>
          <w:szCs w:val="20"/>
          <w:color w:val="auto"/>
        </w:rPr>
      </w:pPr>
      <w:r>
        <w:rPr>
          <w:rFonts w:ascii="Arial" w:cs="Arial" w:eastAsia="Arial" w:hAnsi="Arial"/>
          <w:sz w:val="18"/>
          <w:szCs w:val="18"/>
          <w:color w:val="auto"/>
        </w:rPr>
        <w:t>7.9</w:t>
        <w:tab/>
        <w:t>A person who is not a party to this Separation Agreement may not enforce any terms hereof under the Contracts (Rights of Third Parties) Act 2001.</w:t>
      </w:r>
    </w:p>
    <w:p>
      <w:pPr>
        <w:spacing w:after="0" w:line="165" w:lineRule="exact"/>
        <w:rPr>
          <w:sz w:val="20"/>
          <w:szCs w:val="20"/>
          <w:color w:val="auto"/>
        </w:rPr>
      </w:pPr>
    </w:p>
    <w:p>
      <w:pPr>
        <w:jc w:val="both"/>
        <w:ind w:left="560" w:hanging="555"/>
        <w:spacing w:after="0" w:line="237" w:lineRule="auto"/>
        <w:tabs>
          <w:tab w:leader="none" w:pos="540" w:val="left"/>
        </w:tabs>
        <w:rPr>
          <w:sz w:val="20"/>
          <w:szCs w:val="20"/>
          <w:color w:val="auto"/>
        </w:rPr>
      </w:pPr>
      <w:r>
        <w:rPr>
          <w:rFonts w:ascii="Arial" w:cs="Arial" w:eastAsia="Arial" w:hAnsi="Arial"/>
          <w:sz w:val="18"/>
          <w:szCs w:val="18"/>
          <w:color w:val="auto"/>
        </w:rPr>
        <w:t>7.10</w:t>
        <w:tab/>
        <w:t>This Separation Agreement may be executed in any number of counterparts, each of which when so executed shall be deemed to be an original and all of which when taken together shall constitute one and the same instrument.</w:t>
      </w:r>
    </w:p>
    <w:p>
      <w:pPr>
        <w:spacing w:after="0" w:line="187" w:lineRule="exact"/>
        <w:rPr>
          <w:sz w:val="20"/>
          <w:szCs w:val="20"/>
          <w:color w:val="auto"/>
        </w:rPr>
      </w:pPr>
    </w:p>
    <w:p>
      <w:pPr>
        <w:jc w:val="both"/>
        <w:ind w:left="560" w:hanging="555"/>
        <w:spacing w:after="0" w:line="225" w:lineRule="auto"/>
        <w:tabs>
          <w:tab w:leader="none" w:pos="540" w:val="left"/>
        </w:tabs>
        <w:rPr>
          <w:sz w:val="20"/>
          <w:szCs w:val="20"/>
          <w:color w:val="auto"/>
        </w:rPr>
      </w:pPr>
      <w:r>
        <w:rPr>
          <w:rFonts w:ascii="Arial" w:cs="Arial" w:eastAsia="Arial" w:hAnsi="Arial"/>
          <w:sz w:val="18"/>
          <w:szCs w:val="18"/>
          <w:color w:val="auto"/>
        </w:rPr>
        <w:t>7.11</w:t>
        <w:tab/>
        <w:t>This Separation Agreement shall be governed and construed in accordance with the laws of the Republic of Singapore. The Parties agree to submit to the exclusive jurisdiction of the courts of Singapore as regards any claim or matter arising under this Separation Agreement.</w:t>
      </w:r>
    </w:p>
    <w:p>
      <w:pPr>
        <w:spacing w:after="0" w:line="186" w:lineRule="exact"/>
        <w:rPr>
          <w:sz w:val="20"/>
          <w:szCs w:val="20"/>
          <w:color w:val="auto"/>
        </w:rPr>
      </w:pPr>
    </w:p>
    <w:p>
      <w:pPr>
        <w:jc w:val="both"/>
        <w:ind w:left="560" w:hanging="555"/>
        <w:spacing w:after="0" w:line="237" w:lineRule="auto"/>
        <w:tabs>
          <w:tab w:leader="none" w:pos="540" w:val="left"/>
        </w:tabs>
        <w:rPr>
          <w:sz w:val="20"/>
          <w:szCs w:val="20"/>
          <w:color w:val="auto"/>
        </w:rPr>
      </w:pPr>
      <w:r>
        <w:rPr>
          <w:rFonts w:ascii="Arial" w:cs="Arial" w:eastAsia="Arial" w:hAnsi="Arial"/>
          <w:sz w:val="18"/>
          <w:szCs w:val="18"/>
          <w:color w:val="auto"/>
        </w:rPr>
        <w:t>7.12</w:t>
        <w:tab/>
        <w:t>The Employee confirms that she has had an opportunity to obtain independent legal advice on the effect of this Separation Agreement and that he has read and fully understands all the terms of this Separation Agreement which she signs of her own volition.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37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auto"/>
        </w:rPr>
        <w:t>Signature page to the Separation Agreement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Executed by the Parties on the date first above-written.</w:t>
      </w: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Signed for and on behalf of</w:t>
      </w:r>
    </w:p>
    <w:p>
      <w:pPr>
        <w:ind w:left="80"/>
        <w:spacing w:after="0"/>
        <w:rPr>
          <w:sz w:val="20"/>
          <w:szCs w:val="20"/>
          <w:color w:val="auto"/>
        </w:rPr>
      </w:pPr>
      <w:r>
        <w:rPr>
          <w:rFonts w:ascii="Arial" w:cs="Arial" w:eastAsia="Arial" w:hAnsi="Arial"/>
          <w:sz w:val="18"/>
          <w:szCs w:val="18"/>
          <w:b w:val="1"/>
          <w:bCs w:val="1"/>
          <w:color w:val="auto"/>
        </w:rPr>
        <w:t>HydraFacial LLC</w:t>
      </w:r>
    </w:p>
    <w:p>
      <w:pPr>
        <w:spacing w:after="0" w:line="200" w:lineRule="exact"/>
        <w:rPr>
          <w:sz w:val="20"/>
          <w:szCs w:val="20"/>
          <w:color w:val="auto"/>
        </w:rPr>
      </w:pPr>
    </w:p>
    <w:p>
      <w:pPr>
        <w:spacing w:after="0" w:line="22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Kellie Sears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31299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Kellie Sears</w:t>
      </w:r>
    </w:p>
    <w:p>
      <w:pPr>
        <w:ind w:left="80"/>
        <w:spacing w:after="0"/>
        <w:rPr>
          <w:sz w:val="20"/>
          <w:szCs w:val="20"/>
          <w:color w:val="auto"/>
        </w:rPr>
      </w:pPr>
      <w:r>
        <w:rPr>
          <w:rFonts w:ascii="Arial" w:cs="Arial" w:eastAsia="Arial" w:hAnsi="Arial"/>
          <w:sz w:val="18"/>
          <w:szCs w:val="18"/>
          <w:b w:val="1"/>
          <w:bCs w:val="1"/>
          <w:color w:val="auto"/>
        </w:rPr>
        <w:t>Chief Human Resources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 Indra Pamamull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26035</wp:posOffset>
            </wp:positionV>
            <wp:extent cx="31216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Indra Pamamull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680" w:space="720"/>
            <w:col w:w="4840"/>
          </w:cols>
          <w:pgMar w:left="320" w:top="1373" w:right="339" w:bottom="1440" w:gutter="0" w:footer="0" w:header="0"/>
        </w:sectPr>
      </w:pPr>
    </w:p>
    <w:bookmarkStart w:id="55" w:name="page56"/>
    <w:bookmarkEnd w:id="55"/>
    <w:p>
      <w:pPr>
        <w:ind w:left="1014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5"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Stanleick, certify that:</w:t>
      </w:r>
    </w:p>
    <w:p>
      <w:pPr>
        <w:spacing w:after="0" w:line="244"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Beauty Health Company;</w:t>
      </w:r>
    </w:p>
    <w:p>
      <w:pPr>
        <w:spacing w:after="0" w:line="243"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640" w:right="320" w:hanging="316"/>
        <w:spacing w:after="0" w:line="274"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9" w:lineRule="exact"/>
        <w:rPr>
          <w:rFonts w:ascii="Times New Roman" w:cs="Times New Roman" w:eastAsia="Times New Roman" w:hAnsi="Times New Roman"/>
          <w:sz w:val="18"/>
          <w:szCs w:val="18"/>
          <w:color w:val="auto"/>
        </w:rPr>
      </w:pPr>
    </w:p>
    <w:p>
      <w:pPr>
        <w:ind w:left="1280" w:right="140" w:hanging="320"/>
        <w:spacing w:after="0" w:line="259" w:lineRule="auto"/>
        <w:tabs>
          <w:tab w:leader="none" w:pos="12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Rules 13a-14(a) and 15d-15(a)]</w:t>
      </w:r>
    </w:p>
    <w:p>
      <w:pPr>
        <w:spacing w:after="0" w:line="243"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9, 2022</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Andrew Stanleick</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73" w:right="339" w:bottom="1440" w:gutter="0" w:footer="0" w:header="0"/>
        </w:sectPr>
      </w:pPr>
    </w:p>
    <w:bookmarkStart w:id="56" w:name="page57"/>
    <w:bookmarkEnd w:id="56"/>
    <w:p>
      <w:pPr>
        <w:ind w:left="1014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5"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Liyuan Woo, certify that:</w:t>
      </w:r>
    </w:p>
    <w:p>
      <w:pPr>
        <w:spacing w:after="0" w:line="244"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Beauty Health Company;</w:t>
      </w:r>
    </w:p>
    <w:p>
      <w:pPr>
        <w:spacing w:after="0" w:line="243"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640" w:right="320" w:hanging="316"/>
        <w:spacing w:after="0" w:line="274"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9" w:lineRule="exact"/>
        <w:rPr>
          <w:rFonts w:ascii="Times New Roman" w:cs="Times New Roman" w:eastAsia="Times New Roman" w:hAnsi="Times New Roman"/>
          <w:sz w:val="18"/>
          <w:szCs w:val="18"/>
          <w:color w:val="auto"/>
        </w:rPr>
      </w:pPr>
    </w:p>
    <w:p>
      <w:pPr>
        <w:ind w:left="1280" w:right="140" w:hanging="320"/>
        <w:spacing w:after="0" w:line="259" w:lineRule="auto"/>
        <w:tabs>
          <w:tab w:leader="none" w:pos="127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Rules 13a-14(a) and 15d-15(a)]</w:t>
      </w:r>
    </w:p>
    <w:p>
      <w:pPr>
        <w:spacing w:after="0" w:line="243"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9, 2022</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Liyuan Woo</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240"/>
          </w:cols>
          <w:pgMar w:left="320" w:top="1073" w:right="339" w:bottom="1440" w:gutter="0" w:footer="0" w:header="0"/>
        </w:sectPr>
      </w:pPr>
    </w:p>
    <w:bookmarkStart w:id="57" w:name="page58"/>
    <w:bookmarkEnd w:id="57"/>
    <w:p>
      <w:pPr>
        <w:ind w:left="1014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5"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 AS ADOPTED PURSUANT TO SECTION 906 OF THE SARBANES-OXLEY ACT OF 2002</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Beauty Health Company (the “Company”) on Form 10-Q for the quarterly period ended June 30, 2022, as filed with the Securities and Exchange Commission (the “Report”), I, Andrew Stanleick, President and Chief Executive Officer of the Company, certify, pursuant to 18 U.S.C. §1350, as added by §906 of the Sarbanes-Oxley Act of 2002, that:</w:t>
      </w:r>
    </w:p>
    <w:p>
      <w:pPr>
        <w:spacing w:after="0" w:line="204"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3"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3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9, 2022</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Andrew Stanleick</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73" w:right="339" w:bottom="1440" w:gutter="0" w:footer="0" w:header="0"/>
        </w:sectPr>
      </w:pPr>
    </w:p>
    <w:bookmarkStart w:id="58" w:name="page59"/>
    <w:bookmarkEnd w:id="58"/>
    <w:p>
      <w:pPr>
        <w:ind w:left="1014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55"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 AS ADOPTED PURSUANT TO SECTION 906 OF THE SARBANES-OXLEY ACT OF 2002</w:t>
      </w:r>
    </w:p>
    <w:p>
      <w:pPr>
        <w:spacing w:after="0" w:line="18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Beauty Health Company (the “Company”) on Form 10-Q for the quarterly period ended June 30, 2022, as filed with the Securities and Exchange Commission (the “Report”), I, Liyuan Woo, Chief Financial Officer of the Company, certify, pursuant to 18 U.S.C. §1350, as added by §906 of the Sarbanes-Oxley Act of 2002, that:</w:t>
      </w:r>
    </w:p>
    <w:p>
      <w:pPr>
        <w:spacing w:after="0" w:line="204"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3"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3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9, 2022</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Liyuan Woo</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(Principal Accounting and Financial Officer)</w:t>
      </w:r>
    </w:p>
    <w:sectPr>
      <w:pgSz w:w="11900" w:h="16838" w:orient="portrait"/>
      <w:cols w:equalWidth="0" w:num="1">
        <w:col w:w="11240"/>
      </w:cols>
      <w:pgMar w:left="320" w:top="10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upperLetter"/>
      <w:start w:val="6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upperLetter"/>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2"/>
    </w:lvl>
  </w:abstractNum>
  <w:abstractNum w:abstractNumId="18">
    <w:nsid w:val="79838CB2"/>
    <w:multiLevelType w:val="hybridMultilevel"/>
    <w:lvl w:ilvl="0">
      <w:lvlJc w:val="left"/>
      <w:lvlText w:val="%1."/>
      <w:numFmt w:val="decimal"/>
      <w:start w:val="3"/>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35"/>
    </w:lvl>
    <w:lvl w:ilvl="1">
      <w:lvlJc w:val="left"/>
      <w:lvlText w:val="%2"/>
      <w:numFmt w:val="lowerRoman"/>
      <w:start w:val="1"/>
    </w:lvl>
  </w:abstractNum>
  <w:abstractNum w:abstractNumId="21">
    <w:nsid w:val="189A769B"/>
    <w:multiLevelType w:val="hybridMultilevel"/>
    <w:lvl w:ilvl="0">
      <w:lvlJc w:val="left"/>
      <w:lvlText w:val="(%1)"/>
      <w:numFmt w:val="lowerLetter"/>
      <w:start w:val="1"/>
    </w:lvl>
    <w:lvl w:ilvl="1">
      <w:lvlJc w:val="left"/>
      <w:lvlText w:val="(%2)"/>
      <w:numFmt w:val="lowerRoman"/>
      <w:start w:val="1"/>
    </w:lvl>
  </w:abstractNum>
  <w:abstractNum w:abstractNumId="22">
    <w:nsid w:val="54E49EB4"/>
    <w:multiLevelType w:val="hybridMultilevel"/>
    <w:lvl w:ilvl="0">
      <w:lvlJc w:val="left"/>
      <w:lvlText w:val="(%1)"/>
      <w:numFmt w:val="lowerLetter"/>
      <w:start w:val="2"/>
    </w:lvl>
  </w:abstractNum>
  <w:abstractNum w:abstractNumId="23">
    <w:nsid w:val="71F32454"/>
    <w:multiLevelType w:val="hybridMultilevel"/>
    <w:lvl w:ilvl="0">
      <w:lvlJc w:val="left"/>
      <w:lvlText w:val="%1."/>
      <w:numFmt w:val="decimal"/>
      <w:start w:val="4"/>
    </w:lvl>
  </w:abstractNum>
  <w:abstractNum w:abstractNumId="24">
    <w:nsid w:val="2CA88611"/>
    <w:multiLevelType w:val="hybridMultilevel"/>
    <w:lvl w:ilvl="0">
      <w:lvlJc w:val="left"/>
      <w:lvlText w:val="%1."/>
      <w:numFmt w:val="decimal"/>
      <w:start w:val="5"/>
    </w:lvl>
  </w:abstractNum>
  <w:abstractNum w:abstractNumId="25">
    <w:nsid w:val="836C40E"/>
    <w:multiLevelType w:val="hybridMultilevel"/>
    <w:lvl w:ilvl="0">
      <w:lvlJc w:val="left"/>
      <w:lvlText w:val="%1."/>
      <w:numFmt w:val="decimal"/>
      <w:start w:val="6"/>
    </w:lvl>
  </w:abstractNum>
  <w:abstractNum w:abstractNumId="26">
    <w:nsid w:val="2901D82"/>
    <w:multiLevelType w:val="hybridMultilevel"/>
    <w:lvl w:ilvl="0">
      <w:lvlJc w:val="left"/>
      <w:lvlText w:val="%1."/>
      <w:numFmt w:val="decimal"/>
      <w:start w:val="7"/>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61" Type="http://schemas.openxmlformats.org/officeDocument/2006/relationships/hyperlink" Target="http://www.sec.gov/Archives/edgar/data/1818093/000121390020041690/ea131234ex2-1_vesperhealth.htm" TargetMode="External"/><Relationship Id="rId62" Type="http://schemas.openxmlformats.org/officeDocument/2006/relationships/hyperlink" Target="http://www.sec.gov/Archives/edgar/data/1818093/000119312521156433/d422189dex31.htm" TargetMode="External"/><Relationship Id="rId63" Type="http://schemas.openxmlformats.org/officeDocument/2006/relationships/hyperlink" Target="http://www.sec.gov/Archives/edgar/data/1818093/000119312521156433/d422189dex32.htm" TargetMode="External"/><Relationship Id="rId64" Type="http://schemas.openxmlformats.org/officeDocument/2006/relationships/hyperlink" Target="http://www.sec.gov/Archives/edgar/data/1818093/000181809321000062/exhibit41-convdebtclosing.htm" TargetMode="External"/><Relationship Id="rId65" Type="http://schemas.openxmlformats.org/officeDocument/2006/relationships/hyperlink" Target="http://www.sec.gov/Archives/edgar/data/1818093/000181809321000062/exhibit101-convdebt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2022-08-09T17:43:17Z</dcterms:created>
  <dcterms:modified xsi:type="dcterms:W3CDTF">2022-08-09T17:43:17Z</dcterms:modified>
</cp:coreProperties>
</file>