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499110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524510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UNITED STATES</w:t>
      </w:r>
    </w:p>
    <w:p>
      <w:pPr>
        <w:spacing w:after="0" w:line="3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SECURITIES AND EXCHANGE COMMISSION</w:t>
      </w:r>
    </w:p>
    <w:p>
      <w:pPr>
        <w:jc w:val="center"/>
        <w:ind w:right="-319"/>
        <w:spacing w:after="0"/>
        <w:rPr>
          <w:sz w:val="20"/>
          <w:szCs w:val="20"/>
          <w:color w:val="auto"/>
        </w:rPr>
      </w:pPr>
      <w:r>
        <w:rPr>
          <w:rFonts w:ascii="Arial" w:cs="Arial" w:eastAsia="Arial" w:hAnsi="Arial"/>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125730</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29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36195</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43" w:lineRule="exact"/>
        <w:rPr>
          <w:sz w:val="24"/>
          <w:szCs w:val="24"/>
          <w:color w:val="auto"/>
        </w:rPr>
      </w:pPr>
    </w:p>
    <w:p>
      <w:pPr>
        <w:ind w:left="3860" w:right="1320" w:hanging="2210"/>
        <w:spacing w:after="0" w:line="285" w:lineRule="auto"/>
        <w:tabs>
          <w:tab w:leader="none" w:pos="183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6" w:lineRule="exact"/>
        <w:rPr>
          <w:rFonts w:ascii="MS PGothic" w:cs="MS PGothic" w:eastAsia="MS PGothic" w:hAnsi="MS PGothic"/>
          <w:sz w:val="16"/>
          <w:szCs w:val="16"/>
          <w:color w:val="auto"/>
        </w:rPr>
      </w:pPr>
    </w:p>
    <w:p>
      <w:pPr>
        <w:jc w:val="center"/>
        <w:ind w:left="3660" w:right="1500" w:hanging="2195"/>
        <w:spacing w:after="0" w:line="302" w:lineRule="auto"/>
        <w:tabs>
          <w:tab w:leader="none" w:pos="165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ind w:left="43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144145</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16" w:lineRule="exact"/>
        <w:rPr>
          <w:sz w:val="24"/>
          <w:szCs w:val="24"/>
          <w:color w:val="auto"/>
        </w:rPr>
      </w:pPr>
    </w:p>
    <w:p>
      <w:pPr>
        <w:ind w:left="3420"/>
        <w:spacing w:after="0"/>
        <w:rPr>
          <w:sz w:val="20"/>
          <w:szCs w:val="20"/>
          <w:color w:val="auto"/>
        </w:rPr>
      </w:pPr>
      <w:r>
        <w:rPr>
          <w:rFonts w:ascii="Arial" w:cs="Arial" w:eastAsia="Arial" w:hAnsi="Arial"/>
          <w:sz w:val="35"/>
          <w:szCs w:val="35"/>
          <w:b w:val="1"/>
          <w:bCs w:val="1"/>
          <w:color w:val="auto"/>
        </w:rPr>
        <w:t>The Beauty Health Company</w:t>
      </w:r>
    </w:p>
    <w:p>
      <w:pPr>
        <w:spacing w:after="0" w:line="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86360</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420" w:type="dxa"/>
            <w:vAlign w:val="bottom"/>
            <w:gridSpan w:val="3"/>
          </w:tcPr>
          <w:p>
            <w:pPr>
              <w:ind w:left="2260"/>
              <w:spacing w:after="0"/>
              <w:rPr>
                <w:sz w:val="20"/>
                <w:szCs w:val="20"/>
                <w:color w:val="auto"/>
              </w:rPr>
            </w:pPr>
            <w:r>
              <w:rPr>
                <w:rFonts w:ascii="Arial" w:cs="Arial" w:eastAsia="Arial" w:hAnsi="Arial"/>
                <w:sz w:val="18"/>
                <w:szCs w:val="18"/>
                <w:b w:val="1"/>
                <w:bCs w:val="1"/>
                <w:color w:val="auto"/>
              </w:rPr>
              <w:t>Delaware</w:t>
            </w:r>
          </w:p>
        </w:tc>
        <w:tc>
          <w:tcPr>
            <w:tcW w:w="1840" w:type="dxa"/>
            <w:vAlign w:val="bottom"/>
          </w:tcPr>
          <w:p>
            <w:pPr>
              <w:spacing w:after="0"/>
              <w:rPr>
                <w:sz w:val="19"/>
                <w:szCs w:val="19"/>
                <w:color w:val="auto"/>
              </w:rPr>
            </w:pPr>
          </w:p>
        </w:tc>
        <w:tc>
          <w:tcPr>
            <w:tcW w:w="3980" w:type="dxa"/>
            <w:vAlign w:val="bottom"/>
            <w:gridSpan w:val="3"/>
          </w:tcPr>
          <w:p>
            <w:pPr>
              <w:jc w:val="right"/>
              <w:ind w:right="1878"/>
              <w:spacing w:after="0"/>
              <w:rPr>
                <w:sz w:val="20"/>
                <w:szCs w:val="20"/>
                <w:color w:val="auto"/>
              </w:rPr>
            </w:pPr>
            <w:r>
              <w:rPr>
                <w:rFonts w:ascii="Arial" w:cs="Arial" w:eastAsia="Arial" w:hAnsi="Arial"/>
                <w:sz w:val="18"/>
                <w:szCs w:val="18"/>
                <w:b w:val="1"/>
                <w:bCs w:val="1"/>
                <w:color w:val="auto"/>
              </w:rPr>
              <w:t>85-1908962</w:t>
            </w:r>
          </w:p>
        </w:tc>
        <w:tc>
          <w:tcPr>
            <w:tcW w:w="0" w:type="dxa"/>
            <w:vAlign w:val="bottom"/>
          </w:tcPr>
          <w:p>
            <w:pPr>
              <w:spacing w:after="0"/>
              <w:rPr>
                <w:sz w:val="1"/>
                <w:szCs w:val="1"/>
                <w:color w:val="auto"/>
              </w:rPr>
            </w:pPr>
          </w:p>
        </w:tc>
      </w:tr>
      <w:tr>
        <w:trPr>
          <w:trHeight w:val="174"/>
        </w:trPr>
        <w:tc>
          <w:tcPr>
            <w:tcW w:w="5420" w:type="dxa"/>
            <w:vAlign w:val="bottom"/>
            <w:gridSpan w:val="3"/>
          </w:tcPr>
          <w:p>
            <w:pPr>
              <w:ind w:left="1580"/>
              <w:spacing w:after="0" w:line="174" w:lineRule="exact"/>
              <w:rPr>
                <w:sz w:val="20"/>
                <w:szCs w:val="20"/>
                <w:color w:val="auto"/>
              </w:rPr>
            </w:pPr>
            <w:r>
              <w:rPr>
                <w:rFonts w:ascii="Arial" w:cs="Arial" w:eastAsia="Arial" w:hAnsi="Arial"/>
                <w:sz w:val="18"/>
                <w:szCs w:val="18"/>
                <w:color w:val="auto"/>
              </w:rPr>
              <w:t>(State or other jurisdiction of</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jc w:val="center"/>
              <w:ind w:right="898"/>
              <w:spacing w:after="0" w:line="174" w:lineRule="exact"/>
              <w:rPr>
                <w:sz w:val="20"/>
                <w:szCs w:val="20"/>
                <w:color w:val="auto"/>
              </w:rPr>
            </w:pPr>
            <w:r>
              <w:rPr>
                <w:rFonts w:ascii="Arial" w:cs="Arial" w:eastAsia="Arial" w:hAnsi="Arial"/>
                <w:sz w:val="18"/>
                <w:szCs w:val="18"/>
                <w:color w:val="auto"/>
                <w:w w:val="92"/>
              </w:rPr>
              <w:t>(I.R.S. Employer Identification No.)</w:t>
            </w:r>
          </w:p>
        </w:tc>
        <w:tc>
          <w:tcPr>
            <w:tcW w:w="0" w:type="dxa"/>
            <w:vAlign w:val="bottom"/>
          </w:tcPr>
          <w:p>
            <w:pPr>
              <w:spacing w:after="0"/>
              <w:rPr>
                <w:sz w:val="1"/>
                <w:szCs w:val="1"/>
                <w:color w:val="auto"/>
              </w:rPr>
            </w:pPr>
          </w:p>
        </w:tc>
      </w:tr>
      <w:tr>
        <w:trPr>
          <w:trHeight w:val="223"/>
        </w:trPr>
        <w:tc>
          <w:tcPr>
            <w:tcW w:w="5420" w:type="dxa"/>
            <w:vAlign w:val="bottom"/>
            <w:gridSpan w:val="3"/>
          </w:tcPr>
          <w:p>
            <w:pPr>
              <w:ind w:left="1560"/>
              <w:spacing w:after="0"/>
              <w:rPr>
                <w:sz w:val="20"/>
                <w:szCs w:val="20"/>
                <w:color w:val="auto"/>
              </w:rPr>
            </w:pPr>
            <w:r>
              <w:rPr>
                <w:rFonts w:ascii="Arial" w:cs="Arial" w:eastAsia="Arial" w:hAnsi="Arial"/>
                <w:sz w:val="18"/>
                <w:szCs w:val="18"/>
                <w:color w:val="auto"/>
              </w:rPr>
              <w:t>incorporation or organization)</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231F20"/>
                <w:w w:val="88"/>
              </w:rPr>
              <w:t>2165 Spring Street</w:t>
            </w:r>
          </w:p>
        </w:tc>
        <w:tc>
          <w:tcPr>
            <w:tcW w:w="1840" w:type="dxa"/>
            <w:vAlign w:val="bottom"/>
          </w:tcPr>
          <w:p>
            <w:pPr>
              <w:spacing w:after="0"/>
              <w:rPr>
                <w:sz w:val="24"/>
                <w:szCs w:val="24"/>
                <w:color w:val="auto"/>
              </w:rPr>
            </w:pPr>
          </w:p>
        </w:tc>
        <w:tc>
          <w:tcPr>
            <w:tcW w:w="3980" w:type="dxa"/>
            <w:vAlign w:val="bottom"/>
            <w:gridSpan w:val="3"/>
            <w:vMerge w:val="restart"/>
          </w:tcPr>
          <w:p>
            <w:pPr>
              <w:jc w:val="right"/>
              <w:ind w:right="1738"/>
              <w:spacing w:after="0"/>
              <w:rPr>
                <w:sz w:val="20"/>
                <w:szCs w:val="20"/>
                <w:color w:val="auto"/>
              </w:rPr>
            </w:pPr>
            <w:r>
              <w:rPr>
                <w:rFonts w:ascii="Arial" w:cs="Arial" w:eastAsia="Arial" w:hAnsi="Arial"/>
                <w:sz w:val="18"/>
                <w:szCs w:val="18"/>
                <w:b w:val="1"/>
                <w:bCs w:val="1"/>
                <w:color w:val="231F20"/>
              </w:rPr>
              <w:t>(800) 603-4996</w:t>
            </w:r>
          </w:p>
        </w:tc>
        <w:tc>
          <w:tcPr>
            <w:tcW w:w="0" w:type="dxa"/>
            <w:vAlign w:val="bottom"/>
          </w:tcPr>
          <w:p>
            <w:pPr>
              <w:spacing w:after="0"/>
              <w:rPr>
                <w:sz w:val="1"/>
                <w:szCs w:val="1"/>
                <w:color w:val="auto"/>
              </w:rPr>
            </w:pPr>
          </w:p>
        </w:tc>
      </w:tr>
      <w:tr>
        <w:trPr>
          <w:trHeight w:val="226"/>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231F20"/>
                <w:w w:val="88"/>
              </w:rPr>
              <w:t>Long Beach, CA 90806</w:t>
            </w:r>
          </w:p>
        </w:tc>
        <w:tc>
          <w:tcPr>
            <w:tcW w:w="1840" w:type="dxa"/>
            <w:vAlign w:val="bottom"/>
          </w:tcPr>
          <w:p>
            <w:pPr>
              <w:spacing w:after="0"/>
              <w:rPr>
                <w:sz w:val="19"/>
                <w:szCs w:val="19"/>
                <w:color w:val="auto"/>
              </w:rPr>
            </w:pPr>
          </w:p>
        </w:tc>
        <w:tc>
          <w:tcPr>
            <w:tcW w:w="39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3"/>
          </w:tcPr>
          <w:p>
            <w:pPr>
              <w:jc w:val="center"/>
              <w:spacing w:after="0"/>
              <w:rPr>
                <w:sz w:val="20"/>
                <w:szCs w:val="20"/>
                <w:color w:val="auto"/>
              </w:rPr>
            </w:pPr>
            <w:r>
              <w:rPr>
                <w:rFonts w:ascii="Arial" w:cs="Arial" w:eastAsia="Arial" w:hAnsi="Arial"/>
                <w:sz w:val="18"/>
                <w:szCs w:val="18"/>
                <w:color w:val="231F20"/>
                <w:w w:val="91"/>
              </w:rPr>
              <w:t>(Address of principal executive offices, including zip code)</w:t>
            </w:r>
          </w:p>
        </w:tc>
        <w:tc>
          <w:tcPr>
            <w:tcW w:w="5820" w:type="dxa"/>
            <w:vAlign w:val="bottom"/>
            <w:gridSpan w:val="4"/>
          </w:tcPr>
          <w:p>
            <w:pPr>
              <w:jc w:val="center"/>
              <w:ind w:left="998"/>
              <w:spacing w:after="0"/>
              <w:rPr>
                <w:sz w:val="20"/>
                <w:szCs w:val="20"/>
                <w:color w:val="auto"/>
              </w:rPr>
            </w:pPr>
            <w:r>
              <w:rPr>
                <w:rFonts w:ascii="Arial" w:cs="Arial" w:eastAsia="Arial" w:hAnsi="Arial"/>
                <w:sz w:val="18"/>
                <w:szCs w:val="18"/>
                <w:color w:val="231F20"/>
                <w:w w:val="88"/>
              </w:rPr>
              <w:t>Registrant's telephone number, including area code</w:t>
            </w: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3"/>
        </w:trPr>
        <w:tc>
          <w:tcPr>
            <w:tcW w:w="11240" w:type="dxa"/>
            <w:vAlign w:val="bottom"/>
            <w:gridSpan w:val="7"/>
          </w:tcPr>
          <w:p>
            <w:pPr>
              <w:ind w:left="3620"/>
              <w:spacing w:after="0"/>
              <w:rPr>
                <w:sz w:val="20"/>
                <w:szCs w:val="20"/>
                <w:color w:val="auto"/>
              </w:rPr>
            </w:pPr>
            <w:r>
              <w:rPr>
                <w:rFonts w:ascii="Arial" w:cs="Arial" w:eastAsia="Arial" w:hAnsi="Arial"/>
                <w:sz w:val="18"/>
                <w:szCs w:val="18"/>
                <w:b w:val="1"/>
                <w:bCs w:val="1"/>
                <w:color w:val="231F20"/>
              </w:rPr>
              <w:t>Securities registered pursuant to Section 12(b) of the Act:</w:t>
            </w:r>
          </w:p>
        </w:tc>
        <w:tc>
          <w:tcPr>
            <w:tcW w:w="0" w:type="dxa"/>
            <w:vAlign w:val="bottom"/>
          </w:tcPr>
          <w:p>
            <w:pPr>
              <w:spacing w:after="0"/>
              <w:rPr>
                <w:sz w:val="1"/>
                <w:szCs w:val="1"/>
                <w:color w:val="auto"/>
              </w:rPr>
            </w:pPr>
          </w:p>
        </w:tc>
      </w:tr>
      <w:tr>
        <w:trPr>
          <w:trHeight w:val="208"/>
        </w:trPr>
        <w:tc>
          <w:tcPr>
            <w:tcW w:w="542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87"/>
              </w:rPr>
              <w:t>Title of each class</w:t>
            </w:r>
          </w:p>
        </w:tc>
        <w:tc>
          <w:tcPr>
            <w:tcW w:w="1840" w:type="dxa"/>
            <w:vAlign w:val="bottom"/>
          </w:tcPr>
          <w:p>
            <w:pPr>
              <w:jc w:val="center"/>
              <w:ind w:left="318"/>
              <w:spacing w:after="0"/>
              <w:rPr>
                <w:sz w:val="20"/>
                <w:szCs w:val="20"/>
                <w:color w:val="auto"/>
              </w:rPr>
            </w:pPr>
            <w:r>
              <w:rPr>
                <w:rFonts w:ascii="Arial" w:cs="Arial" w:eastAsia="Arial" w:hAnsi="Arial"/>
                <w:sz w:val="14"/>
                <w:szCs w:val="14"/>
                <w:b w:val="1"/>
                <w:bCs w:val="1"/>
                <w:color w:val="auto"/>
                <w:w w:val="91"/>
              </w:rPr>
              <w:t>Trading Symbol(s)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Pr>
          <w:p>
            <w:pPr>
              <w:jc w:val="center"/>
              <w:ind w:left="238"/>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28"/>
        </w:trPr>
        <w:tc>
          <w:tcPr>
            <w:tcW w:w="5320" w:type="dxa"/>
            <w:vAlign w:val="bottom"/>
            <w:tcBorders>
              <w:top w:val="single" w:sz="8" w:color="auto"/>
            </w:tcBorders>
            <w:gridSpan w:val="2"/>
          </w:tcPr>
          <w:p>
            <w:pPr>
              <w:jc w:val="center"/>
              <w:ind w:left="234"/>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100" w:type="dxa"/>
            <w:vAlign w:val="bottom"/>
          </w:tcPr>
          <w:p>
            <w:pPr>
              <w:spacing w:after="0"/>
              <w:rPr>
                <w:sz w:val="19"/>
                <w:szCs w:val="19"/>
                <w:color w:val="auto"/>
              </w:rPr>
            </w:pPr>
          </w:p>
        </w:tc>
        <w:tc>
          <w:tcPr>
            <w:tcW w:w="1840" w:type="dxa"/>
            <w:vAlign w:val="bottom"/>
            <w:tcBorders>
              <w:top w:val="single" w:sz="8" w:color="auto"/>
            </w:tcBorders>
          </w:tcPr>
          <w:p>
            <w:pPr>
              <w:jc w:val="center"/>
              <w:ind w:left="298"/>
              <w:spacing w:after="0"/>
              <w:rPr>
                <w:sz w:val="20"/>
                <w:szCs w:val="20"/>
                <w:color w:val="auto"/>
              </w:rPr>
            </w:pPr>
            <w:r>
              <w:rPr>
                <w:rFonts w:ascii="Arial" w:cs="Arial" w:eastAsia="Arial" w:hAnsi="Arial"/>
                <w:sz w:val="18"/>
                <w:szCs w:val="18"/>
                <w:b w:val="1"/>
                <w:bCs w:val="1"/>
                <w:color w:val="auto"/>
                <w:w w:val="97"/>
              </w:rPr>
              <w:t>SKIN</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Borders>
              <w:top w:val="single" w:sz="8" w:color="auto"/>
            </w:tcBorders>
          </w:tcPr>
          <w:p>
            <w:pPr>
              <w:jc w:val="center"/>
              <w:ind w:left="258"/>
              <w:spacing w:after="0"/>
              <w:rPr>
                <w:sz w:val="20"/>
                <w:szCs w:val="20"/>
                <w:color w:val="auto"/>
              </w:rPr>
            </w:pPr>
            <w:r>
              <w:rPr>
                <w:rFonts w:ascii="Arial" w:cs="Arial" w:eastAsia="Arial" w:hAnsi="Arial"/>
                <w:sz w:val="18"/>
                <w:szCs w:val="18"/>
                <w:b w:val="1"/>
                <w:bCs w:val="1"/>
                <w:color w:val="auto"/>
                <w:w w:val="92"/>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44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right="20"/>
        <w:spacing w:after="0" w:line="24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6" w:lineRule="exact"/>
        <w:rPr>
          <w:sz w:val="24"/>
          <w:szCs w:val="24"/>
          <w:color w:val="auto"/>
        </w:rPr>
      </w:pPr>
    </w:p>
    <w:p>
      <w:pPr>
        <w:ind w:right="140"/>
        <w:spacing w:after="0" w:line="22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Large 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line="197" w:lineRule="exact"/>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8"/>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2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8" w:lineRule="exact"/>
        <w:rPr>
          <w:sz w:val="24"/>
          <w:szCs w:val="24"/>
          <w:color w:val="auto"/>
        </w:rPr>
      </w:pPr>
    </w:p>
    <w:p>
      <w:pPr>
        <w:ind w:right="180"/>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2021, there were 149,639,553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789305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187960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212725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BEAUTY HEALTH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Page</w:t>
            </w:r>
          </w:p>
        </w:tc>
      </w:tr>
      <w:tr>
        <w:trPr>
          <w:trHeight w:val="193"/>
        </w:trPr>
        <w:tc>
          <w:tcPr>
            <w:tcW w:w="1062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PART I—FINANCIAL INFORMATION</w:t>
            </w: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18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1.</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360" w:type="dxa"/>
            <w:vAlign w:val="bottom"/>
            <w:gridSpan w:val="2"/>
          </w:tcPr>
          <w:p>
            <w:pPr>
              <w:jc w:val="center"/>
              <w:ind w:left="172"/>
              <w:spacing w:after="0" w:line="186"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360" w:type="dxa"/>
            <w:vAlign w:val="bottom"/>
            <w:gridSpan w:val="2"/>
            <w:shd w:val="clear" w:color="auto" w:fill="CCEEFF"/>
          </w:tcPr>
          <w:p>
            <w:pPr>
              <w:jc w:val="center"/>
              <w:ind w:left="172"/>
              <w:spacing w:after="0" w:line="195"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tcPr>
          <w:p>
            <w:pPr>
              <w:spacing w:after="0"/>
              <w:rPr>
                <w:sz w:val="16"/>
                <w:szCs w:val="16"/>
                <w:color w:val="auto"/>
              </w:rPr>
            </w:pP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Loss (Unaudited)</w:t>
              </w:r>
            </w:hyperlink>
          </w:p>
        </w:tc>
        <w:tc>
          <w:tcPr>
            <w:tcW w:w="360" w:type="dxa"/>
            <w:vAlign w:val="bottom"/>
            <w:gridSpan w:val="2"/>
          </w:tcPr>
          <w:p>
            <w:pPr>
              <w:jc w:val="center"/>
              <w:ind w:left="172"/>
              <w:spacing w:after="0" w:line="18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Stockholder’s Deficit (Unaudited)</w:t>
              </w:r>
            </w:hyperlink>
          </w:p>
        </w:tc>
        <w:tc>
          <w:tcPr>
            <w:tcW w:w="360" w:type="dxa"/>
            <w:vAlign w:val="bottom"/>
            <w:gridSpan w:val="2"/>
            <w:shd w:val="clear" w:color="auto" w:fill="CCEEFF"/>
          </w:tcPr>
          <w:p>
            <w:pPr>
              <w:jc w:val="center"/>
              <w:ind w:left="172"/>
              <w:spacing w:after="0" w:line="19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140" w:type="dxa"/>
            <w:vAlign w:val="bottom"/>
            <w:tcBorders>
              <w:left w:val="single" w:sz="8" w:color="0000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5"/>
        </w:trPr>
        <w:tc>
          <w:tcPr>
            <w:tcW w:w="1180" w:type="dxa"/>
            <w:vAlign w:val="bottom"/>
          </w:tcPr>
          <w:p>
            <w:pPr>
              <w:spacing w:after="0"/>
              <w:rPr>
                <w:sz w:val="16"/>
                <w:szCs w:val="16"/>
                <w:color w:val="auto"/>
              </w:rPr>
            </w:pPr>
          </w:p>
        </w:tc>
        <w:tc>
          <w:tcPr>
            <w:tcW w:w="9440" w:type="dxa"/>
            <w:vAlign w:val="bottom"/>
            <w:gridSpan w:val="14"/>
          </w:tcPr>
          <w:p>
            <w:pPr>
              <w:ind w:left="80"/>
              <w:spacing w:after="0" w:line="186"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360" w:type="dxa"/>
            <w:vAlign w:val="bottom"/>
            <w:gridSpan w:val="2"/>
          </w:tcPr>
          <w:p>
            <w:pPr>
              <w:jc w:val="center"/>
              <w:ind w:left="172"/>
              <w:spacing w:after="0" w:line="18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360" w:type="dxa"/>
            <w:vAlign w:val="bottom"/>
            <w:gridSpan w:val="2"/>
            <w:shd w:val="clear" w:color="auto" w:fill="CCEEFF"/>
          </w:tcPr>
          <w:p>
            <w:pPr>
              <w:jc w:val="center"/>
              <w:ind w:left="172"/>
              <w:spacing w:after="0" w:line="195"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2.</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140" w:type="dxa"/>
            <w:vAlign w:val="bottom"/>
            <w:tcBorders>
              <w:left w:val="single" w:sz="8" w:color="0000FF"/>
            </w:tcBorders>
            <w:shd w:val="clear" w:color="auto" w:fill="0000FF"/>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3.</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4.</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222"/>
        </w:trPr>
        <w:tc>
          <w:tcPr>
            <w:tcW w:w="1062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PART II—OTHER INFORMATION</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1.</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1A.</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48">
              <w:r>
                <w:rPr>
                  <w:rFonts w:ascii="Arial" w:cs="Arial" w:eastAsia="Arial" w:hAnsi="Arial"/>
                  <w:sz w:val="18"/>
                  <w:szCs w:val="18"/>
                  <w:color w:val="0000FF"/>
                </w:rPr>
                <w:t>Risk Factors</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2.</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49">
              <w:r>
                <w:rPr>
                  <w:rFonts w:ascii="Arial" w:cs="Arial" w:eastAsia="Arial" w:hAnsi="Arial"/>
                  <w:sz w:val="18"/>
                  <w:szCs w:val="18"/>
                  <w:color w:val="0000FF"/>
                </w:rPr>
                <w:t>Unregistered Sales of Equity Securities and Use of Proceeds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3.</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49">
              <w:r>
                <w:rPr>
                  <w:rFonts w:ascii="Arial" w:cs="Arial" w:eastAsia="Arial" w:hAnsi="Arial"/>
                  <w:sz w:val="18"/>
                  <w:szCs w:val="18"/>
                  <w:color w:val="0000FF"/>
                </w:rPr>
                <w:t>Defaults Upon Senior Securities</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4.</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49">
              <w:r>
                <w:rPr>
                  <w:rFonts w:ascii="Arial" w:cs="Arial" w:eastAsia="Arial" w:hAnsi="Arial"/>
                  <w:sz w:val="18"/>
                  <w:szCs w:val="18"/>
                  <w:color w:val="0000FF"/>
                </w:rPr>
                <w:t>Mine Safety Disclosures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5.</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9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6.</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c>
          <w:tcPr>
            <w:tcW w:w="260" w:type="dxa"/>
            <w:vAlign w:val="bottom"/>
          </w:tcPr>
          <w:p>
            <w:pPr>
              <w:spacing w:after="0"/>
              <w:rPr>
                <w:sz w:val="16"/>
                <w:szCs w:val="16"/>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SIGNATURES</w:t>
            </w:r>
          </w:p>
        </w:tc>
        <w:tc>
          <w:tcPr>
            <w:tcW w:w="80" w:type="dxa"/>
            <w:vAlign w:val="bottom"/>
            <w:shd w:val="clear" w:color="auto" w:fill="CCEEFF"/>
          </w:tcPr>
          <w:p>
            <w:pPr>
              <w:spacing w:after="0"/>
              <w:rPr>
                <w:sz w:val="20"/>
                <w:szCs w:val="20"/>
                <w:color w:val="auto"/>
              </w:rPr>
            </w:pPr>
          </w:p>
        </w:tc>
        <w:tc>
          <w:tcPr>
            <w:tcW w:w="580" w:type="dxa"/>
            <w:vAlign w:val="bottom"/>
            <w:tcBorders>
              <w:top w:val="single" w:sz="8" w:color="0000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tcBorders>
              <w:left w:val="single" w:sz="8" w:color="CCEEFF"/>
            </w:tcBorders>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Cash and cash equivalents</w:t>
            </w: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231F20"/>
              </w:rPr>
              <w:t>718,622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9,486</w:t>
            </w:r>
          </w:p>
        </w:tc>
        <w:tc>
          <w:tcPr>
            <w:tcW w:w="0" w:type="dxa"/>
            <w:vAlign w:val="bottom"/>
          </w:tcPr>
          <w:p>
            <w:pPr>
              <w:spacing w:after="0"/>
              <w:rPr>
                <w:sz w:val="1"/>
                <w:szCs w:val="1"/>
                <w:color w:val="auto"/>
              </w:rPr>
            </w:pPr>
          </w:p>
        </w:tc>
      </w:tr>
      <w:tr>
        <w:trPr>
          <w:trHeight w:val="174"/>
        </w:trPr>
        <w:tc>
          <w:tcPr>
            <w:tcW w:w="72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231F20"/>
              </w:rPr>
              <w:t>Accounts receivable, net of allowances for doubtful accounts of $2,677 and $2,032 at</w:t>
            </w:r>
          </w:p>
        </w:tc>
        <w:tc>
          <w:tcPr>
            <w:tcW w:w="2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38,386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18,576</w:t>
            </w:r>
          </w:p>
        </w:tc>
        <w:tc>
          <w:tcPr>
            <w:tcW w:w="0" w:type="dxa"/>
            <w:vAlign w:val="bottom"/>
          </w:tcPr>
          <w:p>
            <w:pPr>
              <w:spacing w:after="0"/>
              <w:rPr>
                <w:sz w:val="1"/>
                <w:szCs w:val="1"/>
                <w:color w:val="auto"/>
              </w:rPr>
            </w:pPr>
          </w:p>
        </w:tc>
      </w:tr>
      <w:tr>
        <w:trPr>
          <w:trHeight w:val="224"/>
        </w:trPr>
        <w:tc>
          <w:tcPr>
            <w:tcW w:w="72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September 30, 2021 and December 31, 2020, respectively</w:t>
            </w:r>
          </w:p>
        </w:tc>
        <w:tc>
          <w:tcPr>
            <w:tcW w:w="22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Prepaid expenses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7,745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3,220</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Income tax receivable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4,611</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231F20"/>
              </w:rPr>
              <w:t>Inventories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28,105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23,202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797,805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59,095</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8"/>
                <w:szCs w:val="18"/>
                <w:color w:val="231F20"/>
              </w:rPr>
              <w:t>Property and equipment, net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12,070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9,191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Intangible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50,935</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Goodwill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122,865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98,531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tax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4,758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4,813</w:t>
            </w: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231F20"/>
              </w:rPr>
              <w:t>Total assets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997,875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222,835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231F20"/>
              </w:rPr>
              <w:t>Liabilities and Shareholders’ Equity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Accounts payable</w:t>
            </w: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231F20"/>
              </w:rPr>
              <w:t>18,118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18,485</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Accrued payroll-related expenses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9,475</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Other accrued expenses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7,896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2,458</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Income tax payable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Current portion of long-term debt due to related parties</w:t>
            </w:r>
          </w:p>
        </w:tc>
        <w:tc>
          <w:tcPr>
            <w:tcW w:w="22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512</w:t>
            </w:r>
          </w:p>
        </w:tc>
        <w:tc>
          <w:tcPr>
            <w:tcW w:w="0" w:type="dxa"/>
            <w:vAlign w:val="bottom"/>
          </w:tcPr>
          <w:p>
            <w:pPr>
              <w:spacing w:after="0"/>
              <w:rPr>
                <w:sz w:val="1"/>
                <w:szCs w:val="1"/>
                <w:color w:val="auto"/>
              </w:rPr>
            </w:pP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Total current liabilities</w:t>
            </w:r>
          </w:p>
        </w:tc>
        <w:tc>
          <w:tcPr>
            <w:tcW w:w="2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49,468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30,930</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Other long-term liabilities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1,755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1,854</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Long-term debt due to related parties, net of current portion</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216,024</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Deferred tax liabilities,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2,676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3,987</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Warrant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357,173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Convertible senior notes, net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728,858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1,139,930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252,795</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8"/>
                <w:szCs w:val="18"/>
                <w:color w:val="231F20"/>
              </w:rPr>
              <w:t xml:space="preserve">Commitments (Note </w:t>
            </w:r>
            <w:r>
              <w:rPr>
                <w:rFonts w:ascii="Arial" w:cs="Arial" w:eastAsia="Arial" w:hAnsi="Arial"/>
                <w:sz w:val="18"/>
                <w:szCs w:val="18"/>
                <w:color w:val="000000"/>
              </w:rPr>
              <w:t>12</w:t>
            </w:r>
            <w:r>
              <w:rPr>
                <w:rFonts w:ascii="Arial" w:cs="Arial" w:eastAsia="Arial" w:hAnsi="Arial"/>
                <w:sz w:val="18"/>
                <w:szCs w:val="18"/>
                <w:color w:val="231F20"/>
              </w:rPr>
              <w:t>)</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Stockholders’ equity (deficit)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260" w:type="dxa"/>
            <w:vAlign w:val="bottom"/>
          </w:tcPr>
          <w:p>
            <w:pPr>
              <w:ind w:left="340"/>
              <w:spacing w:after="0" w:line="173" w:lineRule="exact"/>
              <w:rPr>
                <w:sz w:val="20"/>
                <w:szCs w:val="20"/>
                <w:color w:val="auto"/>
              </w:rPr>
            </w:pPr>
            <w:r>
              <w:rPr>
                <w:rFonts w:ascii="Arial" w:cs="Arial" w:eastAsia="Arial" w:hAnsi="Arial"/>
                <w:sz w:val="18"/>
                <w:szCs w:val="18"/>
                <w:color w:val="231F20"/>
                <w:w w:val="92"/>
              </w:rPr>
              <w:t>Class A Common Stock, $0.0001 par value; 320,000,000 shares authorized; 133,490,012 and</w:t>
            </w: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ind w:left="500"/>
              <w:spacing w:after="0" w:line="172" w:lineRule="exact"/>
              <w:rPr>
                <w:sz w:val="20"/>
                <w:szCs w:val="20"/>
                <w:color w:val="auto"/>
              </w:rPr>
            </w:pPr>
            <w:r>
              <w:rPr>
                <w:rFonts w:ascii="Arial" w:cs="Arial" w:eastAsia="Arial" w:hAnsi="Arial"/>
                <w:sz w:val="18"/>
                <w:szCs w:val="18"/>
                <w:color w:val="231F20"/>
                <w:w w:val="92"/>
              </w:rPr>
              <w:t>35,501,743 shares issued and outstanding at September 30, 2021 and December 31, 2020,</w:t>
            </w:r>
          </w:p>
        </w:tc>
        <w:tc>
          <w:tcPr>
            <w:tcW w:w="22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231F20"/>
              </w:rPr>
              <w:t>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224"/>
        </w:trPr>
        <w:tc>
          <w:tcPr>
            <w:tcW w:w="7260" w:type="dxa"/>
            <w:vAlign w:val="bottom"/>
          </w:tcPr>
          <w:p>
            <w:pPr>
              <w:ind w:left="500"/>
              <w:spacing w:after="0"/>
              <w:rPr>
                <w:sz w:val="20"/>
                <w:szCs w:val="20"/>
                <w:color w:val="auto"/>
              </w:rPr>
            </w:pPr>
            <w:r>
              <w:rPr>
                <w:rFonts w:ascii="Arial" w:cs="Arial" w:eastAsia="Arial" w:hAnsi="Arial"/>
                <w:sz w:val="18"/>
                <w:szCs w:val="18"/>
                <w:color w:val="231F20"/>
              </w:rPr>
              <w:t>respectively</w:t>
            </w:r>
          </w:p>
        </w:tc>
        <w:tc>
          <w:tcPr>
            <w:tcW w:w="2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2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231F20"/>
                <w:w w:val="98"/>
              </w:rPr>
              <w:t>Preferred Stock, $0.0001 par value; 1,000,000 shares authorized; no shares issued and</w:t>
            </w:r>
          </w:p>
        </w:tc>
        <w:tc>
          <w:tcPr>
            <w:tcW w:w="220" w:type="dxa"/>
            <w:vAlign w:val="bottom"/>
            <w:shd w:val="clear" w:color="auto" w:fill="CCEEFF"/>
          </w:tcPr>
          <w:p>
            <w:pPr>
              <w:spacing w:after="0"/>
              <w:rPr>
                <w:sz w:val="15"/>
                <w:szCs w:val="15"/>
                <w:color w:val="auto"/>
              </w:rPr>
            </w:pPr>
          </w:p>
        </w:tc>
        <w:tc>
          <w:tcPr>
            <w:tcW w:w="1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4"/>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outstanding at September 30, 2021 and December 31, 2020</w:t>
            </w:r>
          </w:p>
        </w:tc>
        <w:tc>
          <w:tcPr>
            <w:tcW w:w="220" w:type="dxa"/>
            <w:vAlign w:val="bottom"/>
            <w:shd w:val="clear" w:color="auto" w:fill="CCEEFF"/>
          </w:tcPr>
          <w:p>
            <w:pPr>
              <w:spacing w:after="0"/>
              <w:rPr>
                <w:sz w:val="19"/>
                <w:szCs w:val="19"/>
                <w:color w:val="auto"/>
              </w:rPr>
            </w:pPr>
          </w:p>
        </w:tc>
        <w:tc>
          <w:tcPr>
            <w:tcW w:w="1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Additional paid-in capital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260,908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13,952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Note receivable from stockholder</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(554)</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Accumulated other comprehensive (loss) income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242</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(401,401)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(43,604)</w:t>
            </w:r>
          </w:p>
        </w:tc>
        <w:tc>
          <w:tcPr>
            <w:tcW w:w="0" w:type="dxa"/>
            <w:vAlign w:val="bottom"/>
          </w:tcPr>
          <w:p>
            <w:pPr>
              <w:spacing w:after="0"/>
              <w:rPr>
                <w:sz w:val="1"/>
                <w:szCs w:val="1"/>
                <w:color w:val="auto"/>
              </w:rPr>
            </w:pPr>
          </w:p>
        </w:tc>
      </w:tr>
      <w:tr>
        <w:trPr>
          <w:trHeight w:val="219"/>
        </w:trPr>
        <w:tc>
          <w:tcPr>
            <w:tcW w:w="7260" w:type="dxa"/>
            <w:vAlign w:val="bottom"/>
          </w:tcPr>
          <w:p>
            <w:pPr>
              <w:ind w:left="500"/>
              <w:spacing w:after="0"/>
              <w:rPr>
                <w:sz w:val="20"/>
                <w:szCs w:val="20"/>
                <w:color w:val="auto"/>
              </w:rPr>
            </w:pPr>
            <w:r>
              <w:rPr>
                <w:rFonts w:ascii="Arial" w:cs="Arial" w:eastAsia="Arial" w:hAnsi="Arial"/>
                <w:sz w:val="18"/>
                <w:szCs w:val="18"/>
                <w:color w:val="231F20"/>
              </w:rPr>
              <w:t>Total stockholders’ deficit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(142,055)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(29,960)</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231F20"/>
              </w:rPr>
              <w:t>Total liabilities and stockholders’ deficit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997,875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222,835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COMPREHENSIVE LOSS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ind w:left="260"/>
              <w:spacing w:after="0"/>
              <w:rPr>
                <w:sz w:val="20"/>
                <w:szCs w:val="20"/>
                <w:color w:val="auto"/>
              </w:rPr>
            </w:pPr>
            <w:r>
              <w:rPr>
                <w:rFonts w:ascii="Arial" w:cs="Arial" w:eastAsia="Arial" w:hAnsi="Arial"/>
                <w:sz w:val="14"/>
                <w:szCs w:val="14"/>
                <w:b w:val="1"/>
                <w:bCs w:val="1"/>
                <w:color w:val="231F20"/>
              </w:rPr>
              <w:t>Three Months Ended September 30,</w:t>
            </w:r>
          </w:p>
        </w:tc>
        <w:tc>
          <w:tcPr>
            <w:tcW w:w="260" w:type="dxa"/>
            <w:vAlign w:val="bottom"/>
          </w:tcPr>
          <w:p>
            <w:pPr>
              <w:spacing w:after="0"/>
              <w:rPr>
                <w:sz w:val="15"/>
                <w:szCs w:val="15"/>
                <w:color w:val="auto"/>
              </w:rPr>
            </w:pPr>
          </w:p>
        </w:tc>
        <w:tc>
          <w:tcPr>
            <w:tcW w:w="25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231F20"/>
              </w:rPr>
              <w:t>Nine Months Ended September 30,</w:t>
            </w:r>
          </w:p>
        </w:tc>
      </w:tr>
      <w:tr>
        <w:trPr>
          <w:trHeight w:val="24"/>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8"/>
        </w:trPr>
        <w:tc>
          <w:tcPr>
            <w:tcW w:w="5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231F20"/>
              </w:rPr>
              <w:t>2020</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81,212</w:t>
            </w:r>
          </w:p>
        </w:tc>
      </w:tr>
      <w:tr>
        <w:trPr>
          <w:trHeight w:val="22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Cost of sales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22,072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13,603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57,131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37,050</w:t>
            </w:r>
          </w:p>
        </w:tc>
      </w:tr>
      <w:tr>
        <w:trPr>
          <w:trHeight w:val="219"/>
        </w:trPr>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46,075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20,957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125,066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44,162</w:t>
            </w:r>
          </w:p>
        </w:tc>
      </w:tr>
      <w:tr>
        <w:trPr>
          <w:trHeight w:val="205"/>
        </w:trPr>
        <w:tc>
          <w:tcPr>
            <w:tcW w:w="5340" w:type="dxa"/>
            <w:vAlign w:val="bottom"/>
          </w:tcPr>
          <w:p>
            <w:pPr>
              <w:ind w:left="20"/>
              <w:spacing w:after="0" w:line="204" w:lineRule="exact"/>
              <w:rPr>
                <w:sz w:val="20"/>
                <w:szCs w:val="20"/>
                <w:color w:val="auto"/>
              </w:rPr>
            </w:pPr>
            <w:r>
              <w:rPr>
                <w:rFonts w:ascii="Arial" w:cs="Arial" w:eastAsia="Arial" w:hAnsi="Arial"/>
                <w:sz w:val="18"/>
                <w:szCs w:val="18"/>
                <w:color w:val="231F20"/>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Selling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30,451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34,425</w:t>
            </w:r>
          </w:p>
        </w:tc>
      </w:tr>
      <w:tr>
        <w:trPr>
          <w:trHeight w:val="225"/>
        </w:trPr>
        <w:tc>
          <w:tcPr>
            <w:tcW w:w="5340" w:type="dxa"/>
            <w:vAlign w:val="bottom"/>
          </w:tcPr>
          <w:p>
            <w:pPr>
              <w:ind w:left="420"/>
              <w:spacing w:after="0"/>
              <w:rPr>
                <w:sz w:val="20"/>
                <w:szCs w:val="20"/>
                <w:color w:val="auto"/>
              </w:rPr>
            </w:pPr>
            <w:r>
              <w:rPr>
                <w:rFonts w:ascii="Arial" w:cs="Arial" w:eastAsia="Arial" w:hAnsi="Arial"/>
                <w:sz w:val="18"/>
                <w:szCs w:val="18"/>
                <w:color w:val="231F20"/>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1,880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6,320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2,549</w:t>
            </w:r>
          </w:p>
        </w:tc>
      </w:tr>
      <w:tr>
        <w:trPr>
          <w:trHeight w:val="226"/>
        </w:trPr>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19,200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7,054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73,643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19,659</w:t>
            </w:r>
          </w:p>
        </w:tc>
      </w:tr>
      <w:tr>
        <w:trPr>
          <w:trHeight w:val="218"/>
        </w:trPr>
        <w:tc>
          <w:tcPr>
            <w:tcW w:w="53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231F20"/>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51,531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18,172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154,493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56,633</w:t>
            </w:r>
          </w:p>
        </w:tc>
      </w:tr>
      <w:tr>
        <w:trPr>
          <w:trHeight w:val="29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income from operations</w:t>
            </w: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(5,456)</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2,785</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(29,427)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(12,471)</w:t>
            </w:r>
          </w:p>
        </w:tc>
      </w:tr>
      <w:tr>
        <w:trPr>
          <w:trHeight w:val="205"/>
        </w:trPr>
        <w:tc>
          <w:tcPr>
            <w:tcW w:w="5340" w:type="dxa"/>
            <w:vAlign w:val="bottom"/>
          </w:tcPr>
          <w:p>
            <w:pPr>
              <w:ind w:left="20"/>
              <w:spacing w:after="0" w:line="204" w:lineRule="exact"/>
              <w:rPr>
                <w:sz w:val="20"/>
                <w:szCs w:val="20"/>
                <w:color w:val="auto"/>
              </w:rPr>
            </w:pPr>
            <w:r>
              <w:rPr>
                <w:rFonts w:ascii="Arial" w:cs="Arial" w:eastAsia="Arial" w:hAnsi="Arial"/>
                <w:sz w:val="18"/>
                <w:szCs w:val="18"/>
                <w:color w:val="231F20"/>
              </w:rPr>
              <w:t>Other (income) expense:</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Interest expense,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15,447</w:t>
            </w:r>
          </w:p>
        </w:tc>
      </w:tr>
      <w:tr>
        <w:trPr>
          <w:trHeight w:val="225"/>
        </w:trPr>
        <w:tc>
          <w:tcPr>
            <w:tcW w:w="5340" w:type="dxa"/>
            <w:vAlign w:val="bottom"/>
          </w:tcPr>
          <w:p>
            <w:pPr>
              <w:ind w:left="420"/>
              <w:spacing w:after="0"/>
              <w:rPr>
                <w:sz w:val="20"/>
                <w:szCs w:val="20"/>
                <w:color w:val="auto"/>
              </w:rPr>
            </w:pPr>
            <w:r>
              <w:rPr>
                <w:rFonts w:ascii="Arial" w:cs="Arial" w:eastAsia="Arial" w:hAnsi="Arial"/>
                <w:sz w:val="18"/>
                <w:szCs w:val="18"/>
                <w:color w:val="231F20"/>
              </w:rPr>
              <w:t>Other (income) expense,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4,290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(84)</w:t>
            </w:r>
          </w:p>
        </w:tc>
      </w:tr>
      <w:tr>
        <w:trPr>
          <w:trHeight w:val="226"/>
        </w:trPr>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Change in fair value of Warrant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199,306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271,333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5340" w:type="dxa"/>
            <w:vAlign w:val="bottom"/>
          </w:tcPr>
          <w:p>
            <w:pPr>
              <w:ind w:left="420"/>
              <w:spacing w:after="0"/>
              <w:rPr>
                <w:sz w:val="20"/>
                <w:szCs w:val="20"/>
                <w:color w:val="auto"/>
              </w:rPr>
            </w:pPr>
            <w:r>
              <w:rPr>
                <w:rFonts w:ascii="Arial" w:cs="Arial" w:eastAsia="Arial" w:hAnsi="Arial"/>
                <w:sz w:val="18"/>
                <w:szCs w:val="18"/>
                <w:color w:val="231F20"/>
              </w:rPr>
              <w:t>Change in fair value of Earn-out Shares liability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10,575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47,100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Foreign currency loss (gain),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108</w:t>
            </w:r>
          </w:p>
        </w:tc>
      </w:tr>
      <w:tr>
        <w:trPr>
          <w:trHeight w:val="218"/>
        </w:trPr>
        <w:tc>
          <w:tcPr>
            <w:tcW w:w="5340" w:type="dxa"/>
            <w:vAlign w:val="bottom"/>
          </w:tcPr>
          <w:p>
            <w:pPr>
              <w:ind w:left="820"/>
              <w:spacing w:after="0"/>
              <w:rPr>
                <w:sz w:val="20"/>
                <w:szCs w:val="20"/>
                <w:color w:val="auto"/>
              </w:rPr>
            </w:pPr>
            <w:r>
              <w:rPr>
                <w:rFonts w:ascii="Arial" w:cs="Arial" w:eastAsia="Arial" w:hAnsi="Arial"/>
                <w:sz w:val="18"/>
                <w:szCs w:val="18"/>
                <w:color w:val="231F20"/>
              </w:rPr>
              <w:t>Total other expense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210,818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5,592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331,675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15,471</w:t>
            </w:r>
          </w:p>
        </w:tc>
      </w:tr>
      <w:tr>
        <w:trPr>
          <w:trHeight w:val="29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before provision for income taxes</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(216,274)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(361,102)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(27,942)</w:t>
            </w:r>
          </w:p>
        </w:tc>
      </w:tr>
      <w:tr>
        <w:trPr>
          <w:trHeight w:val="225"/>
        </w:trPr>
        <w:tc>
          <w:tcPr>
            <w:tcW w:w="53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231F20"/>
              </w:rPr>
              <w:t>Income tax benefit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(6,260)</w:t>
            </w:r>
          </w:p>
        </w:tc>
      </w:tr>
      <w:tr>
        <w:trPr>
          <w:trHeight w:val="29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loss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(215,145)</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(2,214)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(357,797)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(21,682)</w:t>
            </w:r>
          </w:p>
        </w:tc>
      </w:tr>
      <w:tr>
        <w:trPr>
          <w:trHeight w:val="205"/>
        </w:trPr>
        <w:tc>
          <w:tcPr>
            <w:tcW w:w="5340" w:type="dxa"/>
            <w:vAlign w:val="bottom"/>
          </w:tcPr>
          <w:p>
            <w:pPr>
              <w:ind w:left="20"/>
              <w:spacing w:after="0" w:line="205" w:lineRule="exact"/>
              <w:rPr>
                <w:sz w:val="20"/>
                <w:szCs w:val="20"/>
                <w:color w:val="auto"/>
              </w:rPr>
            </w:pPr>
            <w:r>
              <w:rPr>
                <w:rFonts w:ascii="Arial" w:cs="Arial" w:eastAsia="Arial" w:hAnsi="Arial"/>
                <w:sz w:val="18"/>
                <w:szCs w:val="18"/>
                <w:b w:val="1"/>
                <w:bCs w:val="1"/>
                <w:color w:val="231F20"/>
              </w:rPr>
              <w:t>Comprehensive loss, net of tax:</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w:t>
            </w:r>
          </w:p>
        </w:tc>
      </w:tr>
      <w:tr>
        <w:trPr>
          <w:trHeight w:val="271"/>
        </w:trPr>
        <w:tc>
          <w:tcPr>
            <w:tcW w:w="5340" w:type="dxa"/>
            <w:vAlign w:val="bottom"/>
          </w:tcPr>
          <w:p>
            <w:pPr>
              <w:ind w:left="20"/>
              <w:spacing w:after="0"/>
              <w:rPr>
                <w:sz w:val="20"/>
                <w:szCs w:val="20"/>
                <w:color w:val="auto"/>
              </w:rPr>
            </w:pPr>
            <w:r>
              <w:rPr>
                <w:rFonts w:ascii="Arial" w:cs="Arial" w:eastAsia="Arial" w:hAnsi="Arial"/>
                <w:sz w:val="18"/>
                <w:szCs w:val="18"/>
                <w:b w:val="1"/>
                <w:bCs w:val="1"/>
                <w:color w:val="231F20"/>
              </w:rPr>
              <w:t>Comprehensive loss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(216,682)</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(2,106)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(359,615)</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(21,662)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loss per share - basic and diluted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(0.64)</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231F20"/>
              </w:rPr>
              <w:t>Weighted average common shares outstanding - basic and diluted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132,306,346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35,392,316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87,219,681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33,870,903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Legacy Common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Legacy Preferred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restart"/>
          </w:tcPr>
          <w:p>
            <w:pPr>
              <w:ind w:left="40"/>
              <w:spacing w:after="0" w:line="133" w:lineRule="exact"/>
              <w:rPr>
                <w:sz w:val="20"/>
                <w:szCs w:val="20"/>
                <w:color w:val="auto"/>
              </w:rPr>
            </w:pPr>
            <w:r>
              <w:rPr>
                <w:rFonts w:ascii="Arial" w:cs="Arial" w:eastAsia="Arial" w:hAnsi="Arial"/>
                <w:sz w:val="14"/>
                <w:szCs w:val="14"/>
                <w:b w:val="1"/>
                <w:bCs w:val="1"/>
                <w:color w:val="auto"/>
              </w:rPr>
              <w:t>Additional</w:t>
            </w:r>
          </w:p>
        </w:tc>
        <w:tc>
          <w:tcPr>
            <w:tcW w:w="880" w:type="dxa"/>
            <w:vAlign w:val="bottom"/>
            <w:gridSpan w:val="3"/>
            <w:vMerge w:val="restart"/>
          </w:tcPr>
          <w:p>
            <w:pPr>
              <w:jc w:val="center"/>
              <w:ind w:right="60"/>
              <w:spacing w:after="0" w:line="133"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4"/>
                <w:szCs w:val="4"/>
                <w:color w:val="auto"/>
              </w:rPr>
            </w:pPr>
          </w:p>
        </w:tc>
        <w:tc>
          <w:tcPr>
            <w:tcW w:w="96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vMerge w:val="restart"/>
          </w:tcPr>
          <w:p>
            <w:pPr>
              <w:jc w:val="right"/>
              <w:ind w:right="409"/>
              <w:spacing w:after="0" w:line="13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9"/>
        </w:trPr>
        <w:tc>
          <w:tcPr>
            <w:tcW w:w="1480" w:type="dxa"/>
            <w:vAlign w:val="bottom"/>
          </w:tcPr>
          <w:p>
            <w:pPr>
              <w:spacing w:after="0"/>
              <w:rPr>
                <w:sz w:val="6"/>
                <w:szCs w:val="6"/>
                <w:color w:val="auto"/>
              </w:rPr>
            </w:pPr>
          </w:p>
        </w:tc>
        <w:tc>
          <w:tcPr>
            <w:tcW w:w="1240" w:type="dxa"/>
            <w:vAlign w:val="bottom"/>
            <w:gridSpan w:val="3"/>
            <w:vMerge w:val="restart"/>
          </w:tcPr>
          <w:p>
            <w:pPr>
              <w:jc w:val="right"/>
              <w:ind w:right="269"/>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ind w:left="40"/>
              <w:spacing w:after="0" w:line="105" w:lineRule="exact"/>
              <w:rPr>
                <w:sz w:val="20"/>
                <w:szCs w:val="20"/>
                <w:color w:val="auto"/>
              </w:rPr>
            </w:pPr>
            <w:r>
              <w:rPr>
                <w:rFonts w:ascii="Arial" w:cs="Arial" w:eastAsia="Arial" w:hAnsi="Arial"/>
                <w:sz w:val="12"/>
                <w:szCs w:val="12"/>
                <w:b w:val="1"/>
                <w:bCs w:val="1"/>
                <w:color w:val="auto"/>
              </w:rPr>
              <w:t>Paid-in</w:t>
            </w:r>
          </w:p>
        </w:tc>
        <w:tc>
          <w:tcPr>
            <w:tcW w:w="180" w:type="dxa"/>
            <w:vAlign w:val="bottom"/>
          </w:tcPr>
          <w:p>
            <w:pPr>
              <w:spacing w:after="0"/>
              <w:rPr>
                <w:sz w:val="9"/>
                <w:szCs w:val="9"/>
                <w:color w:val="auto"/>
              </w:rPr>
            </w:pPr>
          </w:p>
        </w:tc>
        <w:tc>
          <w:tcPr>
            <w:tcW w:w="70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from</w:t>
            </w:r>
          </w:p>
        </w:tc>
        <w:tc>
          <w:tcPr>
            <w:tcW w:w="1060" w:type="dxa"/>
            <w:vAlign w:val="bottom"/>
            <w:gridSpan w:val="3"/>
          </w:tcPr>
          <w:p>
            <w:pPr>
              <w:jc w:val="right"/>
              <w:ind w:right="100"/>
              <w:spacing w:after="0" w:line="105"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40"/>
              <w:spacing w:after="0" w:line="105" w:lineRule="exact"/>
              <w:rPr>
                <w:sz w:val="20"/>
                <w:szCs w:val="20"/>
                <w:color w:val="auto"/>
              </w:rPr>
            </w:pPr>
            <w:r>
              <w:rPr>
                <w:rFonts w:ascii="Arial" w:cs="Arial" w:eastAsia="Arial" w:hAnsi="Arial"/>
                <w:sz w:val="12"/>
                <w:szCs w:val="12"/>
                <w:b w:val="1"/>
                <w:bCs w:val="1"/>
                <w:color w:val="auto"/>
              </w:rPr>
              <w:t>Accumulated</w:t>
            </w:r>
          </w:p>
        </w:tc>
        <w:tc>
          <w:tcPr>
            <w:tcW w:w="1280" w:type="dxa"/>
            <w:vAlign w:val="bottom"/>
            <w:gridSpan w:val="2"/>
          </w:tcPr>
          <w:p>
            <w:pPr>
              <w:ind w:left="20"/>
              <w:spacing w:after="0" w:line="105" w:lineRule="exact"/>
              <w:rPr>
                <w:sz w:val="20"/>
                <w:szCs w:val="20"/>
                <w:color w:val="auto"/>
              </w:rPr>
            </w:pPr>
            <w:r>
              <w:rPr>
                <w:rFonts w:ascii="Arial" w:cs="Arial" w:eastAsia="Arial" w:hAnsi="Arial"/>
                <w:sz w:val="12"/>
                <w:szCs w:val="12"/>
                <w:b w:val="1"/>
                <w:bCs w:val="1"/>
                <w:color w:val="auto"/>
              </w:rPr>
              <w:t>Stockholders’Equity</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Stockholder</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13"/>
        </w:trPr>
        <w:tc>
          <w:tcPr>
            <w:tcW w:w="148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auto"/>
              </w:rPr>
              <w:t>BALANCE, December</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49,205</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13,747</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(14,429)</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31, 2019</w:t>
            </w: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Retroactive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application of</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(49,205)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32,136,203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recapitalization</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180"/>
              <w:spacing w:after="0" w:line="116" w:lineRule="exact"/>
              <w:rPr>
                <w:sz w:val="20"/>
                <w:szCs w:val="20"/>
                <w:color w:val="auto"/>
              </w:rPr>
            </w:pPr>
            <w:r>
              <w:rPr>
                <w:rFonts w:ascii="Arial" w:cs="Arial" w:eastAsia="Arial" w:hAnsi="Arial"/>
                <w:sz w:val="13"/>
                <w:szCs w:val="13"/>
                <w:color w:val="auto"/>
              </w:rPr>
              <w:t>Adjusted balance,</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32,136,203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13,744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(14,429)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4"/>
              </w:rPr>
              <w:t>beginning of period</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(9,070)</w:t>
            </w: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BALANCE, March 31,</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32,136,203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(23,499)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6"/>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BALANCE, June 30,</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32,136,203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13,994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(33,896)</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(20,513)</w:t>
            </w:r>
          </w:p>
        </w:tc>
        <w:tc>
          <w:tcPr>
            <w:tcW w:w="0" w:type="dxa"/>
            <w:vAlign w:val="bottom"/>
          </w:tcPr>
          <w:p>
            <w:pPr>
              <w:spacing w:after="0"/>
              <w:rPr>
                <w:sz w:val="1"/>
                <w:szCs w:val="1"/>
                <w:color w:val="auto"/>
              </w:rPr>
            </w:pPr>
          </w:p>
        </w:tc>
      </w:tr>
      <w:tr>
        <w:trPr>
          <w:trHeight w:val="186"/>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80"/>
              <w:spacing w:after="0"/>
              <w:rPr>
                <w:sz w:val="20"/>
                <w:szCs w:val="20"/>
                <w:color w:val="auto"/>
              </w:rPr>
            </w:pPr>
            <w:r>
              <w:rPr>
                <w:rFonts w:ascii="Arial" w:cs="Arial" w:eastAsia="Arial" w:hAnsi="Arial"/>
                <w:sz w:val="14"/>
                <w:szCs w:val="14"/>
                <w:color w:val="auto"/>
              </w:rPr>
              <w:t>Issuance of Shares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3,482,446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Foreign currency</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480" w:type="dxa"/>
            <w:vAlign w:val="bottom"/>
          </w:tcPr>
          <w:p>
            <w:pPr>
              <w:ind w:left="20"/>
              <w:spacing w:after="0" w:line="113" w:lineRule="exact"/>
              <w:rPr>
                <w:sz w:val="20"/>
                <w:szCs w:val="20"/>
                <w:color w:val="auto"/>
              </w:rPr>
            </w:pPr>
            <w:r>
              <w:rPr>
                <w:rFonts w:ascii="Arial" w:cs="Arial" w:eastAsia="Arial" w:hAnsi="Arial"/>
                <w:sz w:val="13"/>
                <w:szCs w:val="13"/>
                <w:color w:val="auto"/>
              </w:rPr>
              <w:t>BALANCE, September</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9"/>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35,618,649</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14,069</w:t>
            </w:r>
          </w:p>
        </w:tc>
        <w:tc>
          <w:tcPr>
            <w:tcW w:w="80" w:type="dxa"/>
            <w:vAlign w:val="bottom"/>
          </w:tcPr>
          <w:p>
            <w:pPr>
              <w:spacing w:after="0"/>
              <w:rPr>
                <w:sz w:val="9"/>
                <w:szCs w:val="9"/>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(36,110)</w:t>
            </w:r>
          </w:p>
        </w:tc>
        <w:tc>
          <w:tcPr>
            <w:tcW w:w="8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(22,543)</w:t>
            </w:r>
          </w:p>
        </w:tc>
        <w:tc>
          <w:tcPr>
            <w:tcW w:w="0" w:type="dxa"/>
            <w:vAlign w:val="bottom"/>
          </w:tcPr>
          <w:p>
            <w:pPr>
              <w:spacing w:after="0"/>
              <w:rPr>
                <w:sz w:val="1"/>
                <w:szCs w:val="1"/>
                <w:color w:val="auto"/>
              </w:rPr>
            </w:pPr>
          </w:p>
        </w:tc>
      </w:tr>
      <w:tr>
        <w:trPr>
          <w:trHeight w:val="159"/>
        </w:trPr>
        <w:tc>
          <w:tcPr>
            <w:tcW w:w="1480" w:type="dxa"/>
            <w:vAlign w:val="bottom"/>
          </w:tcPr>
          <w:p>
            <w:pPr>
              <w:ind w:left="180"/>
              <w:spacing w:after="0" w:line="159" w:lineRule="exact"/>
              <w:rPr>
                <w:sz w:val="20"/>
                <w:szCs w:val="20"/>
                <w:color w:val="auto"/>
              </w:rPr>
            </w:pPr>
            <w:r>
              <w:rPr>
                <w:rFonts w:ascii="Arial" w:cs="Arial" w:eastAsia="Arial" w:hAnsi="Arial"/>
                <w:sz w:val="14"/>
                <w:szCs w:val="14"/>
                <w:color w:val="auto"/>
              </w:rPr>
              <w:t>30, 2020</w:t>
            </w:r>
          </w:p>
        </w:tc>
        <w:tc>
          <w:tcPr>
            <w:tcW w:w="76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231F20"/>
        </w:rPr>
        <w:t>CONDENSED CONSOLIDATED STATEMENTS OF STOCKHOLDERS’ EQUITY (DEFICIT) (continued)</w:t>
      </w:r>
    </w:p>
    <w:p>
      <w:pPr>
        <w:spacing w:after="0" w:line="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1980" w:type="dxa"/>
            <w:vAlign w:val="bottom"/>
            <w:gridSpan w:val="3"/>
            <w:vMerge w:val="restart"/>
          </w:tcPr>
          <w:p>
            <w:pPr>
              <w:jc w:val="right"/>
              <w:ind w:right="32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40" w:type="dxa"/>
            <w:vAlign w:val="bottom"/>
          </w:tcPr>
          <w:p>
            <w:pPr>
              <w:spacing w:after="0"/>
              <w:rPr>
                <w:sz w:val="8"/>
                <w:szCs w:val="8"/>
                <w:color w:val="auto"/>
              </w:rPr>
            </w:pPr>
          </w:p>
        </w:tc>
        <w:tc>
          <w:tcPr>
            <w:tcW w:w="198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tcPr>
          <w:p>
            <w:pPr>
              <w:jc w:val="center"/>
              <w:ind w:right="80"/>
              <w:spacing w:after="0" w:line="101" w:lineRule="exact"/>
              <w:rPr>
                <w:sz w:val="20"/>
                <w:szCs w:val="20"/>
                <w:color w:val="auto"/>
              </w:rPr>
            </w:pPr>
            <w:r>
              <w:rPr>
                <w:rFonts w:ascii="Arial" w:cs="Arial" w:eastAsia="Arial" w:hAnsi="Arial"/>
                <w:sz w:val="11"/>
                <w:szCs w:val="11"/>
                <w:b w:val="1"/>
                <w:bCs w:val="1"/>
                <w:color w:val="auto"/>
              </w:rPr>
              <w:t>Additional Paid-</w:t>
            </w:r>
          </w:p>
        </w:tc>
        <w:tc>
          <w:tcPr>
            <w:tcW w:w="120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Note Receivable</w:t>
            </w:r>
          </w:p>
        </w:tc>
        <w:tc>
          <w:tcPr>
            <w:tcW w:w="80" w:type="dxa"/>
            <w:vAlign w:val="bottom"/>
          </w:tcPr>
          <w:p>
            <w:pPr>
              <w:spacing w:after="0"/>
              <w:rPr>
                <w:sz w:val="8"/>
                <w:szCs w:val="8"/>
                <w:color w:val="auto"/>
              </w:rPr>
            </w:pPr>
          </w:p>
        </w:tc>
        <w:tc>
          <w:tcPr>
            <w:tcW w:w="1140" w:type="dxa"/>
            <w:vAlign w:val="bottom"/>
            <w:gridSpan w:val="2"/>
          </w:tcPr>
          <w:p>
            <w:pPr>
              <w:jc w:val="center"/>
              <w:ind w:right="160"/>
              <w:spacing w:after="0" w:line="101"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8"/>
                <w:szCs w:val="8"/>
                <w:color w:val="auto"/>
              </w:rPr>
            </w:pPr>
          </w:p>
        </w:tc>
        <w:tc>
          <w:tcPr>
            <w:tcW w:w="108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Accumulated</w:t>
            </w:r>
          </w:p>
        </w:tc>
        <w:tc>
          <w:tcPr>
            <w:tcW w:w="128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Stockholders’Equity</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 Capital</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from Stockholder</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7"/>
                <w:szCs w:val="17"/>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35,501,743</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13,952</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(43,604)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(29,960)</w:t>
            </w: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w w:val="99"/>
              </w:rPr>
              <w:t>Foreign currency translation adjustment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35,501,743</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13,986</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(33,205)</w:t>
            </w: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w w:val="97"/>
              </w:rPr>
              <w:t>Reverse recapitalization transaction, net</w:t>
            </w:r>
          </w:p>
        </w:tc>
        <w:tc>
          <w:tcPr>
            <w:tcW w:w="1080" w:type="dxa"/>
            <w:vAlign w:val="bottom"/>
          </w:tcPr>
          <w:p>
            <w:pPr>
              <w:jc w:val="right"/>
              <w:spacing w:after="0"/>
              <w:rPr>
                <w:sz w:val="20"/>
                <w:szCs w:val="20"/>
                <w:color w:val="auto"/>
              </w:rPr>
            </w:pPr>
            <w:r>
              <w:rPr>
                <w:rFonts w:ascii="Arial" w:cs="Arial" w:eastAsia="Arial" w:hAnsi="Arial"/>
                <w:sz w:val="14"/>
                <w:szCs w:val="14"/>
                <w:color w:val="auto"/>
              </w:rPr>
              <w:t>89,827,310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183,301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183,864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Issuance of Class A Common Stock in</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110,726</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connection with business acquisition</w:t>
            </w: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3,508</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(139,378)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(139,378)</w:t>
            </w: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w w:val="99"/>
              </w:rPr>
              <w:t>Foreign currency translation adjustment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125,439,779</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202,352</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(186,256)</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16,070</w:t>
            </w:r>
          </w:p>
        </w:tc>
        <w:tc>
          <w:tcPr>
            <w:tcW w:w="0" w:type="dxa"/>
            <w:vAlign w:val="bottom"/>
          </w:tcPr>
          <w:p>
            <w:pPr>
              <w:spacing w:after="0"/>
              <w:rPr>
                <w:sz w:val="1"/>
                <w:szCs w:val="1"/>
                <w:color w:val="auto"/>
              </w:rPr>
            </w:pPr>
          </w:p>
        </w:tc>
      </w:tr>
      <w:tr>
        <w:trPr>
          <w:trHeight w:val="133"/>
        </w:trPr>
        <w:tc>
          <w:tcPr>
            <w:tcW w:w="2640" w:type="dxa"/>
            <w:vAlign w:val="bottom"/>
          </w:tcPr>
          <w:p>
            <w:pPr>
              <w:ind w:left="180"/>
              <w:spacing w:after="0" w:line="133" w:lineRule="exact"/>
              <w:rPr>
                <w:sz w:val="20"/>
                <w:szCs w:val="20"/>
                <w:color w:val="auto"/>
              </w:rPr>
            </w:pPr>
            <w:r>
              <w:rPr>
                <w:rFonts w:ascii="Arial" w:cs="Arial" w:eastAsia="Arial" w:hAnsi="Arial"/>
                <w:sz w:val="14"/>
                <w:szCs w:val="14"/>
                <w:color w:val="auto"/>
              </w:rPr>
              <w:t>Issuance of Class A Common Stock in</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479,373</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7,784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7,784</w:t>
            </w:r>
          </w:p>
        </w:tc>
        <w:tc>
          <w:tcPr>
            <w:tcW w:w="0" w:type="dxa"/>
            <w:vAlign w:val="bottom"/>
          </w:tcPr>
          <w:p>
            <w:pPr>
              <w:spacing w:after="0"/>
              <w:rPr>
                <w:sz w:val="1"/>
                <w:szCs w:val="1"/>
                <w:color w:val="auto"/>
              </w:rPr>
            </w:pPr>
          </w:p>
        </w:tc>
      </w:tr>
      <w:tr>
        <w:trPr>
          <w:trHeight w:val="183"/>
        </w:trPr>
        <w:tc>
          <w:tcPr>
            <w:tcW w:w="2640" w:type="dxa"/>
            <w:vAlign w:val="bottom"/>
          </w:tcPr>
          <w:p>
            <w:pPr>
              <w:ind w:left="340"/>
              <w:spacing w:after="0"/>
              <w:rPr>
                <w:sz w:val="20"/>
                <w:szCs w:val="20"/>
                <w:color w:val="auto"/>
              </w:rPr>
            </w:pPr>
            <w:r>
              <w:rPr>
                <w:rFonts w:ascii="Arial" w:cs="Arial" w:eastAsia="Arial" w:hAnsi="Arial"/>
                <w:sz w:val="14"/>
                <w:szCs w:val="14"/>
                <w:color w:val="auto"/>
                <w:w w:val="97"/>
              </w:rPr>
              <w:t>connection with business acquisitions</w:t>
            </w: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Earn-out Shares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136,574</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136,575</w:t>
            </w: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w w:val="97"/>
              </w:rPr>
              <w:t>Reverse recapitalization transaction, net</w:t>
            </w:r>
          </w:p>
        </w:tc>
        <w:tc>
          <w:tcPr>
            <w:tcW w:w="1080" w:type="dxa"/>
            <w:vAlign w:val="bottom"/>
          </w:tcPr>
          <w:p>
            <w:pPr>
              <w:jc w:val="right"/>
              <w:spacing w:after="0"/>
              <w:rPr>
                <w:sz w:val="20"/>
                <w:szCs w:val="20"/>
                <w:color w:val="auto"/>
              </w:rPr>
            </w:pPr>
            <w:r>
              <w:rPr>
                <w:rFonts w:ascii="Arial" w:cs="Arial" w:eastAsia="Arial" w:hAnsi="Arial"/>
                <w:sz w:val="14"/>
                <w:szCs w:val="14"/>
                <w:color w:val="auto"/>
              </w:rPr>
              <w:t>70,860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Purchase of capped calls related to</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Convertible Senior Notes</w:t>
            </w:r>
          </w:p>
        </w:tc>
        <w:tc>
          <w:tcPr>
            <w:tcW w:w="116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5,082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5,082</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(215,145)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(215,145)</w:t>
            </w:r>
          </w:p>
        </w:tc>
        <w:tc>
          <w:tcPr>
            <w:tcW w:w="0" w:type="dxa"/>
            <w:vAlign w:val="bottom"/>
          </w:tcPr>
          <w:p>
            <w:pPr>
              <w:spacing w:after="0"/>
              <w:rPr>
                <w:sz w:val="1"/>
                <w:szCs w:val="1"/>
                <w:color w:val="auto"/>
              </w:rPr>
            </w:pPr>
          </w:p>
        </w:tc>
      </w:tr>
      <w:tr>
        <w:trPr>
          <w:trHeight w:val="183"/>
        </w:trPr>
        <w:tc>
          <w:tcPr>
            <w:tcW w:w="2640" w:type="dxa"/>
            <w:vAlign w:val="bottom"/>
          </w:tcPr>
          <w:p>
            <w:pPr>
              <w:ind w:left="180"/>
              <w:spacing w:after="0"/>
              <w:rPr>
                <w:sz w:val="20"/>
                <w:szCs w:val="20"/>
                <w:color w:val="auto"/>
              </w:rPr>
            </w:pPr>
            <w:r>
              <w:rPr>
                <w:rFonts w:ascii="Arial" w:cs="Arial" w:eastAsia="Arial" w:hAnsi="Arial"/>
                <w:sz w:val="14"/>
                <w:szCs w:val="14"/>
                <w:color w:val="auto"/>
                <w:w w:val="99"/>
              </w:rPr>
              <w:t>Foreign currency translation adjustment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07"/>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133,490,012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(401,401)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(142,055)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(in thousands,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4"/>
                <w:szCs w:val="14"/>
                <w:b w:val="1"/>
                <w:bCs w:val="1"/>
                <w:color w:val="231F20"/>
              </w:rPr>
              <w:t>Nine Months Ended September 30,</w:t>
            </w:r>
          </w:p>
        </w:tc>
      </w:tr>
      <w:tr>
        <w:trPr>
          <w:trHeight w:val="183"/>
        </w:trPr>
        <w:tc>
          <w:tcPr>
            <w:tcW w:w="8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231F20"/>
              </w:rPr>
              <w:t>2020</w:t>
            </w:r>
          </w:p>
        </w:tc>
      </w:tr>
      <w:tr>
        <w:trPr>
          <w:trHeight w:val="193"/>
        </w:trPr>
        <w:tc>
          <w:tcPr>
            <w:tcW w:w="8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8160" w:type="dxa"/>
            <w:vAlign w:val="bottom"/>
          </w:tcPr>
          <w:p>
            <w:pPr>
              <w:ind w:left="20"/>
              <w:spacing w:after="0"/>
              <w:rPr>
                <w:sz w:val="20"/>
                <w:szCs w:val="20"/>
                <w:color w:val="auto"/>
              </w:rPr>
            </w:pPr>
            <w:r>
              <w:rPr>
                <w:rFonts w:ascii="Arial" w:cs="Arial" w:eastAsia="Arial" w:hAnsi="Arial"/>
                <w:sz w:val="14"/>
                <w:szCs w:val="14"/>
                <w:b w:val="1"/>
                <w:bCs w:val="1"/>
                <w:color w:val="231F20"/>
              </w:rPr>
              <w:t>Cash flows from operating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Net loss</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(357,797)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(21,682)</w:t>
            </w:r>
          </w:p>
        </w:tc>
      </w:tr>
      <w:tr>
        <w:trPr>
          <w:trHeight w:val="183"/>
        </w:trPr>
        <w:tc>
          <w:tcPr>
            <w:tcW w:w="8160" w:type="dxa"/>
            <w:vAlign w:val="bottom"/>
          </w:tcPr>
          <w:p>
            <w:pPr>
              <w:ind w:left="20"/>
              <w:spacing w:after="0"/>
              <w:rPr>
                <w:sz w:val="20"/>
                <w:szCs w:val="20"/>
                <w:color w:val="auto"/>
              </w:rPr>
            </w:pPr>
            <w:r>
              <w:rPr>
                <w:rFonts w:ascii="Arial" w:cs="Arial" w:eastAsia="Arial" w:hAnsi="Arial"/>
                <w:sz w:val="14"/>
                <w:szCs w:val="14"/>
                <w:color w:val="231F20"/>
              </w:rPr>
              <w:t>Adjustments to reconcile net loss to net cash from operating</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Depreciation of property and equipment</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Amortization of capitalized software</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802</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Provision for doubtful accounts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Amortization of intangible assets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8,665</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Amortization of other assets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Amortization of deferred financing costs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1,055</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Stock-based compensation</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Amortization of unfavorable lease terms</w:t>
            </w:r>
          </w:p>
        </w:tc>
        <w:tc>
          <w:tcPr>
            <w:tcW w:w="8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Write-off of unfavorable lease</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(Gain) Loss on sale and disposal of assets</w:t>
            </w:r>
          </w:p>
        </w:tc>
        <w:tc>
          <w:tcPr>
            <w:tcW w:w="8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In-kind interest that compounds into debt</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3,938</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Deferred income taxes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(952)</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Fair value adjustment of Earn-out Shares liability</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Fair value adjustment of Warrant liabilities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271,333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Debt prepayment expense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160" w:type="dxa"/>
            <w:vAlign w:val="bottom"/>
          </w:tcPr>
          <w:p>
            <w:pPr>
              <w:ind w:left="20"/>
              <w:spacing w:after="0"/>
              <w:rPr>
                <w:sz w:val="20"/>
                <w:szCs w:val="20"/>
                <w:color w:val="auto"/>
              </w:rPr>
            </w:pPr>
            <w:r>
              <w:rPr>
                <w:rFonts w:ascii="Arial" w:cs="Arial" w:eastAsia="Arial" w:hAnsi="Arial"/>
                <w:sz w:val="14"/>
                <w:szCs w:val="14"/>
                <w:color w:val="231F20"/>
              </w:rPr>
              <w:t>Changes in operating assets and liabilities: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Accounts receivables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4,055</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Prepaid expense and other current assets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Income taxes receivable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Inventory</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(1,140)</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Other assets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Accounts payable</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(1,398)</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Accrued payroll and other expenses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Other long-term liabilities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913</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Income taxes payable</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(2,668)</w:t>
            </w:r>
          </w:p>
        </w:tc>
      </w:tr>
      <w:tr>
        <w:trPr>
          <w:trHeight w:val="176"/>
        </w:trPr>
        <w:tc>
          <w:tcPr>
            <w:tcW w:w="816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231F20"/>
              </w:rPr>
              <w:t>Net cash used in operating activities</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(31,640)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(12,025)</w:t>
            </w:r>
          </w:p>
        </w:tc>
      </w:tr>
      <w:tr>
        <w:trPr>
          <w:trHeight w:val="175"/>
        </w:trPr>
        <w:tc>
          <w:tcPr>
            <w:tcW w:w="8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231F20"/>
              </w:rPr>
              <w:t>Cash flows used in investing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Cash paid for business acquisition, net of cash acquired</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(22,896)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Repayment of notes receivables from shareholders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Capital expenditures for intangible assets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Capital expenditures for property and equipment</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w:t>
            </w:r>
          </w:p>
        </w:tc>
      </w:tr>
      <w:tr>
        <w:trPr>
          <w:trHeight w:val="176"/>
        </w:trPr>
        <w:tc>
          <w:tcPr>
            <w:tcW w:w="8160" w:type="dxa"/>
            <w:vAlign w:val="bottom"/>
            <w:tcBorders>
              <w:bottom w:val="single" w:sz="8" w:color="CCEEFF"/>
            </w:tcBorders>
          </w:tcPr>
          <w:p>
            <w:pPr>
              <w:ind w:left="860"/>
              <w:spacing w:after="0"/>
              <w:rPr>
                <w:sz w:val="20"/>
                <w:szCs w:val="20"/>
                <w:color w:val="auto"/>
              </w:rPr>
            </w:pPr>
            <w:r>
              <w:rPr>
                <w:rFonts w:ascii="Arial" w:cs="Arial" w:eastAsia="Arial" w:hAnsi="Arial"/>
                <w:sz w:val="14"/>
                <w:szCs w:val="14"/>
                <w:color w:val="231F20"/>
              </w:rPr>
              <w:t>Net cash used in investing activities</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(2,697)</w:t>
            </w:r>
          </w:p>
        </w:tc>
      </w:tr>
      <w:tr>
        <w:trPr>
          <w:trHeight w:val="168"/>
        </w:trPr>
        <w:tc>
          <w:tcPr>
            <w:tcW w:w="81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231F20"/>
              </w:rPr>
              <w:t>Cash flows from financing activities: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Proceeds from issuance of convertible senior notes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Purchase of capped calls related to convertible senior notes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Proceeds from revolving facility</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6,500</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Repayment of revolving facility</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Proceeds from term loan</w:t>
            </w:r>
          </w:p>
        </w:tc>
        <w:tc>
          <w:tcPr>
            <w:tcW w:w="8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Payment of debt issuance costs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Repayment of term loan</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(225,486)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Proceeds from Business Combination, net of transaction costs (See Note 3)</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Deferred payment for acquisition</w:t>
            </w:r>
          </w:p>
        </w:tc>
        <w:tc>
          <w:tcPr>
            <w:tcW w:w="8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(901)</w:t>
            </w:r>
          </w:p>
        </w:tc>
      </w:tr>
      <w:tr>
        <w:trPr>
          <w:trHeight w:val="182"/>
        </w:trPr>
        <w:tc>
          <w:tcPr>
            <w:tcW w:w="816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4"/>
                <w:szCs w:val="14"/>
                <w:color w:val="231F20"/>
              </w:rPr>
              <w:t>Net cash from financing activities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770,825</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19,193</w:t>
            </w:r>
          </w:p>
        </w:tc>
      </w:tr>
      <w:tr>
        <w:trPr>
          <w:trHeight w:val="176"/>
        </w:trPr>
        <w:tc>
          <w:tcPr>
            <w:tcW w:w="8160" w:type="dxa"/>
            <w:vAlign w:val="bottom"/>
          </w:tcPr>
          <w:p>
            <w:pPr>
              <w:ind w:left="60"/>
              <w:spacing w:after="0"/>
              <w:rPr>
                <w:sz w:val="20"/>
                <w:szCs w:val="20"/>
                <w:color w:val="auto"/>
              </w:rPr>
            </w:pPr>
            <w:r>
              <w:rPr>
                <w:rFonts w:ascii="Arial" w:cs="Arial" w:eastAsia="Arial" w:hAnsi="Arial"/>
                <w:sz w:val="14"/>
                <w:szCs w:val="14"/>
                <w:color w:val="231F20"/>
              </w:rPr>
              <w:t>Net increase in cash and cash equivalents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709,984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4,471</w:t>
            </w:r>
          </w:p>
        </w:tc>
      </w:tr>
      <w:tr>
        <w:trPr>
          <w:trHeight w:val="188"/>
        </w:trPr>
        <w:tc>
          <w:tcPr>
            <w:tcW w:w="8160" w:type="dxa"/>
            <w:vAlign w:val="bottom"/>
            <w:shd w:val="clear" w:color="auto" w:fill="CCEEFF"/>
          </w:tcPr>
          <w:p>
            <w:pPr>
              <w:ind w:left="60"/>
              <w:spacing w:after="0"/>
              <w:rPr>
                <w:sz w:val="20"/>
                <w:szCs w:val="20"/>
                <w:color w:val="auto"/>
              </w:rPr>
            </w:pPr>
            <w:r>
              <w:rPr>
                <w:rFonts w:ascii="Arial" w:cs="Arial" w:eastAsia="Arial" w:hAnsi="Arial"/>
                <w:sz w:val="14"/>
                <w:szCs w:val="14"/>
                <w:color w:val="231F20"/>
              </w:rPr>
              <w:t>Effect of foreign currency translation on cash</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3"/>
        </w:trPr>
        <w:tc>
          <w:tcPr>
            <w:tcW w:w="81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231F20"/>
              </w:rPr>
              <w:t>Cash and cash equivalents, beginning of period</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7,307</w:t>
            </w:r>
          </w:p>
        </w:tc>
      </w:tr>
      <w:tr>
        <w:trPr>
          <w:trHeight w:val="207"/>
        </w:trPr>
        <w:tc>
          <w:tcPr>
            <w:tcW w:w="8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231F20"/>
              </w:rPr>
              <w:t>Cash and cash equivalents, end of period</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718,622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2"/>
        </w:trPr>
        <w:tc>
          <w:tcPr>
            <w:tcW w:w="8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231F20"/>
              </w:rPr>
              <w:t>Supplemental disclosures of cash flow information and non-cash investing and financing activities: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3"/>
        </w:trPr>
        <w:tc>
          <w:tcPr>
            <w:tcW w:w="7080" w:type="dxa"/>
            <w:vAlign w:val="bottom"/>
          </w:tcPr>
          <w:p>
            <w:pPr>
              <w:ind w:left="500"/>
              <w:spacing w:after="0"/>
              <w:rPr>
                <w:sz w:val="20"/>
                <w:szCs w:val="20"/>
                <w:color w:val="auto"/>
              </w:rPr>
            </w:pPr>
            <w:r>
              <w:rPr>
                <w:rFonts w:ascii="Arial" w:cs="Arial" w:eastAsia="Arial" w:hAnsi="Arial"/>
                <w:sz w:val="14"/>
                <w:szCs w:val="14"/>
                <w:color w:val="231F20"/>
              </w:rPr>
              <w:t>Cash paid for interest</w:t>
            </w:r>
          </w:p>
        </w:tc>
        <w:tc>
          <w:tcPr>
            <w:tcW w:w="16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10,249</w:t>
            </w:r>
          </w:p>
        </w:tc>
        <w:tc>
          <w:tcPr>
            <w:tcW w:w="64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10,432</w:t>
            </w:r>
          </w:p>
        </w:tc>
      </w:tr>
      <w:tr>
        <w:trPr>
          <w:trHeight w:val="188"/>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Cash paid for income taxes</w:t>
            </w:r>
          </w:p>
        </w:tc>
        <w:tc>
          <w:tcPr>
            <w:tcW w:w="1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188</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r>
      <w:tr>
        <w:trPr>
          <w:trHeight w:val="183"/>
        </w:trPr>
        <w:tc>
          <w:tcPr>
            <w:tcW w:w="7080" w:type="dxa"/>
            <w:vAlign w:val="bottom"/>
          </w:tcPr>
          <w:p>
            <w:pPr>
              <w:ind w:left="500"/>
              <w:spacing w:after="0"/>
              <w:rPr>
                <w:sz w:val="20"/>
                <w:szCs w:val="20"/>
                <w:color w:val="auto"/>
              </w:rPr>
            </w:pPr>
            <w:r>
              <w:rPr>
                <w:rFonts w:ascii="Arial" w:cs="Arial" w:eastAsia="Arial" w:hAnsi="Arial"/>
                <w:sz w:val="14"/>
                <w:szCs w:val="14"/>
                <w:color w:val="231F20"/>
              </w:rPr>
              <w:t>Issuance of Earn-out shares</w:t>
            </w:r>
          </w:p>
        </w:tc>
        <w:tc>
          <w:tcPr>
            <w:tcW w:w="16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136,575</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Trade receivables due from seller</w:t>
            </w:r>
          </w:p>
        </w:tc>
        <w:tc>
          <w:tcPr>
            <w:tcW w:w="1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6,623</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80" w:type="dxa"/>
            <w:vAlign w:val="bottom"/>
          </w:tcPr>
          <w:p>
            <w:pPr>
              <w:ind w:left="500"/>
              <w:spacing w:after="0"/>
              <w:rPr>
                <w:sz w:val="20"/>
                <w:szCs w:val="20"/>
                <w:color w:val="auto"/>
              </w:rPr>
            </w:pPr>
            <w:r>
              <w:rPr>
                <w:rFonts w:ascii="Arial" w:cs="Arial" w:eastAsia="Arial" w:hAnsi="Arial"/>
                <w:sz w:val="14"/>
                <w:szCs w:val="14"/>
                <w:color w:val="231F20"/>
              </w:rPr>
              <w:t>Notes payable to seller</w:t>
            </w:r>
          </w:p>
        </w:tc>
        <w:tc>
          <w:tcPr>
            <w:tcW w:w="16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2,153</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Change in deferred tax liability due to reverse recapitalization</w:t>
            </w:r>
          </w:p>
        </w:tc>
        <w:tc>
          <w:tcPr>
            <w:tcW w:w="1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080" w:type="dxa"/>
            <w:vAlign w:val="bottom"/>
          </w:tcPr>
          <w:p>
            <w:pPr>
              <w:ind w:left="500"/>
              <w:spacing w:after="0"/>
              <w:rPr>
                <w:sz w:val="20"/>
                <w:szCs w:val="20"/>
                <w:color w:val="auto"/>
              </w:rPr>
            </w:pPr>
            <w:r>
              <w:rPr>
                <w:rFonts w:ascii="Arial" w:cs="Arial" w:eastAsia="Arial" w:hAnsi="Arial"/>
                <w:sz w:val="14"/>
                <w:szCs w:val="14"/>
                <w:color w:val="231F20"/>
              </w:rPr>
              <w:t>Capital expenditures included in accounts payable</w:t>
            </w:r>
          </w:p>
        </w:tc>
        <w:tc>
          <w:tcPr>
            <w:tcW w:w="16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512</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739</w:t>
            </w:r>
          </w:p>
        </w:tc>
      </w:tr>
    </w:tbl>
    <w:p>
      <w:pPr>
        <w:spacing w:after="0" w:line="37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0"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The Beauty Health Company, formerly known as Vesper Healthcare Acquisition Corp. (the “Company” or “BeautyHealth”), was incorporated in Delaware on July 8, 2020. The Company was originally formed for the purpose of entering into a merger, capital stock exchange, asset acquisition, stock purchase, reorganization or similar business combination with one or more businesses.</w:t>
      </w:r>
    </w:p>
    <w:p>
      <w:pPr>
        <w:spacing w:after="0" w:line="215"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On May 4, 2021 (the “Closing Date”), the Company consummated the previously announced business combination pursuant to that certain Agreement and Plan of Merger, dated December 8, 2020 (the “Merger Agreement”), by and among Vesper Healthcare Acquisition Corp. (“Vesper Healthcare”),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00" w:lineRule="exact"/>
        <w:rPr>
          <w:sz w:val="20"/>
          <w:szCs w:val="20"/>
          <w:color w:val="auto"/>
        </w:rPr>
      </w:pPr>
    </w:p>
    <w:p>
      <w:pPr>
        <w:spacing w:after="0" w:line="20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In connection with the Closing, the Company changed its name from “Vesper Healthcare Acquisition Corp.” to “The Beauty Health Company”. Following the Closing, on May 6, 2021, the Company’s Class A Common Stock and publicly traded warrants were listed on the Nasdaq Capital Market (“Nasdaq”) under the symbols, “SKIN” and “SKINW”, respectively. The transactions set forth in the Merger Agreement constitute a “Business Combination” as contemplated by Vesper Healthcare’s Second Amended and Restated Certificate of Incorporation.</w:t>
      </w:r>
    </w:p>
    <w:p>
      <w:pPr>
        <w:spacing w:after="0" w:line="20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Unless the context otherwise requires, in this Quarterly Report on Form 10-Q, the “Company” refers to Vesper Healthcare Acquisition Corp. prior to the closing of the Business Combination and to the combined company and its subsidiaries following the Closing and “HydraFacial” refers to the business of LCP Edge Intermediate, Inc. and its subsidiaries prior to the Closing and the business of the combined company and its subsidiaries following the Closing.</w:t>
      </w:r>
    </w:p>
    <w:p>
      <w:pPr>
        <w:spacing w:after="0" w:line="163"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BeautyHealth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uses a unique delivery system to cleanse, extract, and hydrate with their patented hydradermabrasion technology and super serums that are made with nourishing ingredients.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4" w:lineRule="exact"/>
        <w:rPr>
          <w:sz w:val="20"/>
          <w:szCs w:val="20"/>
          <w:color w:val="auto"/>
        </w:rPr>
      </w:pPr>
    </w:p>
    <w:p>
      <w:pPr>
        <w:ind w:right="380" w:firstLine="318"/>
        <w:spacing w:after="0" w:line="277"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of America (“GAAP”). Under this method of accounting, the Company is treated as the “acquired” company for financial reporting purposes and HydraFacial is treated as the accounting acquirer. This determination was primarily based on the following: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ind w:left="640" w:right="60" w:hanging="316"/>
        <w:spacing w:after="0" w:line="22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stockholders of LCP Edge Intermediate, Inc., the indirect parent of Edge Systems LLC d/b/a The HydraFacial Company as of immediately prior to the effective time of the First Merger (the “HydraFacial Stockholders”) considered in the aggregate have the largest minority interest of the voting power in the combined entity after taking into account actual redemptions;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operations of HydraFacial prior to the acquisition comprise the only ongoing operations of the post-combination company;</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management of HydraFacial comprises the senior management of the post-combination company;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 size and valuation of HydraFacial compared to the Company; and</w:t>
      </w:r>
    </w:p>
    <w:p>
      <w:pPr>
        <w:spacing w:after="0" w:line="5" w:lineRule="exact"/>
        <w:rPr>
          <w:rFonts w:ascii="Arial" w:cs="Arial" w:eastAsia="Arial" w:hAnsi="Arial"/>
          <w:sz w:val="18"/>
          <w:szCs w:val="18"/>
          <w:color w:val="auto"/>
        </w:rPr>
      </w:pPr>
    </w:p>
    <w:p>
      <w:pPr>
        <w:ind w:left="640" w:right="60" w:hanging="316"/>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that certain Investor Rights Agreement, dated as of May 4, 2021, by and between the Company and HydraFacial, HydraFacial was given the right to designate certain initial members of the board of directors of the Company immediately after giving effect to the transactions contemplated by the Merger Agreement.</w:t>
      </w:r>
    </w:p>
    <w:p>
      <w:pPr>
        <w:spacing w:after="0" w:line="221"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Consideration was also given to the fact that the Company paid a purchase price consisting of a combination of cash and equity consideration and its shareholders may have a significant amount of voting power, should the Company’s public stockholders be considered in the aggregate. However, based on the aforementioned factors of management, board representation, largest minority shareholder as noted above, and the continuation of the HydraFacial business as well as its size, it was determined that accounting for the Business Combination as a reverse recapitalization was appropriate.</w:t>
      </w:r>
    </w:p>
    <w:p>
      <w:pPr>
        <w:spacing w:after="0" w:line="172"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Accordingly, for accounting purposes, the financial statements of the Company represent a continuation of the financial statements of HydraFacial with the acquisition being treated as the equivalent of HydraFacial issuing stock for the net assets of the Company, accompanied by a recapitalization. The net assets of the Company are stated at historical cost, with no goodwill or other intangible assets recorded.</w:t>
      </w:r>
    </w:p>
    <w:p>
      <w:pPr>
        <w:spacing w:after="0" w:line="198"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In connection with the Business Combination each share of HydraFacial common stock outstanding immediately prior to the Business Combination converted into the right to receive 653.109 shares (the “Exchange Ratio”) of Class A Common Stock of the Company. The recapitalization of the number of shares of Common Stock attributable to HydraFacial is reflected retroactively to the earliest period presented based upon the Exchange Ratio and is utilized for calculating earnings per share in all prior periods presented.</w:t>
      </w:r>
    </w:p>
    <w:p>
      <w:pPr>
        <w:spacing w:after="0" w:line="217"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interim Condensed Consolidated Financial Statements in this report on Form 10-Q are presented in accordance with GAAP and include the Company’s consolidated domestic and international subsidiaries. Certain information and disclosures normally included in consolidated financial statements prepared in accordance with GAAP have been condensed or omitted. Accordingly, the interim Condensed Consolidated Financial Statements in this report on Form 10-Q and the accompanying footnotes should be read in conjunction with the audited consolidated financial statements of BeautyHealth and HydraFacial as of and for the year ended December 31, 2020 presented in the Company’s Registration Statement on Form S-1 filed with the Securities and Exchange Commission (“SEC” or “Commission”) on July 19, 2021.</w:t>
      </w:r>
    </w:p>
    <w:p>
      <w:pPr>
        <w:spacing w:after="0" w:line="20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Except as described elsewhere in this Note 2, there have been no material changes to the Company’s significant accounting policies as described in HydraFacial’s Consolidated Financial Statements as of and for the year ended December 31, 2020.</w:t>
      </w:r>
    </w:p>
    <w:p>
      <w:pPr>
        <w:spacing w:after="0" w:line="207"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 the opinion of management, all adjustments, of a normal recurring nature, considered necessary for a fair presentation have been included in the Condensed Consolidated Financial Statements in this report on Form 10-Q. The Company believes that the disclosures provided herein are adequate to prevent the information presented from being misleading. However, the results of operations for the three and nine months ended September 30, 2021 are not necessarily indicative of the results of operations to be expected for the full year ending December 31, 2021.</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Use of estimates and assumptions in preparing consolidated financial statements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doubtful accounts, the realizability of inventory, fair value measurements including common stock, warrant liabilities and earn-out shares liability valuations, useful lives of property and equipment, goodwill and finite-lived intangible 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its current estimates and those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4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as amended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will lose its emerging growth company status on December 31, 2021, at which point, it will qualify as a large accelerated filer based on its market capitalization as of June 30, 2021, according to Rule 12b-2 of the Exchange Act. As a result, the Company will adopt all accounting pronouncements currently deferred under the emerging growth company election according to public company standards at December 31, 2021 on the Company’s annual report on Form 10-K for the year ended December 31, 2021. The adoption dates for the new accounting pronouncements disclosed below have been presented as such.</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1"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All highly liquid investments, including credit card receivables due from banks, with original maturities of 90 days or less at date of purchase, are reported at fair value and are considered to be cash equivalents.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1"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 xml:space="preserve">On September 14, 2021, the Company issued an aggregate of $750 million in principal amount of its 1.25% Convertible Senior Notes due 2026 (the “Notes”) in a private placement to qualified institutional buyers pursuant to Rule 144 under the Securities Act of 1933, as amended. The Notes were issued pursuant to, and are governed by, an indenture (the “Indenture”), dated as of September 14, 2021, between the Company and U.S. Bank National Association, as trustee (the “Trustee”). The Company accounts for the Notes under Accounting Standards Codification (“ASC”) ASC 470-20 - </w:t>
      </w:r>
      <w:r>
        <w:rPr>
          <w:rFonts w:ascii="Arial" w:cs="Arial" w:eastAsia="Arial" w:hAnsi="Arial"/>
          <w:sz w:val="17"/>
          <w:szCs w:val="17"/>
          <w:i w:val="1"/>
          <w:iCs w:val="1"/>
          <w:color w:val="auto"/>
        </w:rPr>
        <w:t>Debt with Conversion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Options and Derivatives and Hedging—Contracts in Entity's Own Equity </w:t>
      </w:r>
      <w:r>
        <w:rPr>
          <w:rFonts w:ascii="Arial" w:cs="Arial" w:eastAsia="Arial" w:hAnsi="Arial"/>
          <w:sz w:val="17"/>
          <w:szCs w:val="17"/>
          <w:color w:val="auto"/>
        </w:rPr>
        <w:t>(“ASU 2020-06”), which the Company early adopted in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2021 concurrent with the issuance of the Notes. The Company records the Notes in “Long-term liabilities” at face value net of issuance costs. If any of the conditions to the convertibility of the Notes is satisfied, or the Notes become due within one year, then the Company may be required under applicable accounting standards to reclassify the carrying value of the Notes as a current, rather than a long-term, liability. Refer to Note 9 - Long-term Debt for further detail.</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 equity in its Condensed Consolidated Balance Sheet. The Company also determined that the capped call option contracts meet the definition of a derivative under ASC 815 -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(“ASC 815”), but are not required to be accounted for as a derivative as they meet the scope exception outlined in ASC 815. The</w:t>
      </w:r>
      <w:r>
        <w:rPr>
          <w:rFonts w:ascii="Arial" w:cs="Arial" w:eastAsia="Arial" w:hAnsi="Arial"/>
          <w:sz w:val="17"/>
          <w:szCs w:val="17"/>
          <w:i w:val="1"/>
          <w:iCs w:val="1"/>
          <w:color w:val="auto"/>
        </w:rPr>
        <w:t xml:space="preserve"> </w:t>
      </w:r>
      <w:r>
        <w:rPr>
          <w:rFonts w:ascii="Arial" w:cs="Arial" w:eastAsia="Arial" w:hAnsi="Arial"/>
          <w:sz w:val="17"/>
          <w:szCs w:val="17"/>
          <w:color w:val="auto"/>
        </w:rPr>
        <w:t>capped call options are recorded in APIC and not remeasured.</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Issuance Costs</w:t>
      </w:r>
    </w:p>
    <w:p>
      <w:pPr>
        <w:spacing w:after="0" w:line="111" w:lineRule="exact"/>
        <w:rPr>
          <w:sz w:val="20"/>
          <w:szCs w:val="20"/>
          <w:color w:val="auto"/>
        </w:rPr>
      </w:pPr>
    </w:p>
    <w:p>
      <w:pPr>
        <w:ind w:right="300" w:firstLine="318"/>
        <w:spacing w:after="0" w:line="365" w:lineRule="auto"/>
        <w:rPr>
          <w:sz w:val="20"/>
          <w:szCs w:val="20"/>
          <w:color w:val="auto"/>
        </w:rPr>
      </w:pPr>
      <w:r>
        <w:rPr>
          <w:rFonts w:ascii="Arial" w:cs="Arial" w:eastAsia="Arial" w:hAnsi="Arial"/>
          <w:sz w:val="15"/>
          <w:szCs w:val="15"/>
          <w:color w:val="auto"/>
        </w:rPr>
        <w:t>Issuance costs related to our Notes offering were capitalized and offset against proceeds from the Notes. Issuance costs consist of legal and other costs related to the issuance of the Notes and are amortized to interest expense over the term of the Notes. Refer to Note 9 - Long-term Debt for further detail.</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3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5"/>
          <w:szCs w:val="15"/>
          <w:color w:val="auto"/>
        </w:rPr>
        <w:t>During October 2020, in connection with Vesper Healthcare Acquisition Corp’s initial public offering, the Company issued 15,333,333 warrants (the “Public Warrants”) to purchase shares of the Company’s common stock at $11.50 per share. Simultaneously, with the consummation of Vesper Healthcare Acquisition Corp’s initial public offering, the Company issued 9,333,333 warrants (the “Private Placement Warrants” and, together with the Public Warrants, the “Public and Private Placement Warrants”) to purchase shares of the Company’s common stock at $11.50 per share, to BLS Investor Group LLC (the</w:t>
      </w:r>
    </w:p>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“Sponsor”). All of the Public and Private Placement Warrants were outstanding as of September 30, 2021. Subsequent to September 30, 2021, the Company delivered a Notice of Redemption (the “Notice of Redemption”) calling for the redemption of all of its outstanding Public Warrants to purchase shares of the Company’s Class A Common Stock, par value $0.0001 per share. Refer to Note 18 - Subsequent Events for further detail.</w:t>
      </w:r>
    </w:p>
    <w:p>
      <w:pPr>
        <w:spacing w:after="0" w:line="199"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7"/>
          <w:szCs w:val="17"/>
          <w:color w:val="auto"/>
        </w:rPr>
        <w:t xml:space="preserve">The Company classifies the Public and Private Placement Warrants as liabilities on its Condensed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In certain events outside of the Company’s control, the Public Warrant and Private Placement Warrant holders are entitled to receive cash while in certain scenarios the holders of the Company’s common stock are not entitled to receive cash or may receive less than 100% of any proceeds in cash, which precludes these instruments from being classified within equity pursuant to ASC 815-40. The Public and Private Placement Warrants were initially recorded at fair value on the date of the Business Combination and are subsequently adjusted to fair value at each subsequent reporting date. Changes in the fair value of these instruments are recognized within change in fair value of warrant liabilities in the Company’s </w:t>
      </w:r>
      <w:r>
        <w:rPr>
          <w:rFonts w:ascii="Arial" w:cs="Arial" w:eastAsia="Arial" w:hAnsi="Arial"/>
          <w:sz w:val="17"/>
          <w:szCs w:val="17"/>
          <w:color w:val="231F20"/>
        </w:rPr>
        <w:t>Condensed Consolidated</w:t>
      </w:r>
      <w:r>
        <w:rPr>
          <w:rFonts w:ascii="Arial" w:cs="Arial" w:eastAsia="Arial" w:hAnsi="Arial"/>
          <w:sz w:val="17"/>
          <w:szCs w:val="17"/>
          <w:color w:val="auto"/>
        </w:rPr>
        <w:t xml:space="preserve"> </w:t>
      </w:r>
      <w:r>
        <w:rPr>
          <w:rFonts w:ascii="Arial" w:cs="Arial" w:eastAsia="Arial" w:hAnsi="Arial"/>
          <w:sz w:val="17"/>
          <w:szCs w:val="17"/>
          <w:color w:val="231F20"/>
        </w:rPr>
        <w:t>Statements of Comprehensive Loss</w:t>
      </w:r>
      <w:r>
        <w:rPr>
          <w:rFonts w:ascii="Arial" w:cs="Arial" w:eastAsia="Arial" w:hAnsi="Arial"/>
          <w:sz w:val="17"/>
          <w:szCs w:val="17"/>
          <w:color w:val="000000"/>
        </w:rPr>
        <w: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Earn-out Shares Liability</w:t>
      </w:r>
    </w:p>
    <w:p>
      <w:pPr>
        <w:spacing w:after="0" w:line="217"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In addition to the consideration paid at the closing of the Business Combination, the former stockholders of HydraFacial received contingent consideration in the form of an aggregate of 7.5 million shares of the Company’s Class A Common Stock (the “Earn-out Shares”) as a result of the Company’s completion of the acquisitions of four target businesses, as contemplated by the Merger Agreement, in June and July 2021 that were identified by HydraFacial. With the closing of these four distributor acquisitions in Australia, France, Germany and Mexico, the 7.5 million Earn-out Shares were earned and subsequently issued on July 15, 2021.</w:t>
      </w:r>
    </w:p>
    <w:p>
      <w:pPr>
        <w:spacing w:after="0" w:line="204"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 xml:space="preserve">The Company accounted for the Earn-out Shares liability as contingent consideration and recorded an Earn-out Shares liability for the Earn-out Shares in accordance with ASC 480 –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The liability was included as part of the consideration transferred in the Business Combination and was recorded at its then current fair value. The Earn-out Shares liability was recorded at fair value and remeasured at the end of each reporting period, with the corresponding gain or loss recorded in the Company’s Condensed Consolidated Statements of Comprehensive Loss as a component of </w:t>
      </w:r>
      <w:r>
        <w:rPr>
          <w:rFonts w:ascii="Arial" w:cs="Arial" w:eastAsia="Arial" w:hAnsi="Arial"/>
          <w:sz w:val="18"/>
          <w:szCs w:val="18"/>
          <w:color w:val="231F20"/>
        </w:rPr>
        <w:t>Other (income) expense, net.</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 xml:space="preserve">The fair value of the Notes that are recorded at historical cost was $833 million as of September 30, 2021, and was determined using the last trade price in active markets. With the exception of the Company’s Notes, the fair value of the Company’s assets and liabilities that are recorded at historical amounts and that qualify as financial instruments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Company’s Condensed Consolidated Balance Sheets, primarily due to their short-term nature.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4"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43" w:lineRule="exact"/>
        <w:rPr>
          <w:rFonts w:ascii="Arial" w:cs="Arial" w:eastAsia="Arial" w:hAnsi="Arial"/>
          <w:sz w:val="18"/>
          <w:szCs w:val="18"/>
          <w:color w:val="auto"/>
        </w:rPr>
      </w:pPr>
    </w:p>
    <w:p>
      <w:pPr>
        <w:ind w:left="640" w:right="6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83" w:lineRule="exact"/>
        <w:rPr>
          <w:rFonts w:ascii="Arial" w:cs="Arial" w:eastAsia="Arial" w:hAnsi="Arial"/>
          <w:sz w:val="17"/>
          <w:szCs w:val="17"/>
          <w:color w:val="auto"/>
        </w:rPr>
      </w:pPr>
    </w:p>
    <w:p>
      <w:pPr>
        <w:ind w:left="640" w:right="2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No. 2018-15, Intangibles-Goodwill and Other-Internal-Use Software (Subtopic 350-40): Customer’s Accounting for Implementation Costs Incurred in a Cloud Computing Arrangement that is a Service Contract (ASU 2018-15), which requires implementation costs incurred by customers in cloud computing arrangements (i.e. hosting arrangements) to be capitalized under the same premises of authoritative guidance for internal-use software, and deferred over the non-cancellable term of the cloud computing arrangements plus any optional renewal periods that are reasonably certain to be exercised by the customer or for which the exercise is controlled by the service provider. ASU 2018-15 is effective for fiscal years beginning after December 15, 2019, and interim periods within those fiscal years, with early adoption permitted. The Company adopted ASU 2018-15 on January 1, 2021 and the guidance did not have a material impact on its Condensed Consolidated Financial Statements.</w:t>
      </w:r>
    </w:p>
    <w:p>
      <w:pPr>
        <w:spacing w:after="0" w:line="208" w:lineRule="exact"/>
        <w:rPr>
          <w:sz w:val="20"/>
          <w:szCs w:val="20"/>
          <w:color w:val="auto"/>
        </w:rPr>
      </w:pPr>
    </w:p>
    <w:p>
      <w:pPr>
        <w:ind w:right="340" w:firstLine="318"/>
        <w:spacing w:after="0" w:line="318" w:lineRule="auto"/>
        <w:rPr>
          <w:sz w:val="20"/>
          <w:szCs w:val="20"/>
          <w:color w:val="auto"/>
        </w:rPr>
      </w:pPr>
      <w:r>
        <w:rPr>
          <w:rFonts w:ascii="Arial" w:cs="Arial" w:eastAsia="Arial" w:hAnsi="Arial"/>
          <w:sz w:val="15"/>
          <w:szCs w:val="15"/>
          <w:color w:val="auto"/>
        </w:rPr>
        <w:t xml:space="preserve">In December 2019, FASB issued ASU No.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 2019-12”).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The Company adopted ASU 2019-12 on January 1, 2021, which did not have a material impact on its Condensed Consolidated Financial Statements.</w:t>
      </w:r>
    </w:p>
    <w:p>
      <w:pPr>
        <w:spacing w:after="0" w:line="172"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 xml:space="preserve">In August 2020, the FASB issued ASU No. 2020-06, </w:t>
      </w:r>
      <w:r>
        <w:rPr>
          <w:rFonts w:ascii="Arial" w:cs="Arial" w:eastAsia="Arial" w:hAnsi="Arial"/>
          <w:sz w:val="15"/>
          <w:szCs w:val="15"/>
          <w:i w:val="1"/>
          <w:iCs w:val="1"/>
          <w:color w:val="auto"/>
        </w:rPr>
        <w:t>Debt-Debt with Conversion and Other Options (Subtopic 470-20) and Derivatives and Hedging-Contracts in Entity’s Own Equity (Subtopic 815-40)</w:t>
      </w:r>
      <w:r>
        <w:rPr>
          <w:rFonts w:ascii="Arial" w:cs="Arial" w:eastAsia="Arial" w:hAnsi="Arial"/>
          <w:sz w:val="15"/>
          <w:szCs w:val="15"/>
          <w:color w:val="auto"/>
        </w:rPr>
        <w:t>:</w:t>
      </w:r>
      <w:r>
        <w:rPr>
          <w:rFonts w:ascii="Arial" w:cs="Arial" w:eastAsia="Arial" w:hAnsi="Arial"/>
          <w:sz w:val="15"/>
          <w:szCs w:val="15"/>
          <w:i w:val="1"/>
          <w:iCs w:val="1"/>
          <w:color w:val="auto"/>
        </w:rPr>
        <w:t xml:space="preserve"> Accounting for Convertible Instruments and Contracts in an Entity’s Own Equity </w:t>
      </w:r>
      <w:r>
        <w:rPr>
          <w:rFonts w:ascii="Arial" w:cs="Arial" w:eastAsia="Arial" w:hAnsi="Arial"/>
          <w:sz w:val="15"/>
          <w:szCs w:val="15"/>
          <w:color w:val="auto"/>
        </w:rPr>
        <w:t>(“ASU 2020-06”). The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amendments eliminate two of the three accounting models that require separate accounting for convertible features of debt securities, simplify the contract settlement assessment for equity classification, require the use of the if-converted method for all convertible instruments in the diluted earnings per share calculation and expand disclosure requirements. The amendments are effective for our annual and interim reporting periods beginning after December 15, 2021, with early adoption permitted for reporting periods beginning after December 15, 2020. The guidance can be applied on a full retrospective basis to all periods presented or a modified retrospective basis with a cumulative effect adjustment to the opening balance of retained earnings during the period of adoption. The Company adopted ASU 2020-06 on January 1, 2021. There were no changes to the Company’s previously issued financial statements since the Company had no existing convertible notes prior to issuance of the Notes. With the adoption of ASU 2020-06, the Company recorded the issuance of the Notes at their face value net of issuance costs in long-term liabilities and the value of the capped call options in APIC.</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requires lessees to recognize assets and liabilities on the balance sheet for the rights and obligations created by all leases with terms of more than 12 months. The Company will adopt this guidance on December 31, 2021 and expects to recognize approximately $17 million to $21 million of operating lease liabilities and related right-of-use assets on the Company’s Condensed Consolidated Balance Sheets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 - Reverse Recapitalization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and an aggregate purchase price of $350,000,000 (the “PIPE Investment”). The PIPE Investment was consummated substantially concurrently with the Closing of the Business Combination.</w:t>
      </w:r>
    </w:p>
    <w:p>
      <w:pPr>
        <w:spacing w:after="0" w:line="217"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 of Founder Shares.</w:t>
      </w:r>
    </w:p>
    <w:p>
      <w:pPr>
        <w:spacing w:after="0" w:line="217" w:lineRule="exact"/>
        <w:rPr>
          <w:rFonts w:ascii="Arial" w:cs="Arial" w:eastAsia="Arial" w:hAnsi="Arial"/>
          <w:sz w:val="18"/>
          <w:szCs w:val="18"/>
          <w:color w:val="auto"/>
        </w:rPr>
      </w:pPr>
    </w:p>
    <w:p>
      <w:pPr>
        <w:ind w:left="640" w:right="1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Closing, holders of 2,672,690 shares of the Company’s Class A Common Stock exercised their rights for the Company to redeem their respective shares for cash at an approximate price of $10.00 per share, for an aggregate of approximately $26,737,737, which was paid to such holders at Closing.</w:t>
      </w:r>
    </w:p>
    <w:p>
      <w:pPr>
        <w:spacing w:after="0" w:line="21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after giving effect to the Merger and the PIPE Investment, there were 125,329,053 shares of the Company’s Class A Common Stock issued and outstanding.</w:t>
      </w:r>
    </w:p>
    <w:p>
      <w:pPr>
        <w:spacing w:after="0" w:line="207" w:lineRule="exact"/>
        <w:rPr>
          <w:rFonts w:ascii="Arial" w:cs="Arial" w:eastAsia="Arial" w:hAnsi="Arial"/>
          <w:sz w:val="18"/>
          <w:szCs w:val="18"/>
          <w:color w:val="auto"/>
        </w:rPr>
      </w:pPr>
    </w:p>
    <w:p>
      <w:pPr>
        <w:ind w:left="640" w:right="40" w:hanging="316"/>
        <w:spacing w:after="0" w:line="300"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w:t>
      </w:r>
    </w:p>
    <w:p>
      <w:pPr>
        <w:ind w:left="640" w:right="60"/>
        <w:spacing w:after="0" w:line="246" w:lineRule="auto"/>
        <w:rPr>
          <w:rFonts w:ascii="Arial" w:cs="Arial" w:eastAsia="Arial" w:hAnsi="Arial"/>
          <w:sz w:val="15"/>
          <w:szCs w:val="15"/>
          <w:color w:val="auto"/>
        </w:rPr>
      </w:pPr>
      <w:r>
        <w:rPr>
          <w:rFonts w:ascii="Arial" w:cs="Arial" w:eastAsia="Arial" w:hAnsi="Arial"/>
          <w:sz w:val="18"/>
          <w:szCs w:val="18"/>
          <w:color w:val="auto"/>
        </w:rPr>
        <w:t>$368 million, which consisted of cash payments made to the former shareholders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 subject to a working capital adjustment of $0.7 million. The Company also issued 70,860 shares related to the working capital adjustment.</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reconciles the elements of the Business Combination to the Company’s Condensed Consolidated Statements of Cash Flows and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Stockholders’ Equity (Deficit) for the nine months ended September 30,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6"/>
                <w:szCs w:val="16"/>
                <w:color w:val="auto"/>
              </w:rPr>
            </w:pPr>
          </w:p>
        </w:tc>
        <w:tc>
          <w:tcPr>
            <w:tcW w:w="2120" w:type="dxa"/>
            <w:vAlign w:val="bottom"/>
          </w:tcPr>
          <w:p>
            <w:pPr>
              <w:jc w:val="right"/>
              <w:ind w:right="714"/>
              <w:spacing w:after="0"/>
              <w:rPr>
                <w:sz w:val="20"/>
                <w:szCs w:val="20"/>
                <w:color w:val="auto"/>
              </w:rPr>
            </w:pPr>
            <w:r>
              <w:rPr>
                <w:rFonts w:ascii="Arial" w:cs="Arial" w:eastAsia="Arial" w:hAnsi="Arial"/>
                <w:sz w:val="14"/>
                <w:szCs w:val="14"/>
                <w:b w:val="1"/>
                <w:bCs w:val="1"/>
                <w:color w:val="auto"/>
              </w:rPr>
              <w:t>Recapitalization</w:t>
            </w:r>
          </w:p>
        </w:tc>
      </w:tr>
      <w:tr>
        <w:trPr>
          <w:trHeight w:val="231"/>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trust net of redemptions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433,382</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Cash - PIPE</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to Former Parent</w:t>
            </w: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(367,870)</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(56,976)</w:t>
            </w: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from net working capital adjustment related to acquisitions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19"/>
        </w:trPr>
        <w:tc>
          <w:tcPr>
            <w:tcW w:w="8660" w:type="dxa"/>
            <w:vAlign w:val="bottom"/>
          </w:tcPr>
          <w:p>
            <w:pPr>
              <w:ind w:left="20"/>
              <w:spacing w:after="0"/>
              <w:rPr>
                <w:sz w:val="20"/>
                <w:szCs w:val="20"/>
                <w:color w:val="auto"/>
              </w:rPr>
            </w:pPr>
            <w:r>
              <w:rPr>
                <w:rFonts w:ascii="Arial" w:cs="Arial" w:eastAsia="Arial" w:hAnsi="Arial"/>
                <w:sz w:val="18"/>
                <w:szCs w:val="18"/>
                <w:color w:val="auto"/>
              </w:rPr>
              <w:t>Net Cash Received from Business Combination</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357,802</w:t>
            </w:r>
          </w:p>
        </w:tc>
      </w:tr>
      <w:tr>
        <w:trPr>
          <w:trHeight w:val="20"/>
        </w:trPr>
        <w:tc>
          <w:tcPr>
            <w:tcW w:w="8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Class A Common Stock issued following the consummation of the Business Combination: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580" w:type="dxa"/>
            <w:vAlign w:val="bottom"/>
          </w:tcPr>
          <w:p>
            <w:pPr>
              <w:jc w:val="right"/>
              <w:ind w:right="653"/>
              <w:spacing w:after="0"/>
              <w:rPr>
                <w:sz w:val="20"/>
                <w:szCs w:val="20"/>
                <w:color w:val="auto"/>
              </w:rPr>
            </w:pPr>
            <w:r>
              <w:rPr>
                <w:rFonts w:ascii="Arial" w:cs="Arial" w:eastAsia="Arial" w:hAnsi="Arial"/>
                <w:sz w:val="14"/>
                <w:szCs w:val="14"/>
                <w:b w:val="1"/>
                <w:bCs w:val="1"/>
                <w:color w:val="auto"/>
              </w:rPr>
              <w:t>Number of Shares</w:t>
            </w:r>
          </w:p>
        </w:tc>
      </w:tr>
      <w:tr>
        <w:trPr>
          <w:trHeight w:val="231"/>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prior to Business Combination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Vesper Class A Common Stock</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(2,672,690)</w:t>
            </w: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of Vesper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43,327,310</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Founder shares (Vesper Class B Common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11,500,000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Shares</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r>
      <w:tr>
        <w:trPr>
          <w:trHeight w:val="218"/>
        </w:trPr>
        <w:tc>
          <w:tcPr>
            <w:tcW w:w="8660" w:type="dxa"/>
            <w:vAlign w:val="bottom"/>
          </w:tcPr>
          <w:p>
            <w:pPr>
              <w:ind w:left="20"/>
              <w:spacing w:after="0"/>
              <w:rPr>
                <w:sz w:val="20"/>
                <w:szCs w:val="20"/>
                <w:color w:val="auto"/>
              </w:rPr>
            </w:pPr>
            <w:r>
              <w:rPr>
                <w:rFonts w:ascii="Arial" w:cs="Arial" w:eastAsia="Arial" w:hAnsi="Arial"/>
                <w:sz w:val="18"/>
                <w:szCs w:val="18"/>
                <w:color w:val="auto"/>
              </w:rPr>
              <w:t>Business Combination and PIPE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89,827,310</w:t>
            </w:r>
          </w:p>
        </w:tc>
      </w:tr>
      <w:tr>
        <w:trPr>
          <w:trHeight w:val="226"/>
        </w:trPr>
        <w:tc>
          <w:tcPr>
            <w:tcW w:w="86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Legacy HydraFacial shares </w:t>
            </w:r>
            <w:r>
              <w:rPr>
                <w:rFonts w:ascii="Arial" w:cs="Arial" w:eastAsia="Arial" w:hAnsi="Arial"/>
                <w:sz w:val="22"/>
                <w:szCs w:val="22"/>
                <w:color w:val="auto"/>
                <w:vertAlign w:val="superscript"/>
              </w:rPr>
              <w:t>(1)</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35,501,743</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 Class A Common Stock issued</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70,860</w:t>
            </w: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Class A Common Stock after Business Combination</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125,399,913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3" w:lineRule="exact"/>
        <w:rPr>
          <w:sz w:val="20"/>
          <w:szCs w:val="20"/>
          <w:color w:val="auto"/>
        </w:rPr>
      </w:pPr>
    </w:p>
    <w:p>
      <w:pPr>
        <w:ind w:left="320" w:right="580" w:hanging="314"/>
        <w:spacing w:after="0" w:line="254" w:lineRule="auto"/>
        <w:tabs>
          <w:tab w:leader="none" w:pos="162"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Acquisitions</w:t>
      </w:r>
    </w:p>
    <w:p>
      <w:pPr>
        <w:spacing w:after="0" w:line="244"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color w:val="auto"/>
        </w:rPr>
        <w:t xml:space="preserve">On June 4, 2021, the Company acquired </w:t>
      </w:r>
      <w:r>
        <w:rPr>
          <w:rFonts w:ascii="Arial" w:cs="Arial" w:eastAsia="Arial" w:hAnsi="Arial"/>
          <w:sz w:val="18"/>
          <w:szCs w:val="18"/>
          <w:color w:val="231F20"/>
        </w:rPr>
        <w:t>High Tech Laser, Australia Pty Ltd (“HTL”), a distributor of the Company’s products in Australia. On July 1,</w:t>
      </w:r>
      <w:r>
        <w:rPr>
          <w:rFonts w:ascii="Arial" w:cs="Arial" w:eastAsia="Arial" w:hAnsi="Arial"/>
          <w:sz w:val="18"/>
          <w:szCs w:val="18"/>
          <w:color w:val="auto"/>
        </w:rPr>
        <w:t xml:space="preserve"> </w:t>
      </w:r>
      <w:r>
        <w:rPr>
          <w:rFonts w:ascii="Arial" w:cs="Arial" w:eastAsia="Arial" w:hAnsi="Arial"/>
          <w:sz w:val="18"/>
          <w:szCs w:val="18"/>
          <w:color w:val="231F20"/>
        </w:rPr>
        <w:t>2021, the Company acquired Wigmore Medical France (“Wigmore”), Ecomedic GmbH (“Ecomedic”) and Sistemas Dermatologicos Internacionales (“Sidermica”), distributors of the Company’s products in France, Germany and Mexico, respectively. Through these acquisitions, the Company plans to directly sell to the respective markets and improve services for its products.</w:t>
      </w:r>
    </w:p>
    <w:p>
      <w:pPr>
        <w:spacing w:after="0" w:line="151"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 The transaction costs for the acquisitions totaled $0.8 million.</w:t>
      </w:r>
    </w:p>
    <w:p>
      <w:pPr>
        <w:spacing w:after="0" w:line="217"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color w:val="231F20"/>
        </w:rPr>
        <w:t>The following table summarizes the consideration and estimated preliminary fair values assigned to the assets acquired and liabilities assumed at the dates of acquisition for the Wigmore, Ecomedic and Sidermica acquisitions and summarizes the HTL acquisition after measurement period adjustments.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7"/>
                <w:szCs w:val="17"/>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231F20"/>
              </w:rPr>
              <w:t>HTL</w:t>
            </w:r>
          </w:p>
        </w:tc>
        <w:tc>
          <w:tcPr>
            <w:tcW w:w="440" w:type="dxa"/>
            <w:vAlign w:val="bottom"/>
          </w:tcPr>
          <w:p>
            <w:pPr>
              <w:spacing w:after="0"/>
              <w:rPr>
                <w:sz w:val="17"/>
                <w:szCs w:val="17"/>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231F20"/>
              </w:rPr>
              <w:t>Wigmore</w:t>
            </w:r>
          </w:p>
        </w:tc>
        <w:tc>
          <w:tcPr>
            <w:tcW w:w="34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231F20"/>
              </w:rPr>
              <w:t>Ecomedic</w:t>
            </w:r>
          </w:p>
        </w:tc>
        <w:tc>
          <w:tcPr>
            <w:tcW w:w="340" w:type="dxa"/>
            <w:vAlign w:val="bottom"/>
          </w:tcPr>
          <w:p>
            <w:pPr>
              <w:spacing w:after="0"/>
              <w:rPr>
                <w:sz w:val="17"/>
                <w:szCs w:val="17"/>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231F20"/>
              </w:rPr>
              <w:t>Sidermica</w:t>
            </w:r>
          </w:p>
        </w:tc>
      </w:tr>
      <w:tr>
        <w:trPr>
          <w:trHeight w:val="211"/>
        </w:trPr>
        <w:tc>
          <w:tcPr>
            <w:tcW w:w="36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Consideration paid:</w:t>
            </w: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Cash, net of cash acquired</w:t>
            </w:r>
          </w:p>
        </w:tc>
        <w:tc>
          <w:tcPr>
            <w:tcW w:w="460" w:type="dxa"/>
            <w:vAlign w:val="bottom"/>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4,920</w:t>
            </w:r>
          </w:p>
        </w:tc>
        <w:tc>
          <w:tcPr>
            <w:tcW w:w="8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231F20"/>
              </w:rPr>
              <w:t>$</w:t>
            </w:r>
          </w:p>
        </w:tc>
        <w:tc>
          <w:tcPr>
            <w:tcW w:w="1480" w:type="dxa"/>
            <w:vAlign w:val="bottom"/>
          </w:tcPr>
          <w:p>
            <w:pPr>
              <w:jc w:val="right"/>
              <w:spacing w:after="0"/>
              <w:rPr>
                <w:sz w:val="20"/>
                <w:szCs w:val="20"/>
                <w:color w:val="auto"/>
              </w:rPr>
            </w:pPr>
            <w:r>
              <w:rPr>
                <w:rFonts w:ascii="Arial" w:cs="Arial" w:eastAsia="Arial" w:hAnsi="Arial"/>
                <w:sz w:val="18"/>
                <w:szCs w:val="18"/>
                <w:color w:val="231F20"/>
              </w:rPr>
              <w:t>1,757</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231F20"/>
              </w:rPr>
              <w:t>11,338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231F20"/>
              </w:rPr>
              <w:t>4,881</w:t>
            </w:r>
          </w:p>
        </w:tc>
      </w:tr>
      <w:tr>
        <w:trPr>
          <w:trHeight w:val="226"/>
        </w:trPr>
        <w:tc>
          <w:tcPr>
            <w:tcW w:w="366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231F20"/>
              </w:rPr>
              <w:t>Class A Common Stock issued</w:t>
            </w:r>
            <w:r>
              <w:rPr>
                <w:rFonts w:ascii="Arial" w:cs="Arial" w:eastAsia="Arial" w:hAnsi="Arial"/>
                <w:sz w:val="22"/>
                <w:szCs w:val="22"/>
                <w:color w:val="231F20"/>
                <w:vertAlign w:val="superscript"/>
              </w:rPr>
              <w:t>(1)</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Contingent consideration</w:t>
            </w:r>
          </w:p>
        </w:tc>
        <w:tc>
          <w:tcPr>
            <w:tcW w:w="4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231F20"/>
              </w:rPr>
              <w:t>535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Trade receivables due from seller</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1,581</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Notes payable to seller</w:t>
            </w:r>
          </w:p>
        </w:tc>
        <w:tc>
          <w:tcPr>
            <w:tcW w:w="4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2,153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19"/>
        </w:trPr>
        <w:tc>
          <w:tcPr>
            <w:tcW w:w="36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7,504</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5,084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21,683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7,277</w:t>
            </w:r>
          </w:p>
        </w:tc>
      </w:tr>
      <w:tr>
        <w:trPr>
          <w:trHeight w:val="205"/>
        </w:trPr>
        <w:tc>
          <w:tcPr>
            <w:tcW w:w="3660" w:type="dxa"/>
            <w:vAlign w:val="bottom"/>
          </w:tcPr>
          <w:p>
            <w:pPr>
              <w:ind w:left="60"/>
              <w:spacing w:after="0" w:line="204" w:lineRule="exact"/>
              <w:rPr>
                <w:sz w:val="20"/>
                <w:szCs w:val="20"/>
                <w:color w:val="auto"/>
              </w:rPr>
            </w:pPr>
            <w:r>
              <w:rPr>
                <w:rFonts w:ascii="Arial" w:cs="Arial" w:eastAsia="Arial" w:hAnsi="Arial"/>
                <w:sz w:val="18"/>
                <w:szCs w:val="18"/>
                <w:color w:val="231F20"/>
                <w:w w:val="88"/>
              </w:rPr>
              <w:t>Identifiable assets acquired and liabilities assumed</w:t>
            </w: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Accounts receivable</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1,657</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Non-compete agreement</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231F20"/>
              </w:rPr>
              <w:t>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100</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Customer relationships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2,696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2,700</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Inventory and other assets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354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231F20"/>
              </w:rPr>
              <w:t>341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454</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Accounts payable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Deferred tax liabilities, net</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(675)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231F20"/>
              </w:rPr>
              <w:t>(842)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Accrued and 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(802)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18"/>
        </w:trPr>
        <w:tc>
          <w:tcPr>
            <w:tcW w:w="3660" w:type="dxa"/>
            <w:vAlign w:val="bottom"/>
            <w:tcBorders>
              <w:bottom w:val="single" w:sz="8" w:color="CCEEFF"/>
            </w:tcBorders>
          </w:tcPr>
          <w:p>
            <w:pPr>
              <w:ind w:left="60"/>
              <w:spacing w:after="0" w:line="204" w:lineRule="exact"/>
              <w:rPr>
                <w:sz w:val="20"/>
                <w:szCs w:val="20"/>
                <w:color w:val="auto"/>
              </w:rPr>
            </w:pPr>
            <w:r>
              <w:rPr>
                <w:rFonts w:ascii="Arial" w:cs="Arial" w:eastAsia="Arial" w:hAnsi="Arial"/>
                <w:sz w:val="18"/>
                <w:szCs w:val="18"/>
                <w:color w:val="231F20"/>
              </w:rPr>
              <w:t>Total identifiable net assets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2,738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4,189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4,911</w:t>
            </w:r>
          </w:p>
        </w:tc>
      </w:tr>
      <w:tr>
        <w:trPr>
          <w:trHeight w:val="243"/>
        </w:trPr>
        <w:tc>
          <w:tcPr>
            <w:tcW w:w="36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Goodwill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4,766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17,277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2,366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860"/>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15</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4"/>
        </w:trPr>
        <w:tc>
          <w:tcPr>
            <w:tcW w:w="36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6" w:lineRule="exact"/>
        <w:rPr>
          <w:sz w:val="20"/>
          <w:szCs w:val="20"/>
          <w:color w:val="auto"/>
        </w:rPr>
      </w:pPr>
    </w:p>
    <w:p>
      <w:pPr>
        <w:ind w:left="240" w:right="660" w:hanging="237"/>
        <w:spacing w:after="0" w:line="220"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Class A Common Stock issued as consideration for the acquisitions was 110,726, 28,157, 401,021 and 50,195 shares for HTL, Wigmore, Ecomedic and Sidermica, respectively.</w:t>
      </w:r>
    </w:p>
    <w:p>
      <w:pPr>
        <w:spacing w:after="0" w:line="152"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231F20"/>
        </w:rPr>
        <w:t>Intangible assets acquired included customer relationships and non-compete agreements.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weighted average amortization period of customer relationship was 5 years, while the non-compete agreements are amortized over 3 years. The Company is currently in the process of finalizing the preliminary fair value allocations, and expects this to be completed prior to December 31,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50"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231F20"/>
        </w:rPr>
        <w:t>The Company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the Company’s products generally transfers to the customer upon shipment of the products from the Company’s warehouse facility. Therefore, revenue associated with product purchases is recognized at a point in time upon shipment to the intended customer.</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Disaggregated Revenue</w:t>
      </w:r>
    </w:p>
    <w:p>
      <w:pPr>
        <w:spacing w:after="0" w:line="111"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231F20"/>
        </w:rPr>
        <w:t>The Company generates revenue through manufacturing and selling HydraFacial and Perk Delivery Systems (collectively, the “Delivery Systems”). In conjunction with the sale of Delivery Systems, the Company also sells consumable single- and multi-use serum solutions, tips and boosters (the “Consumables”) that are used when customers provide a hydradermabrasion facial experience for their customers using a Delivery System. The Consumables are sold by the Company and are available for purchase separately from the purchase of a Delivery System.</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4"/>
                <w:szCs w:val="14"/>
                <w:b w:val="1"/>
                <w:bCs w:val="1"/>
                <w:color w:val="231F20"/>
                <w:w w:val="95"/>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231F20"/>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36,182</w:t>
            </w:r>
          </w:p>
        </w:tc>
        <w:tc>
          <w:tcPr>
            <w:tcW w:w="8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231F20"/>
              </w:rPr>
              <w:t>15,925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231F20"/>
              </w:rPr>
              <w:t>96,798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231F20"/>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35,981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Consumables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31,965</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18,635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85,399</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45,231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980"/>
              <w:spacing w:after="0" w:line="204" w:lineRule="exact"/>
              <w:rPr>
                <w:sz w:val="20"/>
                <w:szCs w:val="20"/>
                <w:color w:val="auto"/>
              </w:rPr>
            </w:pPr>
            <w:r>
              <w:rPr>
                <w:rFonts w:ascii="Arial" w:cs="Arial" w:eastAsia="Arial" w:hAnsi="Arial"/>
                <w:sz w:val="18"/>
                <w:szCs w:val="18"/>
                <w:color w:val="231F20"/>
              </w:rPr>
              <w:t>Total net sales</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68,147</w:t>
            </w:r>
          </w:p>
        </w:tc>
        <w:tc>
          <w:tcPr>
            <w:tcW w:w="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231F20"/>
              </w:rPr>
              <w:t>34,560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231F20"/>
              </w:rPr>
              <w:t>182,197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231F20"/>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81,212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16</w:t>
            </w:r>
            <w:r>
              <w:rPr>
                <w:rFonts w:ascii="Arial" w:cs="Arial" w:eastAsia="Arial" w:hAnsi="Arial"/>
                <w:sz w:val="18"/>
                <w:szCs w:val="18"/>
                <w:color w:val="231F20"/>
              </w:rPr>
              <w:t xml:space="preserve"> for revenue disaggregated by geographical region.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5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 Balance Sheet Components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300" w:type="dxa"/>
            <w:vAlign w:val="bottom"/>
          </w:tcPr>
          <w:p>
            <w:pPr>
              <w:ind w:left="320"/>
              <w:spacing w:after="0"/>
              <w:rPr>
                <w:sz w:val="20"/>
                <w:szCs w:val="20"/>
                <w:color w:val="auto"/>
              </w:rPr>
            </w:pPr>
            <w:r>
              <w:rPr>
                <w:rFonts w:ascii="Arial" w:cs="Arial" w:eastAsia="Arial" w:hAnsi="Arial"/>
                <w:sz w:val="18"/>
                <w:szCs w:val="18"/>
                <w:color w:val="231F20"/>
              </w:rPr>
              <w:t>Inventories consist of the following as of the periods indicated: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231F20"/>
              </w:rPr>
              <w:t>September 30, 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231F20"/>
                <w:w w:val="93"/>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Raw materials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Finished goods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16,412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inventories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28,105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4"/>
            <w:vMerge w:val="restart"/>
          </w:tcPr>
          <w:p>
            <w:pPr>
              <w:ind w:left="320"/>
              <w:spacing w:after="0"/>
              <w:rPr>
                <w:sz w:val="20"/>
                <w:szCs w:val="20"/>
                <w:color w:val="auto"/>
              </w:rPr>
            </w:pPr>
            <w:r>
              <w:rPr>
                <w:rFonts w:ascii="Arial" w:cs="Arial" w:eastAsia="Arial" w:hAnsi="Arial"/>
                <w:sz w:val="18"/>
                <w:szCs w:val="18"/>
                <w:color w:val="231F20"/>
                <w:w w:val="95"/>
              </w:rPr>
              <w:t>Accrued payroll-related expenses consist of the following as of the periods indicated:</w:t>
            </w: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680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September 30, 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Accrued payroll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sales commissions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payroll-related expenses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Other accrued expenses consist of the following as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231F20"/>
              </w:rPr>
              <w:t>September 30, 2021</w:t>
            </w:r>
          </w:p>
        </w:tc>
        <w:tc>
          <w:tcPr>
            <w:tcW w:w="180" w:type="dxa"/>
            <w:vAlign w:val="bottom"/>
          </w:tcPr>
          <w:p>
            <w:pPr>
              <w:spacing w:after="0"/>
              <w:rPr>
                <w:sz w:val="16"/>
                <w:szCs w:val="16"/>
                <w:color w:val="auto"/>
              </w:rPr>
            </w:pPr>
          </w:p>
        </w:tc>
        <w:tc>
          <w:tcPr>
            <w:tcW w:w="1500" w:type="dxa"/>
            <w:vAlign w:val="bottom"/>
          </w:tcPr>
          <w:p>
            <w:pPr>
              <w:jc w:val="right"/>
              <w:ind w:right="195"/>
              <w:spacing w:after="0"/>
              <w:rPr>
                <w:sz w:val="20"/>
                <w:szCs w:val="20"/>
                <w:color w:val="auto"/>
              </w:rPr>
            </w:pPr>
            <w:r>
              <w:rPr>
                <w:rFonts w:ascii="Arial" w:cs="Arial" w:eastAsia="Arial" w:hAnsi="Arial"/>
                <w:sz w:val="14"/>
                <w:szCs w:val="14"/>
                <w:b w:val="1"/>
                <w:bCs w:val="1"/>
                <w:color w:val="231F20"/>
                <w:w w:val="95"/>
              </w:rPr>
              <w:t>December 31, 2020</w:t>
            </w:r>
          </w:p>
        </w:tc>
      </w:tr>
      <w:tr>
        <w:trPr>
          <w:trHeight w:val="224"/>
        </w:trPr>
        <w:tc>
          <w:tcPr>
            <w:tcW w:w="7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Sales tax payable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1,538</w:t>
            </w:r>
          </w:p>
        </w:tc>
      </w:tr>
      <w:tr>
        <w:trPr>
          <w:trHeight w:val="225"/>
        </w:trPr>
        <w:tc>
          <w:tcPr>
            <w:tcW w:w="7760" w:type="dxa"/>
            <w:vAlign w:val="bottom"/>
          </w:tcPr>
          <w:p>
            <w:pPr>
              <w:ind w:left="60"/>
              <w:spacing w:after="0"/>
              <w:rPr>
                <w:sz w:val="20"/>
                <w:szCs w:val="20"/>
                <w:color w:val="auto"/>
              </w:rPr>
            </w:pPr>
            <w:r>
              <w:rPr>
                <w:rFonts w:ascii="Arial" w:cs="Arial" w:eastAsia="Arial" w:hAnsi="Arial"/>
                <w:sz w:val="18"/>
                <w:szCs w:val="18"/>
                <w:color w:val="231F20"/>
              </w:rPr>
              <w:t>Notes payable to seller (Note 3)</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2,154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7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920</w:t>
            </w:r>
          </w:p>
        </w:tc>
      </w:tr>
      <w:tr>
        <w:trPr>
          <w:trHeight w:val="218"/>
        </w:trPr>
        <w:tc>
          <w:tcPr>
            <w:tcW w:w="7760" w:type="dxa"/>
            <w:vAlign w:val="bottom"/>
          </w:tcPr>
          <w:p>
            <w:pPr>
              <w:ind w:left="60"/>
              <w:spacing w:after="0" w:line="204" w:lineRule="exact"/>
              <w:rPr>
                <w:sz w:val="20"/>
                <w:szCs w:val="20"/>
                <w:color w:val="auto"/>
              </w:rPr>
            </w:pPr>
            <w:r>
              <w:rPr>
                <w:rFonts w:ascii="Arial" w:cs="Arial" w:eastAsia="Arial" w:hAnsi="Arial"/>
                <w:sz w:val="18"/>
                <w:szCs w:val="18"/>
                <w:color w:val="231F20"/>
              </w:rPr>
              <w:t>Total other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2,458</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50"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7" w:lineRule="exact"/>
        <w:rPr>
          <w:sz w:val="20"/>
          <w:szCs w:val="20"/>
          <w:color w:val="auto"/>
        </w:rPr>
      </w:pPr>
    </w:p>
    <w:p>
      <w:pPr>
        <w:ind w:right="220"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22" w:lineRule="exact"/>
        <w:rPr>
          <w:sz w:val="20"/>
          <w:szCs w:val="20"/>
          <w:color w:val="auto"/>
        </w:rPr>
      </w:pPr>
    </w:p>
    <w:p>
      <w:pPr>
        <w:ind w:left="640" w:right="280"/>
        <w:spacing w:after="0" w:line="29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ind w:left="640" w:right="720"/>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55"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September 30, 2021, and indicates the fair value hierarchy of the valuation inputs the Company utilized to determine such fair value. There were no transfers of financial instruments between valuation levels during the nine months ended September 30, 2021.</w:t>
      </w:r>
    </w:p>
    <w:p>
      <w:pPr>
        <w:spacing w:after="0" w:line="6"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231F20"/>
                <w:w w:val="99"/>
              </w:rPr>
              <w:t>Fair Value Measurements on a Recurring Basis</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4040" w:type="dxa"/>
            <w:vAlign w:val="bottom"/>
          </w:tcPr>
          <w:p>
            <w:pPr>
              <w:ind w:left="380"/>
              <w:spacing w:after="0"/>
              <w:rPr>
                <w:sz w:val="20"/>
                <w:szCs w:val="20"/>
                <w:color w:val="auto"/>
              </w:rPr>
            </w:pPr>
            <w:r>
              <w:rPr>
                <w:rFonts w:ascii="Arial" w:cs="Arial" w:eastAsia="Arial" w:hAnsi="Arial"/>
                <w:sz w:val="14"/>
                <w:szCs w:val="14"/>
                <w:b w:val="1"/>
                <w:bCs w:val="1"/>
                <w:color w:val="231F20"/>
              </w:rPr>
              <w:t>(in thousands)</w:t>
            </w:r>
          </w:p>
        </w:tc>
        <w:tc>
          <w:tcPr>
            <w:tcW w:w="6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231F20"/>
              </w:rPr>
              <w:t>Level 1</w:t>
            </w:r>
          </w:p>
        </w:tc>
        <w:tc>
          <w:tcPr>
            <w:tcW w:w="4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231F20"/>
              </w:rPr>
              <w:t>Level 2</w:t>
            </w:r>
          </w:p>
        </w:tc>
        <w:tc>
          <w:tcPr>
            <w:tcW w:w="60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231F20"/>
              </w:rPr>
              <w:t>Level 3</w:t>
            </w:r>
          </w:p>
        </w:tc>
        <w:tc>
          <w:tcPr>
            <w:tcW w:w="64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231F20"/>
              </w:rPr>
              <w:t>Total</w:t>
            </w:r>
          </w:p>
        </w:tc>
      </w:tr>
      <w:tr>
        <w:trPr>
          <w:trHeight w:val="206"/>
        </w:trPr>
        <w:tc>
          <w:tcPr>
            <w:tcW w:w="40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231F20"/>
              </w:rPr>
              <w:t>Assets</w:t>
            </w:r>
          </w:p>
        </w:tc>
        <w:tc>
          <w:tcPr>
            <w:tcW w:w="6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25"/>
        </w:trPr>
        <w:tc>
          <w:tcPr>
            <w:tcW w:w="4040" w:type="dxa"/>
            <w:vAlign w:val="bottom"/>
          </w:tcPr>
          <w:p>
            <w:pPr>
              <w:ind w:left="380"/>
              <w:spacing w:after="0"/>
              <w:rPr>
                <w:sz w:val="20"/>
                <w:szCs w:val="20"/>
                <w:color w:val="auto"/>
              </w:rPr>
            </w:pPr>
            <w:r>
              <w:rPr>
                <w:rFonts w:ascii="Arial" w:cs="Arial" w:eastAsia="Arial" w:hAnsi="Arial"/>
                <w:sz w:val="18"/>
                <w:szCs w:val="18"/>
                <w:color w:val="231F20"/>
              </w:rPr>
              <w:t>Cash and cash equivalents:</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Money Market Funds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637,989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637,9</w:t>
            </w:r>
          </w:p>
        </w:tc>
      </w:tr>
      <w:tr>
        <w:trPr>
          <w:trHeight w:val="225"/>
        </w:trPr>
        <w:tc>
          <w:tcPr>
            <w:tcW w:w="4040" w:type="dxa"/>
            <w:vAlign w:val="bottom"/>
          </w:tcPr>
          <w:p>
            <w:pPr>
              <w:ind w:left="380"/>
              <w:spacing w:after="0"/>
              <w:rPr>
                <w:sz w:val="20"/>
                <w:szCs w:val="20"/>
                <w:color w:val="auto"/>
              </w:rPr>
            </w:pPr>
            <w:r>
              <w:rPr>
                <w:rFonts w:ascii="Arial" w:cs="Arial" w:eastAsia="Arial" w:hAnsi="Arial"/>
                <w:sz w:val="18"/>
                <w:szCs w:val="18"/>
                <w:b w:val="1"/>
                <w:bCs w:val="1"/>
                <w:color w:val="231F20"/>
              </w:rPr>
              <w:t>Liabilities</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Warrant Liability - Public Warrants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222,027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222,0</w:t>
            </w:r>
          </w:p>
        </w:tc>
      </w:tr>
      <w:tr>
        <w:trPr>
          <w:trHeight w:val="224"/>
        </w:trPr>
        <w:tc>
          <w:tcPr>
            <w:tcW w:w="4040" w:type="dxa"/>
            <w:vAlign w:val="bottom"/>
          </w:tcPr>
          <w:p>
            <w:pPr>
              <w:ind w:left="380"/>
              <w:spacing w:after="0"/>
              <w:rPr>
                <w:sz w:val="20"/>
                <w:szCs w:val="20"/>
                <w:color w:val="auto"/>
              </w:rPr>
            </w:pPr>
            <w:r>
              <w:rPr>
                <w:rFonts w:ascii="Arial" w:cs="Arial" w:eastAsia="Arial" w:hAnsi="Arial"/>
                <w:sz w:val="18"/>
                <w:szCs w:val="18"/>
                <w:color w:val="231F20"/>
                <w:w w:val="98"/>
              </w:rPr>
              <w:t>Warrant Liability - Private Placement Warrants</w:t>
            </w: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460" w:type="dxa"/>
            <w:vAlign w:val="bottom"/>
          </w:tcPr>
          <w:p>
            <w:pPr>
              <w:jc w:val="right"/>
              <w:spacing w:after="0"/>
              <w:rPr>
                <w:sz w:val="20"/>
                <w:szCs w:val="20"/>
                <w:color w:val="auto"/>
              </w:rPr>
            </w:pPr>
            <w:r>
              <w:rPr>
                <w:rFonts w:ascii="Arial" w:cs="Arial" w:eastAsia="Arial" w:hAnsi="Arial"/>
                <w:sz w:val="18"/>
                <w:szCs w:val="18"/>
                <w:color w:val="231F20"/>
              </w:rPr>
              <w:t>$</w:t>
            </w:r>
          </w:p>
        </w:tc>
        <w:tc>
          <w:tcPr>
            <w:tcW w:w="1260" w:type="dxa"/>
            <w:vAlign w:val="bottom"/>
          </w:tcPr>
          <w:p>
            <w:pPr>
              <w:jc w:val="right"/>
              <w:spacing w:after="0"/>
              <w:rPr>
                <w:sz w:val="20"/>
                <w:szCs w:val="20"/>
                <w:color w:val="auto"/>
              </w:rPr>
            </w:pPr>
            <w:r>
              <w:rPr>
                <w:rFonts w:ascii="Arial" w:cs="Arial" w:eastAsia="Arial" w:hAnsi="Arial"/>
                <w:sz w:val="18"/>
                <w:szCs w:val="18"/>
                <w:color w:val="231F20"/>
              </w:rPr>
              <w:t>135,146</w:t>
            </w:r>
          </w:p>
        </w:tc>
        <w:tc>
          <w:tcPr>
            <w:tcW w:w="1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231F20"/>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231F20"/>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135,1</w:t>
            </w: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Money Market Funds</w:t>
      </w:r>
    </w:p>
    <w:p>
      <w:pPr>
        <w:spacing w:after="0" w:line="111"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Arial" w:cs="Arial" w:eastAsia="Arial" w:hAnsi="Arial"/>
          <w:sz w:val="18"/>
          <w:szCs w:val="18"/>
          <w:color w:val="231F20"/>
        </w:rPr>
        <w:t>September 30, 2021</w:t>
      </w:r>
      <w:r>
        <w:rPr>
          <w:rFonts w:ascii="Arial" w:cs="Arial" w:eastAsia="Arial" w:hAnsi="Arial"/>
          <w:sz w:val="18"/>
          <w:szCs w:val="18"/>
          <w:color w:val="auto"/>
        </w:rPr>
        <w:t>, the Company’s U.S. portfolio had no material exposure to money market funds with a fluctuating net asset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Warrant Liabilities</w:t>
      </w:r>
    </w:p>
    <w:p>
      <w:pPr>
        <w:spacing w:after="0" w:line="111"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 xml:space="preserve">The Public Warrants and Private Placement Warrants (collectively, the “Warrants”) were accounted for as liabilities in accordance with ASC 815-40 and are presented within Warrant liabilities on the Company’s Condensed Consolidated Balance Sheets. The Warrants are measured at fair value at inception and on a recurring basis, with changes in fair value presented within Change in fair value of Warrants in the Company’s </w:t>
      </w:r>
      <w:r>
        <w:rPr>
          <w:rFonts w:ascii="Arial" w:cs="Arial" w:eastAsia="Arial" w:hAnsi="Arial"/>
          <w:sz w:val="18"/>
          <w:szCs w:val="18"/>
          <w:color w:val="231F20"/>
        </w:rPr>
        <w:t>Condensed Consolidated Statements of</w:t>
      </w:r>
      <w:r>
        <w:rPr>
          <w:rFonts w:ascii="Arial" w:cs="Arial" w:eastAsia="Arial" w:hAnsi="Arial"/>
          <w:sz w:val="18"/>
          <w:szCs w:val="18"/>
          <w:color w:val="auto"/>
        </w:rPr>
        <w:t xml:space="preserve"> </w:t>
      </w:r>
      <w:r>
        <w:rPr>
          <w:rFonts w:ascii="Arial" w:cs="Arial" w:eastAsia="Arial" w:hAnsi="Arial"/>
          <w:sz w:val="18"/>
          <w:szCs w:val="18"/>
          <w:color w:val="231F20"/>
        </w:rPr>
        <w:t>Comprehensive Loss</w:t>
      </w:r>
      <w:r>
        <w:rPr>
          <w:rFonts w:ascii="Arial" w:cs="Arial" w:eastAsia="Arial" w:hAnsi="Arial"/>
          <w:sz w:val="18"/>
          <w:szCs w:val="18"/>
          <w:color w:val="000000"/>
        </w:rPr>
        <w:t>.</w:t>
      </w:r>
    </w:p>
    <w:p>
      <w:pPr>
        <w:spacing w:after="0" w:line="217"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Public Warrant Liability associated with the Public Warrants as of September 30, 2021 is classified as a Level 1 fair value measurement due to the use of an observable market quote in an active market. The Private Placement Warrant Liability associated with the Private Placement Warrants as of September 30, 2021 is classified as a Level 2 fair value measurement. Because the transfer of the Private Placement Warrants to anyone outside of the Sponsor of Vesper would result in the Private Placement Warrants having substantially the same terms as the Public Warrants, management determined that the fair value of each Private Placement Warrant is the same as that of a Public Warrant, with an insignificant adjustment for short-term marketability restrictions. Accordingly, the Private Warrants are classified as Level 2 financial instruments. Subsequent to September 30, 2021, the Company delivered a Notice of Redemption calling for the redemption of all of its outstanding Public Warrants to purchase shares of the Company’s Class A Common Stock, par value $0.0001 per share. Refer to Note 18 - Subsequent Events for further detail.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Useful life</w:t>
            </w:r>
          </w:p>
        </w:tc>
        <w:tc>
          <w:tcPr>
            <w:tcW w:w="14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231F20"/>
              </w:rPr>
              <w:t>September 30, 2021</w:t>
            </w:r>
          </w:p>
        </w:tc>
        <w:tc>
          <w:tcPr>
            <w:tcW w:w="140" w:type="dxa"/>
            <w:vAlign w:val="bottom"/>
          </w:tcPr>
          <w:p>
            <w:pPr>
              <w:spacing w:after="0"/>
              <w:rPr>
                <w:sz w:val="14"/>
                <w:szCs w:val="14"/>
                <w:color w:val="auto"/>
              </w:rPr>
            </w:pPr>
          </w:p>
        </w:tc>
        <w:tc>
          <w:tcPr>
            <w:tcW w:w="13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231F20"/>
                <w:w w:val="91"/>
              </w:rPr>
              <w:t>December 31, 2020</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3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1"/>
              </w:rPr>
              <w:t>(years)</w:t>
            </w: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Furniture and fixtures</w:t>
            </w:r>
          </w:p>
        </w:tc>
        <w:tc>
          <w:tcPr>
            <w:tcW w:w="294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2"/>
              </w:rPr>
              <w:t>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4,305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3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3,265</w:t>
            </w:r>
          </w:p>
        </w:tc>
        <w:tc>
          <w:tcPr>
            <w:tcW w:w="0" w:type="dxa"/>
            <w:vAlign w:val="bottom"/>
          </w:tcPr>
          <w:p>
            <w:pPr>
              <w:spacing w:after="0"/>
              <w:rPr>
                <w:sz w:val="1"/>
                <w:szCs w:val="1"/>
                <w:color w:val="auto"/>
              </w:rPr>
            </w:pP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Computers and equipment</w:t>
            </w:r>
          </w:p>
        </w:tc>
        <w:tc>
          <w:tcPr>
            <w:tcW w:w="2940" w:type="dxa"/>
            <w:vAlign w:val="bottom"/>
          </w:tcPr>
          <w:p>
            <w:pPr>
              <w:jc w:val="center"/>
              <w:spacing w:after="0"/>
              <w:rPr>
                <w:sz w:val="20"/>
                <w:szCs w:val="20"/>
                <w:color w:val="auto"/>
              </w:rPr>
            </w:pPr>
            <w:r>
              <w:rPr>
                <w:rFonts w:ascii="Arial" w:cs="Arial" w:eastAsia="Arial" w:hAnsi="Arial"/>
                <w:sz w:val="18"/>
                <w:szCs w:val="18"/>
                <w:color w:val="231F20"/>
                <w:w w:val="92"/>
              </w:rPr>
              <w:t>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4,161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3,502</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Autos and trucks</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79"/>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413</w:t>
            </w:r>
          </w:p>
        </w:tc>
        <w:tc>
          <w:tcPr>
            <w:tcW w:w="0" w:type="dxa"/>
            <w:vAlign w:val="bottom"/>
          </w:tcPr>
          <w:p>
            <w:pPr>
              <w:spacing w:after="0"/>
              <w:rPr>
                <w:sz w:val="1"/>
                <w:szCs w:val="1"/>
                <w:color w:val="auto"/>
              </w:rPr>
            </w:pP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Tooling</w:t>
            </w:r>
          </w:p>
        </w:tc>
        <w:tc>
          <w:tcPr>
            <w:tcW w:w="2940" w:type="dxa"/>
            <w:vAlign w:val="bottom"/>
          </w:tcPr>
          <w:p>
            <w:pPr>
              <w:jc w:val="center"/>
              <w:spacing w:after="0"/>
              <w:rPr>
                <w:sz w:val="20"/>
                <w:szCs w:val="20"/>
                <w:color w:val="auto"/>
              </w:rPr>
            </w:pPr>
            <w:r>
              <w:rPr>
                <w:rFonts w:ascii="Arial" w:cs="Arial" w:eastAsia="Arial" w:hAnsi="Arial"/>
                <w:sz w:val="18"/>
                <w:szCs w:val="18"/>
                <w:color w:val="231F20"/>
                <w:w w:val="79"/>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231F20"/>
              </w:rPr>
              <w:t>1,304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1,150</w:t>
            </w:r>
          </w:p>
        </w:tc>
        <w:tc>
          <w:tcPr>
            <w:tcW w:w="0" w:type="dxa"/>
            <w:vAlign w:val="bottom"/>
          </w:tcPr>
          <w:p>
            <w:pPr>
              <w:spacing w:after="0"/>
              <w:rPr>
                <w:sz w:val="1"/>
                <w:szCs w:val="1"/>
                <w:color w:val="auto"/>
              </w:rPr>
            </w:pPr>
          </w:p>
        </w:tc>
      </w:tr>
      <w:tr>
        <w:trPr>
          <w:trHeight w:val="174"/>
        </w:trPr>
        <w:tc>
          <w:tcPr>
            <w:tcW w:w="510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231F20"/>
              </w:rPr>
              <w:t>Leasehold improvements</w:t>
            </w:r>
          </w:p>
        </w:tc>
        <w:tc>
          <w:tcPr>
            <w:tcW w:w="3020" w:type="dxa"/>
            <w:vAlign w:val="bottom"/>
            <w:gridSpan w:val="2"/>
            <w:shd w:val="clear" w:color="auto" w:fill="CCEEFF"/>
          </w:tcPr>
          <w:p>
            <w:pPr>
              <w:jc w:val="center"/>
              <w:ind w:right="80"/>
              <w:spacing w:after="0" w:line="174" w:lineRule="exact"/>
              <w:rPr>
                <w:sz w:val="20"/>
                <w:szCs w:val="20"/>
                <w:color w:val="auto"/>
              </w:rPr>
            </w:pPr>
            <w:r>
              <w:rPr>
                <w:rFonts w:ascii="Arial" w:cs="Arial" w:eastAsia="Arial" w:hAnsi="Arial"/>
                <w:sz w:val="18"/>
                <w:szCs w:val="18"/>
                <w:color w:val="231F20"/>
                <w:w w:val="88"/>
              </w:rPr>
              <w:t>Shorter of remaining lease</w:t>
            </w: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4,640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4,097</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w w:val="90"/>
              </w:rPr>
              <w:t>term or estimated useful life</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60"/>
              <w:spacing w:after="0" w:line="204" w:lineRule="exact"/>
              <w:rPr>
                <w:sz w:val="20"/>
                <w:szCs w:val="20"/>
                <w:color w:val="auto"/>
              </w:rPr>
            </w:pPr>
            <w:r>
              <w:rPr>
                <w:rFonts w:ascii="Arial" w:cs="Arial" w:eastAsia="Arial" w:hAnsi="Arial"/>
                <w:sz w:val="18"/>
                <w:szCs w:val="18"/>
                <w:color w:val="231F20"/>
              </w:rPr>
              <w:t>Total property and equipment</w:t>
            </w:r>
          </w:p>
        </w:tc>
        <w:tc>
          <w:tcPr>
            <w:tcW w:w="2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15,537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12,427</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Less: accumulated depreciation and amortization</w:t>
            </w:r>
          </w:p>
        </w:tc>
        <w:tc>
          <w:tcPr>
            <w:tcW w:w="2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(4,407)</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Construction in progress</w:t>
            </w:r>
          </w:p>
        </w:tc>
        <w:tc>
          <w:tcPr>
            <w:tcW w:w="2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1,171</w:t>
            </w: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Property and equipment, net</w:t>
            </w:r>
          </w:p>
        </w:tc>
        <w:tc>
          <w:tcPr>
            <w:tcW w:w="2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12,070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9,191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231F20"/>
        </w:rPr>
        <w:t>Depreciation expense was $1.0 million and $0.7 million for the three months ended September 30, 2021 and 2020, respectively. Depreciation expense was $2.4 million and $1.4 million for the nine months ended September 30, 2021 and 2020,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Three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231F20"/>
              </w:rPr>
              <w:t>Nine Months Ended September 30,</w:t>
            </w:r>
          </w:p>
        </w:tc>
      </w:tr>
      <w:tr>
        <w:trPr>
          <w:trHeight w:val="18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231F20"/>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231F20"/>
              </w:rPr>
              <w:t>2020</w:t>
            </w:r>
          </w:p>
        </w:tc>
      </w:tr>
      <w:tr>
        <w:trPr>
          <w:trHeight w:val="219"/>
        </w:trPr>
        <w:tc>
          <w:tcPr>
            <w:tcW w:w="53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Cost of sales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44"/>
        </w:trPr>
        <w:tc>
          <w:tcPr>
            <w:tcW w:w="5300" w:type="dxa"/>
            <w:vAlign w:val="bottom"/>
            <w:tcBorders>
              <w:bottom w:val="single" w:sz="8" w:color="CCEEFF"/>
            </w:tcBorders>
            <w:shd w:val="clear" w:color="auto" w:fill="CCEEFF"/>
          </w:tcPr>
          <w:p>
            <w:pPr>
              <w:ind w:left="280"/>
              <w:spacing w:after="0" w:line="205" w:lineRule="exact"/>
              <w:rPr>
                <w:sz w:val="20"/>
                <w:szCs w:val="20"/>
                <w:color w:val="auto"/>
              </w:rPr>
            </w:pPr>
            <w:r>
              <w:rPr>
                <w:rFonts w:ascii="Arial" w:cs="Arial" w:eastAsia="Arial" w:hAnsi="Arial"/>
                <w:sz w:val="18"/>
                <w:szCs w:val="18"/>
                <w:color w:val="231F20"/>
              </w:rPr>
              <w:t>Total depreciation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231F20"/>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1,028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231F20"/>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231F20"/>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2,446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1,441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 net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September 30, 2021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31F20"/>
              </w:rPr>
              <w:t>Accumulated</w:t>
            </w:r>
          </w:p>
        </w:tc>
        <w:tc>
          <w:tcPr>
            <w:tcW w:w="500" w:type="dxa"/>
            <w:vAlign w:val="bottom"/>
          </w:tcPr>
          <w:p>
            <w:pPr>
              <w:spacing w:after="0"/>
              <w:rPr>
                <w:sz w:val="14"/>
                <w:szCs w:val="14"/>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4"/>
                <w:szCs w:val="14"/>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231F20"/>
              </w:rPr>
              <w:t>Estimated</w:t>
            </w:r>
          </w:p>
        </w:tc>
        <w:tc>
          <w:tcPr>
            <w:tcW w:w="0" w:type="dxa"/>
            <w:vAlign w:val="bottom"/>
          </w:tcPr>
          <w:p>
            <w:pPr>
              <w:spacing w:after="0"/>
              <w:rPr>
                <w:sz w:val="1"/>
                <w:szCs w:val="1"/>
                <w:color w:val="auto"/>
              </w:rPr>
            </w:pPr>
          </w:p>
        </w:tc>
      </w:tr>
      <w:tr>
        <w:trPr>
          <w:trHeight w:val="133"/>
        </w:trPr>
        <w:tc>
          <w:tcPr>
            <w:tcW w:w="456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46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center"/>
              <w:ind w:right="41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356"/>
              <w:spacing w:after="0"/>
              <w:rPr>
                <w:sz w:val="20"/>
                <w:szCs w:val="20"/>
                <w:color w:val="auto"/>
              </w:rPr>
            </w:pPr>
            <w:r>
              <w:rPr>
                <w:rFonts w:ascii="Arial" w:cs="Arial" w:eastAsia="Arial" w:hAnsi="Arial"/>
                <w:sz w:val="14"/>
                <w:szCs w:val="14"/>
                <w:b w:val="1"/>
                <w:bCs w:val="1"/>
                <w:color w:val="231F20"/>
                <w:w w:val="93"/>
              </w:rPr>
              <w:t>Amortization</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9"/>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Trademarks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9,920</w:t>
            </w: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(3,273)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6,647</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79"/>
              </w:rPr>
              <w:t>15</w:t>
            </w:r>
          </w:p>
        </w:tc>
        <w:tc>
          <w:tcPr>
            <w:tcW w:w="0" w:type="dxa"/>
            <w:vAlign w:val="bottom"/>
          </w:tcPr>
          <w:p>
            <w:pPr>
              <w:spacing w:after="0"/>
              <w:rPr>
                <w:sz w:val="1"/>
                <w:szCs w:val="1"/>
                <w:color w:val="auto"/>
              </w:rPr>
            </w:pPr>
          </w:p>
        </w:tc>
      </w:tr>
      <w:tr>
        <w:trPr>
          <w:trHeight w:val="238"/>
        </w:trPr>
        <w:tc>
          <w:tcPr>
            <w:tcW w:w="4560" w:type="dxa"/>
            <w:vAlign w:val="bottom"/>
          </w:tcPr>
          <w:p>
            <w:pPr>
              <w:ind w:left="380"/>
              <w:spacing w:after="0"/>
              <w:rPr>
                <w:sz w:val="20"/>
                <w:szCs w:val="20"/>
                <w:color w:val="auto"/>
              </w:rPr>
            </w:pPr>
            <w:r>
              <w:rPr>
                <w:rFonts w:ascii="Arial" w:cs="Arial" w:eastAsia="Arial" w:hAnsi="Arial"/>
                <w:sz w:val="18"/>
                <w:szCs w:val="18"/>
                <w:color w:val="231F20"/>
              </w:rPr>
              <w:t>Non-compete agreement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834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(72)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762</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79"/>
              </w:rPr>
              <w:t>3</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Customer relationships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19,691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16,148</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8"/>
        </w:trPr>
        <w:tc>
          <w:tcPr>
            <w:tcW w:w="4560" w:type="dxa"/>
            <w:vAlign w:val="bottom"/>
          </w:tcPr>
          <w:p>
            <w:pPr>
              <w:ind w:left="380"/>
              <w:spacing w:after="0"/>
              <w:rPr>
                <w:sz w:val="20"/>
                <w:szCs w:val="20"/>
                <w:color w:val="auto"/>
              </w:rPr>
            </w:pPr>
            <w:r>
              <w:rPr>
                <w:rFonts w:ascii="Arial" w:cs="Arial" w:eastAsia="Arial" w:hAnsi="Arial"/>
                <w:sz w:val="18"/>
                <w:szCs w:val="18"/>
                <w:color w:val="231F20"/>
              </w:rPr>
              <w:t>Developed technology</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70,900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(42,835)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28,065</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79"/>
              </w:rPr>
              <w:t>8</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Patents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1,505</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231F20"/>
              </w:rPr>
              <w:t>Capitalized software</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8,846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6,222</w:t>
            </w:r>
          </w:p>
        </w:tc>
        <w:tc>
          <w:tcPr>
            <w:tcW w:w="1460" w:type="dxa"/>
            <w:vAlign w:val="bottom"/>
            <w:tcBorders>
              <w:bottom w:val="single" w:sz="8" w:color="CCEEFF"/>
            </w:tcBorders>
            <w:gridSpan w:val="2"/>
          </w:tcPr>
          <w:p>
            <w:pPr>
              <w:jc w:val="center"/>
              <w:ind w:left="332"/>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Total intangible assets</w:t>
            </w: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111,904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(52,555)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59,349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1240" w:type="dxa"/>
            <w:vAlign w:val="bottom"/>
            <w:gridSpan w:val="13"/>
          </w:tcPr>
          <w:p>
            <w:pPr>
              <w:ind w:left="320"/>
              <w:spacing w:after="0"/>
              <w:rPr>
                <w:sz w:val="20"/>
                <w:szCs w:val="20"/>
                <w:color w:val="auto"/>
              </w:rPr>
            </w:pPr>
            <w:r>
              <w:rPr>
                <w:rFonts w:ascii="Arial" w:cs="Arial" w:eastAsia="Arial" w:hAnsi="Arial"/>
                <w:sz w:val="18"/>
                <w:szCs w:val="18"/>
                <w:color w:val="231F20"/>
                <w:w w:val="97"/>
              </w:rPr>
              <w:t>The gross carrying amount and accumulated amortization of the Company’s intangible assets, net, as of December 31, 2020 were as follows:</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31F20"/>
              </w:rPr>
              <w:t>Accumulated</w:t>
            </w:r>
          </w:p>
        </w:tc>
        <w:tc>
          <w:tcPr>
            <w:tcW w:w="500" w:type="dxa"/>
            <w:vAlign w:val="bottom"/>
          </w:tcPr>
          <w:p>
            <w:pPr>
              <w:spacing w:after="0"/>
              <w:rPr>
                <w:sz w:val="13"/>
                <w:szCs w:val="13"/>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3"/>
                <w:szCs w:val="13"/>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231F20"/>
              </w:rPr>
              <w:t>Estimated</w:t>
            </w:r>
          </w:p>
        </w:tc>
        <w:tc>
          <w:tcPr>
            <w:tcW w:w="0" w:type="dxa"/>
            <w:vAlign w:val="bottom"/>
          </w:tcPr>
          <w:p>
            <w:pPr>
              <w:spacing w:after="0"/>
              <w:rPr>
                <w:sz w:val="1"/>
                <w:szCs w:val="1"/>
                <w:color w:val="auto"/>
              </w:rPr>
            </w:pPr>
          </w:p>
        </w:tc>
      </w:tr>
      <w:tr>
        <w:trPr>
          <w:trHeight w:val="133"/>
        </w:trPr>
        <w:tc>
          <w:tcPr>
            <w:tcW w:w="456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right"/>
              <w:ind w:right="577"/>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356"/>
              <w:spacing w:after="0"/>
              <w:rPr>
                <w:sz w:val="20"/>
                <w:szCs w:val="20"/>
                <w:color w:val="auto"/>
              </w:rPr>
            </w:pPr>
            <w:r>
              <w:rPr>
                <w:rFonts w:ascii="Arial" w:cs="Arial" w:eastAsia="Arial" w:hAnsi="Arial"/>
                <w:sz w:val="14"/>
                <w:szCs w:val="14"/>
                <w:b w:val="1"/>
                <w:bCs w:val="1"/>
                <w:color w:val="231F20"/>
                <w:w w:val="93"/>
              </w:rPr>
              <w:t>Amortization</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ind w:right="576"/>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231F20"/>
            </w:tcBorders>
          </w:tcPr>
          <w:p>
            <w:pPr>
              <w:spacing w:after="0"/>
              <w:rPr>
                <w:sz w:val="16"/>
                <w:szCs w:val="16"/>
                <w:color w:val="auto"/>
              </w:rPr>
            </w:pPr>
          </w:p>
        </w:tc>
        <w:tc>
          <w:tcPr>
            <w:tcW w:w="136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9"/>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Trademarks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9,480</w:t>
            </w: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(2,765)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6,715</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79"/>
              </w:rPr>
              <w:t>15</w:t>
            </w:r>
          </w:p>
        </w:tc>
        <w:tc>
          <w:tcPr>
            <w:tcW w:w="0" w:type="dxa"/>
            <w:vAlign w:val="bottom"/>
          </w:tcPr>
          <w:p>
            <w:pPr>
              <w:spacing w:after="0"/>
              <w:rPr>
                <w:sz w:val="1"/>
                <w:szCs w:val="1"/>
                <w:color w:val="auto"/>
              </w:rPr>
            </w:pPr>
          </w:p>
        </w:tc>
      </w:tr>
      <w:tr>
        <w:trPr>
          <w:trHeight w:val="225"/>
        </w:trPr>
        <w:tc>
          <w:tcPr>
            <w:tcW w:w="4560" w:type="dxa"/>
            <w:vAlign w:val="bottom"/>
          </w:tcPr>
          <w:p>
            <w:pPr>
              <w:ind w:left="380"/>
              <w:spacing w:after="0"/>
              <w:rPr>
                <w:sz w:val="20"/>
                <w:szCs w:val="20"/>
                <w:color w:val="auto"/>
              </w:rPr>
            </w:pPr>
            <w:r>
              <w:rPr>
                <w:rFonts w:ascii="Arial" w:cs="Arial" w:eastAsia="Arial" w:hAnsi="Arial"/>
                <w:sz w:val="18"/>
                <w:szCs w:val="18"/>
                <w:color w:val="231F20"/>
              </w:rPr>
              <w:t>Customer relationships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6,003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(2,263)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3,740</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9"/>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Developed technology</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70,900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(36,189)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34,711</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79"/>
              </w:rPr>
              <w:t>8</w:t>
            </w:r>
          </w:p>
        </w:tc>
        <w:tc>
          <w:tcPr>
            <w:tcW w:w="0" w:type="dxa"/>
            <w:vAlign w:val="bottom"/>
          </w:tcPr>
          <w:p>
            <w:pPr>
              <w:spacing w:after="0"/>
              <w:rPr>
                <w:sz w:val="1"/>
                <w:szCs w:val="1"/>
                <w:color w:val="auto"/>
              </w:rPr>
            </w:pPr>
          </w:p>
        </w:tc>
      </w:tr>
      <w:tr>
        <w:trPr>
          <w:trHeight w:val="225"/>
        </w:trPr>
        <w:tc>
          <w:tcPr>
            <w:tcW w:w="4560" w:type="dxa"/>
            <w:vAlign w:val="bottom"/>
          </w:tcPr>
          <w:p>
            <w:pPr>
              <w:ind w:left="380"/>
              <w:spacing w:after="0"/>
              <w:rPr>
                <w:sz w:val="20"/>
                <w:szCs w:val="20"/>
                <w:color w:val="auto"/>
              </w:rPr>
            </w:pPr>
            <w:r>
              <w:rPr>
                <w:rFonts w:ascii="Arial" w:cs="Arial" w:eastAsia="Arial" w:hAnsi="Arial"/>
                <w:sz w:val="18"/>
                <w:szCs w:val="18"/>
                <w:color w:val="231F20"/>
              </w:rPr>
              <w:t>Patents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1,423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(158)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1,265</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88"/>
              </w:rPr>
              <w:t>4-19</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Capitalized software</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6,172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4,504</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19"/>
        </w:trPr>
        <w:tc>
          <w:tcPr>
            <w:tcW w:w="4560" w:type="dxa"/>
            <w:vAlign w:val="bottom"/>
          </w:tcPr>
          <w:p>
            <w:pPr>
              <w:ind w:left="380"/>
              <w:spacing w:after="0"/>
              <w:rPr>
                <w:sz w:val="20"/>
                <w:szCs w:val="20"/>
                <w:color w:val="auto"/>
              </w:rPr>
            </w:pPr>
            <w:r>
              <w:rPr>
                <w:rFonts w:ascii="Arial" w:cs="Arial" w:eastAsia="Arial" w:hAnsi="Arial"/>
                <w:sz w:val="18"/>
                <w:szCs w:val="18"/>
                <w:color w:val="231F20"/>
              </w:rPr>
              <w:t>Total intangible assets</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93,978</w:t>
            </w: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260" w:type="dxa"/>
            <w:vAlign w:val="bottom"/>
          </w:tcPr>
          <w:p>
            <w:pPr>
              <w:jc w:val="right"/>
              <w:spacing w:after="0"/>
              <w:rPr>
                <w:sz w:val="20"/>
                <w:szCs w:val="20"/>
                <w:color w:val="auto"/>
              </w:rPr>
            </w:pPr>
            <w:r>
              <w:rPr>
                <w:rFonts w:ascii="Arial" w:cs="Arial" w:eastAsia="Arial" w:hAnsi="Arial"/>
                <w:sz w:val="18"/>
                <w:szCs w:val="18"/>
                <w:color w:val="231F20"/>
              </w:rPr>
              <w:t>(43,043)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50,935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231F20"/>
        </w:rPr>
        <w:t>Amortization expense for the three months ended September 30, 2021 and 2020 was $3.5 million and $3.1 million, respectively. Amortization expense for the nine months ended September 30, 2021 and 2020 was $9.4 million and $9.5 million,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231F20"/>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231F20"/>
                <w:w w:val="97"/>
              </w:rPr>
              <w:t>Nine Months Ended September 30,</w:t>
            </w:r>
          </w:p>
        </w:tc>
      </w:tr>
      <w:tr>
        <w:trPr>
          <w:trHeight w:val="18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2020</w:t>
            </w:r>
          </w:p>
        </w:tc>
      </w:tr>
      <w:tr>
        <w:trPr>
          <w:trHeight w:val="219"/>
        </w:trPr>
        <w:tc>
          <w:tcPr>
            <w:tcW w:w="53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Cost of sales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r>
      <w:tr>
        <w:trPr>
          <w:trHeight w:val="225"/>
        </w:trPr>
        <w:tc>
          <w:tcPr>
            <w:tcW w:w="5300" w:type="dxa"/>
            <w:vAlign w:val="bottom"/>
          </w:tcPr>
          <w:p>
            <w:pPr>
              <w:ind w:left="60"/>
              <w:spacing w:after="0"/>
              <w:rPr>
                <w:sz w:val="20"/>
                <w:szCs w:val="20"/>
                <w:color w:val="auto"/>
              </w:rPr>
            </w:pPr>
            <w:r>
              <w:rPr>
                <w:rFonts w:ascii="Arial" w:cs="Arial" w:eastAsia="Arial" w:hAnsi="Arial"/>
                <w:sz w:val="18"/>
                <w:szCs w:val="18"/>
                <w:color w:val="231F20"/>
              </w:rPr>
              <w:t>Selling and marketing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18"/>
        </w:trPr>
        <w:tc>
          <w:tcPr>
            <w:tcW w:w="5300" w:type="dxa"/>
            <w:vAlign w:val="bottom"/>
          </w:tcPr>
          <w:p>
            <w:pPr>
              <w:ind w:left="280"/>
              <w:spacing w:after="0" w:line="204" w:lineRule="exact"/>
              <w:rPr>
                <w:sz w:val="20"/>
                <w:szCs w:val="20"/>
                <w:color w:val="auto"/>
              </w:rPr>
            </w:pPr>
            <w:r>
              <w:rPr>
                <w:rFonts w:ascii="Arial" w:cs="Arial" w:eastAsia="Arial" w:hAnsi="Arial"/>
                <w:sz w:val="18"/>
                <w:szCs w:val="18"/>
                <w:color w:val="231F20"/>
              </w:rPr>
              <w:t>Total amortization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9,354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9,467</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changes in the carrying value of goodwill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8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231F20"/>
              </w:rPr>
              <w:t>Nine Months Ended September 30,</w:t>
            </w:r>
          </w:p>
        </w:tc>
        <w:tc>
          <w:tcPr>
            <w:tcW w:w="0" w:type="dxa"/>
            <w:vAlign w:val="bottom"/>
          </w:tcPr>
          <w:p>
            <w:pPr>
              <w:spacing w:after="0"/>
              <w:rPr>
                <w:sz w:val="1"/>
                <w:szCs w:val="1"/>
                <w:color w:val="auto"/>
              </w:rPr>
            </w:pPr>
          </w:p>
        </w:tc>
      </w:tr>
      <w:tr>
        <w:trPr>
          <w:trHeight w:val="24"/>
        </w:trPr>
        <w:tc>
          <w:tcPr>
            <w:tcW w:w="6800" w:type="dxa"/>
            <w:vAlign w:val="bottom"/>
            <w:vMerge w:val="restart"/>
          </w:tcPr>
          <w:p>
            <w:pPr>
              <w:ind w:left="380"/>
              <w:spacing w:after="0"/>
              <w:rPr>
                <w:sz w:val="20"/>
                <w:szCs w:val="20"/>
                <w:color w:val="auto"/>
              </w:rPr>
            </w:pPr>
            <w:r>
              <w:rPr>
                <w:rFonts w:ascii="Arial" w:cs="Arial" w:eastAsia="Arial" w:hAnsi="Arial"/>
                <w:sz w:val="14"/>
                <w:szCs w:val="14"/>
                <w:b w:val="1"/>
                <w:bCs w:val="1"/>
                <w:color w:val="231F20"/>
              </w:rPr>
              <w:t>(in thousands)</w:t>
            </w: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8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Beginning balance</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98,531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98,520</w:t>
            </w:r>
          </w:p>
        </w:tc>
        <w:tc>
          <w:tcPr>
            <w:tcW w:w="0" w:type="dxa"/>
            <w:vAlign w:val="bottom"/>
          </w:tcPr>
          <w:p>
            <w:pPr>
              <w:spacing w:after="0"/>
              <w:rPr>
                <w:sz w:val="1"/>
                <w:szCs w:val="1"/>
                <w:color w:val="auto"/>
              </w:rPr>
            </w:pPr>
          </w:p>
        </w:tc>
      </w:tr>
      <w:tr>
        <w:trPr>
          <w:trHeight w:val="225"/>
        </w:trPr>
        <w:tc>
          <w:tcPr>
            <w:tcW w:w="6800" w:type="dxa"/>
            <w:vAlign w:val="bottom"/>
          </w:tcPr>
          <w:p>
            <w:pPr>
              <w:ind w:left="500"/>
              <w:spacing w:after="0"/>
              <w:rPr>
                <w:sz w:val="20"/>
                <w:szCs w:val="20"/>
                <w:color w:val="auto"/>
              </w:rPr>
            </w:pPr>
            <w:r>
              <w:rPr>
                <w:rFonts w:ascii="Arial" w:cs="Arial" w:eastAsia="Arial" w:hAnsi="Arial"/>
                <w:sz w:val="18"/>
                <w:szCs w:val="18"/>
                <w:color w:val="231F20"/>
              </w:rPr>
              <w:t>Business acquisitions</w:t>
            </w:r>
          </w:p>
        </w:tc>
        <w:tc>
          <w:tcPr>
            <w:tcW w:w="7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25,304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680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Foreign currency translation impact</w:t>
            </w:r>
          </w:p>
        </w:tc>
        <w:tc>
          <w:tcPr>
            <w:tcW w:w="7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(970)</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w:t>
            </w:r>
          </w:p>
        </w:tc>
        <w:tc>
          <w:tcPr>
            <w:tcW w:w="0" w:type="dxa"/>
            <w:vAlign w:val="bottom"/>
          </w:tcPr>
          <w:p>
            <w:pPr>
              <w:spacing w:after="0"/>
              <w:rPr>
                <w:sz w:val="1"/>
                <w:szCs w:val="1"/>
                <w:color w:val="auto"/>
              </w:rPr>
            </w:pPr>
          </w:p>
        </w:tc>
      </w:tr>
      <w:tr>
        <w:trPr>
          <w:trHeight w:val="218"/>
        </w:trPr>
        <w:tc>
          <w:tcPr>
            <w:tcW w:w="6800" w:type="dxa"/>
            <w:vAlign w:val="bottom"/>
          </w:tcPr>
          <w:p>
            <w:pPr>
              <w:ind w:left="380"/>
              <w:spacing w:after="0" w:line="204" w:lineRule="exact"/>
              <w:rPr>
                <w:sz w:val="20"/>
                <w:szCs w:val="20"/>
                <w:color w:val="auto"/>
              </w:rPr>
            </w:pPr>
            <w:r>
              <w:rPr>
                <w:rFonts w:ascii="Arial" w:cs="Arial" w:eastAsia="Arial" w:hAnsi="Arial"/>
                <w:sz w:val="18"/>
                <w:szCs w:val="18"/>
                <w:color w:val="231F20"/>
              </w:rPr>
              <w:t>Ending balance</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231F20"/>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122,865</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right"/>
        <w:ind w:right="9360"/>
        <w:spacing w:after="0"/>
        <w:rPr>
          <w:sz w:val="20"/>
          <w:szCs w:val="20"/>
          <w:color w:val="auto"/>
        </w:rPr>
      </w:pPr>
      <w:r>
        <w:rPr>
          <w:rFonts w:ascii="Arial" w:cs="Arial" w:eastAsia="Arial" w:hAnsi="Arial"/>
          <w:sz w:val="15"/>
          <w:szCs w:val="15"/>
          <w:b w:val="1"/>
          <w:bCs w:val="1"/>
          <w:color w:val="auto"/>
        </w:rPr>
        <w:t>Note 9 – Long-term Debt</w:t>
      </w:r>
    </w:p>
    <w:p>
      <w:pPr>
        <w:spacing w:after="0" w:line="152" w:lineRule="exact"/>
        <w:rPr>
          <w:sz w:val="20"/>
          <w:szCs w:val="20"/>
          <w:color w:val="auto"/>
        </w:rPr>
      </w:pPr>
    </w:p>
    <w:p>
      <w:pPr>
        <w:jc w:val="right"/>
        <w:ind w:right="9280"/>
        <w:spacing w:after="0"/>
        <w:rPr>
          <w:sz w:val="20"/>
          <w:szCs w:val="20"/>
          <w:color w:val="auto"/>
        </w:rPr>
      </w:pPr>
      <w:r>
        <w:rPr>
          <w:rFonts w:ascii="Arial" w:cs="Arial" w:eastAsia="Arial" w:hAnsi="Arial"/>
          <w:sz w:val="17"/>
          <w:szCs w:val="17"/>
          <w:i w:val="1"/>
          <w:iCs w:val="1"/>
          <w:color w:val="auto"/>
        </w:rPr>
        <w:t>Convertible Senior Notes</w:t>
      </w:r>
    </w:p>
    <w:p>
      <w:pPr>
        <w:spacing w:after="0" w:line="123"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On September 14, 2021, the Company issued an aggregate of $750 million in principal amount of its 1.25% Convertible Senior Notes due 2026 (the “Notes”). The Notes were issued pursuant to, and are governed by, an indenture (the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20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2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211"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Notes are redeemable, in whole or in part (subject to certain limitations described below), at the Company’s option at any time, and from time to time, on or after October 6, 2024, and on or before the 40th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399"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80" w:firstLine="318"/>
        <w:spacing w:after="0" w:line="302" w:lineRule="auto"/>
        <w:rPr>
          <w:sz w:val="20"/>
          <w:szCs w:val="20"/>
          <w:color w:val="auto"/>
        </w:rPr>
      </w:pPr>
      <w:r>
        <w:rPr>
          <w:rFonts w:ascii="Arial" w:cs="Arial" w:eastAsia="Arial" w:hAnsi="Arial"/>
          <w:sz w:val="15"/>
          <w:szCs w:val="15"/>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$45,000,000; (vii) the rendering 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183"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181"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15"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231F20"/>
        </w:rPr>
        <w:t>The total amount of debt issuance costs of $21.3 million was recorded as a reduction to “Convertible senior notes, net” in the Company’s Condensed Consolidated Balance Sheets and are being amortized as interest expense over the term of the Notes using the effective interest method. During the three and nine months ended September 30, 2021, the Company recognized $0.2 million in interest expense related to the amortization of the debt issuance costs related to the Notes. There was no such expense related to the Notes in the three and nine months ended September 30, 2020.</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is a summary of the Company’s Notes as of September 30, 2021:</w:t>
      </w:r>
    </w:p>
    <w:p>
      <w:pPr>
        <w:spacing w:after="0" w:line="35"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231F20"/>
              </w:rPr>
              <w:t>Fair Value</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2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44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500" w:type="dxa"/>
            <w:vAlign w:val="bottom"/>
          </w:tcPr>
          <w:p>
            <w:pPr>
              <w:spacing w:after="0"/>
              <w:rPr>
                <w:sz w:val="10"/>
                <w:szCs w:val="10"/>
                <w:color w:val="auto"/>
              </w:rPr>
            </w:pPr>
          </w:p>
        </w:tc>
        <w:tc>
          <w:tcPr>
            <w:tcW w:w="12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231F20"/>
              </w:rPr>
              <w:t>Unamortized</w:t>
            </w:r>
          </w:p>
        </w:tc>
        <w:tc>
          <w:tcPr>
            <w:tcW w:w="480" w:type="dxa"/>
            <w:vAlign w:val="bottom"/>
          </w:tcPr>
          <w:p>
            <w:pPr>
              <w:spacing w:after="0"/>
              <w:rPr>
                <w:sz w:val="10"/>
                <w:szCs w:val="10"/>
                <w:color w:val="auto"/>
              </w:rPr>
            </w:pPr>
          </w:p>
        </w:tc>
        <w:tc>
          <w:tcPr>
            <w:tcW w:w="1260" w:type="dxa"/>
            <w:vAlign w:val="bottom"/>
          </w:tcPr>
          <w:p>
            <w:pPr>
              <w:jc w:val="right"/>
              <w:ind w:right="305"/>
              <w:spacing w:after="0" w:line="119" w:lineRule="exact"/>
              <w:rPr>
                <w:sz w:val="20"/>
                <w:szCs w:val="20"/>
                <w:color w:val="auto"/>
              </w:rPr>
            </w:pPr>
            <w:r>
              <w:rPr>
                <w:rFonts w:ascii="Arial" w:cs="Arial" w:eastAsia="Arial" w:hAnsi="Arial"/>
                <w:sz w:val="13"/>
                <w:szCs w:val="13"/>
                <w:b w:val="1"/>
                <w:bCs w:val="1"/>
                <w:color w:val="231F20"/>
              </w:rPr>
              <w:t>Net Carrying</w:t>
            </w:r>
          </w:p>
        </w:tc>
        <w:tc>
          <w:tcPr>
            <w:tcW w:w="580" w:type="dxa"/>
            <w:vAlign w:val="bottom"/>
          </w:tcPr>
          <w:p>
            <w:pPr>
              <w:spacing w:after="0"/>
              <w:rPr>
                <w:sz w:val="10"/>
                <w:szCs w:val="10"/>
                <w:color w:val="auto"/>
              </w:rPr>
            </w:pPr>
          </w:p>
        </w:tc>
        <w:tc>
          <w:tcPr>
            <w:tcW w:w="15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231F20"/>
              </w:rPr>
              <w:t>Amount</w:t>
            </w:r>
          </w:p>
        </w:tc>
        <w:tc>
          <w:tcPr>
            <w:tcW w:w="660" w:type="dxa"/>
            <w:vAlign w:val="bottom"/>
            <w:vMerge w:val="restart"/>
          </w:tcPr>
          <w:p>
            <w:pPr>
              <w:jc w:val="center"/>
              <w:ind w:left="81"/>
              <w:spacing w:after="0"/>
              <w:rPr>
                <w:sz w:val="20"/>
                <w:szCs w:val="20"/>
                <w:color w:val="auto"/>
              </w:rPr>
            </w:pPr>
            <w:r>
              <w:rPr>
                <w:rFonts w:ascii="Arial" w:cs="Arial" w:eastAsia="Arial" w:hAnsi="Arial"/>
                <w:sz w:val="14"/>
                <w:szCs w:val="14"/>
                <w:b w:val="1"/>
                <w:bCs w:val="1"/>
                <w:color w:val="231F20"/>
                <w:w w:val="94"/>
              </w:rPr>
              <w:t>Level</w:t>
            </w:r>
          </w:p>
        </w:tc>
        <w:tc>
          <w:tcPr>
            <w:tcW w:w="0" w:type="dxa"/>
            <w:vAlign w:val="bottom"/>
          </w:tcPr>
          <w:p>
            <w:pPr>
              <w:spacing w:after="0"/>
              <w:rPr>
                <w:sz w:val="1"/>
                <w:szCs w:val="1"/>
                <w:color w:val="auto"/>
              </w:rPr>
            </w:pPr>
          </w:p>
        </w:tc>
      </w:tr>
      <w:tr>
        <w:trPr>
          <w:trHeight w:val="185"/>
        </w:trPr>
        <w:tc>
          <w:tcPr>
            <w:tcW w:w="30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720" w:type="dxa"/>
            <w:vAlign w:val="bottom"/>
            <w:gridSpan w:val="3"/>
          </w:tcPr>
          <w:p>
            <w:pPr>
              <w:ind w:left="360"/>
              <w:spacing w:after="0"/>
              <w:rPr>
                <w:sz w:val="20"/>
                <w:szCs w:val="20"/>
                <w:color w:val="auto"/>
              </w:rPr>
            </w:pPr>
            <w:r>
              <w:rPr>
                <w:rFonts w:ascii="Arial" w:cs="Arial" w:eastAsia="Arial" w:hAnsi="Arial"/>
                <w:sz w:val="14"/>
                <w:szCs w:val="14"/>
                <w:b w:val="1"/>
                <w:bCs w:val="1"/>
                <w:color w:val="231F20"/>
              </w:rPr>
              <w:t>Issuance Costs</w:t>
            </w:r>
          </w:p>
        </w:tc>
        <w:tc>
          <w:tcPr>
            <w:tcW w:w="480" w:type="dxa"/>
            <w:vAlign w:val="bottom"/>
          </w:tcPr>
          <w:p>
            <w:pPr>
              <w:spacing w:after="0"/>
              <w:rPr>
                <w:sz w:val="16"/>
                <w:szCs w:val="16"/>
                <w:color w:val="auto"/>
              </w:rPr>
            </w:pPr>
          </w:p>
        </w:tc>
        <w:tc>
          <w:tcPr>
            <w:tcW w:w="1260" w:type="dxa"/>
            <w:vAlign w:val="bottom"/>
          </w:tcPr>
          <w:p>
            <w:pPr>
              <w:jc w:val="right"/>
              <w:ind w:right="685"/>
              <w:spacing w:after="0"/>
              <w:rPr>
                <w:sz w:val="20"/>
                <w:szCs w:val="20"/>
                <w:color w:val="auto"/>
              </w:rPr>
            </w:pPr>
            <w:r>
              <w:rPr>
                <w:rFonts w:ascii="Arial" w:cs="Arial" w:eastAsia="Arial" w:hAnsi="Arial"/>
                <w:sz w:val="14"/>
                <w:szCs w:val="14"/>
                <w:b w:val="1"/>
                <w:bCs w:val="1"/>
                <w:color w:val="231F20"/>
              </w:rPr>
              <w:t>Value</w:t>
            </w:r>
          </w:p>
        </w:tc>
        <w:tc>
          <w:tcPr>
            <w:tcW w:w="5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0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w w:val="93"/>
              </w:rPr>
              <w:t>1.25% Convertible Notes due 2026</w:t>
            </w:r>
          </w:p>
        </w:tc>
        <w:tc>
          <w:tcPr>
            <w:tcW w:w="4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750,000</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rPr>
              <w:t>$</w:t>
            </w:r>
          </w:p>
        </w:tc>
        <w:tc>
          <w:tcPr>
            <w:tcW w:w="11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21,142</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tcBorders>
              <w:top w:val="single" w:sz="8" w:color="231F20"/>
            </w:tcBorders>
            <w:shd w:val="clear" w:color="auto" w:fill="CCEEFF"/>
          </w:tcPr>
          <w:p>
            <w:pPr>
              <w:jc w:val="right"/>
              <w:ind w:right="45"/>
              <w:spacing w:after="0"/>
              <w:rPr>
                <w:sz w:val="20"/>
                <w:szCs w:val="20"/>
                <w:color w:val="auto"/>
              </w:rPr>
            </w:pPr>
            <w:r>
              <w:rPr>
                <w:rFonts w:ascii="Arial" w:cs="Arial" w:eastAsia="Arial" w:hAnsi="Arial"/>
                <w:sz w:val="18"/>
                <w:szCs w:val="18"/>
                <w:color w:val="231F20"/>
              </w:rPr>
              <w:t>728,858</w:t>
            </w:r>
          </w:p>
        </w:tc>
        <w:tc>
          <w:tcPr>
            <w:tcW w:w="5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832,988</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231F20"/>
            </w:tcBorders>
            <w:shd w:val="clear" w:color="auto" w:fill="CCEEFF"/>
          </w:tcPr>
          <w:p>
            <w:pPr>
              <w:spacing w:after="0"/>
              <w:rPr>
                <w:sz w:val="22"/>
                <w:szCs w:val="22"/>
                <w:color w:val="auto"/>
              </w:rPr>
            </w:pPr>
          </w:p>
        </w:tc>
        <w:tc>
          <w:tcPr>
            <w:tcW w:w="660" w:type="dxa"/>
            <w:vAlign w:val="bottom"/>
            <w:tcBorders>
              <w:top w:val="single" w:sz="8" w:color="231F20"/>
            </w:tcBorders>
            <w:shd w:val="clear" w:color="auto" w:fill="CCEEFF"/>
          </w:tcPr>
          <w:p>
            <w:pPr>
              <w:jc w:val="center"/>
              <w:ind w:left="61"/>
              <w:spacing w:after="0"/>
              <w:rPr>
                <w:sz w:val="20"/>
                <w:szCs w:val="20"/>
                <w:color w:val="auto"/>
              </w:rPr>
            </w:pPr>
            <w:r>
              <w:rPr>
                <w:rFonts w:ascii="Arial" w:cs="Arial" w:eastAsia="Arial" w:hAnsi="Arial"/>
                <w:sz w:val="18"/>
                <w:szCs w:val="18"/>
                <w:color w:val="231F20"/>
                <w:w w:val="89"/>
              </w:rPr>
              <w:t>Level 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318"/>
        <w:spacing w:after="0" w:line="244" w:lineRule="auto"/>
        <w:rPr>
          <w:sz w:val="20"/>
          <w:szCs w:val="20"/>
          <w:color w:val="auto"/>
        </w:rPr>
      </w:pPr>
      <w:r>
        <w:rPr>
          <w:rFonts w:ascii="Arial" w:cs="Arial" w:eastAsia="Arial" w:hAnsi="Arial"/>
          <w:sz w:val="17"/>
          <w:szCs w:val="17"/>
          <w:color w:val="231F20"/>
        </w:rPr>
        <w:t>The Notes are carried at face value less the unamortized debt issuance costs on the Company’s Condensed Consolidated Balance Sheets. As of September 30, 2021, the estimated fair value of the Notes was approximately $833 million. The estimated fair value of the Notes was determined based on the actual bid price of the Notes on September 30, 2021, the last business day of the period, or Level 2 Inputs.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September 30, 2021, the remaining life of the Notes is approximately 5.0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Capped Call Transactions</w:t>
      </w:r>
    </w:p>
    <w:p>
      <w:pPr>
        <w:spacing w:after="0" w:line="111"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40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Business Combination</w:t>
      </w:r>
    </w:p>
    <w:p>
      <w:pPr>
        <w:spacing w:after="0" w:line="11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231F20"/>
        </w:rPr>
        <w:t>In connection with the Closing of the Business Combination, all of HydraFacial’s existing debt under its credit facilities were repaid and its credit facilities were extinguished. T</w:t>
      </w:r>
      <w:r>
        <w:rPr>
          <w:rFonts w:ascii="Arial" w:cs="Arial" w:eastAsia="Arial" w:hAnsi="Arial"/>
          <w:sz w:val="15"/>
          <w:szCs w:val="15"/>
          <w:color w:val="000000"/>
        </w:rPr>
        <w:t>he related write-off of the deferred financing costs totaled $2.3 million and prepayment penalties totaled $2.0 million. Both are</w:t>
      </w:r>
      <w:r>
        <w:rPr>
          <w:rFonts w:ascii="Arial" w:cs="Arial" w:eastAsia="Arial" w:hAnsi="Arial"/>
          <w:sz w:val="15"/>
          <w:szCs w:val="15"/>
          <w:color w:val="231F20"/>
        </w:rPr>
        <w:t xml:space="preserve"> </w:t>
      </w:r>
      <w:r>
        <w:rPr>
          <w:rFonts w:ascii="Arial" w:cs="Arial" w:eastAsia="Arial" w:hAnsi="Arial"/>
          <w:sz w:val="15"/>
          <w:szCs w:val="15"/>
          <w:color w:val="000000"/>
        </w:rPr>
        <w:t xml:space="preserve">included in the Other expense (income), net on the Company’s Condensed Consolidated Statements of Comprehensive Loss. </w:t>
      </w:r>
      <w:r>
        <w:rPr>
          <w:rFonts w:ascii="Arial" w:cs="Arial" w:eastAsia="Arial" w:hAnsi="Arial"/>
          <w:sz w:val="15"/>
          <w:szCs w:val="15"/>
          <w:color w:val="231F20"/>
        </w:rPr>
        <w:t>Defer</w:t>
      </w:r>
      <w:r>
        <w:rPr>
          <w:rFonts w:ascii="Arial" w:cs="Arial" w:eastAsia="Arial" w:hAnsi="Arial"/>
          <w:sz w:val="15"/>
          <w:szCs w:val="15"/>
          <w:color w:val="000000"/>
        </w:rPr>
        <w:t xml:space="preserve">red financing costs expense for the nine months ended September 30, 2021 amounted to $0.5 million for the existing debt prior to the Business Combination while issuance costs for the Notes amounted to $0.2 million. </w:t>
      </w:r>
      <w:r>
        <w:rPr>
          <w:rFonts w:ascii="Arial" w:cs="Arial" w:eastAsia="Arial" w:hAnsi="Arial"/>
          <w:sz w:val="15"/>
          <w:szCs w:val="15"/>
          <w:color w:val="231F20"/>
        </w:rPr>
        <w:t>Defer</w:t>
      </w:r>
      <w:r>
        <w:rPr>
          <w:rFonts w:ascii="Arial" w:cs="Arial" w:eastAsia="Arial" w:hAnsi="Arial"/>
          <w:sz w:val="15"/>
          <w:szCs w:val="15"/>
          <w:color w:val="000000"/>
        </w:rPr>
        <w:t>red financing costs expense for the three and nine months ended September 30, 2020 amounted to $0.4 million and $1.1 million, respectively, and is included in Interest expense, net on the Company’s Condensed Consolidated Statements of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0"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231F20"/>
        </w:rPr>
        <w:t>The income tax benefit for the three months and nine months ended September 30, 2021 is $1.1 million and $3.3 million, respectively, and the income tax benefit for the three and nine months ended September 30, 2020 is $0.6 million and $6.3 million, respectively. The effective tax rate for the three and nine months ended September 30, 2021 is 0.53% and 0.92%, respectively, which is lower than the federal statutory rate of 21.0% primarily due to the increase in valuation allowance and non-deductible expenses related to stock-based compensation, transaction costs and meals and entertainment.</w:t>
      </w:r>
    </w:p>
    <w:p>
      <w:pPr>
        <w:spacing w:after="0" w:line="172" w:lineRule="exact"/>
        <w:rPr>
          <w:sz w:val="20"/>
          <w:szCs w:val="20"/>
          <w:color w:val="auto"/>
        </w:rPr>
      </w:pPr>
    </w:p>
    <w:p>
      <w:pPr>
        <w:ind w:right="280" w:firstLine="318"/>
        <w:spacing w:after="0" w:line="318" w:lineRule="auto"/>
        <w:rPr>
          <w:sz w:val="20"/>
          <w:szCs w:val="20"/>
          <w:color w:val="auto"/>
        </w:rPr>
      </w:pPr>
      <w:r>
        <w:rPr>
          <w:rFonts w:ascii="Arial" w:cs="Arial" w:eastAsia="Arial" w:hAnsi="Arial"/>
          <w:sz w:val="15"/>
          <w:szCs w:val="15"/>
          <w:color w:val="231F20"/>
        </w:rPr>
        <w:t>The effective tax rate for the three and nine months ended September 30, 2020 is 21.1% and 22.4%, respectively, which is greater than the federal statutory rate of 21.0% primarily due to state taxes based on apportioned income, research and development credits, and the net operating loss carryback applied to the 2017 tax year which benefited the tax rate. The increased benefit was partially offset by decreases in the rate for foreign taxes based on local country statutory rates, increase in valuation allowance and non-deductible expenses related to stock-based compensation and meals and entertainment.</w:t>
      </w:r>
    </w:p>
    <w:p>
      <w:pPr>
        <w:spacing w:after="0" w:line="172"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231F20"/>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w:t>
      </w:r>
    </w:p>
    <w:p>
      <w:pPr>
        <w:spacing w:after="0" w:line="163"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Additionally, the Company follows an accounting standard addressing the accounting for uncertainty in income taxes that prescribes rules for recognition, measurement and classification in the financial statements of tax positions taken or expected to be taken in a tax return. The Company has gross unrecognized tax benefits of $0.1 million for the nine months ended September 30, 2021. The Company did not have any gross unrecognized tax benefits for the three months ended September 30, 2020.</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231F20"/>
        </w:rPr>
        <w:t>On March 27,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(“QIP”).</w:t>
      </w:r>
    </w:p>
    <w:p>
      <w:pPr>
        <w:spacing w:after="0" w:line="167"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231F20"/>
        </w:rPr>
        <w:t>The Company believes it will be able to obtain federal tax refunds by carrying back its net operating loss for the year ended December 31, 2020. The net operating loss will be increased due to the changes in QIP and favorable interest expense limitation changes. The anticipated impact to the effective tax rate is an income tax benefit of approximately $0.2 million for the year ended December 31, 2020. The Company estimates the net operating loss carryback will result in a federal refund of approximately $4.5 million. Additionally, the favorable interest expense limitations will reduce its 2019 federal tax payable by approximately $1.2 million.</w:t>
      </w:r>
    </w:p>
    <w:p>
      <w:pPr>
        <w:spacing w:after="0" w:line="220"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the Company’s Condensed Consolidated Financial Statements and related disclosures.</w:t>
      </w:r>
    </w:p>
    <w:p>
      <w:pPr>
        <w:spacing w:after="0" w:line="21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On December 27, 2020, the United States enacted the Consolidated Appropriations Act which extended many of the benefits of the CARES Act that were scheduled to expire. The Company does not expect a material impact of Consolidated Appropriations Act on the Company’s Condensed Consolidated Financial Statements and related disclosures.</w:t>
      </w:r>
    </w:p>
    <w:p>
      <w:pPr>
        <w:spacing w:after="0" w:line="201" w:lineRule="exact"/>
        <w:rPr>
          <w:sz w:val="20"/>
          <w:szCs w:val="20"/>
          <w:color w:val="auto"/>
        </w:rPr>
      </w:pPr>
    </w:p>
    <w:p>
      <w:pPr>
        <w:ind w:right="20" w:firstLine="318"/>
        <w:spacing w:after="0" w:line="226" w:lineRule="auto"/>
        <w:rPr>
          <w:sz w:val="20"/>
          <w:szCs w:val="20"/>
          <w:color w:val="auto"/>
        </w:rPr>
      </w:pPr>
      <w:r>
        <w:rPr>
          <w:rFonts w:ascii="Arial" w:cs="Arial" w:eastAsia="Arial" w:hAnsi="Arial"/>
          <w:sz w:val="18"/>
          <w:szCs w:val="18"/>
          <w:color w:val="auto"/>
        </w:rPr>
        <w:t>On June 29, 2020, the State of California passed Assembly Bill 85 which suspends the California net operating loss deduction for the 2020-2022 tax years and the research and development credit usage for the same period (for credit usages in excess of $5.0 million). These suspensions were considered in preparation of the year ended December 31, 2020 and three months ended September 30, 2021 of the Company’s Condensed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Equity-Based Compensation</w:t>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Stock-based Compensation Expense</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Compensation expense attributable to net stock-based compensation was $5.1 million and $8.6 million for the three and nine months ended September 30, 2021,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231F20"/>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231F20"/>
                <w:w w:val="97"/>
              </w:rPr>
              <w:t>Nine Months Ended September 30,</w:t>
            </w:r>
          </w:p>
        </w:tc>
      </w:tr>
      <w:tr>
        <w:trPr>
          <w:trHeight w:val="18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231F20"/>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2020</w:t>
            </w:r>
          </w:p>
        </w:tc>
      </w:tr>
      <w:tr>
        <w:trPr>
          <w:trHeight w:val="219"/>
        </w:trPr>
        <w:tc>
          <w:tcPr>
            <w:tcW w:w="53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Cost of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300" w:type="dxa"/>
            <w:vAlign w:val="bottom"/>
          </w:tcPr>
          <w:p>
            <w:pPr>
              <w:ind w:left="60"/>
              <w:spacing w:after="0"/>
              <w:rPr>
                <w:sz w:val="20"/>
                <w:szCs w:val="20"/>
                <w:color w:val="auto"/>
              </w:rPr>
            </w:pPr>
            <w:r>
              <w:rPr>
                <w:rFonts w:ascii="Arial" w:cs="Arial" w:eastAsia="Arial" w:hAnsi="Arial"/>
                <w:sz w:val="18"/>
                <w:szCs w:val="18"/>
                <w:color w:val="231F20"/>
              </w:rPr>
              <w:t>Selling and marketing</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1,064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6"/>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Research and development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3,878</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4"/>
        </w:trPr>
        <w:tc>
          <w:tcPr>
            <w:tcW w:w="5300" w:type="dxa"/>
            <w:vAlign w:val="bottom"/>
            <w:tcBorders>
              <w:bottom w:val="single" w:sz="8" w:color="CCEEFF"/>
            </w:tcBorders>
            <w:shd w:val="clear" w:color="auto" w:fill="CCEEFF"/>
          </w:tcPr>
          <w:p>
            <w:pPr>
              <w:ind w:left="280"/>
              <w:spacing w:after="0" w:line="205" w:lineRule="exact"/>
              <w:rPr>
                <w:sz w:val="20"/>
                <w:szCs w:val="20"/>
                <w:color w:val="auto"/>
              </w:rPr>
            </w:pPr>
            <w:r>
              <w:rPr>
                <w:rFonts w:ascii="Arial" w:cs="Arial" w:eastAsia="Arial" w:hAnsi="Arial"/>
                <w:sz w:val="18"/>
                <w:szCs w:val="18"/>
                <w:color w:val="231F20"/>
              </w:rPr>
              <w:t>Stock-based compensation expense</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8"/>
                <w:szCs w:val="18"/>
                <w:color w:val="231F20"/>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5,082</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231F20"/>
                <w:w w:val="79"/>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231F20"/>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8,624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Equity Incentive Award Plans</w:t>
      </w:r>
    </w:p>
    <w:p>
      <w:pPr>
        <w:spacing w:after="0" w:line="111"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In December 2016, HydraFacial established its 2016 Equity Incentive Award Plan (the “2016 Plan”), the purpose of which was to provide incentives to selected officers and employees, to secure and retain their services, and to strengthen their commitment to HydraFacial. The 2016 Plan provided for grants of time vesting (“Time Vesting Options”) and performance-based equity awards (“Performance Vesting Options”) to Company employees (together the “Options”). The vesting of these Options varies based on whether such Time Vesting Options or Performance Vesting Options as described in the grant agreements.</w:t>
      </w:r>
    </w:p>
    <w:p>
      <w:pPr>
        <w:spacing w:after="0" w:line="8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231F20"/>
        </w:rPr>
        <w:t xml:space="preserve">During May 2020, HydraFacial canceled 1,295 of the Time Vesting Options and 4,440 of the Performance Vesting Options outstanding under the 2016 Plan and replaced these awards with 1,295 of new time vested incentive units </w:t>
      </w:r>
      <w:r>
        <w:rPr>
          <w:rFonts w:ascii="Arial" w:cs="Arial" w:eastAsia="Arial" w:hAnsi="Arial"/>
          <w:sz w:val="18"/>
          <w:szCs w:val="18"/>
          <w:color w:val="000000"/>
        </w:rPr>
        <w:t>and 4,440 of performance based incentive units</w:t>
      </w:r>
      <w:r>
        <w:rPr>
          <w:rFonts w:ascii="Arial" w:cs="Arial" w:eastAsia="Arial" w:hAnsi="Arial"/>
          <w:sz w:val="18"/>
          <w:szCs w:val="18"/>
          <w:color w:val="231F20"/>
        </w:rPr>
        <w:t xml:space="preserve"> for certain members of management</w:t>
      </w:r>
      <w:r>
        <w:rPr>
          <w:rFonts w:ascii="Arial" w:cs="Arial" w:eastAsia="Arial" w:hAnsi="Arial"/>
          <w:sz w:val="18"/>
          <w:szCs w:val="18"/>
          <w:color w:val="000000"/>
        </w:rPr>
        <w:t>. All of the time vesting units and performance vesting units immediately vested upon the consummation of the Business Combination. As a</w:t>
      </w:r>
      <w:r>
        <w:rPr>
          <w:rFonts w:ascii="Arial" w:cs="Arial" w:eastAsia="Arial" w:hAnsi="Arial"/>
          <w:sz w:val="18"/>
          <w:szCs w:val="18"/>
          <w:color w:val="231F20"/>
        </w:rPr>
        <w:t xml:space="preserve"> </w:t>
      </w:r>
      <w:r>
        <w:rPr>
          <w:rFonts w:ascii="Arial" w:cs="Arial" w:eastAsia="Arial" w:hAnsi="Arial"/>
          <w:sz w:val="18"/>
          <w:szCs w:val="18"/>
          <w:color w:val="000000"/>
        </w:rPr>
        <w:t>result of the accelerated vesting on options and performance units from the consummation of the Business Combination, the Company recognized $1.4 million in stock compensation expense.</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At the Company’s special meeting of stockholders held on April 29, 2021, the stockholders approved The Beauty Health Company 2021 Incentive Award Plan (the “2021 Plan”), which became effective upon the consummation of the Business Combination. The aggregate number of shares of the Company’s Class A Common Stock that may be issued pursuant to awards granted under the 2021 Plan will be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as described below. The maximum number of shares that may be granted with respect to incentive stock options (“ISOs”) under the 2021 Plan is equal to 7,500,000.</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Employee Stock Purchase Plan</w:t>
      </w:r>
    </w:p>
    <w:p>
      <w:pPr>
        <w:spacing w:after="0" w:line="111"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At the Company’s special meeting of stockholders held on April 29, 2021, the stockholders approved The Beauty Health Company 2021 Employee Stock Purchase Plan (the “ESPP”), which became effective upon the consummation of the Business Combination. The aggregate number of shares of the Company’s Class A Common Stock that may be issued pursuant to rights granted under the ESPP will be 2,000,000. In addition, on the first day of each calendar year beginning on January 1, 2022 and ending on (and including) January 1, 2031, the number of shares available for issuance under the ESPP will be increased by a number of shares equal to the lesser of (1) one percent (1%) of the shares outstanding (on an as-converted basis) on the final day of the immediately preceding calendar year, and (2) such smaller number of shares as determined by the Company’s Board of Directors.</w:t>
      </w:r>
    </w:p>
    <w:p>
      <w:pPr>
        <w:spacing w:after="0" w:line="17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Under the current ESPP, eligible employees can have up to 10% of their earnings withheld, up to certain maximums, to be used to purchase shares of the Company’s Class A Common Stock at certain plan-defined dates. The price of the Company’s Class A Common Stock purchased under the ESPP for the offering periods is equal to 85% of the lesser of the fair market value of a share of common stock of the Company on the beginning or the end of the offering period.</w:t>
      </w:r>
    </w:p>
    <w:p>
      <w:pPr>
        <w:spacing w:after="0" w:line="217"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of September 30, 2021, there were no shares of the Company’s Class A Common Stock that were purchased under the current ESPP. The Company is currently going through its first offering period which ends May 19, 2022.</w:t>
      </w:r>
    </w:p>
    <w:p>
      <w:pPr>
        <w:spacing w:after="0" w:line="207" w:lineRule="exact"/>
        <w:rPr>
          <w:sz w:val="20"/>
          <w:szCs w:val="20"/>
          <w:color w:val="auto"/>
        </w:rPr>
      </w:pPr>
    </w:p>
    <w:p>
      <w:pPr>
        <w:ind w:left="160" w:right="160" w:firstLine="159"/>
        <w:spacing w:after="0" w:line="368" w:lineRule="auto"/>
        <w:rPr>
          <w:sz w:val="20"/>
          <w:szCs w:val="20"/>
          <w:color w:val="auto"/>
        </w:rPr>
      </w:pPr>
      <w:r>
        <w:rPr>
          <w:rFonts w:ascii="Arial" w:cs="Arial" w:eastAsia="Arial" w:hAnsi="Arial"/>
          <w:sz w:val="18"/>
          <w:szCs w:val="18"/>
          <w:color w:val="auto"/>
        </w:rPr>
        <w:t xml:space="preserve">The Company recognized an immaterial amount of compensation expense related to the ESPP for the three and nine months ended September 30, 2021. </w:t>
      </w:r>
      <w:r>
        <w:rPr>
          <w:rFonts w:ascii="Arial" w:cs="Arial" w:eastAsia="Arial" w:hAnsi="Arial"/>
          <w:sz w:val="18"/>
          <w:szCs w:val="18"/>
          <w:i w:val="1"/>
          <w:iCs w:val="1"/>
          <w:color w:val="auto"/>
        </w:rPr>
        <w:t xml:space="preserve">Stock </w:t>
      </w:r>
      <w:r>
        <w:rPr>
          <w:rFonts w:ascii="Arial" w:cs="Arial" w:eastAsia="Arial" w:hAnsi="Arial"/>
          <w:sz w:val="18"/>
          <w:szCs w:val="18"/>
          <w:i w:val="1"/>
          <w:iCs w:val="1"/>
          <w:color w:val="231F20"/>
        </w:rPr>
        <w:t>Options</w:t>
      </w:r>
    </w:p>
    <w:p>
      <w:pPr>
        <w:spacing w:after="0" w:line="1" w:lineRule="exact"/>
        <w:rPr>
          <w:sz w:val="20"/>
          <w:szCs w:val="20"/>
          <w:color w:val="auto"/>
        </w:rPr>
      </w:pPr>
    </w:p>
    <w:p>
      <w:pPr>
        <w:ind w:right="540" w:firstLine="318"/>
        <w:spacing w:after="0" w:line="255" w:lineRule="auto"/>
        <w:rPr>
          <w:sz w:val="20"/>
          <w:szCs w:val="20"/>
          <w:color w:val="auto"/>
        </w:rPr>
      </w:pPr>
      <w:r>
        <w:rPr>
          <w:rFonts w:ascii="Arial" w:cs="Arial" w:eastAsia="Arial" w:hAnsi="Arial"/>
          <w:sz w:val="18"/>
          <w:szCs w:val="18"/>
          <w:color w:val="auto"/>
        </w:rPr>
        <w:t>Following the closing of the Business Combination, the Company granted stock options to certain employees. During the nine month period ended September 30, 2021, the Company granted 9,399,200 options with a weighted average exercise price of $13.90. There were no exercises and 149,000 forfeitures of stock options during the nine month period ended September 30, 2021.</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Restricted Stock Units</w:t>
      </w:r>
    </w:p>
    <w:p>
      <w:pPr>
        <w:spacing w:after="0" w:line="111"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On September 10, 2021, the Company granted 409,743 restricted stock units (“RSUs”) to certain employees. The RSUs granted to our employees are eligible to vest over four years, subject to continued employment on each vesting date. The grants had a fair value of $26.16 on the grant date.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Performance-based restricted stock units (“PSUs”)</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PSUs are granted to certain executives, with respect to shares reserved under the 2021 Plan. The PSUs are subject to both a service condition and market condition. Following the end of the four-year service period for the PSUs, the recipients of PSUs who remain employed will vest in, and be issued a number of shares of the Company's Class A Common Stock, ranging from 0% to 375% of the number of PSUs granted, to be determined based upon the performance of the Company's Class A Common Stock over a three-year period. During the nine month period ended September 30, 2021, the Company granted 310,000 PSUs with a weighted-average grant date fair value of $8.25 per unit. There were no exercises and forfeitures during the nine month period ended September 30, 2021. As of September 30, 2021, all 310,000 units were outstanding.</w:t>
      </w: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The fair value of PSU awards is recognized on a straight-line basis over their measurement period as compensation expense, and is not subject to reversal even if the market condition is not achieved. The fair value of PSUs was determined using a Monte Carlo simulation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ind w:left="60"/>
              <w:spacing w:after="0"/>
              <w:rPr>
                <w:sz w:val="20"/>
                <w:szCs w:val="20"/>
                <w:color w:val="auto"/>
              </w:rPr>
            </w:pPr>
            <w:r>
              <w:rPr>
                <w:rFonts w:ascii="Arial" w:cs="Arial" w:eastAsia="Arial" w:hAnsi="Arial"/>
                <w:sz w:val="14"/>
                <w:szCs w:val="14"/>
                <w:b w:val="1"/>
                <w:bCs w:val="1"/>
                <w:color w:val="231F20"/>
              </w:rPr>
              <w:t>Input</w:t>
            </w:r>
          </w:p>
        </w:tc>
        <w:tc>
          <w:tcPr>
            <w:tcW w:w="4200" w:type="dxa"/>
            <w:vAlign w:val="bottom"/>
          </w:tcPr>
          <w:p>
            <w:pPr>
              <w:ind w:left="2740"/>
              <w:spacing w:after="0"/>
              <w:rPr>
                <w:sz w:val="20"/>
                <w:szCs w:val="20"/>
                <w:color w:val="auto"/>
              </w:rPr>
            </w:pPr>
            <w:r>
              <w:rPr>
                <w:rFonts w:ascii="Arial" w:cs="Arial" w:eastAsia="Arial" w:hAnsi="Arial"/>
                <w:sz w:val="14"/>
                <w:szCs w:val="14"/>
                <w:b w:val="1"/>
                <w:bCs w:val="1"/>
                <w:color w:val="231F20"/>
              </w:rPr>
              <w:t>2021 Grants</w:t>
            </w:r>
          </w:p>
        </w:tc>
      </w:tr>
      <w:tr>
        <w:trPr>
          <w:trHeight w:val="231"/>
        </w:trPr>
        <w:tc>
          <w:tcPr>
            <w:tcW w:w="70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Risk-free interest rate</w:t>
            </w:r>
          </w:p>
        </w:tc>
        <w:tc>
          <w:tcPr>
            <w:tcW w:w="4200" w:type="dxa"/>
            <w:vAlign w:val="bottom"/>
            <w:shd w:val="clear" w:color="auto" w:fill="CCEEFF"/>
          </w:tcPr>
          <w:p>
            <w:pPr>
              <w:jc w:val="right"/>
              <w:ind w:right="478"/>
              <w:spacing w:after="0"/>
              <w:rPr>
                <w:sz w:val="20"/>
                <w:szCs w:val="20"/>
                <w:color w:val="auto"/>
              </w:rPr>
            </w:pPr>
            <w:r>
              <w:rPr>
                <w:rFonts w:ascii="Arial" w:cs="Arial" w:eastAsia="Arial" w:hAnsi="Arial"/>
                <w:sz w:val="18"/>
                <w:szCs w:val="18"/>
                <w:color w:val="231F20"/>
              </w:rPr>
              <w:t>0.50% - 0.65%</w:t>
            </w:r>
          </w:p>
        </w:tc>
      </w:tr>
      <w:tr>
        <w:trPr>
          <w:trHeight w:val="224"/>
        </w:trPr>
        <w:tc>
          <w:tcPr>
            <w:tcW w:w="7040" w:type="dxa"/>
            <w:vAlign w:val="bottom"/>
          </w:tcPr>
          <w:p>
            <w:pPr>
              <w:ind w:left="60"/>
              <w:spacing w:after="0"/>
              <w:rPr>
                <w:sz w:val="20"/>
                <w:szCs w:val="20"/>
                <w:color w:val="auto"/>
              </w:rPr>
            </w:pPr>
            <w:r>
              <w:rPr>
                <w:rFonts w:ascii="Arial" w:cs="Arial" w:eastAsia="Arial" w:hAnsi="Arial"/>
                <w:sz w:val="18"/>
                <w:szCs w:val="18"/>
                <w:color w:val="231F20"/>
              </w:rPr>
              <w:t>Expected volatility of the Company’s Class A Common Stock</w:t>
            </w:r>
          </w:p>
        </w:tc>
        <w:tc>
          <w:tcPr>
            <w:tcW w:w="4200" w:type="dxa"/>
            <w:vAlign w:val="bottom"/>
          </w:tcPr>
          <w:p>
            <w:pPr>
              <w:jc w:val="right"/>
              <w:ind w:right="778"/>
              <w:spacing w:after="0"/>
              <w:rPr>
                <w:sz w:val="20"/>
                <w:szCs w:val="20"/>
                <w:color w:val="auto"/>
              </w:rPr>
            </w:pPr>
            <w:r>
              <w:rPr>
                <w:rFonts w:ascii="Arial" w:cs="Arial" w:eastAsia="Arial" w:hAnsi="Arial"/>
                <w:sz w:val="18"/>
                <w:szCs w:val="18"/>
                <w:color w:val="231F20"/>
              </w:rPr>
              <w:t>55.0%</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0"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231F20"/>
        </w:rPr>
        <w:t>From time to time the Company may be involved in claims, legal actions and governmental proceedings that arise from its business operations. As of September 30, 2021 and December 31, 2020, the Company was not a party to any legal proceedings or threatened legal proceedings, the adverse outcome of which, individually or in the aggregate, that it believes would have a material adverse effect on its business, financial condition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Concentrations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September 30, 2021, the Company had no customers that accounted for 10% or more of the Accounts receivable balance.</w:t>
      </w:r>
    </w:p>
    <w:p>
      <w:pPr>
        <w:spacing w:after="0" w:line="24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231F20"/>
        </w:rPr>
        <w:t>As of December 31, 2020, the Company had one customer that accounted for 10% or more of the Accounts receivable balance. This customer accounted for 10.5%, or $1.9 million, of the Accounts receivable balance.</w:t>
      </w:r>
    </w:p>
    <w:p>
      <w:pPr>
        <w:spacing w:after="0" w:line="20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231F20"/>
        </w:rPr>
        <w:t>No single customer accounted for 10% or more of consolidated Net sales during the three and nine months ended September 30, 2021 and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Related-Party Transactions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Registration Rights Agreement</w:t>
      </w:r>
    </w:p>
    <w:p>
      <w:pPr>
        <w:spacing w:after="0" w:line="98" w:lineRule="exact"/>
        <w:rPr>
          <w:sz w:val="20"/>
          <w:szCs w:val="20"/>
          <w:color w:val="auto"/>
        </w:rPr>
      </w:pPr>
    </w:p>
    <w:p>
      <w:pPr>
        <w:ind w:right="520" w:firstLine="318"/>
        <w:spacing w:after="0" w:line="328" w:lineRule="auto"/>
        <w:rPr>
          <w:sz w:val="20"/>
          <w:szCs w:val="20"/>
          <w:color w:val="auto"/>
        </w:rPr>
      </w:pPr>
      <w:r>
        <w:rPr>
          <w:rFonts w:ascii="Arial" w:cs="Arial" w:eastAsia="Arial" w:hAnsi="Arial"/>
          <w:sz w:val="15"/>
          <w:szCs w:val="15"/>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38" w:lineRule="exact"/>
        <w:rPr>
          <w:sz w:val="20"/>
          <w:szCs w:val="20"/>
          <w:color w:val="auto"/>
        </w:rPr>
      </w:pPr>
    </w:p>
    <w:p>
      <w:pPr>
        <w:ind w:right="120" w:firstLine="318"/>
        <w:spacing w:after="0" w:line="268" w:lineRule="auto"/>
        <w:rPr>
          <w:sz w:val="20"/>
          <w:szCs w:val="20"/>
          <w:color w:val="auto"/>
        </w:rPr>
      </w:pPr>
      <w:r>
        <w:rPr>
          <w:rFonts w:ascii="Arial" w:cs="Arial" w:eastAsia="Arial" w:hAnsi="Arial"/>
          <w:sz w:val="15"/>
          <w:szCs w:val="15"/>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to shares of Class A Common Stock prior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82" w:lineRule="exact"/>
        <w:rPr>
          <w:sz w:val="20"/>
          <w:szCs w:val="20"/>
          <w:color w:val="auto"/>
        </w:rPr>
      </w:pPr>
    </w:p>
    <w:p>
      <w:pPr>
        <w:ind w:right="100" w:firstLine="318"/>
        <w:spacing w:after="0" w:line="267" w:lineRule="auto"/>
        <w:rPr>
          <w:sz w:val="20"/>
          <w:szCs w:val="20"/>
          <w:color w:val="auto"/>
        </w:rPr>
      </w:pPr>
      <w:r>
        <w:rPr>
          <w:rFonts w:ascii="Arial" w:cs="Arial" w:eastAsia="Arial" w:hAnsi="Arial"/>
          <w:sz w:val="15"/>
          <w:szCs w:val="15"/>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Pursuant to the Registration Rights Agreement, the Sponsor agreed to restrictions on the transfer of their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Lock-Up Agreement</w:t>
      </w:r>
    </w:p>
    <w:p>
      <w:pPr>
        <w:spacing w:after="0" w:line="111"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In connection with the consummation of the Business Combination, on May 4, 2021, the Company, the Sponsor and the HydraFacial Stockholders entered into a Lock-Up Agreement, pursuant to which the HydraFacial Stockholders agreed, subject to certain exceptions, not to sell, transfer to another or otherwise dispose of, in whole or in part, the Common Stock held by the HydraFacial Stockholders during the period commencing from the closing of the Business Combination and through the earlier of (i) the 180-day anniversary of the date of the closing of the Business Combination and (ii) the date after the closing of the Business Combination on which the Company consummates certain transactions involving a change of control of the Company</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Investor Rights Agreement</w:t>
      </w:r>
    </w:p>
    <w:p>
      <w:pPr>
        <w:spacing w:after="0" w:line="9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Amended and Restated Management Services Agreement</w:t>
      </w:r>
    </w:p>
    <w:p>
      <w:pPr>
        <w:spacing w:after="0" w:line="11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Arial" w:cs="Arial" w:eastAsia="Arial" w:hAnsi="Arial"/>
          <w:sz w:val="17"/>
          <w:szCs w:val="17"/>
          <w:color w:val="231F20"/>
        </w:rPr>
        <w:t>1.25%</w:t>
      </w:r>
      <w:r>
        <w:rPr>
          <w:rFonts w:ascii="Arial" w:cs="Arial" w:eastAsia="Arial" w:hAnsi="Arial"/>
          <w:sz w:val="17"/>
          <w:szCs w:val="17"/>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Arial" w:cs="Arial" w:eastAsia="Arial" w:hAnsi="Arial"/>
          <w:sz w:val="17"/>
          <w:szCs w:val="17"/>
          <w:color w:val="231F20"/>
        </w:rPr>
        <w:t>1%</w:t>
      </w:r>
      <w:r>
        <w:rPr>
          <w:rFonts w:ascii="Arial" w:cs="Arial" w:eastAsia="Arial" w:hAnsi="Arial"/>
          <w:sz w:val="17"/>
          <w:szCs w:val="17"/>
          <w:color w:val="auto"/>
        </w:rPr>
        <w:t xml:space="preserve"> and </w:t>
      </w:r>
      <w:r>
        <w:rPr>
          <w:rFonts w:ascii="Arial" w:cs="Arial" w:eastAsia="Arial" w:hAnsi="Arial"/>
          <w:sz w:val="17"/>
          <w:szCs w:val="17"/>
          <w:color w:val="231F20"/>
        </w:rPr>
        <w:t>2%</w:t>
      </w:r>
      <w:r>
        <w:rPr>
          <w:rFonts w:ascii="Arial" w:cs="Arial" w:eastAsia="Arial" w:hAnsi="Arial"/>
          <w:sz w:val="17"/>
          <w:szCs w:val="17"/>
          <w:color w:val="auto"/>
        </w:rPr>
        <w:t xml:space="preserve"> of the related transaction amount. Linden Capital Partners III also received a transaction fee upon the consummation of the Business Combination. In connection with the consummation of the Business Combination, HydraFacial and Linden Capital Partners III amended the Management Services Agreement such that Linden Capital Partners III will continue to provide advisory services to HydraFacial related to mergers and acquisitions. As consideration for such services, HydraFacial will pay a fee, equal to 1% of enterprise value of the target acquired, to Linden Capital Partners III upon the consummation of any such transaction. The Company has also agreed to reimburse Linden Capital Partners III for certain expenses in connection with such advisory services.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consummation of the Business Combination, on May 4, 2021, the Company, its subsidiary, Edge Systems LLC, and Linden Capital</w:t>
      </w:r>
    </w:p>
    <w:p>
      <w:pPr>
        <w:spacing w:after="0" w:line="51" w:lineRule="exact"/>
        <w:rPr>
          <w:sz w:val="20"/>
          <w:szCs w:val="20"/>
          <w:color w:val="auto"/>
        </w:rPr>
      </w:pPr>
    </w:p>
    <w:p>
      <w:pPr>
        <w:ind w:right="300" w:firstLine="6"/>
        <w:spacing w:after="0" w:line="247" w:lineRule="auto"/>
        <w:tabs>
          <w:tab w:leader="none" w:pos="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LLC, the general partner of Linden Manager III LP (the “Linden Manager”) entered into an Amended and Restated Management Services Agreement pursuant to which the Linden Manager may continue to provide advisory services at the request of the Company related to mergers and acquisitions. As consideration for such services, the Company will pay a fee, equal to 1% of enterprise value of the target acquired, to the Linden Manager upon the consummation of any such transaction. The Company has also agreed to reimburse Linden Manager for certain expenses in connection with such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80" w:firstLine="318"/>
        <w:spacing w:after="0" w:line="237" w:lineRule="auto"/>
        <w:rPr>
          <w:sz w:val="20"/>
          <w:szCs w:val="20"/>
          <w:color w:val="auto"/>
        </w:rPr>
      </w:pPr>
      <w:r>
        <w:rPr>
          <w:rFonts w:ascii="Arial" w:cs="Arial" w:eastAsia="Arial" w:hAnsi="Arial"/>
          <w:sz w:val="17"/>
          <w:szCs w:val="17"/>
          <w:color w:val="231F20"/>
        </w:rPr>
        <w:t xml:space="preserve">HydraFacial recorded approximately $0.2 million and $1.0 million of charges related to management services fees for the nine months ended September 30, 2021 and 2020, respectively. These amounts are included in General and administrative expenses on the Company’s Consolidated Statements of Comprehensive Loss. </w:t>
      </w:r>
      <w:r>
        <w:rPr>
          <w:rFonts w:ascii="Arial" w:cs="Arial" w:eastAsia="Arial" w:hAnsi="Arial"/>
          <w:sz w:val="17"/>
          <w:szCs w:val="17"/>
          <w:color w:val="000000"/>
        </w:rPr>
        <w:t>There were immaterial amounts</w:t>
      </w:r>
      <w:r>
        <w:rPr>
          <w:rFonts w:ascii="Arial" w:cs="Arial" w:eastAsia="Arial" w:hAnsi="Arial"/>
          <w:sz w:val="17"/>
          <w:szCs w:val="17"/>
          <w:color w:val="231F20"/>
        </w:rPr>
        <w:t xml:space="preserve"> due to these related parties at September 30, 2021 and September 30, 2020. In relation to the consummation of the Business Combination, $21.0 million in transaction fees was paid to the Former Parent. These amounts are included in General and administrative expenses on the Company’s Condensed Consolidated Statements of Comprehensive Loss.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Former Related Party Note Receivable</w:t>
      </w:r>
    </w:p>
    <w:p>
      <w:pPr>
        <w:spacing w:after="0" w:line="98" w:lineRule="exact"/>
        <w:rPr>
          <w:sz w:val="20"/>
          <w:szCs w:val="20"/>
          <w:color w:val="auto"/>
        </w:rPr>
      </w:pPr>
    </w:p>
    <w:p>
      <w:pPr>
        <w:ind w:right="160" w:firstLine="318"/>
        <w:spacing w:after="0" w:line="281" w:lineRule="auto"/>
        <w:rPr>
          <w:sz w:val="20"/>
          <w:szCs w:val="20"/>
          <w:color w:val="auto"/>
        </w:rPr>
      </w:pPr>
      <w:r>
        <w:rPr>
          <w:rFonts w:ascii="Arial" w:cs="Arial" w:eastAsia="Arial" w:hAnsi="Arial"/>
          <w:sz w:val="15"/>
          <w:szCs w:val="15"/>
          <w:color w:val="231F20"/>
        </w:rPr>
        <w:t xml:space="preserve">HydraFacial issued shares to a key member of management in exchange for a note receivable with a $0.6 million face value. Interest on the note accrues at a rate of 8% and matures in December 2022. Interest receivable is presented as a component of other assets on the Company’s Condensed Consolidated Balance Sheets. As there was no intent for the issuer to pay the note within a reasonably short period of time, HydraFacial has presented the note as a deduction of stockholders’ deficit. In connection with </w:t>
      </w:r>
      <w:r>
        <w:rPr>
          <w:rFonts w:ascii="Arial" w:cs="Arial" w:eastAsia="Arial" w:hAnsi="Arial"/>
          <w:sz w:val="15"/>
          <w:szCs w:val="15"/>
          <w:color w:val="000000"/>
        </w:rPr>
        <w:t>the consummation of the Business Combination, the outstanding note receivable amount was</w:t>
      </w:r>
      <w:r>
        <w:rPr>
          <w:rFonts w:ascii="Arial" w:cs="Arial" w:eastAsia="Arial" w:hAnsi="Arial"/>
          <w:sz w:val="15"/>
          <w:szCs w:val="15"/>
          <w:color w:val="231F20"/>
        </w:rPr>
        <w:t xml:space="preserve"> settled</w:t>
      </w:r>
      <w:r>
        <w:rPr>
          <w:rFonts w:ascii="Arial" w:cs="Arial" w:eastAsia="Arial" w:hAnsi="Arial"/>
          <w:sz w:val="15"/>
          <w:szCs w:val="15"/>
          <w:color w:val="000000"/>
        </w:rPr>
        <w: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Former Long-term Debt Due to Related Parties</w:t>
      </w:r>
    </w:p>
    <w:p>
      <w:pPr>
        <w:spacing w:after="0" w:line="98" w:lineRule="exact"/>
        <w:rPr>
          <w:sz w:val="20"/>
          <w:szCs w:val="20"/>
          <w:color w:val="auto"/>
        </w:rPr>
      </w:pPr>
    </w:p>
    <w:p>
      <w:pPr>
        <w:ind w:right="80" w:firstLine="318"/>
        <w:spacing w:after="0" w:line="267" w:lineRule="auto"/>
        <w:rPr>
          <w:sz w:val="20"/>
          <w:szCs w:val="20"/>
          <w:color w:val="auto"/>
        </w:rPr>
      </w:pPr>
      <w:r>
        <w:rPr>
          <w:rFonts w:ascii="Arial" w:cs="Arial" w:eastAsia="Arial" w:hAnsi="Arial"/>
          <w:sz w:val="15"/>
          <w:szCs w:val="15"/>
          <w:color w:val="231F20"/>
        </w:rPr>
        <w:t>On April 10, 2020, the Company’s existing Credit Agreement with a bank that is also a related party was amended to include a “PIK” interest component of 2% that accrues on the outstanding balances of the Term Loan and Revolver. Additionally, the Company is required to pay an early prepayment fee of</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231F20"/>
        </w:rPr>
        <w:t>2.00% of the amount prepaid or repaid on the Term Loan prior to April 10, 2021, and 1.00% if prepaid between April 11, 2021 and April 10, 2022</w:t>
      </w:r>
      <w:r>
        <w:rPr>
          <w:rFonts w:ascii="Arial" w:cs="Arial" w:eastAsia="Arial" w:hAnsi="Arial"/>
          <w:sz w:val="17"/>
          <w:szCs w:val="17"/>
          <w:color w:val="000000"/>
        </w:rPr>
        <w:t>.</w:t>
      </w:r>
      <w:r>
        <w:rPr>
          <w:rFonts w:ascii="Arial" w:cs="Arial" w:eastAsia="Arial" w:hAnsi="Arial"/>
          <w:sz w:val="17"/>
          <w:szCs w:val="17"/>
          <w:color w:val="231F20"/>
        </w:rPr>
        <w:t xml:space="preserve"> During the three months ended September 30, 2021, in connection with </w:t>
      </w:r>
      <w:r>
        <w:rPr>
          <w:rFonts w:ascii="Arial" w:cs="Arial" w:eastAsia="Arial" w:hAnsi="Arial"/>
          <w:sz w:val="17"/>
          <w:szCs w:val="17"/>
          <w:color w:val="000000"/>
        </w:rPr>
        <w:t>the consummation of the Business Combination, all outstanding debt was paid. As of</w:t>
      </w:r>
      <w:r>
        <w:rPr>
          <w:rFonts w:ascii="Arial" w:cs="Arial" w:eastAsia="Arial" w:hAnsi="Arial"/>
          <w:sz w:val="17"/>
          <w:szCs w:val="17"/>
          <w:color w:val="231F20"/>
        </w:rPr>
        <w:t xml:space="preserve"> September 30, 2021</w:t>
      </w:r>
      <w:r>
        <w:rPr>
          <w:rFonts w:ascii="Arial" w:cs="Arial" w:eastAsia="Arial" w:hAnsi="Arial"/>
          <w:sz w:val="17"/>
          <w:szCs w:val="17"/>
          <w:color w:val="000000"/>
        </w:rPr>
        <w:t>, there was no amount due to related parties in connection with the Term Loan and Revolver.</w:t>
      </w:r>
    </w:p>
    <w:p>
      <w:pPr>
        <w:spacing w:after="0" w:line="149"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231F20"/>
        </w:rPr>
        <w:t xml:space="preserve">On April 10, 2020, HydraFacial also entered into a second credit facility with a related party to provide for borrowings of $30.0 million (the “Term A Loan”). In connection with </w:t>
      </w:r>
      <w:r>
        <w:rPr>
          <w:rFonts w:ascii="Arial" w:cs="Arial" w:eastAsia="Arial" w:hAnsi="Arial"/>
          <w:sz w:val="18"/>
          <w:szCs w:val="18"/>
          <w:color w:val="000000"/>
        </w:rPr>
        <w:t>the consummation of the Business Combination, all outstanding debt was paid. As of</w:t>
      </w:r>
      <w:r>
        <w:rPr>
          <w:rFonts w:ascii="Arial" w:cs="Arial" w:eastAsia="Arial" w:hAnsi="Arial"/>
          <w:sz w:val="18"/>
          <w:szCs w:val="18"/>
          <w:color w:val="231F20"/>
        </w:rPr>
        <w:t xml:space="preserve"> September 30, 2021</w:t>
      </w:r>
      <w:r>
        <w:rPr>
          <w:rFonts w:ascii="Arial" w:cs="Arial" w:eastAsia="Arial" w:hAnsi="Arial"/>
          <w:sz w:val="18"/>
          <w:szCs w:val="18"/>
          <w:color w:val="000000"/>
        </w:rPr>
        <w:t>, there was no amount</w:t>
      </w:r>
      <w:r>
        <w:rPr>
          <w:rFonts w:ascii="Arial" w:cs="Arial" w:eastAsia="Arial" w:hAnsi="Arial"/>
          <w:sz w:val="18"/>
          <w:szCs w:val="18"/>
          <w:color w:val="231F20"/>
        </w:rPr>
        <w:t xml:space="preserve"> </w:t>
      </w:r>
      <w:r>
        <w:rPr>
          <w:rFonts w:ascii="Arial" w:cs="Arial" w:eastAsia="Arial" w:hAnsi="Arial"/>
          <w:sz w:val="18"/>
          <w:szCs w:val="18"/>
          <w:color w:val="000000"/>
        </w:rPr>
        <w:t xml:space="preserve">due to a related parties in connection with the </w:t>
      </w:r>
      <w:r>
        <w:rPr>
          <w:rFonts w:ascii="Arial" w:cs="Arial" w:eastAsia="Arial" w:hAnsi="Arial"/>
          <w:sz w:val="18"/>
          <w:szCs w:val="18"/>
          <w:color w:val="231F20"/>
        </w:rPr>
        <w:t>Term A Loan and related PIK Interest.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Related Party Leases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Signal Hill Office</w:t>
      </w:r>
    </w:p>
    <w:p>
      <w:pPr>
        <w:spacing w:after="0" w:line="111"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231F20"/>
        </w:rPr>
        <w:t>HydraFacial leases its office in Signal Hill, California, from an entity owned by former minority stockholders of HydraFacial who are no longer active employees. Lease expense under this lease was $0.2 million and $0.3 million for the nine months ended September 30, 2021 and 2020, respectively.</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Miami Beach Office</w:t>
      </w:r>
    </w:p>
    <w:p>
      <w:pPr>
        <w:spacing w:after="0" w:line="111"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231F20"/>
        </w:rPr>
        <w:t>The Company maintains an office in Miami Beach, Florida, whereby the Company, on a monthly basis, reimburses an entity owned by the Company’s Executive Chairman that makes such office available to the Company for its employees and affiliates.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Sales to Related Parties</w:t>
      </w:r>
    </w:p>
    <w:p>
      <w:pPr>
        <w:spacing w:after="0" w:line="111"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231F20"/>
        </w:rPr>
        <w:t>HydraFacial sells to a customer that is owned directly or indirectly by a key member of management. Sales for this related party and the outstanding accounts receivable balance are as follows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231F20"/>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231F20"/>
              </w:rPr>
              <w:t>Nine Months Ended September 30,</w:t>
            </w:r>
          </w:p>
        </w:tc>
        <w:tc>
          <w:tcPr>
            <w:tcW w:w="380" w:type="dxa"/>
            <w:vAlign w:val="bottom"/>
            <w:tcBorders>
              <w:bottom w:val="single" w:sz="8" w:color="auto"/>
            </w:tcBorders>
          </w:tcPr>
          <w:p>
            <w:pPr>
              <w:spacing w:after="0"/>
              <w:rPr>
                <w:sz w:val="16"/>
                <w:szCs w:val="16"/>
                <w:color w:val="auto"/>
              </w:rPr>
            </w:pPr>
          </w:p>
        </w:tc>
      </w:tr>
      <w:tr>
        <w:trPr>
          <w:trHeight w:val="18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231F20"/>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231F20"/>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231F20"/>
              </w:rPr>
              <w:t>2020</w:t>
            </w:r>
          </w:p>
        </w:tc>
        <w:tc>
          <w:tcPr>
            <w:tcW w:w="380" w:type="dxa"/>
            <w:vAlign w:val="bottom"/>
            <w:tcBorders>
              <w:bottom w:val="single" w:sz="8" w:color="auto"/>
            </w:tcBorders>
          </w:tcPr>
          <w:p>
            <w:pPr>
              <w:spacing w:after="0"/>
              <w:rPr>
                <w:sz w:val="16"/>
                <w:szCs w:val="16"/>
                <w:color w:val="auto"/>
              </w:rPr>
            </w:pPr>
          </w:p>
        </w:tc>
      </w:tr>
      <w:tr>
        <w:trPr>
          <w:trHeight w:val="219"/>
        </w:trPr>
        <w:tc>
          <w:tcPr>
            <w:tcW w:w="53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Sales to related party</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231F20"/>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231F20"/>
                <w:w w:val="79"/>
              </w:rPr>
              <w:t>$</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231F20"/>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396</w:t>
            </w:r>
          </w:p>
        </w:tc>
        <w:tc>
          <w:tcPr>
            <w:tcW w:w="1180" w:type="dxa"/>
            <w:vAlign w:val="bottom"/>
            <w:gridSpan w:val="3"/>
            <w:shd w:val="clear" w:color="auto" w:fill="CCEEFF"/>
          </w:tcPr>
          <w:p>
            <w:pPr>
              <w:jc w:val="right"/>
              <w:ind w:right="849"/>
              <w:spacing w:after="0"/>
              <w:rPr>
                <w:sz w:val="20"/>
                <w:szCs w:val="20"/>
                <w:color w:val="auto"/>
              </w:rPr>
            </w:pPr>
            <w:r>
              <w:rPr>
                <w:rFonts w:ascii="Arial" w:cs="Arial" w:eastAsia="Arial" w:hAnsi="Arial"/>
                <w:sz w:val="18"/>
                <w:szCs w:val="18"/>
                <w:color w:val="231F2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193</w:t>
            </w:r>
          </w:p>
        </w:tc>
      </w:tr>
      <w:tr>
        <w:trPr>
          <w:trHeight w:val="40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9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80" w:type="dxa"/>
            <w:vAlign w:val="bottom"/>
            <w:tcBorders>
              <w:bottom w:val="single" w:sz="8" w:color="231F20"/>
            </w:tcBorders>
            <w:gridSpan w:val="4"/>
          </w:tcPr>
          <w:p>
            <w:pPr>
              <w:jc w:val="right"/>
              <w:ind w:right="161"/>
              <w:spacing w:after="0"/>
              <w:rPr>
                <w:sz w:val="20"/>
                <w:szCs w:val="20"/>
                <w:color w:val="auto"/>
              </w:rPr>
            </w:pPr>
            <w:r>
              <w:rPr>
                <w:rFonts w:ascii="Arial" w:cs="Arial" w:eastAsia="Arial" w:hAnsi="Arial"/>
                <w:sz w:val="14"/>
                <w:szCs w:val="14"/>
                <w:b w:val="1"/>
                <w:bCs w:val="1"/>
                <w:color w:val="231F20"/>
              </w:rPr>
              <w:t>September 30, 2021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2020</w:t>
            </w:r>
          </w:p>
        </w:tc>
        <w:tc>
          <w:tcPr>
            <w:tcW w:w="380" w:type="dxa"/>
            <w:vAlign w:val="bottom"/>
            <w:tcBorders>
              <w:bottom w:val="single" w:sz="8" w:color="231F20"/>
            </w:tcBorders>
          </w:tcPr>
          <w:p>
            <w:pPr>
              <w:spacing w:after="0"/>
              <w:rPr>
                <w:sz w:val="24"/>
                <w:szCs w:val="24"/>
                <w:color w:val="auto"/>
              </w:rPr>
            </w:pPr>
          </w:p>
        </w:tc>
      </w:tr>
      <w:tr>
        <w:trPr>
          <w:trHeight w:val="224"/>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Accounts receivable due from related party</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231F20"/>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Stockholders’ Deficit</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231F20"/>
        </w:rPr>
        <w:t>The Company is authorized to issue 320,000,000 shares of Class A Common Stock, par value of $0.0001 per share. Holders of Class A Common Stock are entitled to one vote for each share. As of September 30, 2021 and December 31, 2020, there were 133,490,012 and 35,501,743, respectively, of Class A Common Stock issued and outstanding. The Class A Common Stock is entitled t</w:t>
      </w:r>
      <w:r>
        <w:rPr>
          <w:rFonts w:ascii="Arial" w:cs="Arial" w:eastAsia="Arial" w:hAnsi="Arial"/>
          <w:sz w:val="18"/>
          <w:szCs w:val="18"/>
          <w:color w:val="000000"/>
        </w:rPr>
        <w:t>o one vote pe</w:t>
      </w:r>
      <w:r>
        <w:rPr>
          <w:rFonts w:ascii="Arial" w:cs="Arial" w:eastAsia="Arial" w:hAnsi="Arial"/>
          <w:sz w:val="18"/>
          <w:szCs w:val="18"/>
          <w:color w:val="231F20"/>
        </w:rPr>
        <w:t>r share and all shares are outstanding. The Company has not declared or paid any dividends with respect to its Class A Common Stock</w:t>
      </w:r>
      <w:r>
        <w:rPr>
          <w:rFonts w:ascii="Arial" w:cs="Arial" w:eastAsia="Arial" w:hAnsi="Arial"/>
          <w:sz w:val="18"/>
          <w:szCs w:val="18"/>
          <w:color w:val="000000"/>
        </w:rPr>
        <w:t>.</w:t>
      </w:r>
    </w:p>
    <w:p>
      <w:pPr>
        <w:spacing w:after="0" w:line="85"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Company is authorized to issue 1,000,000 shares of preferred stock with a par value of $0.0001 per share with such designations, voting and other</w:t>
      </w:r>
      <w:r>
        <w:rPr>
          <w:rFonts w:ascii="Arial" w:cs="Arial" w:eastAsia="Arial" w:hAnsi="Arial"/>
          <w:sz w:val="18"/>
          <w:szCs w:val="18"/>
          <w:color w:val="231F20"/>
        </w:rPr>
        <w:t xml:space="preserve"> </w:t>
      </w:r>
      <w:r>
        <w:rPr>
          <w:rFonts w:ascii="Arial" w:cs="Arial" w:eastAsia="Arial" w:hAnsi="Arial"/>
          <w:sz w:val="18"/>
          <w:szCs w:val="18"/>
          <w:color w:val="000000"/>
        </w:rPr>
        <w:t>rights and preferences as may be determined from time to time by the Company’s board of directors. At September 30, 2021 and December 31, 2020, there were no shares of preferred stock issued or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Reporting</w:t>
      </w:r>
    </w:p>
    <w:p>
      <w:pPr>
        <w:spacing w:after="0" w:line="11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Net sales by geographic region were as follows for the periods indicated:</w:t>
      </w:r>
    </w:p>
    <w:p>
      <w:pPr>
        <w:sectPr>
          <w:pgSz w:w="11900" w:h="16838" w:orient="portrait"/>
          <w:cols w:equalWidth="0" w:num="1">
            <w:col w:w="11240"/>
          </w:cols>
          <w:pgMar w:left="320" w:top="127" w:right="339" w:bottom="1440" w:gutter="0" w:footer="0" w:header="0"/>
        </w:sect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(in thousands)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Americas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Asia-Pacific</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231F20"/>
        </w:rPr>
        <w:t>Europe, the Middle East and Africa</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Total net sales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231F20"/>
                <w:w w:val="97"/>
              </w:rPr>
              <w:t>Nine Months Ended September 30,</w:t>
            </w:r>
          </w:p>
        </w:tc>
      </w:tr>
      <w:tr>
        <w:trPr>
          <w:trHeight w:val="183"/>
        </w:trPr>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r>
      <w:tr>
        <w:trPr>
          <w:trHeight w:val="218"/>
        </w:trPr>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45,046</w:t>
            </w:r>
          </w:p>
        </w:tc>
        <w:tc>
          <w:tcPr>
            <w:tcW w:w="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21,181</w:t>
            </w:r>
          </w:p>
        </w:tc>
        <w:tc>
          <w:tcPr>
            <w:tcW w:w="8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118,986</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54,563</w:t>
            </w:r>
          </w:p>
        </w:tc>
      </w:tr>
      <w:tr>
        <w:trPr>
          <w:trHeight w:val="225"/>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10,490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5,301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31,721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9,619</w:t>
            </w:r>
          </w:p>
        </w:tc>
      </w:tr>
      <w:tr>
        <w:trPr>
          <w:trHeight w:val="226"/>
        </w:trPr>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12,611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8,078</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31,490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17,030</w:t>
            </w:r>
          </w:p>
        </w:tc>
      </w:tr>
      <w:tr>
        <w:trPr>
          <w:trHeight w:val="218"/>
        </w:trPr>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68,147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34,560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182,197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81,212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-621665</wp:posOffset>
            </wp:positionV>
            <wp:extent cx="7134860" cy="151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-327660</wp:posOffset>
            </wp:positionV>
            <wp:extent cx="713486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80"/>
          </w:cols>
          <w:pgMar w:left="320" w:top="127" w:right="339" w:bottom="1440" w:gutter="0" w:footer="0" w:header="0"/>
          <w:type w:val="continuous"/>
        </w:sectPr>
      </w:pPr>
    </w:p>
    <w:p>
      <w:pPr>
        <w:spacing w:after="0" w:line="53"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As of September 30, 2021 and December 31, 2020, substantially all of the Company’s property, plant and equipment was held in the United States.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Net Loss Attributable to Common Shareholders</w:t>
      </w:r>
    </w:p>
    <w:p>
      <w:pPr>
        <w:spacing w:after="0" w:line="117" w:lineRule="exact"/>
        <w:rPr>
          <w:sz w:val="20"/>
          <w:szCs w:val="20"/>
          <w:color w:val="auto"/>
        </w:rPr>
      </w:pPr>
    </w:p>
    <w:p>
      <w:pPr>
        <w:jc w:val="both"/>
        <w:ind w:right="180" w:firstLine="318"/>
        <w:spacing w:after="0" w:line="330" w:lineRule="auto"/>
        <w:rPr>
          <w:sz w:val="20"/>
          <w:szCs w:val="20"/>
          <w:color w:val="auto"/>
        </w:rPr>
      </w:pPr>
      <w:r>
        <w:rPr>
          <w:rFonts w:ascii="Arial" w:cs="Arial" w:eastAsia="Arial" w:hAnsi="Arial"/>
          <w:sz w:val="15"/>
          <w:szCs w:val="15"/>
          <w:color w:val="231F20"/>
        </w:rPr>
        <w:t>Net loss attributable to common stockholders is computed by deducting both the dividend distributions declared in the period on preferred stock and the dividends accumulated for the period on cumulative preferred stock from net loss (“Basic EPS”). Diluted net loss per share (“Diluted EPS”) is computed by dividing net loss attributable to common stockholders by the total of the weighted average common stock outstanding shares outstanding during the period.</w:t>
      </w:r>
    </w:p>
    <w:p>
      <w:pPr>
        <w:spacing w:after="0" w:line="11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231F20"/>
        </w:rPr>
        <w:t>Diluted EPS for the three and nine months ended September 30, 2021 and 2020, exclude the dilutive effect of stock option shares because their inclusion would be anti-dilutive for all periods.</w:t>
      </w:r>
    </w:p>
    <w:p>
      <w:pPr>
        <w:spacing w:after="0" w:line="14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231F20"/>
        </w:rPr>
        <w:t>The following table sets forth the calculation of both basic and diluted net loss per share as follows for the periods indicated (in thousands, except share and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231F20"/>
                <w:w w:val="97"/>
              </w:rPr>
              <w:t>Nine Months Ended September 30,</w:t>
            </w:r>
          </w:p>
        </w:tc>
      </w:tr>
      <w:tr>
        <w:trPr>
          <w:trHeight w:val="185"/>
        </w:trPr>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2020</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2020</w:t>
            </w:r>
          </w:p>
        </w:tc>
      </w:tr>
      <w:tr>
        <w:trPr>
          <w:trHeight w:val="206"/>
        </w:trPr>
        <w:tc>
          <w:tcPr>
            <w:tcW w:w="52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Basic and diluted loss per share: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5"/>
        </w:trPr>
        <w:tc>
          <w:tcPr>
            <w:tcW w:w="5240" w:type="dxa"/>
            <w:vAlign w:val="bottom"/>
          </w:tcPr>
          <w:p>
            <w:pPr>
              <w:ind w:left="60"/>
              <w:spacing w:after="0"/>
              <w:rPr>
                <w:sz w:val="20"/>
                <w:szCs w:val="20"/>
                <w:color w:val="auto"/>
              </w:rPr>
            </w:pPr>
            <w:r>
              <w:rPr>
                <w:rFonts w:ascii="Arial" w:cs="Arial" w:eastAsia="Arial" w:hAnsi="Arial"/>
                <w:sz w:val="18"/>
                <w:szCs w:val="18"/>
                <w:color w:val="231F20"/>
              </w:rPr>
              <w:t>Net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(215,145)</w:t>
            </w:r>
          </w:p>
        </w:tc>
        <w:tc>
          <w:tcPr>
            <w:tcW w:w="8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(2,214)</w:t>
            </w:r>
          </w:p>
        </w:tc>
        <w:tc>
          <w:tcPr>
            <w:tcW w:w="8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(357,797)</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(21,682)</w:t>
            </w:r>
          </w:p>
        </w:tc>
      </w:tr>
      <w:tr>
        <w:trPr>
          <w:trHeight w:val="232"/>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Shares used in computation: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1"/>
        </w:trPr>
        <w:tc>
          <w:tcPr>
            <w:tcW w:w="5240" w:type="dxa"/>
            <w:vAlign w:val="bottom"/>
          </w:tcPr>
          <w:p>
            <w:pPr>
              <w:ind w:left="60"/>
              <w:spacing w:after="0"/>
              <w:rPr>
                <w:sz w:val="20"/>
                <w:szCs w:val="20"/>
                <w:color w:val="auto"/>
              </w:rPr>
            </w:pPr>
            <w:r>
              <w:rPr>
                <w:rFonts w:ascii="Arial" w:cs="Arial" w:eastAsia="Arial" w:hAnsi="Arial"/>
                <w:sz w:val="18"/>
                <w:szCs w:val="18"/>
                <w:color w:val="231F20"/>
              </w:rPr>
              <w:t>Weighted average common shares outstanding</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132,306,346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35,392,316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87,219,681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33,870,903</w:t>
            </w: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524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Basic and diluted loss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(0.64)</w:t>
            </w:r>
          </w:p>
        </w:tc>
      </w:tr>
      <w:tr>
        <w:trPr>
          <w:trHeight w:val="887"/>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18"/>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4"/>
        </w:trPr>
        <w:tc>
          <w:tcPr>
            <w:tcW w:w="5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following potentially dilutive weighted average shares were not included in the calculation of the weighted average diluted shares outstanding as the effect would have been anti-dilutive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231F20"/>
              </w:rPr>
              <w:t>Three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231F20"/>
              </w:rPr>
              <w:t>Nine Months Ended September 30,</w:t>
            </w:r>
          </w:p>
        </w:tc>
      </w:tr>
      <w:tr>
        <w:trPr>
          <w:trHeight w:val="183"/>
        </w:trPr>
        <w:tc>
          <w:tcPr>
            <w:tcW w:w="52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231F20"/>
              </w:rPr>
              <w:t>2020</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r>
      <w:tr>
        <w:trPr>
          <w:trHeight w:val="219"/>
        </w:trPr>
        <w:tc>
          <w:tcPr>
            <w:tcW w:w="52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8,521,900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6"/>
              </w:rPr>
              <w:t>724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5,557,267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724</w:t>
            </w:r>
          </w:p>
        </w:tc>
      </w:tr>
      <w:tr>
        <w:trPr>
          <w:trHeight w:val="225"/>
        </w:trPr>
        <w:tc>
          <w:tcPr>
            <w:tcW w:w="5260" w:type="dxa"/>
            <w:vAlign w:val="bottom"/>
          </w:tcPr>
          <w:p>
            <w:pPr>
              <w:ind w:left="60"/>
              <w:spacing w:after="0"/>
              <w:rPr>
                <w:sz w:val="20"/>
                <w:szCs w:val="20"/>
                <w:color w:val="auto"/>
              </w:rPr>
            </w:pPr>
            <w:r>
              <w:rPr>
                <w:rFonts w:ascii="Arial" w:cs="Arial" w:eastAsia="Arial" w:hAnsi="Arial"/>
                <w:sz w:val="18"/>
                <w:szCs w:val="18"/>
                <w:color w:val="231F20"/>
              </w:rPr>
              <w:t>RSUs and PSUs</w:t>
            </w:r>
          </w:p>
        </w:tc>
        <w:tc>
          <w:tcPr>
            <w:tcW w:w="1420" w:type="dxa"/>
            <w:vAlign w:val="bottom"/>
          </w:tcPr>
          <w:p>
            <w:pPr>
              <w:jc w:val="right"/>
              <w:spacing w:after="0"/>
              <w:rPr>
                <w:sz w:val="20"/>
                <w:szCs w:val="20"/>
                <w:color w:val="auto"/>
              </w:rPr>
            </w:pPr>
            <w:r>
              <w:rPr>
                <w:rFonts w:ascii="Arial" w:cs="Arial" w:eastAsia="Arial" w:hAnsi="Arial"/>
                <w:sz w:val="18"/>
                <w:szCs w:val="18"/>
                <w:color w:val="231F20"/>
              </w:rPr>
              <w:t>1,175,247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783,498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Public and Private Warrants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24,666,666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16,444,444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4"/>
        </w:trPr>
        <w:tc>
          <w:tcPr>
            <w:tcW w:w="5260" w:type="dxa"/>
            <w:vAlign w:val="bottom"/>
          </w:tcPr>
          <w:p>
            <w:pPr>
              <w:ind w:left="60"/>
              <w:spacing w:after="0"/>
              <w:rPr>
                <w:sz w:val="20"/>
                <w:szCs w:val="20"/>
                <w:color w:val="auto"/>
              </w:rPr>
            </w:pPr>
            <w:r>
              <w:rPr>
                <w:rFonts w:ascii="Arial" w:cs="Arial" w:eastAsia="Arial" w:hAnsi="Arial"/>
                <w:sz w:val="18"/>
                <w:szCs w:val="18"/>
                <w:color w:val="231F20"/>
              </w:rPr>
              <w:t>Convertible Note Securities</w:t>
            </w:r>
          </w:p>
        </w:tc>
        <w:tc>
          <w:tcPr>
            <w:tcW w:w="1420" w:type="dxa"/>
            <w:vAlign w:val="bottom"/>
          </w:tcPr>
          <w:p>
            <w:pPr>
              <w:jc w:val="right"/>
              <w:spacing w:after="0"/>
              <w:rPr>
                <w:sz w:val="20"/>
                <w:szCs w:val="20"/>
                <w:color w:val="auto"/>
              </w:rPr>
            </w:pPr>
            <w:r>
              <w:rPr>
                <w:rFonts w:ascii="Arial" w:cs="Arial" w:eastAsia="Arial" w:hAnsi="Arial"/>
                <w:sz w:val="18"/>
                <w:szCs w:val="18"/>
                <w:color w:val="231F20"/>
              </w:rPr>
              <w:t>11,807,213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7,871,475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Warrant Redemption</w:t>
      </w:r>
    </w:p>
    <w:p>
      <w:pPr>
        <w:spacing w:after="0" w:line="9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On October 4, 2021, the Company delivered a Notice of Redemption (the “Notice of Redemption”) calling for the redemption (the “Redemption”) of all of its outstanding public warrants (“Public Warrants”) to purchase shares of the Company’s Class A Common Stock that were issued under the Warrant Agreement, dated September 29, 2020 (the “Warrant Agreement”), by and between the Company and Continental Stock Transfer &amp; Trust Company (“CST”), as warrant agent (“Warrant Agent”), as part of the units sold in the Company’s initial public offering, and that remain outstanding following 5:00 p.m. New York City time on November 3, 2021 (“Redemption Date”), for a redemption price of $0.10 per public warrant.</w:t>
      </w:r>
    </w:p>
    <w:p>
      <w:pPr>
        <w:spacing w:after="0" w:line="201"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On November 8, 2021, the Company announced the results of the completed redemption of all of its outstanding public warrants to purchase shares of the Company’s Class A common stock, par value $0.0001 per share, that were issued under the Warrant Agreement. In connection with the Redemption, 16,123,235 Public Warrants were exercised for cash at an exercise price of $11.50 per share of Common Stock, and 74,104 Public Warrants were exercised on a cashless basis in exchange for an aggregate of 26,732 shares of Common Stock, in each case in accordance with the terms of the Warrant Agreement, representing approximately 99.5% of the outstanding Public Warrants. Total cash proceeds generated from exercises of the Public Warrants were $185.4 million.</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This Quarterly Report contains “forward looking statements” within the meaning of the “safe harbor” provisions of the United States Private Securities Litigation Reform Act of 1995. When used in this Quarterly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85"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These forward-looking statements are not guarantees of future performance, conditions or results, and involve a number of known and unknown risks, uncertainties, assumptions and other important factors, many of which are outside The Beauty Health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w:t>
      </w:r>
    </w:p>
    <w:p>
      <w:pPr>
        <w:spacing w:after="0" w:line="4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Important factors, among others, that may affect actual results or outcomes include the inability to recognize the anticipated benefits of the Business Combination; costs related to the Business Combination; the inability to maintain the listing of The Beauty Health Company’s shares on Nasdaq; The Beauty Health Company’s availability of cash for debt service and exposure to risk of default under debt obligations; The Beauty Health Company’s ability to manage growth; The Beauty Health Company’s ability to execute its business plan; potential litigation involving The Beauty Health Company; changes in applicable laws or regulations; the possibility that The Beauty Health Company may be adversely affected by other economic, business, and/or competitive factors; and the impact of the continuing COVID-19 pandemic on our business. The Beauty Health Company does not undertake any obligation to update or revise any forward-looking statements, whether as a result of new information, future events or otherwise, except as required by law.</w:t>
      </w:r>
    </w:p>
    <w:p>
      <w:pPr>
        <w:spacing w:after="0" w:line="51"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appearing elsewhere in this Quarterly Report on Form 10-Q.</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the context otherwise requires, references to “</w:t>
      </w:r>
      <w:r>
        <w:rPr>
          <w:rFonts w:ascii="Arial" w:cs="Arial" w:eastAsia="Arial" w:hAnsi="Arial"/>
          <w:sz w:val="18"/>
          <w:szCs w:val="18"/>
          <w:i w:val="1"/>
          <w:iCs w:val="1"/>
          <w:color w:val="auto"/>
        </w:rPr>
        <w:t>HydraFacial</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in this section are intended to mean the business and operations of The Beauty Health Company and its consolidated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Founded in 1997, HydraFacial is a category-creating beauty health company. Its offerings in skin care and scalp health occupy a position at the intersection of medical aesthetics and traditional skin and personal care products. HydraFacial treatments are convenient, affordable, personalized and have demonstrated effectiveness. HydraFacial distributes its products in 87 countries through multiple channels including day spas, hotels, dermatologists, plastic surgeons and beauty retail.</w:t>
      </w:r>
    </w:p>
    <w:p>
      <w:pPr>
        <w:spacing w:after="0" w:line="85"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HydraFacial’s business model has two predominant revenue streams: Delivery Systems (as defined below) and Consumables (as defined below). Delivery Systems are purchased up-front. Consumable single- and multi-use serums, tips and boosters or “Consumables” to provide treatments using our Delivery Systems are purchased on a recurring basis. The expansion of the number of Delivery Systems installed, or “install base,” increases the foundation for future revenue by creating a larger base to drive consumable sales. We believe that as the install base grows and Delivery Systems become more productive, recurring revenue will grow to become a larger share of the business.</w:t>
      </w:r>
    </w:p>
    <w:p>
      <w:pPr>
        <w:spacing w:after="0" w:line="75"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HydraFacial has more than tripled Net Sales from $48 million for the year ended December 31, 2016 to $166 million for the year ended December 31, 2019, growing its footprint both in the US and internationally. Net sales decreased in 2020 as a result of COVID-19 restrictions, but have rebounded since the onset of the pandemic, as Net sales increased $33.5 million, or 97.2%, for the three months ended September 30, 2021 when compared with the Net sales for the three months ended September 30, 2020. For the nine months ended September 30, 2021 compared to September 30, 2020, Net sales increased $101.0 million, or 124.3%. Financial metrics we use to track our goals include revenue growth, Adjusted gross profit and Adjusted EBITDA. For a definition of Key Performance Indicators (“</w:t>
      </w:r>
      <w:r>
        <w:rPr>
          <w:rFonts w:ascii="Arial" w:cs="Arial" w:eastAsia="Arial" w:hAnsi="Arial"/>
          <w:sz w:val="15"/>
          <w:szCs w:val="15"/>
          <w:i w:val="1"/>
          <w:iCs w:val="1"/>
          <w:color w:val="auto"/>
        </w:rPr>
        <w:t>KPIs</w:t>
      </w:r>
      <w:r>
        <w:rPr>
          <w:rFonts w:ascii="Arial" w:cs="Arial" w:eastAsia="Arial" w:hAnsi="Arial"/>
          <w:sz w:val="15"/>
          <w:szCs w:val="15"/>
          <w:color w:val="auto"/>
        </w:rPr>
        <w:t>”) see the section titled “</w:t>
      </w:r>
      <w:r>
        <w:rPr>
          <w:rFonts w:ascii="Arial" w:cs="Arial" w:eastAsia="Arial" w:hAnsi="Arial"/>
          <w:sz w:val="15"/>
          <w:szCs w:val="15"/>
          <w:i w:val="1"/>
          <w:iCs w:val="1"/>
          <w:color w:val="auto"/>
        </w:rPr>
        <w:t>—Key Operational and Business Metrics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1"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On September 14, 2021, we issued $750 million aggregate principal amount of our 1.25% Convertible Senior Notes due 2026 (the “ Notes”) in a private placement to qualified institutional buyers pursuant to Rule 144A under the Securities Act of 1933, as amended. The Notes were issued pursuant to, and are governed by, an indenture, dated as of September 14, 2021, between the Company and U.S. Bank National Association, as trustee. The initial conversion rate is 31.4859 shares of Class A Common Stock per $1,000 principal amount of Notes, which represents an initial conversion price of approximately $31.76 per share of common stock. We used $90.2 million of the net proceeds from the sale of the Notes to fund the cost of entering into capped call transactions. The net proceeds from the issuance of the Notes were approximately $638.7 million, net of capped call transaction costs of $90.2 million and debt issuance costs totaling $21.1 million. See Note 9 - Debt, to the Notes to Condensed Consolidated Financial Statements included elsewhere in this report.</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1"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Capped call transactions cover the aggregate number of shares of our common stock that will initially underlie the Notes, and generally reduce potential dilution to our common stock upon any conversion of Notes and/or 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Condensed Consolidated Financial Statements included elsewhere in this report.</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1"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231F20"/>
        </w:rPr>
        <w:t>The COVID-19 pandemic has had, and we expect will continue to have adverse impacts on our business. As government authorities around the world continue to implement significant measures intended to control the spread of the virus and institute restrictions on commercial operations, while at the same time implementing multi-step policies with the goal of re-opening certain markets, we are working to ensure our compliance while also maintaining business continuity for essential operations in our facilities.</w:t>
      </w:r>
    </w:p>
    <w:p>
      <w:pPr>
        <w:spacing w:after="0" w:line="85"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231F20"/>
        </w:rPr>
        <w:t>The COVID-19 pandemic caused us to experience several adverse impacts primarily in the first and second quarters of fiscal year 2020, including extended sales cycles to close new orders for our products, delays in shipping and installing orders due to closed facilities and travel limitations and delays and failures in collecting accounts receivable. The rapid development and uncertainty of the impacts of the COVID-19 pandemic precludes any prediction as to the ultimate adverse impact of the COVID-19 pandemic on our business. However, the COVID-19 pandemic, and the measures taken to contain it, present material uncertainty and risk with respect to our performance and financial results. In particular, closure of providers, restrictions on performing personal services, consumer perceptions about the safety of HydraFacial’s services, disruption in the supply chain of raw materials and components, and inefficiencies in the manufacturing of products due to social distancing and hygiene protocols. Disruptions in the capital markets as a result of the COVID-19 pandemic may also adversely affect our business if these impacts continue for a prolonged period and we need additional liquidity.</w:t>
      </w:r>
    </w:p>
    <w:p>
      <w:pPr>
        <w:spacing w:after="0" w:line="4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During the year ended December 31, 2020, we took and may continue to take, actions to mitigate the impact of the COVID-19 pandemic on our cash flow and results of operations and financial condition. Starting in April 2020, after the government mandated shutdowns, we experienced a significant decline in sales during the second quarter of 2020, and took certain corrective measures. HydraFacial furloughed a majority of its workforce and went through a restructuring process, which included the write-off of certain product lines, and costs incurred for assistance provided by third-party consultants to assist in managing the downturn. Subsequent to the downturn experienced during the second quarter of 2020, our revenues increased, and we returned to having positive Adjusted EBITDA in the latter half of 2020. This trend continued into the third quarter of 2021. We successfully managed the variable portion of our cost structure to better align with revenue, which was significantly reduced during the downturn. Additionally, nearly all of our furloughed employees have returned to work.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303" w:lineRule="exact"/>
        <w:rPr>
          <w:sz w:val="20"/>
          <w:szCs w:val="20"/>
          <w:color w:val="auto"/>
        </w:rPr>
      </w:pPr>
    </w:p>
    <w:p>
      <w:pPr>
        <w:ind w:right="440" w:firstLine="318"/>
        <w:spacing w:after="0" w:line="252" w:lineRule="auto"/>
        <w:rPr>
          <w:sz w:val="20"/>
          <w:szCs w:val="20"/>
          <w:color w:val="auto"/>
        </w:rPr>
      </w:pPr>
      <w:r>
        <w:rPr>
          <w:rFonts w:ascii="Arial" w:cs="Arial" w:eastAsia="Arial" w:hAnsi="Arial"/>
          <w:sz w:val="18"/>
          <w:szCs w:val="18"/>
          <w:color w:val="auto"/>
        </w:rPr>
        <w:t>On May 4, 2021, HydraFacial consummated the previously announced Business Combination pursuant to that certain Merger Agreement, dated December 8, 2020 with Vesper Healthcare Acquisition Corp. (“Vesper"), pursuant to which Vesper acquired, directly or indirectly, 100% of the stock of HydraFacial and its subsidiaries. Upon closing, the combined entity was renamed The Beauty Health Company and trades on the Nasdaq Capital Market under the ticker symbol “SKIN”.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Pursuant to the terms of the Merger Agreement, the aggregate merger consideration paid to the HydraFacial stockholders in connection with the Business Combination was approximately $975.0 million less HydraFacial’s net indebtedness as of the Closing Date, transaction expenses, and net working capital relative to a target. In connection with the transaction, all of HydraFacial’s existing debt under its credit facilities were repaid and the note receivable from its stockholder was settled.</w:t>
      </w:r>
    </w:p>
    <w:p>
      <w:pPr>
        <w:spacing w:after="0" w:line="217"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The merger consideration included both cash consideration and consideration in the form of newly issued Class A Common Stock. The aggregate cash consideration paid to the former HydraFacial stockholders at the Closing was approximately $368.0 million, consisting of the Vesper’s cash and cash equivalents as of the closing of the Business Combination including proceeds of $350.0 million from Vesper’s Private Placement of an aggregate of 35,000,000 shares of Class A Common Stock, and approximately $433.0 million of cash available to Vesper from the Trust Account that held the proceeds from Vesper’s initial public offering after giving effect to income and franchise taxes payable in respect of interest income earned in the Trust Account), and redemptions that were elected by Vesper’s public stockholders, minus approximately $224.0 million used to repay HydraFacial’s outstanding indebtedness at the Closing, minus approximately $94.0 million of transaction expenses of HydraFacial and Vesper, minus $100.0 million. The remainder of the consideration paid to the HydraFacial stockholders consisted of 35,501,743 newly issued shares of Class A Common Stock. The foregoing consideration paid to the HydraFacial stockholders may be further increased by amounts payable as earn-out shares of Class A Common Stock pursuant to the terms of the Merger Agreement.</w:t>
      </w:r>
    </w:p>
    <w:p>
      <w:pPr>
        <w:spacing w:after="0" w:line="208"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color w:val="231F20"/>
        </w:rPr>
        <w:t>the legal form of the Business Combination pursuant to the Merger Agreement, the Business Combination was accounted for as a</w:t>
      </w:r>
      <w:r>
        <w:rPr>
          <w:rFonts w:ascii="Arial" w:cs="Arial" w:eastAsia="Arial" w:hAnsi="Arial"/>
          <w:sz w:val="18"/>
          <w:szCs w:val="18"/>
          <w:color w:val="auto"/>
        </w:rPr>
        <w:t xml:space="preserve"> </w:t>
      </w:r>
      <w:r>
        <w:rPr>
          <w:rFonts w:ascii="Arial" w:cs="Arial" w:eastAsia="Arial" w:hAnsi="Arial"/>
          <w:sz w:val="18"/>
          <w:szCs w:val="18"/>
          <w:color w:val="231F20"/>
        </w:rPr>
        <w:t>reverse recapitalization in accordance with GAAP. Under this method of accounting, Vesper was treated as the “acquired” company for financial reporting purposes. This determination was primarily based on the following:</w:t>
      </w:r>
    </w:p>
    <w:p>
      <w:pPr>
        <w:spacing w:after="0" w:line="82" w:lineRule="exact"/>
        <w:rPr>
          <w:sz w:val="20"/>
          <w:szCs w:val="20"/>
          <w:color w:val="auto"/>
        </w:rPr>
      </w:pPr>
    </w:p>
    <w:p>
      <w:pPr>
        <w:ind w:left="640" w:right="680" w:hanging="316"/>
        <w:spacing w:after="0" w:line="264" w:lineRule="auto"/>
        <w:tabs>
          <w:tab w:leader="none" w:pos="635"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HydraFacial’s existing shareholders were expected to have the largest minority interest of the voting power in the combined entity under the minimum and maximum redemption scenarios;</w:t>
      </w:r>
    </w:p>
    <w:p>
      <w:pPr>
        <w:spacing w:after="0" w:line="74" w:lineRule="exact"/>
        <w:rPr>
          <w:rFonts w:ascii="Arial" w:cs="Arial" w:eastAsia="Arial" w:hAnsi="Arial"/>
          <w:sz w:val="18"/>
          <w:szCs w:val="18"/>
          <w:color w:val="231F20"/>
        </w:rPr>
      </w:pPr>
    </w:p>
    <w:p>
      <w:pPr>
        <w:ind w:left="640" w:hanging="316"/>
        <w:spacing w:after="0"/>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HydraFacial’s operations prior to the acquisition comprise the only ongoing operations of the combined entity;</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 senior management were retained and compose the majority of the senior management of the combined entity;</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HydraFacial’s relative valuation and results of operations compared to Vesper; and</w:t>
      </w:r>
    </w:p>
    <w:p>
      <w:pPr>
        <w:spacing w:after="0" w:line="111" w:lineRule="exact"/>
        <w:rPr>
          <w:rFonts w:ascii="Arial" w:cs="Arial" w:eastAsia="Arial" w:hAnsi="Arial"/>
          <w:sz w:val="18"/>
          <w:szCs w:val="18"/>
          <w:color w:val="231F20"/>
        </w:rPr>
      </w:pPr>
    </w:p>
    <w:p>
      <w:pPr>
        <w:ind w:left="640" w:right="60" w:hanging="316"/>
        <w:spacing w:after="0" w:line="264" w:lineRule="auto"/>
        <w:tabs>
          <w:tab w:leader="none" w:pos="635"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pursuant to the Investor Rights Agreement, HydraFacial was given the right to designate certain initial members of the board of directors of the post-combination company immediately after giving effect to the transactions.</w:t>
      </w:r>
    </w:p>
    <w:p>
      <w:pPr>
        <w:spacing w:after="0" w:line="141" w:lineRule="exact"/>
        <w:rPr>
          <w:sz w:val="20"/>
          <w:szCs w:val="20"/>
          <w:color w:val="auto"/>
        </w:rPr>
      </w:pPr>
    </w:p>
    <w:p>
      <w:pPr>
        <w:jc w:val="both"/>
        <w:ind w:right="120" w:firstLine="318"/>
        <w:spacing w:after="0" w:line="309" w:lineRule="auto"/>
        <w:rPr>
          <w:sz w:val="20"/>
          <w:szCs w:val="20"/>
          <w:color w:val="auto"/>
        </w:rPr>
      </w:pPr>
      <w:r>
        <w:rPr>
          <w:rFonts w:ascii="Arial" w:cs="Arial" w:eastAsia="Arial" w:hAnsi="Arial"/>
          <w:sz w:val="15"/>
          <w:szCs w:val="15"/>
          <w:color w:val="231F20"/>
        </w:rPr>
        <w:t>Consideration was given to the fact that Vesper paid a purchase price consisting of a combination of cash and equity consideration and its shareholders would have significant voting power. However, based on the aforementioned factors of management, board representation, largest minority shareholder, and the continuation of the HydraFacial business as well as size it was determined that accounting for the Business Combination as a reverse recapitalization was appropriate. Accordingly, for accounting purposes, the financial statements of the combined entity will represent a continuation of the financial statements of HydraFacial with the acquisition being treated as the equivalent of HydraFacial issuing stock for the net assets of Vesper, accompanied by a recapitalization. The net assets of Vesper were stated at historical cost, with no goodwill or other intangible assets recorded.</w:t>
      </w:r>
    </w:p>
    <w:p>
      <w:pPr>
        <w:spacing w:after="0" w:line="12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Following the consummation of the Business Combination, we became an SEC-registered and NASDAQ-listed company, which required us to hire additional staff and implement procedures and processes to address public company regulatory requirements and customary practices. We have incurred and expect to incur additional annual expenses for, among other things, directors’ and officers’ liability insurance, director fees and additional internal and external accounting, legal and administrative resources and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Market Trends</w:t>
      </w:r>
    </w:p>
    <w:p>
      <w:pPr>
        <w:spacing w:after="0" w:line="111"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231F20"/>
        </w:rPr>
        <w:t>HydraFacial is a pioneer in the attractive and growing beauty-health industry and there are several emerging market trends that we believe will play a key role in shaping the future of this industry. Recent growth in the skincare industry has been driven by an emphasis on skincare rather than cosmetics and HydraFacial is poised to capture a larger share of wallet from consumers. Further, HydraFacial’s market research conducted in 2019 demonstrated that consumers are increasingly willing to spend on high-end beauty health products. To the extent disposable income grows, we expect impacts of this trend to be amplified. We believe these favorable market trends will continue and strengthen going forward.</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Demographics</w:t>
      </w:r>
    </w:p>
    <w:p>
      <w:pPr>
        <w:spacing w:after="0" w:line="111"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231F20"/>
        </w:rPr>
        <w:t>HydraFacial benefits from a large, young and diverse customer base and the ability to serve a large percentage of the population given that HydraFacial’s patented technology addresses all skin, regardless of type, age or gender. At the intersection of the medical and consumer retail markets, the large potential customer base should provide significant upside to drive top-line growth. HydraFacial over indexes with males, significantly increasing the Total Addressable Market (TAM) compared to peers and the mix of male customers is growing at two times the rate of female customers. HydraFacial customers are young; approximately 50% of HydraFacial customers are Millennials, and approximately 30% of HydraFacial’s beauty retail customers are under the age of 24. As the Millennial and Gen Z consumers age, they appear to be taking skincare more seriously and willing to invest in premium treatments, such as those offered by HydraFacial.</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Marketing</w:t>
      </w:r>
    </w:p>
    <w:p>
      <w:pPr>
        <w:spacing w:after="0" w:line="111"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231F20"/>
        </w:rPr>
        <w:t>Effective marketing is vital to our ability to drive growth. We plan to further our successful demand-generating activities through educational campaigns that focus on our brand, values, and quality, as well as enhancing our digitally integrated media campaigns.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Innovation</w:t>
      </w:r>
    </w:p>
    <w:p>
      <w:pPr>
        <w:spacing w:after="0" w:line="111" w:lineRule="exact"/>
        <w:rPr>
          <w:sz w:val="20"/>
          <w:szCs w:val="20"/>
          <w:color w:val="auto"/>
        </w:rPr>
      </w:pPr>
    </w:p>
    <w:p>
      <w:pPr>
        <w:ind w:right="440" w:firstLine="318"/>
        <w:spacing w:after="0" w:line="365" w:lineRule="auto"/>
        <w:rPr>
          <w:sz w:val="20"/>
          <w:szCs w:val="20"/>
          <w:color w:val="auto"/>
        </w:rPr>
      </w:pPr>
      <w:r>
        <w:rPr>
          <w:rFonts w:ascii="Arial" w:cs="Arial" w:eastAsia="Arial" w:hAnsi="Arial"/>
          <w:sz w:val="15"/>
          <w:szCs w:val="15"/>
          <w:color w:val="231F20"/>
        </w:rPr>
        <w:t>Our strategy involves innovating our current product offering while also diversifying into attractive adjacent categories where we can leverage our strengths, capabilities and community. We intend to maintain investment in research and development to stay at the forefront of cutting-edge technology.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Technology</w:t>
      </w:r>
    </w:p>
    <w:p>
      <w:pPr>
        <w:spacing w:after="0" w:line="111"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231F20"/>
        </w:rPr>
        <w:t>Our investments in technology enhance the HydraFacial experience for consumers while capturing valuable and leverageable data. As we expand our capabilities, we hope to enable the world’s largest skin health database. We believe this data will allow us to drive habituation by enhancing personalization, access, trend identification and consumer education.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Geographic Expansion</w:t>
      </w:r>
    </w:p>
    <w:p>
      <w:pPr>
        <w:spacing w:after="0" w:line="111" w:lineRule="exact"/>
        <w:rPr>
          <w:sz w:val="20"/>
          <w:szCs w:val="20"/>
          <w:color w:val="auto"/>
        </w:rPr>
      </w:pPr>
    </w:p>
    <w:p>
      <w:pPr>
        <w:jc w:val="both"/>
        <w:ind w:right="200" w:firstLine="318"/>
        <w:spacing w:after="0" w:line="252" w:lineRule="auto"/>
        <w:rPr>
          <w:sz w:val="20"/>
          <w:szCs w:val="20"/>
          <w:color w:val="auto"/>
        </w:rPr>
      </w:pPr>
      <w:r>
        <w:rPr>
          <w:rFonts w:ascii="Arial" w:cs="Arial" w:eastAsia="Arial" w:hAnsi="Arial"/>
          <w:sz w:val="18"/>
          <w:szCs w:val="18"/>
          <w:color w:val="231F20"/>
        </w:rPr>
        <w:t>HydraFacial’s recent growth has been driven in part by our international strategy. 34% of HydraFacial’s total revenue during the third quarter of fiscal year 2021 came from outside the United States and Canada. Our diverse distribution channels create a significant opportunity within our existing retail and wholesale channels, as well as new locations abroad. We plan to expand our global footprint, building out our team and infrastructure for further penetration across Asia, Europe and Latin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183" w:lineRule="exact"/>
        <w:rPr>
          <w:sz w:val="20"/>
          <w:szCs w:val="20"/>
          <w:color w:val="auto"/>
        </w:rPr>
      </w:pPr>
    </w:p>
    <w:p>
      <w:pPr>
        <w:ind w:right="140" w:firstLine="318"/>
        <w:spacing w:after="0" w:line="315" w:lineRule="auto"/>
        <w:rPr>
          <w:sz w:val="20"/>
          <w:szCs w:val="20"/>
          <w:color w:val="auto"/>
        </w:rPr>
      </w:pPr>
      <w:r>
        <w:rPr>
          <w:rFonts w:ascii="Arial" w:cs="Arial" w:eastAsia="Arial" w:hAnsi="Arial"/>
          <w:sz w:val="15"/>
          <w:szCs w:val="15"/>
          <w:color w:val="231F20"/>
        </w:rPr>
        <w:t>In addition to the measures presented in our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620" w:type="dxa"/>
            <w:vAlign w:val="bottom"/>
          </w:tcPr>
          <w:p>
            <w:pPr>
              <w:spacing w:after="0"/>
              <w:rPr>
                <w:sz w:val="16"/>
                <w:szCs w:val="16"/>
                <w:color w:val="auto"/>
              </w:rPr>
            </w:pPr>
          </w:p>
        </w:tc>
        <w:tc>
          <w:tcPr>
            <w:tcW w:w="28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231F20"/>
              </w:rPr>
              <w:t>Nine Months Ended September 30,</w:t>
            </w:r>
          </w:p>
        </w:tc>
      </w:tr>
      <w:tr>
        <w:trPr>
          <w:trHeight w:val="185"/>
        </w:trPr>
        <w:tc>
          <w:tcPr>
            <w:tcW w:w="4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231F20"/>
              </w:rPr>
              <w:t>(dollars in millions)</w:t>
            </w:r>
          </w:p>
        </w:tc>
        <w:tc>
          <w:tcPr>
            <w:tcW w:w="5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2021</w:t>
            </w:r>
          </w:p>
        </w:tc>
        <w:tc>
          <w:tcPr>
            <w:tcW w:w="2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231F20"/>
              </w:rPr>
              <w:t>2020</w:t>
            </w:r>
          </w:p>
        </w:tc>
        <w:tc>
          <w:tcPr>
            <w:tcW w:w="14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231F20"/>
              </w:rPr>
              <w:t>2021</w:t>
            </w:r>
          </w:p>
        </w:tc>
        <w:tc>
          <w:tcPr>
            <w:tcW w:w="120" w:type="dxa"/>
            <w:vAlign w:val="bottom"/>
            <w:tcBorders>
              <w:top w:val="single" w:sz="8" w:color="auto"/>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231F20"/>
              </w:rPr>
              <w:t>2020</w:t>
            </w:r>
          </w:p>
        </w:tc>
      </w:tr>
      <w:tr>
        <w:trPr>
          <w:trHeight w:val="239"/>
        </w:trPr>
        <w:tc>
          <w:tcPr>
            <w:tcW w:w="428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231F20"/>
              </w:rPr>
              <w:t>Delivery Systems net sales</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36.2</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15.9</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231F2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36.0</w:t>
            </w:r>
          </w:p>
        </w:tc>
      </w:tr>
      <w:tr>
        <w:trPr>
          <w:trHeight w:val="225"/>
        </w:trPr>
        <w:tc>
          <w:tcPr>
            <w:tcW w:w="42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231F20"/>
              </w:rPr>
              <w:t>Consumables net sales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32.0</w:t>
            </w: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18.6</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85.4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45.2</w:t>
            </w:r>
          </w:p>
        </w:tc>
      </w:tr>
      <w:tr>
        <w:trPr>
          <w:trHeight w:val="219"/>
        </w:trPr>
        <w:tc>
          <w:tcPr>
            <w:tcW w:w="428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Total net sales</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68.1</w:t>
            </w:r>
          </w:p>
        </w:tc>
        <w:tc>
          <w:tcPr>
            <w:tcW w:w="2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34.6</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182.2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81.2</w:t>
            </w:r>
          </w:p>
        </w:tc>
      </w:tr>
      <w:tr>
        <w:trPr>
          <w:trHeight w:val="218"/>
        </w:trPr>
        <w:tc>
          <w:tcPr>
            <w:tcW w:w="4280" w:type="dxa"/>
            <w:vAlign w:val="bottom"/>
          </w:tcPr>
          <w:p>
            <w:pPr>
              <w:ind w:left="380"/>
              <w:spacing w:after="0" w:line="204" w:lineRule="exact"/>
              <w:rPr>
                <w:sz w:val="20"/>
                <w:szCs w:val="20"/>
                <w:color w:val="auto"/>
              </w:rPr>
            </w:pPr>
            <w:r>
              <w:rPr>
                <w:rFonts w:ascii="Arial" w:cs="Arial" w:eastAsia="Arial" w:hAnsi="Arial"/>
                <w:sz w:val="18"/>
                <w:szCs w:val="18"/>
                <w:color w:val="231F20"/>
              </w:rPr>
              <w:t>Consolidated gross profit</w:t>
            </w:r>
          </w:p>
        </w:tc>
        <w:tc>
          <w:tcPr>
            <w:tcW w:w="580" w:type="dxa"/>
            <w:vAlign w:val="bottom"/>
          </w:tcPr>
          <w:p>
            <w:pPr>
              <w:jc w:val="right"/>
              <w:ind w:right="72"/>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46.1</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21.0</w:t>
            </w:r>
          </w:p>
        </w:tc>
        <w:tc>
          <w:tcPr>
            <w:tcW w:w="1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125.1</w:t>
            </w:r>
          </w:p>
        </w:tc>
        <w:tc>
          <w:tcPr>
            <w:tcW w:w="12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44.2</w:t>
            </w:r>
          </w:p>
        </w:tc>
      </w:tr>
      <w:tr>
        <w:trPr>
          <w:trHeight w:val="226"/>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Consolidated gross margin</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231F20"/>
              </w:rPr>
              <w:t>67.6%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231F20"/>
              </w:rPr>
              <w:t>60.6%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231F20"/>
              </w:rPr>
              <w:t>68.6%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54.4%</w:t>
            </w:r>
          </w:p>
        </w:tc>
      </w:tr>
      <w:tr>
        <w:trPr>
          <w:trHeight w:val="225"/>
        </w:trPr>
        <w:tc>
          <w:tcPr>
            <w:tcW w:w="4280" w:type="dxa"/>
            <w:vAlign w:val="bottom"/>
          </w:tcPr>
          <w:p>
            <w:pPr>
              <w:ind w:left="380"/>
              <w:spacing w:after="0"/>
              <w:rPr>
                <w:sz w:val="20"/>
                <w:szCs w:val="20"/>
                <w:color w:val="auto"/>
              </w:rPr>
            </w:pPr>
            <w:r>
              <w:rPr>
                <w:rFonts w:ascii="Arial" w:cs="Arial" w:eastAsia="Arial" w:hAnsi="Arial"/>
                <w:sz w:val="18"/>
                <w:szCs w:val="18"/>
                <w:color w:val="231F20"/>
              </w:rPr>
              <w:t>Net loss</w:t>
            </w:r>
          </w:p>
        </w:tc>
        <w:tc>
          <w:tcPr>
            <w:tcW w:w="580" w:type="dxa"/>
            <w:vAlign w:val="bottom"/>
          </w:tcPr>
          <w:p>
            <w:pPr>
              <w:jc w:val="right"/>
              <w:ind w:right="72"/>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(215.1)</w:t>
            </w:r>
          </w:p>
        </w:tc>
        <w:tc>
          <w:tcPr>
            <w:tcW w:w="2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(2.2)</w:t>
            </w:r>
          </w:p>
        </w:tc>
        <w:tc>
          <w:tcPr>
            <w:tcW w:w="1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(357.8)</w:t>
            </w:r>
          </w:p>
        </w:tc>
        <w:tc>
          <w:tcPr>
            <w:tcW w:w="12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(21.7)</w:t>
            </w:r>
          </w:p>
        </w:tc>
      </w:tr>
      <w:tr>
        <w:trPr>
          <w:trHeight w:val="226"/>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EBITDA</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4.2</w:t>
            </w:r>
          </w:p>
        </w:tc>
      </w:tr>
      <w:tr>
        <w:trPr>
          <w:trHeight w:val="225"/>
        </w:trPr>
        <w:tc>
          <w:tcPr>
            <w:tcW w:w="4280" w:type="dxa"/>
            <w:vAlign w:val="bottom"/>
          </w:tcPr>
          <w:p>
            <w:pPr>
              <w:ind w:left="380"/>
              <w:spacing w:after="0"/>
              <w:rPr>
                <w:sz w:val="20"/>
                <w:szCs w:val="20"/>
                <w:color w:val="auto"/>
              </w:rPr>
            </w:pPr>
            <w:r>
              <w:rPr>
                <w:rFonts w:ascii="Arial" w:cs="Arial" w:eastAsia="Arial" w:hAnsi="Arial"/>
                <w:sz w:val="18"/>
                <w:szCs w:val="18"/>
                <w:color w:val="231F20"/>
              </w:rPr>
              <w:t>Adjusted EBITDA margin</w:t>
            </w:r>
          </w:p>
        </w:tc>
        <w:tc>
          <w:tcPr>
            <w:tcW w:w="5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231F20"/>
              </w:rPr>
              <w:t>8.5%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231F20"/>
              </w:rPr>
              <w:t>21.9%</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231F20"/>
              </w:rPr>
              <w:t>13.3%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5.1%</w:t>
            </w:r>
          </w:p>
        </w:tc>
      </w:tr>
      <w:tr>
        <w:trPr>
          <w:trHeight w:val="226"/>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gross profit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48.7</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133.0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52.4</w:t>
            </w:r>
          </w:p>
        </w:tc>
      </w:tr>
      <w:tr>
        <w:trPr>
          <w:trHeight w:val="225"/>
        </w:trPr>
        <w:tc>
          <w:tcPr>
            <w:tcW w:w="4280" w:type="dxa"/>
            <w:vAlign w:val="bottom"/>
          </w:tcPr>
          <w:p>
            <w:pPr>
              <w:ind w:left="380"/>
              <w:spacing w:after="0"/>
              <w:rPr>
                <w:sz w:val="20"/>
                <w:szCs w:val="20"/>
                <w:color w:val="auto"/>
              </w:rPr>
            </w:pPr>
            <w:r>
              <w:rPr>
                <w:rFonts w:ascii="Arial" w:cs="Arial" w:eastAsia="Arial" w:hAnsi="Arial"/>
                <w:sz w:val="18"/>
                <w:szCs w:val="18"/>
                <w:color w:val="231F20"/>
              </w:rPr>
              <w:t>Adjusted gross margin</w:t>
            </w:r>
          </w:p>
        </w:tc>
        <w:tc>
          <w:tcPr>
            <w:tcW w:w="5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231F20"/>
              </w:rPr>
              <w:t>71.5%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231F20"/>
              </w:rPr>
              <w:t>68.3%</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231F20"/>
              </w:rPr>
              <w:t>73.0%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64.5%</w:t>
            </w:r>
          </w:p>
        </w:tc>
      </w:tr>
      <w:tr>
        <w:trPr>
          <w:trHeight w:val="226"/>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net income (loss)</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887"/>
        </w:trPr>
        <w:tc>
          <w:tcPr>
            <w:tcW w:w="4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3"/>
        </w:trPr>
        <w:tc>
          <w:tcPr>
            <w:tcW w:w="4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31F20"/>
        </w:rPr>
        <w:t>Adjusted Net Income (Loss), Adjusted EBITDA (Loss) and Adjusted EBITDA Margin</w:t>
      </w:r>
    </w:p>
    <w:p>
      <w:pPr>
        <w:spacing w:after="0" w:line="11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Adjusted net income (loss), Adjusted EBITDA (loss) and Adjusted EBITDA margin are key performance measures that our management uses to assess our operating performance. See the section titled “</w:t>
      </w:r>
      <w:r>
        <w:rPr>
          <w:rFonts w:ascii="Arial" w:cs="Arial" w:eastAsia="Arial" w:hAnsi="Arial"/>
          <w:sz w:val="18"/>
          <w:szCs w:val="18"/>
          <w:i w:val="1"/>
          <w:iCs w:val="1"/>
          <w:color w:val="231F20"/>
        </w:rPr>
        <w:t>Non-GAAP Financial Measures—adjusted net income (loss), adjusted EBITDA (loss) and adjusted EBITDA</w:t>
      </w:r>
      <w:r>
        <w:rPr>
          <w:rFonts w:ascii="Arial" w:cs="Arial" w:eastAsia="Arial" w:hAnsi="Arial"/>
          <w:sz w:val="18"/>
          <w:szCs w:val="18"/>
          <w:color w:val="231F20"/>
        </w:rPr>
        <w:t xml:space="preserve"> </w:t>
      </w:r>
      <w:r>
        <w:rPr>
          <w:rFonts w:ascii="Arial" w:cs="Arial" w:eastAsia="Arial" w:hAnsi="Arial"/>
          <w:sz w:val="18"/>
          <w:szCs w:val="18"/>
          <w:i w:val="1"/>
          <w:iCs w:val="1"/>
          <w:color w:val="231F20"/>
        </w:rPr>
        <w:t>margin</w:t>
      </w:r>
      <w:r>
        <w:rPr>
          <w:rFonts w:ascii="Arial" w:cs="Arial" w:eastAsia="Arial" w:hAnsi="Arial"/>
          <w:sz w:val="18"/>
          <w:szCs w:val="18"/>
          <w:color w:val="231F20"/>
        </w:rPr>
        <w:t>” for information regarding our use of Adjusted net income (loss) and adjusted EBITDA and reconciliations of Adjusted net income (loss)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Adjusted EBITDA to net loss.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31F20"/>
        </w:rPr>
        <w:t>Adjusted Gross Profit and Adjusted Gross Margin</w:t>
      </w:r>
    </w:p>
    <w:p>
      <w:pPr>
        <w:spacing w:after="0" w:line="117"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231F20"/>
        </w:rPr>
        <w:t>We use Adjusted gross profit and Adjusted gross margin to measure our profitability and ability to scale and leverage the costs of our Delivery Systems and Consumables sales. See the section titled “</w:t>
      </w:r>
      <w:r>
        <w:rPr>
          <w:rFonts w:ascii="Arial" w:cs="Arial" w:eastAsia="Arial" w:hAnsi="Arial"/>
          <w:sz w:val="18"/>
          <w:szCs w:val="18"/>
          <w:i w:val="1"/>
          <w:iCs w:val="1"/>
          <w:color w:val="231F20"/>
        </w:rPr>
        <w:t>Non-GAAP Financial Measures—adjusted gross profit and adjusted gross margin</w:t>
      </w:r>
      <w:r>
        <w:rPr>
          <w:rFonts w:ascii="Arial" w:cs="Arial" w:eastAsia="Arial" w:hAnsi="Arial"/>
          <w:sz w:val="18"/>
          <w:szCs w:val="18"/>
          <w:color w:val="231F20"/>
        </w:rPr>
        <w:t>” for information regarding our use of Adjusted gross profit and a reconciliation of Adjusted gross profit to gross profit.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Net Sales</w:t>
      </w:r>
    </w:p>
    <w:p>
      <w:pPr>
        <w:spacing w:after="0" w:line="111"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231F20"/>
        </w:rPr>
        <w:t>Net sales consists of the sale of products to retail and wholesale customers through e-commerce and distributor sales. HydraFacial generates revenue through manufacturing and selling HydraFacial and Perk Delivery Systems (“</w:t>
      </w:r>
      <w:r>
        <w:rPr>
          <w:rFonts w:ascii="Arial" w:cs="Arial" w:eastAsia="Arial" w:hAnsi="Arial"/>
          <w:sz w:val="17"/>
          <w:szCs w:val="17"/>
          <w:i w:val="1"/>
          <w:iCs w:val="1"/>
          <w:color w:val="231F20"/>
        </w:rPr>
        <w:t>Delivery Systems</w:t>
      </w:r>
      <w:r>
        <w:rPr>
          <w:rFonts w:ascii="Arial" w:cs="Arial" w:eastAsia="Arial" w:hAnsi="Arial"/>
          <w:sz w:val="17"/>
          <w:szCs w:val="17"/>
          <w:color w:val="231F20"/>
        </w:rPr>
        <w:t>”). In conjunction with the sale of Delivery Systems, HydraFacial also sells its serum solutions and consumables (collectively “</w:t>
      </w:r>
      <w:r>
        <w:rPr>
          <w:rFonts w:ascii="Arial" w:cs="Arial" w:eastAsia="Arial" w:hAnsi="Arial"/>
          <w:sz w:val="17"/>
          <w:szCs w:val="17"/>
          <w:i w:val="1"/>
          <w:iCs w:val="1"/>
          <w:color w:val="231F20"/>
        </w:rPr>
        <w:t>Consumables</w:t>
      </w:r>
      <w:r>
        <w:rPr>
          <w:rFonts w:ascii="Arial" w:cs="Arial" w:eastAsia="Arial" w:hAnsi="Arial"/>
          <w:sz w:val="17"/>
          <w:szCs w:val="17"/>
          <w:color w:val="231F20"/>
        </w:rPr>
        <w:t>”).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Cost of Sales</w:t>
      </w:r>
    </w:p>
    <w:p>
      <w:pPr>
        <w:spacing w:after="0" w:line="111" w:lineRule="exact"/>
        <w:rPr>
          <w:sz w:val="20"/>
          <w:szCs w:val="20"/>
          <w:color w:val="auto"/>
        </w:rPr>
      </w:pPr>
    </w:p>
    <w:p>
      <w:pPr>
        <w:ind w:right="380" w:firstLine="318"/>
        <w:spacing w:after="0" w:line="252" w:lineRule="auto"/>
        <w:rPr>
          <w:sz w:val="20"/>
          <w:szCs w:val="20"/>
          <w:color w:val="auto"/>
        </w:rPr>
      </w:pPr>
      <w:r>
        <w:rPr>
          <w:rFonts w:ascii="Arial" w:cs="Arial" w:eastAsia="Arial" w:hAnsi="Arial"/>
          <w:sz w:val="18"/>
          <w:szCs w:val="18"/>
          <w:color w:val="231F20"/>
        </w:rPr>
        <w:t>HydraFacial’s cost of sales consists of Delivery System and Consumables product costs, including the cost of materials, labor costs, overhead, depreciation and amortization of developed technology, shipping and handling costs, and the costs associated with excess and obsolete inventory. As we launch new products and expand our presence internationally, we expect to incur higher cost of sales as a percentage of net sales because we have not yet achieved economies of scale with these items.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111"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231F20"/>
        </w:rPr>
        <w:t>Selling and marketing expense consists of personnel-related expenses, sales commissions, travel costs, training and advertising expenses incurred in connection with the sale of our products. We intend to continue to invest in our sales and marketing capabilities in the future and expect this expense to increase in absolute dollars in future periods as we release new products, grow our global footprint, and drive consumer demand in the ecosystem. Selling and marketing expense as a percentage of net sales may fluctuate from period to period based on net sales and the timing of our investments in our sales and marketing functions as these investments may vary in scope and scale over future periods.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11"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231F20"/>
        </w:rPr>
        <w:t>Research and development expense primarily consists of personnel-related expenses, tooling and prototype materials, technology investments, and other expenses incurred in connection with the development of new products and internal technologies. We expect our research and development expenses to vary from period to period as a percentage of net sales, as HydraFacial plans to continue to innovate and invest in new technologies and to enhance existing technologies to fuel future growth as a category creator.</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1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231F20"/>
        </w:rPr>
        <w:t>General and administrative expenses include personnel-related expenses, professional fees, credit card and wire fees and facilities-related costs primarily for our executive, finance, accounting, legal, human resources, and IT functions. General and administrative expense also includes fees for professional services principally comprising legal, audit, tax and accounting services and insurance.</w:t>
      </w:r>
    </w:p>
    <w:p>
      <w:pPr>
        <w:spacing w:after="0" w:line="148"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231F20"/>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we expect to continue to incur additional IT expenses as we scale HydraFacial and enhance our ecommerce, digital and data utilization capabilities. As a result, we expect that our general and administrative expenses will increase in absolute dollars in future periods and vary from period to period as a percentage of net sales.</w:t>
      </w: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11"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231F20"/>
        </w:rPr>
        <w:t>Other income (expense) consists of the change in fair value of both the public and private placement warrants and earn-out shares liability, interest expense, deferred financing write-off costs and prepayment penalties related to the repayment of our long-term debt, foreign currency transaction gains and losses and investment income. Foreign currency transaction gains and losses are generated by settlements of intercompany balances and invoices denominated in other currencies other than the reporting currency. We expect other income (expense) to increase in absolute dollars as we grow internationally and obtain additional financing. Other income (expense) as a percentage of revenue will fluctuate period to period along with interest rates, exchange rates and other factors not related to normal business operations.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Income Tax Provision (Benefit)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provision for income taxes consists primarily of income taxes related to federal, state and foreign jurisdictions in which we conduct business.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3"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and nine months ended September 30, 2021 and September 30, 2020 have been derived from the interim condensed consolidated financial statements included elsewhere in this Form 10-Q. Amounts and percentages may not foot due to rounding.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Three Months Ended September 30, 2021 to Three Months Ended September 30,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231F20"/>
              </w:rPr>
              <w:t>Three Months Ended September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60" w:type="dxa"/>
            <w:vAlign w:val="bottom"/>
            <w:gridSpan w:val="2"/>
          </w:tcPr>
          <w:p>
            <w:pPr>
              <w:ind w:left="60"/>
              <w:spacing w:after="0"/>
              <w:rPr>
                <w:sz w:val="20"/>
                <w:szCs w:val="20"/>
                <w:color w:val="auto"/>
              </w:rPr>
            </w:pPr>
            <w:r>
              <w:rPr>
                <w:rFonts w:ascii="Arial" w:cs="Arial" w:eastAsia="Arial" w:hAnsi="Arial"/>
                <w:sz w:val="14"/>
                <w:szCs w:val="14"/>
                <w:b w:val="1"/>
                <w:bCs w:val="1"/>
                <w:color w:val="231F20"/>
              </w:rPr>
              <w:t>(in millions)</w:t>
            </w:r>
          </w:p>
        </w:tc>
        <w:tc>
          <w:tcPr>
            <w:tcW w:w="260" w:type="dxa"/>
            <w:vAlign w:val="bottom"/>
          </w:tcPr>
          <w:p>
            <w:pPr>
              <w:spacing w:after="0"/>
              <w:rPr>
                <w:sz w:val="16"/>
                <w:szCs w:val="16"/>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320"/>
              <w:spacing w:after="0"/>
              <w:rPr>
                <w:sz w:val="20"/>
                <w:szCs w:val="20"/>
                <w:color w:val="auto"/>
              </w:rPr>
            </w:pPr>
            <w:r>
              <w:rPr>
                <w:rFonts w:ascii="Arial" w:cs="Arial" w:eastAsia="Arial" w:hAnsi="Arial"/>
                <w:sz w:val="14"/>
                <w:szCs w:val="14"/>
                <w:b w:val="1"/>
                <w:bCs w:val="1"/>
                <w:color w:val="231F20"/>
              </w:rPr>
              <w:t>% of Net Sales</w:t>
            </w:r>
          </w:p>
        </w:tc>
        <w:tc>
          <w:tcPr>
            <w:tcW w:w="480" w:type="dxa"/>
            <w:vAlign w:val="bottom"/>
          </w:tcPr>
          <w:p>
            <w:pPr>
              <w:spacing w:after="0"/>
              <w:rPr>
                <w:sz w:val="16"/>
                <w:szCs w:val="16"/>
                <w:color w:val="auto"/>
              </w:rPr>
            </w:pPr>
          </w:p>
        </w:tc>
        <w:tc>
          <w:tcPr>
            <w:tcW w:w="920" w:type="dxa"/>
            <w:vAlign w:val="bottom"/>
          </w:tcPr>
          <w:p>
            <w:pPr>
              <w:jc w:val="right"/>
              <w:ind w:right="474"/>
              <w:spacing w:after="0"/>
              <w:rPr>
                <w:sz w:val="20"/>
                <w:szCs w:val="20"/>
                <w:color w:val="auto"/>
              </w:rPr>
            </w:pPr>
            <w:r>
              <w:rPr>
                <w:rFonts w:ascii="Arial" w:cs="Arial" w:eastAsia="Arial" w:hAnsi="Arial"/>
                <w:sz w:val="14"/>
                <w:szCs w:val="14"/>
                <w:b w:val="1"/>
                <w:bCs w:val="1"/>
                <w:color w:val="231F20"/>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234"/>
              <w:spacing w:after="0"/>
              <w:rPr>
                <w:sz w:val="20"/>
                <w:szCs w:val="20"/>
                <w:color w:val="auto"/>
              </w:rPr>
            </w:pPr>
            <w:r>
              <w:rPr>
                <w:rFonts w:ascii="Arial" w:cs="Arial" w:eastAsia="Arial" w:hAnsi="Arial"/>
                <w:sz w:val="14"/>
                <w:szCs w:val="14"/>
                <w:b w:val="1"/>
                <w:bCs w:val="1"/>
                <w:color w:val="231F20"/>
              </w:rPr>
              <w:t>% of Net Sales</w:t>
            </w:r>
          </w:p>
        </w:tc>
        <w:tc>
          <w:tcPr>
            <w:tcW w:w="0" w:type="dxa"/>
            <w:vAlign w:val="bottom"/>
          </w:tcPr>
          <w:p>
            <w:pPr>
              <w:spacing w:after="0"/>
              <w:rPr>
                <w:sz w:val="1"/>
                <w:szCs w:val="1"/>
                <w:color w:val="auto"/>
              </w:rPr>
            </w:pPr>
          </w:p>
        </w:tc>
      </w:tr>
      <w:tr>
        <w:trPr>
          <w:trHeight w:val="219"/>
        </w:trPr>
        <w:tc>
          <w:tcPr>
            <w:tcW w:w="5060" w:type="dxa"/>
            <w:vAlign w:val="bottom"/>
            <w:tcBorders>
              <w:top w:val="single" w:sz="8" w:color="CCEEFF"/>
            </w:tcBorders>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Net sales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68.1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231F20"/>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Cost of sales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231F20"/>
              </w:rPr>
              <w:t>22.1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32.4 %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231F20"/>
              </w:rPr>
              <w:t>39.4</w:t>
            </w: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560"/>
              <w:spacing w:after="0" w:line="205" w:lineRule="exact"/>
              <w:rPr>
                <w:sz w:val="20"/>
                <w:szCs w:val="20"/>
                <w:color w:val="auto"/>
              </w:rPr>
            </w:pPr>
            <w:r>
              <w:rPr>
                <w:rFonts w:ascii="Arial" w:cs="Arial" w:eastAsia="Arial" w:hAnsi="Arial"/>
                <w:sz w:val="18"/>
                <w:szCs w:val="18"/>
                <w:color w:val="231F20"/>
              </w:rPr>
              <w:t>Gross profit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46.1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231F20"/>
              </w:rPr>
              <w:t>60.6</w:t>
            </w:r>
          </w:p>
        </w:tc>
        <w:tc>
          <w:tcPr>
            <w:tcW w:w="0" w:type="dxa"/>
            <w:vAlign w:val="bottom"/>
          </w:tcPr>
          <w:p>
            <w:pPr>
              <w:spacing w:after="0"/>
              <w:rPr>
                <w:sz w:val="1"/>
                <w:szCs w:val="1"/>
                <w:color w:val="auto"/>
              </w:rPr>
            </w:pPr>
          </w:p>
        </w:tc>
      </w:tr>
      <w:tr>
        <w:trPr>
          <w:trHeight w:val="225"/>
        </w:trPr>
        <w:tc>
          <w:tcPr>
            <w:tcW w:w="5060" w:type="dxa"/>
            <w:vAlign w:val="bottom"/>
            <w:gridSpan w:val="2"/>
          </w:tcPr>
          <w:p>
            <w:pPr>
              <w:ind w:left="60"/>
              <w:spacing w:after="0"/>
              <w:rPr>
                <w:sz w:val="20"/>
                <w:szCs w:val="20"/>
                <w:color w:val="auto"/>
              </w:rPr>
            </w:pPr>
            <w:r>
              <w:rPr>
                <w:rFonts w:ascii="Arial" w:cs="Arial" w:eastAsia="Arial" w:hAnsi="Arial"/>
                <w:sz w:val="18"/>
                <w:szCs w:val="18"/>
                <w:color w:val="231F20"/>
              </w:rPr>
              <w:t>Operating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231F20"/>
              </w:rPr>
              <w:t>Selling and marketing</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231F20"/>
              </w:rPr>
              <w:t>44.7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231F20"/>
              </w:rPr>
              <w:t>30.5</w:t>
            </w:r>
          </w:p>
        </w:tc>
        <w:tc>
          <w:tcPr>
            <w:tcW w:w="0" w:type="dxa"/>
            <w:vAlign w:val="bottom"/>
          </w:tcPr>
          <w:p>
            <w:pPr>
              <w:spacing w:after="0"/>
              <w:rPr>
                <w:sz w:val="1"/>
                <w:szCs w:val="1"/>
                <w:color w:val="auto"/>
              </w:rPr>
            </w:pPr>
          </w:p>
        </w:tc>
      </w:tr>
      <w:tr>
        <w:trPr>
          <w:trHeight w:val="225"/>
        </w:trPr>
        <w:tc>
          <w:tcPr>
            <w:tcW w:w="5060" w:type="dxa"/>
            <w:vAlign w:val="bottom"/>
            <w:gridSpan w:val="2"/>
          </w:tcPr>
          <w:p>
            <w:pPr>
              <w:ind w:left="560"/>
              <w:spacing w:after="0"/>
              <w:rPr>
                <w:sz w:val="20"/>
                <w:szCs w:val="20"/>
                <w:color w:val="auto"/>
              </w:rPr>
            </w:pPr>
            <w:r>
              <w:rPr>
                <w:rFonts w:ascii="Arial" w:cs="Arial" w:eastAsia="Arial" w:hAnsi="Arial"/>
                <w:sz w:val="18"/>
                <w:szCs w:val="18"/>
                <w:color w:val="231F20"/>
              </w:rPr>
              <w:t>Research and development</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231F20"/>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231F20"/>
              </w:rPr>
              <w:t>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26"/>
        </w:trPr>
        <w:tc>
          <w:tcPr>
            <w:tcW w:w="5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231F20"/>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19.2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231F20"/>
              </w:rPr>
              <w:t>28.2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231F20"/>
              </w:rPr>
              <w:t>20.4</w:t>
            </w:r>
          </w:p>
        </w:tc>
        <w:tc>
          <w:tcPr>
            <w:tcW w:w="0" w:type="dxa"/>
            <w:vAlign w:val="bottom"/>
          </w:tcPr>
          <w:p>
            <w:pPr>
              <w:spacing w:after="0"/>
              <w:rPr>
                <w:sz w:val="1"/>
                <w:szCs w:val="1"/>
                <w:color w:val="auto"/>
              </w:rPr>
            </w:pPr>
          </w:p>
        </w:tc>
      </w:tr>
      <w:tr>
        <w:trPr>
          <w:trHeight w:val="218"/>
        </w:trPr>
        <w:tc>
          <w:tcPr>
            <w:tcW w:w="5060" w:type="dxa"/>
            <w:vAlign w:val="bottom"/>
            <w:gridSpan w:val="2"/>
          </w:tcPr>
          <w:p>
            <w:pPr>
              <w:ind w:left="880"/>
              <w:spacing w:after="0" w:line="204" w:lineRule="exact"/>
              <w:rPr>
                <w:sz w:val="20"/>
                <w:szCs w:val="20"/>
                <w:color w:val="auto"/>
              </w:rPr>
            </w:pPr>
            <w:r>
              <w:rPr>
                <w:rFonts w:ascii="Arial" w:cs="Arial" w:eastAsia="Arial" w:hAnsi="Arial"/>
                <w:sz w:val="18"/>
                <w:szCs w:val="18"/>
                <w:color w:val="231F20"/>
              </w:rPr>
              <w:t>Total operating expenses</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231F20"/>
              </w:rPr>
              <w:t>51.5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231F20"/>
              </w:rPr>
              <w:t>75.6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231F20"/>
              </w:rPr>
              <w:t>52.6</w:t>
            </w:r>
          </w:p>
        </w:tc>
        <w:tc>
          <w:tcPr>
            <w:tcW w:w="0" w:type="dxa"/>
            <w:vAlign w:val="bottom"/>
          </w:tcPr>
          <w:p>
            <w:pPr>
              <w:spacing w:after="0"/>
              <w:rPr>
                <w:sz w:val="1"/>
                <w:szCs w:val="1"/>
                <w:color w:val="auto"/>
              </w:rPr>
            </w:pPr>
          </w:p>
        </w:tc>
      </w:tr>
      <w:tr>
        <w:trPr>
          <w:trHeight w:val="226"/>
        </w:trPr>
        <w:tc>
          <w:tcPr>
            <w:tcW w:w="5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Income (loss) from operations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(8.0)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231F20"/>
              </w:rPr>
              <w:t>8.1</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Other expense,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231F20"/>
              </w:rPr>
              <w:t>210.8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231F20"/>
              </w:rPr>
              <w:t>309.4</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231F20"/>
              </w:rPr>
              <w:t>16.2</w:t>
            </w: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Loss before provision for income tax</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(216.3)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(317.4)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231F20"/>
              </w:rPr>
              <w:t>(8.1)</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Income tax benefit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231F20"/>
              </w:rPr>
              <w:t>(1.1)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231F20"/>
              </w:rPr>
              <w:t>(1.7)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(0.6)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Net loss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(315.7)%</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231F20"/>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b w:val="1"/>
                <w:bCs w:val="1"/>
                <w:i w:val="1"/>
                <w:iCs w:val="1"/>
                <w:color w:val="231F20"/>
              </w:rPr>
              <w:t>Net Sales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7"/>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185"/>
        </w:trPr>
        <w:tc>
          <w:tcPr>
            <w:tcW w:w="4740" w:type="dxa"/>
            <w:vAlign w:val="bottom"/>
          </w:tcPr>
          <w:p>
            <w:pPr>
              <w:ind w:left="340"/>
              <w:spacing w:after="0"/>
              <w:rPr>
                <w:sz w:val="20"/>
                <w:szCs w:val="20"/>
                <w:color w:val="auto"/>
              </w:rPr>
            </w:pPr>
            <w:r>
              <w:rPr>
                <w:rFonts w:ascii="Arial" w:cs="Arial" w:eastAsia="Arial" w:hAnsi="Arial"/>
                <w:sz w:val="14"/>
                <w:szCs w:val="14"/>
                <w:b w:val="1"/>
                <w:bCs w:val="1"/>
                <w:color w:val="231F20"/>
              </w:rPr>
              <w:t>(in millions)</w:t>
            </w: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231F20"/>
              </w:rPr>
              <w:t>2020</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231F20"/>
              </w:rPr>
              <w:t>Amount</w:t>
            </w:r>
          </w:p>
        </w:tc>
        <w:tc>
          <w:tcPr>
            <w:tcW w:w="134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06"/>
        </w:trPr>
        <w:tc>
          <w:tcPr>
            <w:tcW w:w="474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231F20"/>
              </w:rPr>
              <w:t>Net sales</w:t>
            </w: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60" w:type="dxa"/>
            <w:vAlign w:val="bottom"/>
            <w:gridSpan w:val="2"/>
          </w:tcPr>
          <w:p>
            <w:pPr>
              <w:ind w:left="700"/>
              <w:spacing w:after="0"/>
              <w:rPr>
                <w:sz w:val="20"/>
                <w:szCs w:val="20"/>
                <w:color w:val="auto"/>
              </w:rPr>
            </w:pPr>
            <w:r>
              <w:rPr>
                <w:rFonts w:ascii="Arial" w:cs="Arial" w:eastAsia="Arial" w:hAnsi="Arial"/>
                <w:sz w:val="18"/>
                <w:szCs w:val="18"/>
                <w:color w:val="231F20"/>
              </w:rPr>
              <w:t>Delivery Systems</w:t>
            </w:r>
          </w:p>
        </w:tc>
        <w:tc>
          <w:tcPr>
            <w:tcW w:w="260" w:type="dxa"/>
            <w:vAlign w:val="bottom"/>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231F20"/>
              </w:rPr>
              <w:t>36.2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18"/>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231F20"/>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231F20"/>
              </w:rPr>
              <w:t>20.3</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127.2%</w:t>
            </w:r>
          </w:p>
        </w:tc>
        <w:tc>
          <w:tcPr>
            <w:tcW w:w="0" w:type="dxa"/>
            <w:vAlign w:val="bottom"/>
          </w:tcPr>
          <w:p>
            <w:pPr>
              <w:spacing w:after="0"/>
              <w:rPr>
                <w:sz w:val="1"/>
                <w:szCs w:val="1"/>
                <w:color w:val="auto"/>
              </w:rPr>
            </w:pPr>
          </w:p>
        </w:tc>
      </w:tr>
      <w:tr>
        <w:trPr>
          <w:trHeight w:val="28"/>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231F20"/>
              </w:rPr>
              <w:t>Consumables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231F20"/>
              </w:rPr>
              <w:t>13.4</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71.5%</w:t>
            </w:r>
          </w:p>
        </w:tc>
        <w:tc>
          <w:tcPr>
            <w:tcW w:w="0" w:type="dxa"/>
            <w:vAlign w:val="bottom"/>
          </w:tcPr>
          <w:p>
            <w:pPr>
              <w:spacing w:after="0"/>
              <w:rPr>
                <w:sz w:val="1"/>
                <w:szCs w:val="1"/>
                <w:color w:val="auto"/>
              </w:rPr>
            </w:pPr>
          </w:p>
        </w:tc>
      </w:tr>
      <w:tr>
        <w:trPr>
          <w:trHeight w:val="218"/>
        </w:trPr>
        <w:tc>
          <w:tcPr>
            <w:tcW w:w="4740" w:type="dxa"/>
            <w:vAlign w:val="bottom"/>
          </w:tcPr>
          <w:p>
            <w:pPr>
              <w:ind w:left="1100"/>
              <w:spacing w:after="0" w:line="204" w:lineRule="exact"/>
              <w:rPr>
                <w:sz w:val="20"/>
                <w:szCs w:val="20"/>
                <w:color w:val="auto"/>
              </w:rPr>
            </w:pPr>
            <w:r>
              <w:rPr>
                <w:rFonts w:ascii="Arial" w:cs="Arial" w:eastAsia="Arial" w:hAnsi="Arial"/>
                <w:sz w:val="18"/>
                <w:szCs w:val="18"/>
                <w:color w:val="231F20"/>
              </w:rPr>
              <w:t>Total net sales</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68.1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34.6</w:t>
            </w: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231F20"/>
              </w:rPr>
              <w:t>$</w:t>
            </w:r>
          </w:p>
        </w:tc>
        <w:tc>
          <w:tcPr>
            <w:tcW w:w="11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231F20"/>
              </w:rPr>
              <w:t>33.5</w:t>
            </w:r>
          </w:p>
        </w:tc>
        <w:tc>
          <w:tcPr>
            <w:tcW w:w="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97.2%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231F20"/>
              </w:rPr>
              <w:t>Percentage of net sales</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60" w:type="dxa"/>
            <w:vAlign w:val="bottom"/>
            <w:gridSpan w:val="2"/>
          </w:tcPr>
          <w:p>
            <w:pPr>
              <w:ind w:left="660"/>
              <w:spacing w:after="0"/>
              <w:rPr>
                <w:sz w:val="20"/>
                <w:szCs w:val="20"/>
                <w:color w:val="auto"/>
              </w:rPr>
            </w:pPr>
            <w:r>
              <w:rPr>
                <w:rFonts w:ascii="Arial" w:cs="Arial" w:eastAsia="Arial" w:hAnsi="Arial"/>
                <w:sz w:val="18"/>
                <w:szCs w:val="18"/>
                <w:color w:val="231F20"/>
              </w:rPr>
              <w:t>Delivery Systems</w:t>
            </w:r>
          </w:p>
        </w:tc>
        <w:tc>
          <w:tcPr>
            <w:tcW w:w="26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231F20"/>
              </w:rPr>
              <w:t>53.1%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231F20"/>
              </w:rPr>
              <w:t>46.1%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231F20"/>
              </w:rPr>
              <w:t>Consumables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231F20"/>
              </w:rPr>
              <w:t>46.9%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231F20"/>
              </w:rPr>
              <w:t>53.9%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100"/>
              <w:spacing w:after="0" w:line="204" w:lineRule="exact"/>
              <w:rPr>
                <w:sz w:val="20"/>
                <w:szCs w:val="20"/>
                <w:color w:val="auto"/>
              </w:rPr>
            </w:pPr>
            <w:r>
              <w:rPr>
                <w:rFonts w:ascii="Arial" w:cs="Arial" w:eastAsia="Arial" w:hAnsi="Arial"/>
                <w:sz w:val="18"/>
                <w:szCs w:val="18"/>
                <w:color w:val="231F20"/>
              </w:rPr>
              <w:t>Total</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3"/>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231F20"/>
        </w:rPr>
        <w:t>Total net sales for the three months ended September 30, 2021 increased $33.5 million, or 97.2%, compared to the three months ended September 30, 2020. Delivery System sales for the three months ended September 30, 2021 increased $20.3 million, or 127.2%, compared to the three months ended September 30, 2020. Delivery Systems units sold for the three months ended September 30, 2021 increased primarily due to strong trends in the U.S. and Mexico as markets reopened and consumer demand accelerated, as well as continued strength in China and Australia despite partial closures due to the Delta variant. Similarly, Consumables sales for the three months ended September 30, 2021 increased $13.4 million, or 71.5%, compared to the three months ended September 30, 2020. The increase in Consumables sales was primarily attributable to rebounding sales volume following the COVID-19 pandemic, as domestic and international stay-at-home orders were lifted and commercial operations were allowed to resume with social distancing restrictions during the three months ended September 30, 2021.</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4"/>
                <w:szCs w:val="14"/>
                <w:b w:val="1"/>
                <w:bCs w:val="1"/>
                <w:color w:val="231F20"/>
              </w:rPr>
              <w:t>Three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231F20"/>
              </w:rPr>
              <w:t>Change</w:t>
            </w:r>
          </w:p>
        </w:tc>
        <w:tc>
          <w:tcPr>
            <w:tcW w:w="820" w:type="dxa"/>
            <w:vAlign w:val="bottom"/>
            <w:tcBorders>
              <w:bottom w:val="single" w:sz="8" w:color="auto"/>
            </w:tcBorders>
          </w:tcPr>
          <w:p>
            <w:pPr>
              <w:spacing w:after="0"/>
              <w:rPr>
                <w:sz w:val="16"/>
                <w:szCs w:val="16"/>
                <w:color w:val="auto"/>
              </w:rPr>
            </w:pPr>
          </w:p>
        </w:tc>
      </w:tr>
      <w:tr>
        <w:trPr>
          <w:trHeight w:val="185"/>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231F20"/>
              </w:rPr>
              <w:t>2020</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231F20"/>
              </w:rPr>
              <w:t>%</w:t>
            </w:r>
          </w:p>
        </w:tc>
      </w:tr>
      <w:tr>
        <w:trPr>
          <w:trHeight w:val="233"/>
        </w:trPr>
        <w:tc>
          <w:tcPr>
            <w:tcW w:w="40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231F20"/>
              </w:rPr>
              <w:t>Cost of sales</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22.1</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13.6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8.5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62.3%</w:t>
            </w:r>
          </w:p>
        </w:tc>
      </w:tr>
      <w:tr>
        <w:trPr>
          <w:trHeight w:val="231"/>
        </w:trPr>
        <w:tc>
          <w:tcPr>
            <w:tcW w:w="4040" w:type="dxa"/>
            <w:vAlign w:val="bottom"/>
          </w:tcPr>
          <w:p>
            <w:pPr>
              <w:ind w:left="340"/>
              <w:spacing w:after="0"/>
              <w:rPr>
                <w:sz w:val="20"/>
                <w:szCs w:val="20"/>
                <w:color w:val="auto"/>
              </w:rPr>
            </w:pPr>
            <w:r>
              <w:rPr>
                <w:rFonts w:ascii="Arial" w:cs="Arial" w:eastAsia="Arial" w:hAnsi="Arial"/>
                <w:sz w:val="18"/>
                <w:szCs w:val="18"/>
                <w:color w:val="231F20"/>
              </w:rPr>
              <w:t>Gross profit</w:t>
            </w:r>
          </w:p>
        </w:tc>
        <w:tc>
          <w:tcPr>
            <w:tcW w:w="740" w:type="dxa"/>
            <w:vAlign w:val="bottom"/>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tcPr>
          <w:p>
            <w:pPr>
              <w:jc w:val="right"/>
              <w:ind w:right="99"/>
              <w:spacing w:after="0"/>
              <w:rPr>
                <w:sz w:val="20"/>
                <w:szCs w:val="20"/>
                <w:color w:val="auto"/>
              </w:rPr>
            </w:pPr>
            <w:r>
              <w:rPr>
                <w:rFonts w:ascii="Arial" w:cs="Arial" w:eastAsia="Arial" w:hAnsi="Arial"/>
                <w:sz w:val="18"/>
                <w:szCs w:val="18"/>
                <w:color w:val="231F20"/>
              </w:rPr>
              <w:t>46.1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231F20"/>
              </w:rPr>
              <w:t>21.0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1020" w:type="dxa"/>
            <w:vAlign w:val="bottom"/>
          </w:tcPr>
          <w:p>
            <w:pPr>
              <w:jc w:val="right"/>
              <w:ind w:right="1"/>
              <w:spacing w:after="0"/>
              <w:rPr>
                <w:sz w:val="20"/>
                <w:szCs w:val="20"/>
                <w:color w:val="auto"/>
              </w:rPr>
            </w:pPr>
            <w:r>
              <w:rPr>
                <w:rFonts w:ascii="Arial" w:cs="Arial" w:eastAsia="Arial" w:hAnsi="Arial"/>
                <w:sz w:val="18"/>
                <w:szCs w:val="18"/>
                <w:color w:val="231F20"/>
              </w:rPr>
              <w:t>25.1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231F20"/>
              </w:rPr>
              <w:t>119.9%</w:t>
            </w:r>
          </w:p>
        </w:tc>
      </w:tr>
      <w:tr>
        <w:trPr>
          <w:trHeight w:val="232"/>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Gross margin</w:t>
            </w: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67.6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60.6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bl>
    <w:p>
      <w:pPr>
        <w:spacing w:after="0" w:line="253"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231F20"/>
        </w:rPr>
        <w:t xml:space="preserve">Cost of sales increased 62.3% driven by increased sales volume and a shift in the product mix to HydraFacial Delivery Systems. Gross margin increased from 60.6% during the three months ended September 30, 2020 to 67.6% during the three months ended September 30, 2021. </w:t>
      </w:r>
      <w:r>
        <w:rPr>
          <w:rFonts w:ascii="Arial" w:cs="Arial" w:eastAsia="Arial" w:hAnsi="Arial"/>
          <w:sz w:val="15"/>
          <w:szCs w:val="15"/>
          <w:color w:val="000000"/>
        </w:rPr>
        <w:t>The improvement in gross profit</w:t>
      </w:r>
      <w:r>
        <w:rPr>
          <w:rFonts w:ascii="Arial" w:cs="Arial" w:eastAsia="Arial" w:hAnsi="Arial"/>
          <w:sz w:val="15"/>
          <w:szCs w:val="15"/>
          <w:color w:val="231F20"/>
        </w:rPr>
        <w:t xml:space="preserve"> </w:t>
      </w:r>
      <w:r>
        <w:rPr>
          <w:rFonts w:ascii="Arial" w:cs="Arial" w:eastAsia="Arial" w:hAnsi="Arial"/>
          <w:sz w:val="15"/>
          <w:szCs w:val="15"/>
          <w:color w:val="000000"/>
        </w:rPr>
        <w:t>was due to fixed cost leverage from higher sales, improved average selling prices for Delivery Systems, as well as cost savings initiatives.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231F20"/>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43"/>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74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20" w:type="dxa"/>
            <w:vAlign w:val="bottom"/>
          </w:tcPr>
          <w:p>
            <w:pPr>
              <w:spacing w:after="0"/>
              <w:rPr>
                <w:sz w:val="16"/>
                <w:szCs w:val="16"/>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231F20"/>
              </w:rPr>
              <w:t>2021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ind w:left="320"/>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231F20"/>
              </w:rPr>
              <w:t>Amount</w:t>
            </w: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74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Selling and marketing</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231F20"/>
              </w:rPr>
              <w:t>30.5</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231F20"/>
              </w:rPr>
              <w:t>10.5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188.9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740" w:type="dxa"/>
            <w:vAlign w:val="bottom"/>
          </w:tcPr>
          <w:p>
            <w:pPr>
              <w:ind w:left="500"/>
              <w:spacing w:after="0"/>
              <w:rPr>
                <w:sz w:val="20"/>
                <w:szCs w:val="20"/>
                <w:color w:val="auto"/>
              </w:rPr>
            </w:pPr>
            <w:r>
              <w:rPr>
                <w:rFonts w:ascii="Arial" w:cs="Arial" w:eastAsia="Arial" w:hAnsi="Arial"/>
                <w:sz w:val="18"/>
                <w:szCs w:val="18"/>
                <w:i w:val="1"/>
                <w:iCs w:val="1"/>
                <w:color w:val="231F20"/>
                <w:w w:val="97"/>
              </w:rPr>
              <w:t>As a percentage of net sales</w:t>
            </w:r>
          </w:p>
        </w:tc>
        <w:tc>
          <w:tcPr>
            <w:tcW w:w="920" w:type="dxa"/>
            <w:vAlign w:val="bottom"/>
          </w:tcPr>
          <w:p>
            <w:pPr>
              <w:spacing w:after="0"/>
              <w:rPr>
                <w:sz w:val="19"/>
                <w:szCs w:val="19"/>
                <w:color w:val="auto"/>
              </w:rPr>
            </w:pPr>
          </w:p>
        </w:tc>
        <w:tc>
          <w:tcPr>
            <w:tcW w:w="960" w:type="dxa"/>
            <w:vAlign w:val="bottom"/>
          </w:tcPr>
          <w:p>
            <w:pPr>
              <w:jc w:val="right"/>
              <w:ind w:right="181"/>
              <w:spacing w:after="0"/>
              <w:rPr>
                <w:sz w:val="20"/>
                <w:szCs w:val="20"/>
                <w:color w:val="auto"/>
              </w:rPr>
            </w:pPr>
            <w:r>
              <w:rPr>
                <w:rFonts w:ascii="Arial" w:cs="Arial" w:eastAsia="Arial" w:hAnsi="Arial"/>
                <w:sz w:val="18"/>
                <w:szCs w:val="18"/>
                <w:color w:val="231F20"/>
              </w:rPr>
              <w:t>44.7</w:t>
            </w:r>
          </w:p>
        </w:tc>
        <w:tc>
          <w:tcPr>
            <w:tcW w:w="44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231F20"/>
              </w:rPr>
              <w:t>30.5</w:t>
            </w:r>
          </w:p>
        </w:tc>
        <w:tc>
          <w:tcPr>
            <w:tcW w:w="42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174" w:lineRule="exact"/>
        <w:rPr>
          <w:sz w:val="20"/>
          <w:szCs w:val="20"/>
          <w:color w:val="auto"/>
        </w:rPr>
      </w:pPr>
    </w:p>
    <w:p>
      <w:pPr>
        <w:ind w:firstLine="318"/>
        <w:spacing w:after="0" w:line="272" w:lineRule="auto"/>
        <w:rPr>
          <w:sz w:val="20"/>
          <w:szCs w:val="20"/>
          <w:color w:val="auto"/>
        </w:rPr>
      </w:pPr>
      <w:r>
        <w:rPr>
          <w:rFonts w:ascii="Arial" w:cs="Arial" w:eastAsia="Arial" w:hAnsi="Arial"/>
          <w:sz w:val="15"/>
          <w:szCs w:val="15"/>
          <w:color w:val="auto"/>
        </w:rPr>
        <w:t xml:space="preserve">Selling and marketing expense for the three months ended September 30, 2021 increased </w:t>
      </w:r>
      <w:r>
        <w:rPr>
          <w:rFonts w:ascii="Arial" w:cs="Arial" w:eastAsia="Arial" w:hAnsi="Arial"/>
          <w:sz w:val="15"/>
          <w:szCs w:val="15"/>
          <w:color w:val="231F20"/>
        </w:rPr>
        <w:t>$20.0 million</w:t>
      </w:r>
      <w:r>
        <w:rPr>
          <w:rFonts w:ascii="Arial" w:cs="Arial" w:eastAsia="Arial" w:hAnsi="Arial"/>
          <w:sz w:val="15"/>
          <w:szCs w:val="15"/>
          <w:color w:val="auto"/>
        </w:rPr>
        <w:t xml:space="preserve">, or 188.9%, compared to the three months ended September 30, 2020. The overall increase as a percentage of net sales was driven by higher sales commissions of $5.2 million, which included $0.3 million in sales commissions from international operations, primarily attributable to the overall increase in sales. Personnel-related expenses increased by $6.8 million, which included a $2.3 million increase from our international operations, primarily attributable to increased headcount, </w:t>
      </w:r>
      <w:r>
        <w:rPr>
          <w:rFonts w:ascii="Arial" w:cs="Arial" w:eastAsia="Arial" w:hAnsi="Arial"/>
          <w:sz w:val="15"/>
          <w:szCs w:val="15"/>
          <w:color w:val="231F20"/>
        </w:rPr>
        <w:t>and stock-based compensation expense</w:t>
      </w:r>
      <w:r>
        <w:rPr>
          <w:rFonts w:ascii="Arial" w:cs="Arial" w:eastAsia="Arial" w:hAnsi="Arial"/>
          <w:sz w:val="15"/>
          <w:szCs w:val="15"/>
          <w:color w:val="auto"/>
        </w:rPr>
        <w:t xml:space="preserve"> </w:t>
      </w:r>
      <w:r>
        <w:rPr>
          <w:rFonts w:ascii="Arial" w:cs="Arial" w:eastAsia="Arial" w:hAnsi="Arial"/>
          <w:sz w:val="15"/>
          <w:szCs w:val="15"/>
          <w:color w:val="231F20"/>
        </w:rPr>
        <w:t xml:space="preserve">of $1.1 million. </w:t>
      </w:r>
      <w:r>
        <w:rPr>
          <w:rFonts w:ascii="Arial" w:cs="Arial" w:eastAsia="Arial" w:hAnsi="Arial"/>
          <w:sz w:val="15"/>
          <w:szCs w:val="15"/>
          <w:color w:val="000000"/>
        </w:rPr>
        <w:t>In addition, personnel-related training expenses increased by $1.4 million and marketing spend increased by $1.4 million as we moved</w:t>
      </w:r>
      <w:r>
        <w:rPr>
          <w:rFonts w:ascii="Arial" w:cs="Arial" w:eastAsia="Arial" w:hAnsi="Arial"/>
          <w:sz w:val="15"/>
          <w:szCs w:val="15"/>
          <w:color w:val="231F20"/>
        </w:rPr>
        <w:t xml:space="preserve"> </w:t>
      </w:r>
      <w:r>
        <w:rPr>
          <w:rFonts w:ascii="Arial" w:cs="Arial" w:eastAsia="Arial" w:hAnsi="Arial"/>
          <w:sz w:val="15"/>
          <w:szCs w:val="15"/>
          <w:color w:val="000000"/>
        </w:rPr>
        <w:t>forward with marketing programs after COVID-19 restrictions were lifted and markets reopened.</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418"/>
              <w:spacing w:after="0"/>
              <w:rPr>
                <w:sz w:val="20"/>
                <w:szCs w:val="20"/>
                <w:color w:val="auto"/>
              </w:rPr>
            </w:pPr>
            <w:r>
              <w:rPr>
                <w:rFonts w:ascii="Arial" w:cs="Arial" w:eastAsia="Arial" w:hAnsi="Arial"/>
                <w:sz w:val="14"/>
                <w:szCs w:val="14"/>
                <w:b w:val="1"/>
                <w:bCs w:val="1"/>
                <w:color w:val="231F20"/>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231F20"/>
              </w:rPr>
              <w:t>Change</w:t>
            </w:r>
          </w:p>
        </w:tc>
        <w:tc>
          <w:tcPr>
            <w:tcW w:w="400" w:type="dxa"/>
            <w:vAlign w:val="bottom"/>
            <w:tcBorders>
              <w:bottom w:val="single" w:sz="8" w:color="auto"/>
            </w:tcBorders>
          </w:tcPr>
          <w:p>
            <w:pPr>
              <w:spacing w:after="0"/>
              <w:rPr>
                <w:sz w:val="16"/>
                <w:szCs w:val="16"/>
                <w:color w:val="auto"/>
              </w:rPr>
            </w:pPr>
          </w:p>
        </w:tc>
      </w:tr>
      <w:tr>
        <w:trPr>
          <w:trHeight w:val="185"/>
        </w:trPr>
        <w:tc>
          <w:tcPr>
            <w:tcW w:w="2860" w:type="dxa"/>
            <w:vAlign w:val="bottom"/>
            <w:tcBorders>
              <w:bottom w:val="single" w:sz="8" w:color="CCEEFF"/>
            </w:tcBorders>
          </w:tcPr>
          <w:p>
            <w:pPr>
              <w:ind w:left="500"/>
              <w:spacing w:after="0"/>
              <w:rPr>
                <w:sz w:val="20"/>
                <w:szCs w:val="20"/>
                <w:color w:val="auto"/>
              </w:rPr>
            </w:pPr>
            <w:r>
              <w:rPr>
                <w:rFonts w:ascii="Arial" w:cs="Arial" w:eastAsia="Arial" w:hAnsi="Arial"/>
                <w:sz w:val="14"/>
                <w:szCs w:val="14"/>
                <w:b w:val="1"/>
                <w:bCs w:val="1"/>
                <w:color w:val="231F20"/>
              </w:rPr>
              <w:t>(in millions)</w:t>
            </w:r>
          </w:p>
        </w:tc>
        <w:tc>
          <w:tcPr>
            <w:tcW w:w="9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231F20"/>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231F20"/>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231F20"/>
              </w:rPr>
              <w:t>%</w:t>
            </w:r>
          </w:p>
        </w:tc>
        <w:tc>
          <w:tcPr>
            <w:tcW w:w="400" w:type="dxa"/>
            <w:vAlign w:val="bottom"/>
            <w:tcBorders>
              <w:bottom w:val="single" w:sz="8" w:color="auto"/>
            </w:tcBorders>
          </w:tcPr>
          <w:p>
            <w:pPr>
              <w:spacing w:after="0"/>
              <w:rPr>
                <w:sz w:val="16"/>
                <w:szCs w:val="16"/>
                <w:color w:val="auto"/>
              </w:rPr>
            </w:pPr>
          </w:p>
        </w:tc>
      </w:tr>
      <w:tr>
        <w:trPr>
          <w:trHeight w:val="233"/>
        </w:trPr>
        <w:tc>
          <w:tcPr>
            <w:tcW w:w="2860" w:type="dxa"/>
            <w:vAlign w:val="bottom"/>
            <w:shd w:val="clear" w:color="auto" w:fill="CCEEFF"/>
          </w:tcPr>
          <w:p>
            <w:pPr>
              <w:ind w:left="500"/>
              <w:spacing w:after="0" w:line="205" w:lineRule="exact"/>
              <w:rPr>
                <w:sz w:val="20"/>
                <w:szCs w:val="20"/>
                <w:color w:val="auto"/>
              </w:rPr>
            </w:pPr>
            <w:r>
              <w:rPr>
                <w:rFonts w:ascii="Arial" w:cs="Arial" w:eastAsia="Arial" w:hAnsi="Arial"/>
                <w:sz w:val="18"/>
                <w:szCs w:val="18"/>
                <w:color w:val="231F20"/>
              </w:rPr>
              <w:t>Research and development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231F20"/>
              </w:rPr>
              <w:t>1.9</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231F20"/>
              </w:rPr>
              <w:t>0.6</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1.3</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225.8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860" w:type="dxa"/>
            <w:vAlign w:val="bottom"/>
          </w:tcPr>
          <w:p>
            <w:pPr>
              <w:ind w:left="500"/>
              <w:spacing w:after="0"/>
              <w:rPr>
                <w:sz w:val="20"/>
                <w:szCs w:val="20"/>
                <w:color w:val="auto"/>
              </w:rPr>
            </w:pPr>
            <w:r>
              <w:rPr>
                <w:rFonts w:ascii="Arial" w:cs="Arial" w:eastAsia="Arial" w:hAnsi="Arial"/>
                <w:sz w:val="18"/>
                <w:szCs w:val="18"/>
                <w:i w:val="1"/>
                <w:iCs w:val="1"/>
                <w:color w:val="231F20"/>
              </w:rPr>
              <w:t>As a percentage of net sales</w:t>
            </w:r>
          </w:p>
        </w:tc>
        <w:tc>
          <w:tcPr>
            <w:tcW w:w="900" w:type="dxa"/>
            <w:vAlign w:val="bottom"/>
          </w:tcPr>
          <w:p>
            <w:pPr>
              <w:spacing w:after="0"/>
              <w:rPr>
                <w:sz w:val="19"/>
                <w:szCs w:val="19"/>
                <w:color w:val="auto"/>
              </w:rPr>
            </w:pPr>
          </w:p>
        </w:tc>
        <w:tc>
          <w:tcPr>
            <w:tcW w:w="940" w:type="dxa"/>
            <w:vAlign w:val="bottom"/>
          </w:tcPr>
          <w:p>
            <w:pPr>
              <w:jc w:val="right"/>
              <w:ind w:right="201"/>
              <w:spacing w:after="0"/>
              <w:rPr>
                <w:sz w:val="20"/>
                <w:szCs w:val="20"/>
                <w:color w:val="auto"/>
              </w:rPr>
            </w:pPr>
            <w:r>
              <w:rPr>
                <w:rFonts w:ascii="Arial" w:cs="Arial" w:eastAsia="Arial" w:hAnsi="Arial"/>
                <w:sz w:val="18"/>
                <w:szCs w:val="18"/>
                <w:color w:val="231F20"/>
              </w:rPr>
              <w:t>2.8</w:t>
            </w:r>
          </w:p>
        </w:tc>
        <w:tc>
          <w:tcPr>
            <w:tcW w:w="42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jc w:val="right"/>
              <w:ind w:right="178"/>
              <w:spacing w:after="0"/>
              <w:rPr>
                <w:sz w:val="20"/>
                <w:szCs w:val="20"/>
                <w:color w:val="auto"/>
              </w:rPr>
            </w:pPr>
            <w:r>
              <w:rPr>
                <w:rFonts w:ascii="Arial" w:cs="Arial" w:eastAsia="Arial" w:hAnsi="Arial"/>
                <w:sz w:val="18"/>
                <w:szCs w:val="18"/>
                <w:color w:val="231F20"/>
              </w:rPr>
              <w:t>1.7</w:t>
            </w:r>
          </w:p>
        </w:tc>
        <w:tc>
          <w:tcPr>
            <w:tcW w:w="42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54" w:lineRule="exact"/>
        <w:rPr>
          <w:sz w:val="20"/>
          <w:szCs w:val="20"/>
          <w:color w:val="auto"/>
        </w:rPr>
      </w:pPr>
    </w:p>
    <w:p>
      <w:pPr>
        <w:ind w:right="380" w:firstLine="318"/>
        <w:spacing w:after="0" w:line="365" w:lineRule="auto"/>
        <w:rPr>
          <w:sz w:val="20"/>
          <w:szCs w:val="20"/>
          <w:color w:val="auto"/>
        </w:rPr>
      </w:pPr>
      <w:r>
        <w:rPr>
          <w:rFonts w:ascii="Arial" w:cs="Arial" w:eastAsia="Arial" w:hAnsi="Arial"/>
          <w:sz w:val="15"/>
          <w:szCs w:val="15"/>
          <w:color w:val="auto"/>
        </w:rPr>
        <w:t xml:space="preserve">Research and development expense for the three months ended September 30, 2021 increased </w:t>
      </w:r>
      <w:r>
        <w:rPr>
          <w:rFonts w:ascii="Arial" w:cs="Arial" w:eastAsia="Arial" w:hAnsi="Arial"/>
          <w:sz w:val="15"/>
          <w:szCs w:val="15"/>
          <w:color w:val="231F20"/>
        </w:rPr>
        <w:t>$1.3 million</w:t>
      </w:r>
      <w:r>
        <w:rPr>
          <w:rFonts w:ascii="Arial" w:cs="Arial" w:eastAsia="Arial" w:hAnsi="Arial"/>
          <w:sz w:val="15"/>
          <w:szCs w:val="15"/>
          <w:color w:val="auto"/>
        </w:rPr>
        <w:t>, or 225.8%, compared to the three months ended September 30, 2020. The increase was due to increased expenses related to investments in new skincare treatment technologies of $1.0 million.</w:t>
      </w: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458"/>
              <w:spacing w:after="0"/>
              <w:rPr>
                <w:sz w:val="20"/>
                <w:szCs w:val="20"/>
                <w:color w:val="auto"/>
              </w:rPr>
            </w:pPr>
            <w:r>
              <w:rPr>
                <w:rFonts w:ascii="Arial" w:cs="Arial" w:eastAsia="Arial" w:hAnsi="Arial"/>
                <w:sz w:val="14"/>
                <w:szCs w:val="14"/>
                <w:b w:val="1"/>
                <w:bCs w:val="1"/>
                <w:color w:val="231F20"/>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43"/>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5"/>
        </w:trPr>
        <w:tc>
          <w:tcPr>
            <w:tcW w:w="2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b w:val="1"/>
                <w:bCs w:val="1"/>
                <w:color w:val="231F20"/>
              </w:rPr>
              <w:t>(in millions)</w:t>
            </w:r>
          </w:p>
        </w:tc>
        <w:tc>
          <w:tcPr>
            <w:tcW w:w="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231F20"/>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231F20"/>
              </w:rPr>
              <w:t>%</w:t>
            </w:r>
          </w:p>
        </w:tc>
        <w:tc>
          <w:tcPr>
            <w:tcW w:w="400" w:type="dxa"/>
            <w:vAlign w:val="bottom"/>
            <w:tcBorders>
              <w:bottom w:val="single" w:sz="8" w:color="auto"/>
            </w:tcBorders>
          </w:tcPr>
          <w:p>
            <w:pPr>
              <w:spacing w:after="0"/>
              <w:rPr>
                <w:sz w:val="16"/>
                <w:szCs w:val="16"/>
                <w:color w:val="auto"/>
              </w:rPr>
            </w:pPr>
          </w:p>
        </w:tc>
      </w:tr>
      <w:tr>
        <w:trPr>
          <w:trHeight w:val="233"/>
        </w:trPr>
        <w:tc>
          <w:tcPr>
            <w:tcW w:w="2780" w:type="dxa"/>
            <w:vAlign w:val="bottom"/>
            <w:shd w:val="clear" w:color="auto" w:fill="CCEEFF"/>
          </w:tcPr>
          <w:p>
            <w:pPr>
              <w:ind w:left="500"/>
              <w:spacing w:after="0" w:line="205" w:lineRule="exact"/>
              <w:rPr>
                <w:sz w:val="20"/>
                <w:szCs w:val="20"/>
                <w:color w:val="auto"/>
              </w:rPr>
            </w:pPr>
            <w:r>
              <w:rPr>
                <w:rFonts w:ascii="Arial" w:cs="Arial" w:eastAsia="Arial" w:hAnsi="Arial"/>
                <w:sz w:val="18"/>
                <w:szCs w:val="18"/>
                <w:color w:val="231F20"/>
              </w:rPr>
              <w:t>General and administrative</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231F20"/>
              </w:rPr>
              <w:t>19.2</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231F20"/>
              </w:rPr>
              <w:t>7.1</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172.2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780" w:type="dxa"/>
            <w:vAlign w:val="bottom"/>
          </w:tcPr>
          <w:p>
            <w:pPr>
              <w:ind w:left="500"/>
              <w:spacing w:after="0"/>
              <w:rPr>
                <w:sz w:val="20"/>
                <w:szCs w:val="20"/>
                <w:color w:val="auto"/>
              </w:rPr>
            </w:pPr>
            <w:r>
              <w:rPr>
                <w:rFonts w:ascii="Arial" w:cs="Arial" w:eastAsia="Arial" w:hAnsi="Arial"/>
                <w:sz w:val="18"/>
                <w:szCs w:val="18"/>
                <w:i w:val="1"/>
                <w:iCs w:val="1"/>
                <w:color w:val="231F20"/>
                <w:w w:val="99"/>
              </w:rPr>
              <w:t>As a percentage of net sales</w:t>
            </w:r>
          </w:p>
        </w:tc>
        <w:tc>
          <w:tcPr>
            <w:tcW w:w="920" w:type="dxa"/>
            <w:vAlign w:val="bottom"/>
          </w:tcPr>
          <w:p>
            <w:pPr>
              <w:spacing w:after="0"/>
              <w:rPr>
                <w:sz w:val="19"/>
                <w:szCs w:val="19"/>
                <w:color w:val="auto"/>
              </w:rPr>
            </w:pPr>
          </w:p>
        </w:tc>
        <w:tc>
          <w:tcPr>
            <w:tcW w:w="960" w:type="dxa"/>
            <w:vAlign w:val="bottom"/>
          </w:tcPr>
          <w:p>
            <w:pPr>
              <w:jc w:val="right"/>
              <w:ind w:right="181"/>
              <w:spacing w:after="0"/>
              <w:rPr>
                <w:sz w:val="20"/>
                <w:szCs w:val="20"/>
                <w:color w:val="auto"/>
              </w:rPr>
            </w:pPr>
            <w:r>
              <w:rPr>
                <w:rFonts w:ascii="Arial" w:cs="Arial" w:eastAsia="Arial" w:hAnsi="Arial"/>
                <w:sz w:val="18"/>
                <w:szCs w:val="18"/>
                <w:color w:val="231F20"/>
              </w:rPr>
              <w:t>28.2</w:t>
            </w:r>
          </w:p>
        </w:tc>
        <w:tc>
          <w:tcPr>
            <w:tcW w:w="44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jc w:val="right"/>
              <w:ind w:right="198"/>
              <w:spacing w:after="0"/>
              <w:rPr>
                <w:sz w:val="20"/>
                <w:szCs w:val="20"/>
                <w:color w:val="auto"/>
              </w:rPr>
            </w:pPr>
            <w:r>
              <w:rPr>
                <w:rFonts w:ascii="Arial" w:cs="Arial" w:eastAsia="Arial" w:hAnsi="Arial"/>
                <w:sz w:val="18"/>
                <w:szCs w:val="18"/>
                <w:color w:val="231F20"/>
              </w:rPr>
              <w:t>20.4</w:t>
            </w:r>
          </w:p>
        </w:tc>
        <w:tc>
          <w:tcPr>
            <w:tcW w:w="42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5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231F20"/>
        </w:rPr>
        <w:t xml:space="preserve">General and administrative expense for the three months ended </w:t>
      </w:r>
      <w:r>
        <w:rPr>
          <w:rFonts w:ascii="Arial" w:cs="Arial" w:eastAsia="Arial" w:hAnsi="Arial"/>
          <w:sz w:val="18"/>
          <w:szCs w:val="18"/>
          <w:color w:val="000000"/>
        </w:rPr>
        <w:t>September 30, 2021</w:t>
      </w:r>
      <w:r>
        <w:rPr>
          <w:rFonts w:ascii="Arial" w:cs="Arial" w:eastAsia="Arial" w:hAnsi="Arial"/>
          <w:sz w:val="18"/>
          <w:szCs w:val="18"/>
          <w:color w:val="231F20"/>
        </w:rPr>
        <w:t xml:space="preserve"> increased $12.1 million, or 172.2%, compared to the three months ended September 30, 2020. Stock-based compensation expense increased by $3.9 million and personnel-related expenses increased by $1.3 million primarily due to increased headcount and higher sales. We incurred additional public company costs, which included directors’ and officers’ liability insurance, Sarbanes-Oxley Act compliance and additional audit and tax related services of $1.7 million, increased legal fees of $1.2 million, and one-time transaction costs of $0.9 million.</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Other (Income) Expense, Net and 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Three Months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01"/>
              <w:spacing w:after="0"/>
              <w:rPr>
                <w:sz w:val="20"/>
                <w:szCs w:val="20"/>
                <w:color w:val="auto"/>
              </w:rPr>
            </w:pPr>
            <w:r>
              <w:rPr>
                <w:rFonts w:ascii="Arial" w:cs="Arial" w:eastAsia="Arial" w:hAnsi="Arial"/>
                <w:sz w:val="14"/>
                <w:szCs w:val="14"/>
                <w:b w:val="1"/>
                <w:bCs w:val="1"/>
                <w:color w:val="231F20"/>
                <w:w w:val="93"/>
              </w:rPr>
              <w:t>Change</w:t>
            </w:r>
          </w:p>
        </w:tc>
        <w:tc>
          <w:tcPr>
            <w:tcW w:w="420" w:type="dxa"/>
            <w:vAlign w:val="bottom"/>
            <w:tcBorders>
              <w:bottom w:val="single" w:sz="8" w:color="auto"/>
            </w:tcBorders>
          </w:tcPr>
          <w:p>
            <w:pPr>
              <w:spacing w:after="0"/>
              <w:rPr>
                <w:sz w:val="16"/>
                <w:szCs w:val="16"/>
                <w:color w:val="auto"/>
              </w:rPr>
            </w:pPr>
          </w:p>
        </w:tc>
      </w:tr>
      <w:tr>
        <w:trPr>
          <w:trHeight w:val="185"/>
        </w:trPr>
        <w:tc>
          <w:tcPr>
            <w:tcW w:w="346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231F20"/>
              </w:rPr>
              <w:t>2020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231F20"/>
              </w:rPr>
              <w:t>Amount</w:t>
            </w:r>
          </w:p>
        </w:tc>
        <w:tc>
          <w:tcPr>
            <w:tcW w:w="1680" w:type="dxa"/>
            <w:vAlign w:val="bottom"/>
          </w:tcPr>
          <w:p>
            <w:pPr>
              <w:jc w:val="right"/>
              <w:ind w:right="241"/>
              <w:spacing w:after="0"/>
              <w:rPr>
                <w:sz w:val="20"/>
                <w:szCs w:val="20"/>
                <w:color w:val="auto"/>
              </w:rPr>
            </w:pPr>
            <w:r>
              <w:rPr>
                <w:rFonts w:ascii="Arial" w:cs="Arial" w:eastAsia="Arial" w:hAnsi="Arial"/>
                <w:sz w:val="14"/>
                <w:szCs w:val="14"/>
                <w:b w:val="1"/>
                <w:bCs w:val="1"/>
                <w:color w:val="231F20"/>
              </w:rPr>
              <w:t>%</w:t>
            </w:r>
          </w:p>
        </w:tc>
        <w:tc>
          <w:tcPr>
            <w:tcW w:w="420" w:type="dxa"/>
            <w:vAlign w:val="bottom"/>
          </w:tcPr>
          <w:p>
            <w:pPr>
              <w:spacing w:after="0"/>
              <w:rPr>
                <w:sz w:val="16"/>
                <w:szCs w:val="16"/>
                <w:color w:val="auto"/>
              </w:rPr>
            </w:pPr>
          </w:p>
        </w:tc>
      </w:tr>
      <w:tr>
        <w:trPr>
          <w:trHeight w:val="233"/>
        </w:trPr>
        <w:tc>
          <w:tcPr>
            <w:tcW w:w="3460" w:type="dxa"/>
            <w:vAlign w:val="bottom"/>
            <w:tcBorders>
              <w:top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231F20"/>
              </w:rPr>
              <w:t>Other expense, net</w:t>
            </w:r>
          </w:p>
        </w:tc>
        <w:tc>
          <w:tcPr>
            <w:tcW w:w="13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231F2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88"/>
              </w:rPr>
              <w:t>210.8</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231F2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5.6</w:t>
            </w: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205.2</w:t>
            </w:r>
          </w:p>
        </w:tc>
        <w:tc>
          <w:tcPr>
            <w:tcW w:w="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3670.0</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460" w:type="dxa"/>
            <w:vAlign w:val="bottom"/>
          </w:tcPr>
          <w:p>
            <w:pPr>
              <w:ind w:left="500"/>
              <w:spacing w:after="0"/>
              <w:rPr>
                <w:sz w:val="20"/>
                <w:szCs w:val="20"/>
                <w:color w:val="auto"/>
              </w:rPr>
            </w:pPr>
            <w:r>
              <w:rPr>
                <w:rFonts w:ascii="Arial" w:cs="Arial" w:eastAsia="Arial" w:hAnsi="Arial"/>
                <w:sz w:val="18"/>
                <w:szCs w:val="18"/>
                <w:color w:val="231F20"/>
              </w:rPr>
              <w:t>Income tax benefit</w:t>
            </w:r>
          </w:p>
        </w:tc>
        <w:tc>
          <w:tcPr>
            <w:tcW w:w="1320" w:type="dxa"/>
            <w:vAlign w:val="bottom"/>
          </w:tcPr>
          <w:p>
            <w:pPr>
              <w:jc w:val="right"/>
              <w:ind w:right="661"/>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(1.1)</w:t>
            </w:r>
          </w:p>
        </w:tc>
        <w:tc>
          <w:tcPr>
            <w:tcW w:w="100" w:type="dxa"/>
            <w:vAlign w:val="bottom"/>
          </w:tcPr>
          <w:p>
            <w:pPr>
              <w:spacing w:after="0"/>
              <w:rPr>
                <w:sz w:val="19"/>
                <w:szCs w:val="19"/>
                <w:color w:val="auto"/>
              </w:rPr>
            </w:pPr>
          </w:p>
        </w:tc>
        <w:tc>
          <w:tcPr>
            <w:tcW w:w="1240" w:type="dxa"/>
            <w:vAlign w:val="bottom"/>
          </w:tcPr>
          <w:p>
            <w:pPr>
              <w:jc w:val="right"/>
              <w:ind w:right="578"/>
              <w:spacing w:after="0"/>
              <w:rPr>
                <w:sz w:val="20"/>
                <w:szCs w:val="20"/>
                <w:color w:val="auto"/>
              </w:rPr>
            </w:pPr>
            <w:r>
              <w:rPr>
                <w:rFonts w:ascii="Arial" w:cs="Arial" w:eastAsia="Arial" w:hAnsi="Arial"/>
                <w:sz w:val="18"/>
                <w:szCs w:val="18"/>
                <w:color w:val="231F20"/>
              </w:rPr>
              <w:t>$</w:t>
            </w:r>
          </w:p>
        </w:tc>
        <w:tc>
          <w:tcPr>
            <w:tcW w:w="400" w:type="dxa"/>
            <w:vAlign w:val="bottom"/>
          </w:tcPr>
          <w:p>
            <w:pPr>
              <w:jc w:val="right"/>
              <w:spacing w:after="0"/>
              <w:rPr>
                <w:sz w:val="20"/>
                <w:szCs w:val="20"/>
                <w:color w:val="auto"/>
              </w:rPr>
            </w:pPr>
            <w:r>
              <w:rPr>
                <w:rFonts w:ascii="Arial" w:cs="Arial" w:eastAsia="Arial" w:hAnsi="Arial"/>
                <w:sz w:val="18"/>
                <w:szCs w:val="18"/>
                <w:color w:val="231F20"/>
                <w:w w:val="91"/>
              </w:rPr>
              <w:t>(0.6)</w:t>
            </w:r>
          </w:p>
        </w:tc>
        <w:tc>
          <w:tcPr>
            <w:tcW w:w="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(0.5)</w:t>
            </w:r>
          </w:p>
        </w:tc>
        <w:tc>
          <w:tcPr>
            <w:tcW w:w="80" w:type="dxa"/>
            <w:vAlign w:val="bottom"/>
          </w:tcPr>
          <w:p>
            <w:pPr>
              <w:spacing w:after="0"/>
              <w:rPr>
                <w:sz w:val="19"/>
                <w:szCs w:val="19"/>
                <w:color w:val="auto"/>
              </w:rPr>
            </w:pPr>
          </w:p>
        </w:tc>
        <w:tc>
          <w:tcPr>
            <w:tcW w:w="1680" w:type="dxa"/>
            <w:vAlign w:val="bottom"/>
          </w:tcPr>
          <w:p>
            <w:pPr>
              <w:jc w:val="right"/>
              <w:ind w:right="201"/>
              <w:spacing w:after="0"/>
              <w:rPr>
                <w:sz w:val="20"/>
                <w:szCs w:val="20"/>
                <w:color w:val="auto"/>
              </w:rPr>
            </w:pPr>
            <w:r>
              <w:rPr>
                <w:rFonts w:ascii="Arial" w:cs="Arial" w:eastAsia="Arial" w:hAnsi="Arial"/>
                <w:sz w:val="18"/>
                <w:szCs w:val="18"/>
                <w:color w:val="auto"/>
              </w:rPr>
              <w:t>90.4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 xml:space="preserve">Other expense, net, was $210.8 million for the three months ended </w:t>
      </w:r>
      <w:r>
        <w:rPr>
          <w:rFonts w:ascii="Arial" w:cs="Arial" w:eastAsia="Arial" w:hAnsi="Arial"/>
          <w:sz w:val="17"/>
          <w:szCs w:val="17"/>
          <w:color w:val="000000"/>
        </w:rPr>
        <w:t>September 30, 2021</w:t>
      </w:r>
      <w:r>
        <w:rPr>
          <w:rFonts w:ascii="Arial" w:cs="Arial" w:eastAsia="Arial" w:hAnsi="Arial"/>
          <w:sz w:val="17"/>
          <w:szCs w:val="17"/>
          <w:color w:val="231F20"/>
        </w:rPr>
        <w:t xml:space="preserve"> compared to $5.6 million for the three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231F20"/>
        </w:rPr>
        <w:t>September 30, 2020. The increase was primarily driven by the changes in the fair values of the Warrant liability and Earn-out Shares liability of $199.3 million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and $10.6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Nine Months Ended September 30, 2021 to Nine Months Ended September 30,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231F20"/>
              </w:rPr>
              <w:t>Nine Months Ended September 30,</w:t>
            </w:r>
          </w:p>
        </w:tc>
        <w:tc>
          <w:tcPr>
            <w:tcW w:w="1540" w:type="dxa"/>
            <w:vAlign w:val="bottom"/>
            <w:tcBorders>
              <w:bottom w:val="single" w:sz="8" w:color="auto"/>
            </w:tcBorders>
          </w:tcPr>
          <w:p>
            <w:pPr>
              <w:spacing w:after="0"/>
              <w:rPr>
                <w:sz w:val="16"/>
                <w:szCs w:val="16"/>
                <w:color w:val="auto"/>
              </w:rPr>
            </w:pPr>
          </w:p>
        </w:tc>
      </w:tr>
      <w:tr>
        <w:trPr>
          <w:trHeight w:val="185"/>
        </w:trPr>
        <w:tc>
          <w:tcPr>
            <w:tcW w:w="5100" w:type="dxa"/>
            <w:vAlign w:val="bottom"/>
          </w:tcPr>
          <w:p>
            <w:pPr>
              <w:ind w:left="60"/>
              <w:spacing w:after="0"/>
              <w:rPr>
                <w:sz w:val="20"/>
                <w:szCs w:val="20"/>
                <w:color w:val="auto"/>
              </w:rPr>
            </w:pPr>
            <w:r>
              <w:rPr>
                <w:rFonts w:ascii="Arial" w:cs="Arial" w:eastAsia="Arial" w:hAnsi="Arial"/>
                <w:sz w:val="14"/>
                <w:szCs w:val="14"/>
                <w:b w:val="1"/>
                <w:bCs w:val="1"/>
                <w:color w:val="231F20"/>
              </w:rPr>
              <w:t>(in millions)</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231F20"/>
              </w:rPr>
              <w:t>% of Net Sales</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231F20"/>
              </w:rPr>
              <w:t>2020</w:t>
            </w:r>
          </w:p>
        </w:tc>
        <w:tc>
          <w:tcPr>
            <w:tcW w:w="80" w:type="dxa"/>
            <w:vAlign w:val="bottom"/>
          </w:tcPr>
          <w:p>
            <w:pPr>
              <w:spacing w:after="0"/>
              <w:rPr>
                <w:sz w:val="16"/>
                <w:szCs w:val="16"/>
                <w:color w:val="auto"/>
              </w:rPr>
            </w:pPr>
          </w:p>
        </w:tc>
        <w:tc>
          <w:tcPr>
            <w:tcW w:w="1540" w:type="dxa"/>
            <w:vAlign w:val="bottom"/>
          </w:tcPr>
          <w:p>
            <w:pPr>
              <w:jc w:val="right"/>
              <w:ind w:right="233"/>
              <w:spacing w:after="0"/>
              <w:rPr>
                <w:sz w:val="20"/>
                <w:szCs w:val="20"/>
                <w:color w:val="auto"/>
              </w:rPr>
            </w:pPr>
            <w:r>
              <w:rPr>
                <w:rFonts w:ascii="Arial" w:cs="Arial" w:eastAsia="Arial" w:hAnsi="Arial"/>
                <w:sz w:val="14"/>
                <w:szCs w:val="14"/>
                <w:b w:val="1"/>
                <w:bCs w:val="1"/>
                <w:color w:val="231F20"/>
              </w:rPr>
              <w:t>% of Net Sales</w:t>
            </w:r>
          </w:p>
        </w:tc>
      </w:tr>
      <w:tr>
        <w:trPr>
          <w:trHeight w:val="219"/>
        </w:trPr>
        <w:tc>
          <w:tcPr>
            <w:tcW w:w="5100" w:type="dxa"/>
            <w:vAlign w:val="bottom"/>
            <w:tcBorders>
              <w:top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Net sales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182.2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81.2</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r>
      <w:tr>
        <w:trPr>
          <w:trHeight w:val="225"/>
        </w:trPr>
        <w:tc>
          <w:tcPr>
            <w:tcW w:w="51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57.1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231F20"/>
              </w:rPr>
              <w:t>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45.6</w:t>
            </w:r>
          </w:p>
        </w:tc>
      </w:tr>
      <w:tr>
        <w:trPr>
          <w:trHeight w:val="219"/>
        </w:trPr>
        <w:tc>
          <w:tcPr>
            <w:tcW w:w="510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231F20"/>
              </w:rPr>
              <w:t>Gross profit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54.4</w:t>
            </w: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Selling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42.4</w:t>
            </w:r>
          </w:p>
        </w:tc>
      </w:tr>
      <w:tr>
        <w:trPr>
          <w:trHeight w:val="225"/>
        </w:trPr>
        <w:tc>
          <w:tcPr>
            <w:tcW w:w="5100" w:type="dxa"/>
            <w:vAlign w:val="bottom"/>
          </w:tcPr>
          <w:p>
            <w:pPr>
              <w:ind w:left="560"/>
              <w:spacing w:after="0"/>
              <w:rPr>
                <w:sz w:val="20"/>
                <w:szCs w:val="20"/>
                <w:color w:val="auto"/>
              </w:rPr>
            </w:pPr>
            <w:r>
              <w:rPr>
                <w:rFonts w:ascii="Arial" w:cs="Arial" w:eastAsia="Arial" w:hAnsi="Arial"/>
                <w:sz w:val="18"/>
                <w:szCs w:val="18"/>
                <w:color w:val="231F20"/>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6.3</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2.5</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3.1</w:t>
            </w:r>
          </w:p>
        </w:tc>
      </w:tr>
      <w:tr>
        <w:trPr>
          <w:trHeight w:val="22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231F20"/>
              </w:rPr>
              <w:t>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19.7</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24.2</w:t>
            </w:r>
          </w:p>
        </w:tc>
      </w:tr>
      <w:tr>
        <w:trPr>
          <w:trHeight w:val="218"/>
        </w:trPr>
        <w:tc>
          <w:tcPr>
            <w:tcW w:w="5100" w:type="dxa"/>
            <w:vAlign w:val="bottom"/>
          </w:tcPr>
          <w:p>
            <w:pPr>
              <w:ind w:left="880"/>
              <w:spacing w:after="0" w:line="204" w:lineRule="exact"/>
              <w:rPr>
                <w:sz w:val="20"/>
                <w:szCs w:val="20"/>
                <w:color w:val="auto"/>
              </w:rPr>
            </w:pPr>
            <w:r>
              <w:rPr>
                <w:rFonts w:ascii="Arial" w:cs="Arial" w:eastAsia="Arial" w:hAnsi="Arial"/>
                <w:sz w:val="18"/>
                <w:szCs w:val="18"/>
                <w:color w:val="231F20"/>
              </w:rPr>
              <w:t>Total operating expenses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154.5</w:t>
            </w:r>
          </w:p>
        </w:tc>
        <w:tc>
          <w:tcPr>
            <w:tcW w:w="10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84.8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56.6</w:t>
            </w:r>
          </w:p>
        </w:tc>
        <w:tc>
          <w:tcPr>
            <w:tcW w:w="80" w:type="dxa"/>
            <w:vAlign w:val="bottom"/>
          </w:tcPr>
          <w:p>
            <w:pPr>
              <w:spacing w:after="0"/>
              <w:rPr>
                <w:sz w:val="18"/>
                <w:szCs w:val="18"/>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69.7</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Loss from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231F20"/>
              </w:rPr>
              <w:t>(16.2)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(15.4)</w:t>
            </w:r>
          </w:p>
        </w:tc>
      </w:tr>
      <w:tr>
        <w:trPr>
          <w:trHeight w:val="225"/>
        </w:trPr>
        <w:tc>
          <w:tcPr>
            <w:tcW w:w="51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 expense,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331.7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231F20"/>
              </w:rPr>
              <w:t>182.0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15.5</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19.1</w:t>
            </w:r>
          </w:p>
        </w:tc>
      </w:tr>
      <w:tr>
        <w:trPr>
          <w:trHeight w:val="219"/>
        </w:trPr>
        <w:tc>
          <w:tcPr>
            <w:tcW w:w="51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Loss before provision for income tax</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231F20"/>
              </w:rPr>
              <w:t>(198.2)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(34.4)</w:t>
            </w:r>
          </w:p>
        </w:tc>
      </w:tr>
      <w:tr>
        <w:trPr>
          <w:trHeight w:val="225"/>
        </w:trPr>
        <w:tc>
          <w:tcPr>
            <w:tcW w:w="51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Income tax benefit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231F20"/>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(6.3)</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231F20"/>
              </w:rPr>
              <w:t>(7.7)</w:t>
            </w:r>
          </w:p>
        </w:tc>
      </w:tr>
      <w:tr>
        <w:trPr>
          <w:trHeight w:val="244"/>
        </w:trPr>
        <w:tc>
          <w:tcPr>
            <w:tcW w:w="510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Net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(357.8)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(21.7)</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Net Sales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231F20"/>
                <w:w w:val="99"/>
              </w:rPr>
              <w:t>Nine Months Ended September 30,</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86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ind w:left="340"/>
              <w:spacing w:after="0"/>
              <w:rPr>
                <w:sz w:val="20"/>
                <w:szCs w:val="20"/>
                <w:color w:val="auto"/>
              </w:rPr>
            </w:pPr>
            <w:r>
              <w:rPr>
                <w:rFonts w:ascii="Arial" w:cs="Arial" w:eastAsia="Arial" w:hAnsi="Arial"/>
                <w:sz w:val="14"/>
                <w:szCs w:val="14"/>
                <w:b w:val="1"/>
                <w:bCs w:val="1"/>
                <w:color w:val="231F20"/>
              </w:rPr>
              <w:t>(in millions)</w:t>
            </w:r>
          </w:p>
        </w:tc>
        <w:tc>
          <w:tcPr>
            <w:tcW w:w="6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231F20"/>
              </w:rPr>
              <w:t>2021</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231F20"/>
              </w:rPr>
              <w:t>2020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231F20"/>
              </w:rPr>
              <w:t>%</w:t>
            </w:r>
          </w:p>
        </w:tc>
      </w:tr>
      <w:tr>
        <w:trPr>
          <w:trHeight w:val="206"/>
        </w:trPr>
        <w:tc>
          <w:tcPr>
            <w:tcW w:w="464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231F20"/>
              </w:rPr>
              <w:t>Net sales</w:t>
            </w: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38"/>
        </w:trPr>
        <w:tc>
          <w:tcPr>
            <w:tcW w:w="4640" w:type="dxa"/>
            <w:vAlign w:val="bottom"/>
          </w:tcPr>
          <w:p>
            <w:pPr>
              <w:ind w:left="700"/>
              <w:spacing w:after="0"/>
              <w:rPr>
                <w:sz w:val="20"/>
                <w:szCs w:val="20"/>
                <w:color w:val="auto"/>
              </w:rPr>
            </w:pPr>
            <w:r>
              <w:rPr>
                <w:rFonts w:ascii="Arial" w:cs="Arial" w:eastAsia="Arial" w:hAnsi="Arial"/>
                <w:sz w:val="18"/>
                <w:szCs w:val="18"/>
                <w:color w:val="231F20"/>
              </w:rPr>
              <w:t>Delivery Systems</w:t>
            </w: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96.8</w:t>
            </w:r>
          </w:p>
        </w:tc>
        <w:tc>
          <w:tcPr>
            <w:tcW w:w="1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36.0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60.8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31F20"/>
              </w:rPr>
              <w:t>169.0%</w:t>
            </w:r>
          </w:p>
        </w:tc>
      </w:tr>
      <w:tr>
        <w:trPr>
          <w:trHeight w:val="28"/>
        </w:trPr>
        <w:tc>
          <w:tcPr>
            <w:tcW w:w="4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4640" w:type="dxa"/>
            <w:vAlign w:val="bottom"/>
            <w:shd w:val="clear" w:color="auto" w:fill="CCEEFF"/>
          </w:tcPr>
          <w:p>
            <w:pPr>
              <w:jc w:val="center"/>
              <w:ind w:right="2054"/>
              <w:spacing w:after="0"/>
              <w:rPr>
                <w:sz w:val="20"/>
                <w:szCs w:val="20"/>
                <w:color w:val="auto"/>
              </w:rPr>
            </w:pPr>
            <w:r>
              <w:rPr>
                <w:rFonts w:ascii="Arial" w:cs="Arial" w:eastAsia="Arial" w:hAnsi="Arial"/>
                <w:sz w:val="18"/>
                <w:szCs w:val="18"/>
                <w:color w:val="231F20"/>
                <w:w w:val="85"/>
              </w:rPr>
              <w:t>Consumables</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85.4</w:t>
            </w:r>
          </w:p>
        </w:tc>
        <w:tc>
          <w:tcPr>
            <w:tcW w:w="1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88.8%</w:t>
            </w:r>
          </w:p>
        </w:tc>
      </w:tr>
      <w:tr>
        <w:trPr>
          <w:trHeight w:val="218"/>
        </w:trPr>
        <w:tc>
          <w:tcPr>
            <w:tcW w:w="4640" w:type="dxa"/>
            <w:vAlign w:val="bottom"/>
          </w:tcPr>
          <w:p>
            <w:pPr>
              <w:ind w:left="1100"/>
              <w:spacing w:after="0" w:line="204" w:lineRule="exact"/>
              <w:rPr>
                <w:sz w:val="20"/>
                <w:szCs w:val="20"/>
                <w:color w:val="auto"/>
              </w:rPr>
            </w:pPr>
            <w:r>
              <w:rPr>
                <w:rFonts w:ascii="Arial" w:cs="Arial" w:eastAsia="Arial" w:hAnsi="Arial"/>
                <w:sz w:val="18"/>
                <w:szCs w:val="18"/>
                <w:color w:val="231F20"/>
              </w:rPr>
              <w:t>Total net sales</w:t>
            </w: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182.2</w:t>
            </w:r>
          </w:p>
        </w:tc>
        <w:tc>
          <w:tcPr>
            <w:tcW w:w="18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81.2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101.0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31F20"/>
              </w:rPr>
              <w:t>124.3%</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64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231F20"/>
              </w:rPr>
              <w:t>Percentage of net sales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4640" w:type="dxa"/>
            <w:vAlign w:val="bottom"/>
          </w:tcPr>
          <w:p>
            <w:pPr>
              <w:ind w:left="660"/>
              <w:spacing w:after="0"/>
              <w:rPr>
                <w:sz w:val="20"/>
                <w:szCs w:val="20"/>
                <w:color w:val="auto"/>
              </w:rPr>
            </w:pPr>
            <w:r>
              <w:rPr>
                <w:rFonts w:ascii="Arial" w:cs="Arial" w:eastAsia="Arial" w:hAnsi="Arial"/>
                <w:sz w:val="18"/>
                <w:szCs w:val="18"/>
                <w:color w:val="231F20"/>
              </w:rPr>
              <w:t>Delivery Systems</w:t>
            </w:r>
          </w:p>
        </w:tc>
        <w:tc>
          <w:tcPr>
            <w:tcW w:w="620" w:type="dxa"/>
            <w:vAlign w:val="bottom"/>
          </w:tcPr>
          <w:p>
            <w:pPr>
              <w:spacing w:after="0"/>
              <w:rPr>
                <w:sz w:val="19"/>
                <w:szCs w:val="19"/>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231F20"/>
              </w:rPr>
              <w:t>53.1%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44.3%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4640" w:type="dxa"/>
            <w:vAlign w:val="bottom"/>
            <w:shd w:val="clear" w:color="auto" w:fill="CCEEFF"/>
          </w:tcPr>
          <w:p>
            <w:pPr>
              <w:ind w:left="740"/>
              <w:spacing w:after="0"/>
              <w:rPr>
                <w:sz w:val="20"/>
                <w:szCs w:val="20"/>
                <w:color w:val="auto"/>
              </w:rPr>
            </w:pPr>
            <w:r>
              <w:rPr>
                <w:rFonts w:ascii="Arial" w:cs="Arial" w:eastAsia="Arial" w:hAnsi="Arial"/>
                <w:sz w:val="18"/>
                <w:szCs w:val="18"/>
                <w:color w:val="231F20"/>
              </w:rPr>
              <w:t>Consumables</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231F20"/>
              </w:rPr>
              <w:t>46.9%</w:t>
            </w:r>
          </w:p>
        </w:tc>
        <w:tc>
          <w:tcPr>
            <w:tcW w:w="1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8"/>
        </w:trPr>
        <w:tc>
          <w:tcPr>
            <w:tcW w:w="4640" w:type="dxa"/>
            <w:vAlign w:val="bottom"/>
          </w:tcPr>
          <w:p>
            <w:pPr>
              <w:jc w:val="center"/>
              <w:ind w:right="2074"/>
              <w:spacing w:after="0" w:line="204" w:lineRule="exact"/>
              <w:rPr>
                <w:sz w:val="20"/>
                <w:szCs w:val="20"/>
                <w:color w:val="auto"/>
              </w:rPr>
            </w:pPr>
            <w:r>
              <w:rPr>
                <w:rFonts w:ascii="Arial" w:cs="Arial" w:eastAsia="Arial" w:hAnsi="Arial"/>
                <w:sz w:val="18"/>
                <w:szCs w:val="18"/>
                <w:color w:val="231F20"/>
                <w:w w:val="89"/>
              </w:rPr>
              <w:t>Total</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231F20"/>
              </w:rPr>
              <w:t>100.0%</w:t>
            </w:r>
          </w:p>
        </w:tc>
        <w:tc>
          <w:tcPr>
            <w:tcW w:w="1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100.0%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318"/>
        <w:spacing w:after="0" w:line="222" w:lineRule="auto"/>
        <w:rPr>
          <w:sz w:val="20"/>
          <w:szCs w:val="20"/>
          <w:color w:val="auto"/>
        </w:rPr>
      </w:pPr>
      <w:r>
        <w:rPr>
          <w:rFonts w:ascii="Arial" w:cs="Arial" w:eastAsia="Arial" w:hAnsi="Arial"/>
          <w:sz w:val="18"/>
          <w:szCs w:val="18"/>
          <w:color w:val="231F20"/>
        </w:rPr>
        <w:t xml:space="preserve">Total net sales for the nine months ended </w:t>
      </w:r>
      <w:r>
        <w:rPr>
          <w:rFonts w:ascii="Arial" w:cs="Arial" w:eastAsia="Arial" w:hAnsi="Arial"/>
          <w:sz w:val="18"/>
          <w:szCs w:val="18"/>
          <w:color w:val="000000"/>
        </w:rPr>
        <w:t>September 30, 2021</w:t>
      </w:r>
      <w:r>
        <w:rPr>
          <w:rFonts w:ascii="Arial" w:cs="Arial" w:eastAsia="Arial" w:hAnsi="Arial"/>
          <w:sz w:val="18"/>
          <w:szCs w:val="18"/>
          <w:color w:val="231F20"/>
        </w:rPr>
        <w:t xml:space="preserve"> increased $101.0 million, or 124.3%, compared to the nine months ended September 30, 2020. Delivery System sales for the nine months ended September 30, 2020 increased $60.8 million, or 169.0%, compared to the nine months ended September 30, 2020. Delivery Systems units sold for the nine months ended September 30, 2020 increased primarily due to both increased consumer demand and continued strength in the Asia-Pacific region. Similarly, Consumables sales for the nine months ended </w:t>
      </w:r>
      <w:r>
        <w:rPr>
          <w:rFonts w:ascii="Arial" w:cs="Arial" w:eastAsia="Arial" w:hAnsi="Arial"/>
          <w:sz w:val="18"/>
          <w:szCs w:val="18"/>
          <w:color w:val="000000"/>
        </w:rPr>
        <w:t>September 30, 2021</w:t>
      </w:r>
      <w:r>
        <w:rPr>
          <w:rFonts w:ascii="Arial" w:cs="Arial" w:eastAsia="Arial" w:hAnsi="Arial"/>
          <w:sz w:val="18"/>
          <w:szCs w:val="18"/>
          <w:color w:val="231F20"/>
        </w:rPr>
        <w:t xml:space="preserve"> increased $40.2 million, or 88.8%, compared to the nine months ended September 30, 2020. The increase in Consumables sales was primarily attributable to rebounding sales volume following the COVID-19 pandemic.</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231F20"/>
              </w:rPr>
              <w:t>Nine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231F20"/>
              </w:rPr>
              <w:t>Change</w:t>
            </w:r>
          </w:p>
        </w:tc>
        <w:tc>
          <w:tcPr>
            <w:tcW w:w="840" w:type="dxa"/>
            <w:vAlign w:val="bottom"/>
            <w:tcBorders>
              <w:bottom w:val="single" w:sz="8" w:color="auto"/>
            </w:tcBorders>
          </w:tcPr>
          <w:p>
            <w:pPr>
              <w:spacing w:after="0"/>
              <w:rPr>
                <w:sz w:val="16"/>
                <w:szCs w:val="16"/>
                <w:color w:val="auto"/>
              </w:rPr>
            </w:pPr>
          </w:p>
        </w:tc>
      </w:tr>
      <w:tr>
        <w:trPr>
          <w:trHeight w:val="185"/>
        </w:trPr>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231F20"/>
              </w:rPr>
              <w:t>2020</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231F20"/>
              </w:rPr>
              <w:t>%</w:t>
            </w:r>
          </w:p>
        </w:tc>
      </w:tr>
      <w:tr>
        <w:trPr>
          <w:trHeight w:val="233"/>
        </w:trPr>
        <w:tc>
          <w:tcPr>
            <w:tcW w:w="40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231F20"/>
              </w:rPr>
              <w:t>Cost of sales</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57.1</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37.1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20.0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54.2%</w:t>
            </w:r>
          </w:p>
        </w:tc>
      </w:tr>
      <w:tr>
        <w:trPr>
          <w:trHeight w:val="231"/>
        </w:trPr>
        <w:tc>
          <w:tcPr>
            <w:tcW w:w="4020" w:type="dxa"/>
            <w:vAlign w:val="bottom"/>
          </w:tcPr>
          <w:p>
            <w:pPr>
              <w:ind w:left="340"/>
              <w:spacing w:after="0"/>
              <w:rPr>
                <w:sz w:val="20"/>
                <w:szCs w:val="20"/>
                <w:color w:val="auto"/>
              </w:rPr>
            </w:pPr>
            <w:r>
              <w:rPr>
                <w:rFonts w:ascii="Arial" w:cs="Arial" w:eastAsia="Arial" w:hAnsi="Arial"/>
                <w:sz w:val="18"/>
                <w:szCs w:val="18"/>
                <w:color w:val="231F20"/>
              </w:rPr>
              <w:t>Gross profit</w:t>
            </w:r>
          </w:p>
        </w:tc>
        <w:tc>
          <w:tcPr>
            <w:tcW w:w="740" w:type="dxa"/>
            <w:vAlign w:val="bottom"/>
          </w:tcPr>
          <w:p>
            <w:pPr>
              <w:jc w:val="right"/>
              <w:ind w:right="232"/>
              <w:spacing w:after="0"/>
              <w:rPr>
                <w:sz w:val="20"/>
                <w:szCs w:val="20"/>
                <w:color w:val="auto"/>
              </w:rPr>
            </w:pPr>
            <w:r>
              <w:rPr>
                <w:rFonts w:ascii="Arial" w:cs="Arial" w:eastAsia="Arial" w:hAnsi="Arial"/>
                <w:sz w:val="18"/>
                <w:szCs w:val="18"/>
                <w:color w:val="231F20"/>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231F20"/>
              </w:rPr>
              <w:t>125.1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231F20"/>
              </w:rPr>
              <w:t>44.2</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1020" w:type="dxa"/>
            <w:vAlign w:val="bottom"/>
          </w:tcPr>
          <w:p>
            <w:pPr>
              <w:jc w:val="right"/>
              <w:ind w:right="1"/>
              <w:spacing w:after="0"/>
              <w:rPr>
                <w:sz w:val="20"/>
                <w:szCs w:val="20"/>
                <w:color w:val="auto"/>
              </w:rPr>
            </w:pPr>
            <w:r>
              <w:rPr>
                <w:rFonts w:ascii="Arial" w:cs="Arial" w:eastAsia="Arial" w:hAnsi="Arial"/>
                <w:sz w:val="18"/>
                <w:szCs w:val="18"/>
                <w:color w:val="231F20"/>
              </w:rPr>
              <w:t>80.9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183.2%</w:t>
            </w:r>
          </w:p>
        </w:tc>
      </w:tr>
      <w:tr>
        <w:trPr>
          <w:trHeight w:val="232"/>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Gross margin</w:t>
            </w: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68.6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54.4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bl>
    <w:p>
      <w:pPr>
        <w:spacing w:after="0" w:line="253"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231F20"/>
        </w:rPr>
        <w:t>Cost of sales increased 54.2% driven by increased sales volume and a shift in the product mix to HydraFacial Delivery Systems. Gross margin increased from 54.4% during the nine months ended September 30, 2021 to 68.6% during the nine months ended September 30, 2020, primarily due to fixed cost leverage from higher sales volumes coupled with cost saving initiatives, partially offset by higher logistics costs.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358"/>
              <w:spacing w:after="0"/>
              <w:rPr>
                <w:sz w:val="20"/>
                <w:szCs w:val="20"/>
                <w:color w:val="auto"/>
              </w:rPr>
            </w:pPr>
            <w:r>
              <w:rPr>
                <w:rFonts w:ascii="Arial" w:cs="Arial" w:eastAsia="Arial" w:hAnsi="Arial"/>
                <w:sz w:val="14"/>
                <w:szCs w:val="14"/>
                <w:b w:val="1"/>
                <w:bCs w:val="1"/>
                <w:color w:val="231F20"/>
              </w:rPr>
              <w:t>Nine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029"/>
              <w:spacing w:after="0"/>
              <w:rPr>
                <w:sz w:val="20"/>
                <w:szCs w:val="20"/>
                <w:color w:val="auto"/>
              </w:rPr>
            </w:pPr>
            <w:r>
              <w:rPr>
                <w:rFonts w:ascii="Arial" w:cs="Arial" w:eastAsia="Arial" w:hAnsi="Arial"/>
                <w:sz w:val="14"/>
                <w:szCs w:val="14"/>
                <w:b w:val="1"/>
                <w:bCs w:val="1"/>
                <w:color w:val="231F20"/>
                <w:w w:val="97"/>
              </w:rPr>
              <w:t>Change</w:t>
            </w:r>
          </w:p>
        </w:tc>
        <w:tc>
          <w:tcPr>
            <w:tcW w:w="340" w:type="dxa"/>
            <w:vAlign w:val="bottom"/>
            <w:tcBorders>
              <w:bottom w:val="single" w:sz="8" w:color="auto"/>
            </w:tcBorders>
          </w:tcPr>
          <w:p>
            <w:pPr>
              <w:spacing w:after="0"/>
              <w:rPr>
                <w:sz w:val="16"/>
                <w:szCs w:val="16"/>
                <w:color w:val="auto"/>
              </w:rPr>
            </w:pPr>
          </w:p>
        </w:tc>
      </w:tr>
      <w:tr>
        <w:trPr>
          <w:trHeight w:val="185"/>
        </w:trPr>
        <w:tc>
          <w:tcPr>
            <w:tcW w:w="34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231F20"/>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231F20"/>
              </w:rPr>
              <w:t>%</w:t>
            </w:r>
          </w:p>
        </w:tc>
        <w:tc>
          <w:tcPr>
            <w:tcW w:w="340" w:type="dxa"/>
            <w:vAlign w:val="bottom"/>
            <w:tcBorders>
              <w:bottom w:val="single" w:sz="8" w:color="auto"/>
            </w:tcBorders>
          </w:tcPr>
          <w:p>
            <w:pPr>
              <w:spacing w:after="0"/>
              <w:rPr>
                <w:sz w:val="16"/>
                <w:szCs w:val="16"/>
                <w:color w:val="auto"/>
              </w:rPr>
            </w:pPr>
          </w:p>
        </w:tc>
      </w:tr>
      <w:tr>
        <w:trPr>
          <w:trHeight w:val="233"/>
        </w:trPr>
        <w:tc>
          <w:tcPr>
            <w:tcW w:w="34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231F20"/>
              </w:rPr>
              <w:t>Selling and marketing</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231F20"/>
              </w:rPr>
              <w:t>74.5</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231F20"/>
              </w:rPr>
              <w:t>34.4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40.1</w:t>
            </w:r>
          </w:p>
        </w:tc>
        <w:tc>
          <w:tcPr>
            <w:tcW w:w="16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440" w:type="dxa"/>
            <w:vAlign w:val="bottom"/>
          </w:tcPr>
          <w:p>
            <w:pPr>
              <w:ind w:left="340"/>
              <w:spacing w:after="0"/>
              <w:rPr>
                <w:sz w:val="20"/>
                <w:szCs w:val="20"/>
                <w:color w:val="auto"/>
              </w:rPr>
            </w:pPr>
            <w:r>
              <w:rPr>
                <w:rFonts w:ascii="Arial" w:cs="Arial" w:eastAsia="Arial" w:hAnsi="Arial"/>
                <w:sz w:val="18"/>
                <w:szCs w:val="18"/>
                <w:i w:val="1"/>
                <w:iCs w:val="1"/>
                <w:color w:val="231F20"/>
              </w:rPr>
              <w:t>As a percentage of net sales</w:t>
            </w:r>
          </w:p>
        </w:tc>
        <w:tc>
          <w:tcPr>
            <w:tcW w:w="720" w:type="dxa"/>
            <w:vAlign w:val="bottom"/>
          </w:tcPr>
          <w:p>
            <w:pPr>
              <w:spacing w:after="0"/>
              <w:rPr>
                <w:sz w:val="19"/>
                <w:szCs w:val="19"/>
                <w:color w:val="auto"/>
              </w:rPr>
            </w:pPr>
          </w:p>
        </w:tc>
        <w:tc>
          <w:tcPr>
            <w:tcW w:w="960" w:type="dxa"/>
            <w:vAlign w:val="bottom"/>
          </w:tcPr>
          <w:p>
            <w:pPr>
              <w:jc w:val="right"/>
              <w:ind w:right="101"/>
              <w:spacing w:after="0"/>
              <w:rPr>
                <w:sz w:val="20"/>
                <w:szCs w:val="20"/>
                <w:color w:val="auto"/>
              </w:rPr>
            </w:pPr>
            <w:r>
              <w:rPr>
                <w:rFonts w:ascii="Arial" w:cs="Arial" w:eastAsia="Arial" w:hAnsi="Arial"/>
                <w:sz w:val="18"/>
                <w:szCs w:val="18"/>
                <w:color w:val="231F20"/>
              </w:rPr>
              <w:t>40.9</w:t>
            </w:r>
          </w:p>
        </w:tc>
        <w:tc>
          <w:tcPr>
            <w:tcW w:w="3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98"/>
              <w:spacing w:after="0"/>
              <w:rPr>
                <w:sz w:val="20"/>
                <w:szCs w:val="20"/>
                <w:color w:val="auto"/>
              </w:rPr>
            </w:pPr>
            <w:r>
              <w:rPr>
                <w:rFonts w:ascii="Arial" w:cs="Arial" w:eastAsia="Arial" w:hAnsi="Arial"/>
                <w:sz w:val="18"/>
                <w:szCs w:val="18"/>
                <w:color w:val="231F20"/>
              </w:rPr>
              <w:t>42.4</w:t>
            </w:r>
          </w:p>
        </w:tc>
        <w:tc>
          <w:tcPr>
            <w:tcW w:w="3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68" w:lineRule="exact"/>
        <w:rPr>
          <w:sz w:val="20"/>
          <w:szCs w:val="20"/>
          <w:color w:val="auto"/>
        </w:rPr>
      </w:pPr>
    </w:p>
    <w:p>
      <w:pPr>
        <w:ind w:firstLine="318"/>
        <w:spacing w:after="0" w:line="275" w:lineRule="auto"/>
        <w:rPr>
          <w:sz w:val="20"/>
          <w:szCs w:val="20"/>
          <w:color w:val="auto"/>
        </w:rPr>
      </w:pPr>
      <w:r>
        <w:rPr>
          <w:rFonts w:ascii="Arial" w:cs="Arial" w:eastAsia="Arial" w:hAnsi="Arial"/>
          <w:sz w:val="15"/>
          <w:szCs w:val="15"/>
          <w:color w:val="231F20"/>
        </w:rPr>
        <w:t xml:space="preserve">Selling and marketing expense for the nine months ended September 30, 2021 increased $40.1 million, or 116.5%, compared to the nine months ended September 30, 2020. The overall decrease </w:t>
      </w:r>
      <w:r>
        <w:rPr>
          <w:rFonts w:ascii="Arial" w:cs="Arial" w:eastAsia="Arial" w:hAnsi="Arial"/>
          <w:sz w:val="15"/>
          <w:szCs w:val="15"/>
          <w:color w:val="000000"/>
        </w:rPr>
        <w:t>as a percentage of net sales</w:t>
      </w:r>
      <w:r>
        <w:rPr>
          <w:rFonts w:ascii="Arial" w:cs="Arial" w:eastAsia="Arial" w:hAnsi="Arial"/>
          <w:sz w:val="15"/>
          <w:szCs w:val="15"/>
          <w:color w:val="231F20"/>
        </w:rPr>
        <w:t xml:space="preserve"> was due to higher sales commissions of $14.8 million, which included $1.3 million in sales commissions from international operations, primarily attributable to overall increases in sales. Personnel-related expenses increased by $14.5 million, which included a $3.9 million increase from our international operations, primarily attributable to increased headcount, and stock-based compensation expense of $1.4 million. In addition, personnel-related training and certification expenses increased by $3.0 million and increased marketing spend of $2.7 million.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358"/>
              <w:spacing w:after="0"/>
              <w:rPr>
                <w:sz w:val="20"/>
                <w:szCs w:val="20"/>
                <w:color w:val="auto"/>
              </w:rPr>
            </w:pPr>
            <w:r>
              <w:rPr>
                <w:rFonts w:ascii="Arial" w:cs="Arial" w:eastAsia="Arial" w:hAnsi="Arial"/>
                <w:sz w:val="14"/>
                <w:szCs w:val="14"/>
                <w:b w:val="1"/>
                <w:bCs w:val="1"/>
                <w:color w:val="231F20"/>
              </w:rPr>
              <w:t>Nine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009"/>
              <w:spacing w:after="0"/>
              <w:rPr>
                <w:sz w:val="20"/>
                <w:szCs w:val="20"/>
                <w:color w:val="auto"/>
              </w:rPr>
            </w:pPr>
            <w:r>
              <w:rPr>
                <w:rFonts w:ascii="Arial" w:cs="Arial" w:eastAsia="Arial" w:hAnsi="Arial"/>
                <w:sz w:val="14"/>
                <w:szCs w:val="14"/>
                <w:b w:val="1"/>
                <w:bCs w:val="1"/>
                <w:color w:val="231F20"/>
              </w:rPr>
              <w:t>Change</w:t>
            </w:r>
          </w:p>
        </w:tc>
        <w:tc>
          <w:tcPr>
            <w:tcW w:w="340" w:type="dxa"/>
            <w:vAlign w:val="bottom"/>
            <w:tcBorders>
              <w:bottom w:val="single" w:sz="8" w:color="auto"/>
            </w:tcBorders>
          </w:tcPr>
          <w:p>
            <w:pPr>
              <w:spacing w:after="0"/>
              <w:rPr>
                <w:sz w:val="16"/>
                <w:szCs w:val="16"/>
                <w:color w:val="auto"/>
              </w:rPr>
            </w:pPr>
          </w:p>
        </w:tc>
      </w:tr>
      <w:tr>
        <w:trPr>
          <w:trHeight w:val="185"/>
        </w:trPr>
        <w:tc>
          <w:tcPr>
            <w:tcW w:w="352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231F20"/>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231F20"/>
              </w:rPr>
              <w:t>%</w:t>
            </w:r>
          </w:p>
        </w:tc>
        <w:tc>
          <w:tcPr>
            <w:tcW w:w="340" w:type="dxa"/>
            <w:vAlign w:val="bottom"/>
            <w:tcBorders>
              <w:bottom w:val="single" w:sz="8" w:color="auto"/>
            </w:tcBorders>
          </w:tcPr>
          <w:p>
            <w:pPr>
              <w:spacing w:after="0"/>
              <w:rPr>
                <w:sz w:val="16"/>
                <w:szCs w:val="16"/>
                <w:color w:val="auto"/>
              </w:rPr>
            </w:pPr>
          </w:p>
        </w:tc>
      </w:tr>
      <w:tr>
        <w:trPr>
          <w:trHeight w:val="233"/>
        </w:trPr>
        <w:tc>
          <w:tcPr>
            <w:tcW w:w="35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231F20"/>
              </w:rPr>
              <w:t>Research and development</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231F20"/>
              </w:rPr>
              <w:t>6.3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231F20"/>
              </w:rPr>
              <w:t>2.5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w:t>
            </w:r>
          </w:p>
        </w:tc>
        <w:tc>
          <w:tcPr>
            <w:tcW w:w="16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147.9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520" w:type="dxa"/>
            <w:vAlign w:val="bottom"/>
          </w:tcPr>
          <w:p>
            <w:pPr>
              <w:ind w:left="340"/>
              <w:spacing w:after="0"/>
              <w:rPr>
                <w:sz w:val="20"/>
                <w:szCs w:val="20"/>
                <w:color w:val="auto"/>
              </w:rPr>
            </w:pPr>
            <w:r>
              <w:rPr>
                <w:rFonts w:ascii="Arial" w:cs="Arial" w:eastAsia="Arial" w:hAnsi="Arial"/>
                <w:sz w:val="18"/>
                <w:szCs w:val="18"/>
                <w:i w:val="1"/>
                <w:iCs w:val="1"/>
                <w:color w:val="231F20"/>
              </w:rPr>
              <w:t>As a percentage of net sales</w:t>
            </w:r>
          </w:p>
        </w:tc>
        <w:tc>
          <w:tcPr>
            <w:tcW w:w="72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8"/>
                <w:szCs w:val="18"/>
                <w:color w:val="231F20"/>
              </w:rPr>
              <w:t>3.5</w:t>
            </w:r>
          </w:p>
        </w:tc>
        <w:tc>
          <w:tcPr>
            <w:tcW w:w="36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8"/>
                <w:szCs w:val="18"/>
                <w:color w:val="231F20"/>
              </w:rPr>
              <w:t>4.3</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5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231F20"/>
        </w:rPr>
        <w:t xml:space="preserve">Research and development expense for the nine months ended September 30, 2021 increased $3.8 million, or 147.9%, compared to the nine months ended September 30, 2020. </w:t>
      </w:r>
      <w:r>
        <w:rPr>
          <w:rFonts w:ascii="Arial" w:cs="Arial" w:eastAsia="Arial" w:hAnsi="Arial"/>
          <w:sz w:val="15"/>
          <w:szCs w:val="15"/>
          <w:color w:val="000000"/>
        </w:rPr>
        <w:t>The increase was due to increased expenses related to investments in new skincare treatment technologies of $3.5 million.</w:t>
      </w: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4"/>
                <w:szCs w:val="14"/>
                <w:b w:val="1"/>
                <w:bCs w:val="1"/>
                <w:color w:val="231F20"/>
              </w:rPr>
              <w:t>Nine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009"/>
              <w:spacing w:after="0"/>
              <w:rPr>
                <w:sz w:val="20"/>
                <w:szCs w:val="20"/>
                <w:color w:val="auto"/>
              </w:rPr>
            </w:pPr>
            <w:r>
              <w:rPr>
                <w:rFonts w:ascii="Arial" w:cs="Arial" w:eastAsia="Arial" w:hAnsi="Arial"/>
                <w:sz w:val="14"/>
                <w:szCs w:val="14"/>
                <w:b w:val="1"/>
                <w:bCs w:val="1"/>
                <w:color w:val="231F20"/>
                <w:w w:val="97"/>
              </w:rPr>
              <w:t>Change</w:t>
            </w:r>
          </w:p>
        </w:tc>
        <w:tc>
          <w:tcPr>
            <w:tcW w:w="340" w:type="dxa"/>
            <w:vAlign w:val="bottom"/>
            <w:tcBorders>
              <w:bottom w:val="single" w:sz="8" w:color="auto"/>
            </w:tcBorders>
          </w:tcPr>
          <w:p>
            <w:pPr>
              <w:spacing w:after="0"/>
              <w:rPr>
                <w:sz w:val="16"/>
                <w:szCs w:val="16"/>
                <w:color w:val="auto"/>
              </w:rPr>
            </w:pPr>
          </w:p>
        </w:tc>
      </w:tr>
      <w:tr>
        <w:trPr>
          <w:trHeight w:val="185"/>
        </w:trPr>
        <w:tc>
          <w:tcPr>
            <w:tcW w:w="3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231F20"/>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231F20"/>
              </w:rPr>
              <w:t>%</w:t>
            </w:r>
          </w:p>
        </w:tc>
        <w:tc>
          <w:tcPr>
            <w:tcW w:w="340" w:type="dxa"/>
            <w:vAlign w:val="bottom"/>
            <w:tcBorders>
              <w:bottom w:val="single" w:sz="8" w:color="auto"/>
            </w:tcBorders>
          </w:tcPr>
          <w:p>
            <w:pPr>
              <w:spacing w:after="0"/>
              <w:rPr>
                <w:sz w:val="16"/>
                <w:szCs w:val="16"/>
                <w:color w:val="auto"/>
              </w:rPr>
            </w:pPr>
          </w:p>
        </w:tc>
      </w:tr>
      <w:tr>
        <w:trPr>
          <w:trHeight w:val="233"/>
        </w:trPr>
        <w:tc>
          <w:tcPr>
            <w:tcW w:w="34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231F20"/>
              </w:rPr>
              <w:t>General and administrative</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231F20"/>
              </w:rPr>
              <w:t>73.6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231F20"/>
              </w:rPr>
              <w:t>19.7</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53.9</w:t>
            </w:r>
          </w:p>
        </w:tc>
        <w:tc>
          <w:tcPr>
            <w:tcW w:w="16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274.6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i w:val="1"/>
                <w:iCs w:val="1"/>
                <w:color w:val="231F20"/>
              </w:rPr>
              <w:t>As a percentage of net sales</w:t>
            </w:r>
          </w:p>
        </w:tc>
        <w:tc>
          <w:tcPr>
            <w:tcW w:w="720" w:type="dxa"/>
            <w:vAlign w:val="bottom"/>
          </w:tcPr>
          <w:p>
            <w:pPr>
              <w:spacing w:after="0"/>
              <w:rPr>
                <w:sz w:val="19"/>
                <w:szCs w:val="19"/>
                <w:color w:val="auto"/>
              </w:rPr>
            </w:pPr>
          </w:p>
        </w:tc>
        <w:tc>
          <w:tcPr>
            <w:tcW w:w="960" w:type="dxa"/>
            <w:vAlign w:val="bottom"/>
          </w:tcPr>
          <w:p>
            <w:pPr>
              <w:jc w:val="right"/>
              <w:ind w:right="101"/>
              <w:spacing w:after="0"/>
              <w:rPr>
                <w:sz w:val="20"/>
                <w:szCs w:val="20"/>
                <w:color w:val="auto"/>
              </w:rPr>
            </w:pPr>
            <w:r>
              <w:rPr>
                <w:rFonts w:ascii="Arial" w:cs="Arial" w:eastAsia="Arial" w:hAnsi="Arial"/>
                <w:sz w:val="18"/>
                <w:szCs w:val="18"/>
                <w:color w:val="231F20"/>
              </w:rPr>
              <w:t>40.4</w:t>
            </w:r>
          </w:p>
        </w:tc>
        <w:tc>
          <w:tcPr>
            <w:tcW w:w="3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98"/>
              <w:spacing w:after="0"/>
              <w:rPr>
                <w:sz w:val="20"/>
                <w:szCs w:val="20"/>
                <w:color w:val="auto"/>
              </w:rPr>
            </w:pPr>
            <w:r>
              <w:rPr>
                <w:rFonts w:ascii="Arial" w:cs="Arial" w:eastAsia="Arial" w:hAnsi="Arial"/>
                <w:sz w:val="18"/>
                <w:szCs w:val="18"/>
                <w:color w:val="231F20"/>
              </w:rPr>
              <w:t>24.3</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General and administrative expense for the nine months ended September 30, 2021 increased $53.9 million, or 274.6%, compared to the nine months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231F20"/>
        </w:rPr>
        <w:t>ended September 30, 2020. Transaction costs increased by $32.3 million related to the consummation of the Business Combination, primarily consisting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$21.0 million paid to the former owner of HydraFacial as well as professional fees for financial advisory, legal and accounting services. The consummation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the Business Combination during the nine months ended September 30, 2021 also drove an increase of $6.7 million in stock-based compensation which</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includes $1.4 million in related to the accelerated vesting due to Business Combination. Personnel-related expenses increased by $5.8 million primarily due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increased headcount and higher sales.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Other (Income) Expense, Net and 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Nine Months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89"/>
              <w:spacing w:after="0"/>
              <w:rPr>
                <w:sz w:val="20"/>
                <w:szCs w:val="20"/>
                <w:color w:val="auto"/>
              </w:rPr>
            </w:pPr>
            <w:r>
              <w:rPr>
                <w:rFonts w:ascii="Arial" w:cs="Arial" w:eastAsia="Arial" w:hAnsi="Arial"/>
                <w:sz w:val="14"/>
                <w:szCs w:val="14"/>
                <w:b w:val="1"/>
                <w:bCs w:val="1"/>
                <w:color w:val="231F20"/>
                <w:w w:val="97"/>
              </w:rPr>
              <w:t>Change</w:t>
            </w:r>
          </w:p>
        </w:tc>
        <w:tc>
          <w:tcPr>
            <w:tcW w:w="320" w:type="dxa"/>
            <w:vAlign w:val="bottom"/>
            <w:tcBorders>
              <w:bottom w:val="single" w:sz="8" w:color="auto"/>
            </w:tcBorders>
          </w:tcPr>
          <w:p>
            <w:pPr>
              <w:spacing w:after="0"/>
              <w:rPr>
                <w:sz w:val="16"/>
                <w:szCs w:val="16"/>
                <w:color w:val="auto"/>
              </w:rPr>
            </w:pPr>
          </w:p>
        </w:tc>
      </w:tr>
      <w:tr>
        <w:trPr>
          <w:trHeight w:val="185"/>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2020</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231F20"/>
              </w:rPr>
              <w:t>%</w:t>
            </w:r>
          </w:p>
        </w:tc>
        <w:tc>
          <w:tcPr>
            <w:tcW w:w="320" w:type="dxa"/>
            <w:vAlign w:val="bottom"/>
            <w:tcBorders>
              <w:bottom w:val="single" w:sz="8" w:color="auto"/>
            </w:tcBorders>
          </w:tcPr>
          <w:p>
            <w:pPr>
              <w:spacing w:after="0"/>
              <w:rPr>
                <w:sz w:val="16"/>
                <w:szCs w:val="16"/>
                <w:color w:val="auto"/>
              </w:rPr>
            </w:pPr>
          </w:p>
        </w:tc>
      </w:tr>
      <w:tr>
        <w:trPr>
          <w:trHeight w:val="233"/>
        </w:trPr>
        <w:tc>
          <w:tcPr>
            <w:tcW w:w="39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231F20"/>
              </w:rPr>
              <w:t>Other expense, net</w:t>
            </w:r>
          </w:p>
        </w:tc>
        <w:tc>
          <w:tcPr>
            <w:tcW w:w="11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331.7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231F20"/>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15.5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316.2</w:t>
            </w:r>
          </w:p>
        </w:tc>
        <w:tc>
          <w:tcPr>
            <w:tcW w:w="17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2043.8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940" w:type="dxa"/>
            <w:vAlign w:val="bottom"/>
          </w:tcPr>
          <w:p>
            <w:pPr>
              <w:ind w:left="340"/>
              <w:spacing w:after="0"/>
              <w:rPr>
                <w:sz w:val="20"/>
                <w:szCs w:val="20"/>
                <w:color w:val="auto"/>
              </w:rPr>
            </w:pPr>
            <w:r>
              <w:rPr>
                <w:rFonts w:ascii="Arial" w:cs="Arial" w:eastAsia="Arial" w:hAnsi="Arial"/>
                <w:sz w:val="18"/>
                <w:szCs w:val="18"/>
                <w:color w:val="231F20"/>
              </w:rPr>
              <w:t>Income tax benefit</w:t>
            </w:r>
          </w:p>
        </w:tc>
        <w:tc>
          <w:tcPr>
            <w:tcW w:w="1180" w:type="dxa"/>
            <w:vAlign w:val="bottom"/>
          </w:tcPr>
          <w:p>
            <w:pPr>
              <w:jc w:val="right"/>
              <w:ind w:right="681"/>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(3.3)</w:t>
            </w:r>
          </w:p>
        </w:tc>
        <w:tc>
          <w:tcPr>
            <w:tcW w:w="100" w:type="dxa"/>
            <w:vAlign w:val="bottom"/>
          </w:tcPr>
          <w:p>
            <w:pPr>
              <w:spacing w:after="0"/>
              <w:rPr>
                <w:sz w:val="19"/>
                <w:szCs w:val="19"/>
                <w:color w:val="auto"/>
              </w:rPr>
            </w:pPr>
          </w:p>
        </w:tc>
        <w:tc>
          <w:tcPr>
            <w:tcW w:w="1100" w:type="dxa"/>
            <w:vAlign w:val="bottom"/>
          </w:tcPr>
          <w:p>
            <w:pPr>
              <w:jc w:val="right"/>
              <w:ind w:right="598"/>
              <w:spacing w:after="0"/>
              <w:rPr>
                <w:sz w:val="20"/>
                <w:szCs w:val="20"/>
                <w:color w:val="auto"/>
              </w:rPr>
            </w:pPr>
            <w:r>
              <w:rPr>
                <w:rFonts w:ascii="Arial" w:cs="Arial" w:eastAsia="Arial" w:hAnsi="Arial"/>
                <w:sz w:val="18"/>
                <w:szCs w:val="18"/>
                <w:color w:val="231F20"/>
              </w:rPr>
              <w:t>$</w:t>
            </w:r>
          </w:p>
        </w:tc>
        <w:tc>
          <w:tcPr>
            <w:tcW w:w="400" w:type="dxa"/>
            <w:vAlign w:val="bottom"/>
          </w:tcPr>
          <w:p>
            <w:pPr>
              <w:ind w:left="20"/>
              <w:spacing w:after="0"/>
              <w:rPr>
                <w:sz w:val="20"/>
                <w:szCs w:val="20"/>
                <w:color w:val="auto"/>
              </w:rPr>
            </w:pPr>
            <w:r>
              <w:rPr>
                <w:rFonts w:ascii="Arial" w:cs="Arial" w:eastAsia="Arial" w:hAnsi="Arial"/>
                <w:sz w:val="18"/>
                <w:szCs w:val="18"/>
                <w:color w:val="231F20"/>
                <w:w w:val="97"/>
              </w:rPr>
              <w:t>(6.3)</w:t>
            </w:r>
          </w:p>
        </w:tc>
        <w:tc>
          <w:tcPr>
            <w:tcW w:w="8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3.0</w:t>
            </w:r>
          </w:p>
        </w:tc>
        <w:tc>
          <w:tcPr>
            <w:tcW w:w="1780" w:type="dxa"/>
            <w:vAlign w:val="bottom"/>
            <w:gridSpan w:val="2"/>
          </w:tcPr>
          <w:p>
            <w:pPr>
              <w:ind w:left="1180"/>
              <w:spacing w:after="0"/>
              <w:rPr>
                <w:sz w:val="20"/>
                <w:szCs w:val="20"/>
                <w:color w:val="auto"/>
              </w:rPr>
            </w:pPr>
            <w:r>
              <w:rPr>
                <w:rFonts w:ascii="Arial" w:cs="Arial" w:eastAsia="Arial" w:hAnsi="Arial"/>
                <w:sz w:val="18"/>
                <w:szCs w:val="18"/>
                <w:color w:val="auto"/>
              </w:rPr>
              <w:t>(47.2)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Other expense, net, was $331.7 million for the nine months ended September 30, 2021 compared to $15.5 million for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231F20"/>
        </w:rPr>
        <w:t>September 30, 2020. The increase was primarily driven by the changes in the fair values of our Warrant liability and Earn-out Share liability of $271.3 million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and $47.1 million, respectively. In connection with the consummation of the Business Combination, we repaid all long-term borrowings and incurred a total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$4.3 million in prepayment penalties and deferred financing cost write-offs. Income tax benefit decreased primarily due to an increase in valuation allowance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and various non-deductible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231F20"/>
        </w:rPr>
        <w:t xml:space="preserve">Our operations have been funded primarily through cash flow from operating activities and net proceeds received from the consummation of the Business Combination. As of September 30, 2021, we had cash and cash equivalents of approximately $718.6 million. </w:t>
      </w:r>
      <w:r>
        <w:rPr>
          <w:rFonts w:ascii="Arial" w:cs="Arial" w:eastAsia="Arial" w:hAnsi="Arial"/>
          <w:sz w:val="18"/>
          <w:szCs w:val="18"/>
          <w:color w:val="000000"/>
        </w:rPr>
        <w:t>On September 14, 2021, we issued $750 million</w:t>
      </w:r>
      <w:r>
        <w:rPr>
          <w:rFonts w:ascii="Arial" w:cs="Arial" w:eastAsia="Arial" w:hAnsi="Arial"/>
          <w:sz w:val="18"/>
          <w:szCs w:val="18"/>
          <w:color w:val="231F20"/>
        </w:rPr>
        <w:t xml:space="preserve"> </w:t>
      </w:r>
      <w:r>
        <w:rPr>
          <w:rFonts w:ascii="Arial" w:cs="Arial" w:eastAsia="Arial" w:hAnsi="Arial"/>
          <w:sz w:val="18"/>
          <w:szCs w:val="18"/>
          <w:color w:val="000000"/>
        </w:rPr>
        <w:t>aggregate principal amount of our 1.25% Notes due 2026.</w:t>
      </w:r>
    </w:p>
    <w:p>
      <w:pPr>
        <w:spacing w:after="0" w:line="148"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We believe our existing cash and cash equivalent balances (including the cash consideration received from the consummation of the Business Combination and the cash received from the issuance of the Notes) and cash flow from operations will be sufficient to meet our working capital and capital expenditure needs for at least the next 12 months. Our future capital requirements may vary materially from those currently planned and will depend on many factors, including our rate of revenue growth, potential acquisitions, the timing and amount of spending on research and development, growth in sales and marketing activities, the timing of new product launches, timing and investments needed for international expansion, expansion and overall economic conditions. We expect capital expenditures of up to $15.0 million for the year ended December 31, 2021. We anticipate using cash from the Business Combination, cash from the issuance of the Notes and cash generated through the normal course of operations to fund these items.</w:t>
      </w:r>
    </w:p>
    <w:p>
      <w:pPr>
        <w:spacing w:after="0" w:line="13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231F20"/>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additional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20"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Subsequent to September 30, 2021, on October 4, 2021, we delivered a Notice of Redemption for all of our outstanding public warrants to purchase shares of BeautyHealth's Class A common stock. On November 8, 2021, BeautyHealth announced 16,123,235 public warrants were exercised for total cash proceeds of $185.4 million.</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Convertible Senior Notes</w:t>
      </w:r>
    </w:p>
    <w:p>
      <w:pPr>
        <w:spacing w:after="0" w:line="111" w:lineRule="exact"/>
        <w:rPr>
          <w:sz w:val="20"/>
          <w:szCs w:val="20"/>
          <w:color w:val="auto"/>
        </w:rPr>
      </w:pPr>
    </w:p>
    <w:p>
      <w:pPr>
        <w:jc w:val="both"/>
        <w:ind w:right="320" w:firstLine="318"/>
        <w:spacing w:after="0" w:line="277" w:lineRule="auto"/>
        <w:rPr>
          <w:sz w:val="20"/>
          <w:szCs w:val="20"/>
          <w:color w:val="auto"/>
        </w:rPr>
      </w:pPr>
      <w:r>
        <w:rPr>
          <w:rFonts w:ascii="Arial" w:cs="Arial" w:eastAsia="Arial" w:hAnsi="Arial"/>
          <w:sz w:val="17"/>
          <w:szCs w:val="17"/>
          <w:color w:val="auto"/>
        </w:rPr>
        <w:t xml:space="preserve">On September 14, 2021, we issued $750 million aggregate principal amount of our 1.25% Notes due 2026. The net proceeds from the issuance of the Notes were approximately $638.7 million, net of capped call transaction costs of $90.2 million and debt issuance costs totaling $21.1 million. See Note 9 </w:t>
      </w:r>
      <w:r>
        <w:rPr>
          <w:rFonts w:ascii="Arial" w:cs="Arial" w:eastAsia="Arial" w:hAnsi="Arial"/>
          <w:sz w:val="17"/>
          <w:szCs w:val="17"/>
          <w:b w:val="1"/>
          <w:bCs w:val="1"/>
          <w:color w:val="auto"/>
        </w:rPr>
        <w:t>-</w:t>
      </w:r>
      <w:r>
        <w:rPr>
          <w:rFonts w:ascii="Arial" w:cs="Arial" w:eastAsia="Arial" w:hAnsi="Arial"/>
          <w:sz w:val="17"/>
          <w:szCs w:val="17"/>
          <w:color w:val="auto"/>
        </w:rPr>
        <w:t xml:space="preserve"> Debt, to the Notes to Condensed Consolidated Financial Statements included elsewhere in this report.</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Cash Flows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activities from our statements of cash flows. Amounts may not foot due to rounding.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231F20"/>
              </w:rPr>
              <w:t>Nine Months Ended September 30,</w:t>
            </w:r>
          </w:p>
        </w:tc>
        <w:tc>
          <w:tcPr>
            <w:tcW w:w="0" w:type="dxa"/>
            <w:vAlign w:val="bottom"/>
          </w:tcPr>
          <w:p>
            <w:pPr>
              <w:spacing w:after="0"/>
              <w:rPr>
                <w:sz w:val="1"/>
                <w:szCs w:val="1"/>
                <w:color w:val="auto"/>
              </w:rPr>
            </w:pPr>
          </w:p>
        </w:tc>
      </w:tr>
      <w:tr>
        <w:trPr>
          <w:trHeight w:val="64"/>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774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231F20"/>
              </w:rPr>
              <w:t>2021</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beginning of period</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loss</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8"/>
        </w:trPr>
        <w:tc>
          <w:tcPr>
            <w:tcW w:w="7740" w:type="dxa"/>
            <w:vAlign w:val="bottom"/>
          </w:tcPr>
          <w:p>
            <w:pPr>
              <w:ind w:left="20"/>
              <w:spacing w:after="0" w:line="204" w:lineRule="exact"/>
              <w:rPr>
                <w:sz w:val="20"/>
                <w:szCs w:val="20"/>
                <w:color w:val="auto"/>
              </w:rPr>
            </w:pPr>
            <w:r>
              <w:rPr>
                <w:rFonts w:ascii="Arial" w:cs="Arial" w:eastAsia="Arial" w:hAnsi="Arial"/>
                <w:sz w:val="18"/>
                <w:szCs w:val="18"/>
                <w:color w:val="231F20"/>
              </w:rPr>
              <w:t>Net cash flows used in operating activities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(31.6)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(12.0)</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flows used in investing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cash flows from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Net change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end of period</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11"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231F20"/>
        </w:rPr>
        <w:t>Net cash used in operating activities of $31.6 million for the nine months ended September 30, 2021 was primarily due to the net loss of $357.8 million. The net loss was impacted by non-cash adjustments of $343.5 million, primarily related to fair value adjustments to Earn-out shares liability and Warrant liabilities, partially offset by a decrease in net change in working capital of $17.4 million. The total increase in net operating assets and liabilities was primarily due to the increase in accounts receivable of $17.3 million and offset by an increase in accrued payroll and taxes.</w:t>
      </w:r>
    </w:p>
    <w:p>
      <w:pPr>
        <w:spacing w:after="0" w:line="204" w:lineRule="exact"/>
        <w:rPr>
          <w:sz w:val="20"/>
          <w:szCs w:val="20"/>
          <w:color w:val="auto"/>
        </w:rPr>
      </w:pPr>
    </w:p>
    <w:p>
      <w:pPr>
        <w:jc w:val="both"/>
        <w:ind w:right="200" w:firstLine="318"/>
        <w:spacing w:after="0" w:line="318" w:lineRule="auto"/>
        <w:rPr>
          <w:sz w:val="20"/>
          <w:szCs w:val="20"/>
          <w:color w:val="auto"/>
        </w:rPr>
      </w:pPr>
      <w:r>
        <w:rPr>
          <w:rFonts w:ascii="Arial" w:cs="Arial" w:eastAsia="Arial" w:hAnsi="Arial"/>
          <w:sz w:val="15"/>
          <w:szCs w:val="15"/>
          <w:color w:val="231F20"/>
        </w:rPr>
        <w:t>Net cash used in operating activities of $12.0 million for the nine months ended September 30, 2020 was primarily due to the net loss of $21.7 million. The net loss was impacted by non-cash adjustments of $16.8 million primarily related to depreciation and amortization, partially offset by a decrease in net change in working capital of $7.2 million. The total increase in net operating assets and liabilities was primarily due to a $5.1 million increase in income tax receivables and a $1.8 million decrease in accrued payroll and other expenses offset by a $4.1 million decrease in accounts receivable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11"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231F20"/>
        </w:rPr>
        <w:t>Cash used in investing activities for the nine months ended September 30, 2021 of $29.2 million was primarily related to our business acquisitions of distributors in Australia, Germany, Mexico and France with cash paid of $22.9 million, net of cash acquired, $4.9 million in capital expenditures and $2.2 million in capitalized software.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Cash used in investing activities for the nine months ended September 30, 2020 of $2.7 million was primarily related to capital expenditures.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11"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231F20"/>
        </w:rPr>
        <w:t>Net cash from financing activities of $770.8 million for the nine months ended September 30, 2021 was primarily related to the proceeds received from the issuance of convertible senior notes and Business Combination. The proceeds were offset by the payoff of long-term debt of $225.5 million and proceeds from our issuance of convertible senior notes.</w:t>
      </w:r>
    </w:p>
    <w:p>
      <w:pPr>
        <w:spacing w:after="0" w:line="148" w:lineRule="exact"/>
        <w:rPr>
          <w:sz w:val="20"/>
          <w:szCs w:val="20"/>
          <w:color w:val="auto"/>
        </w:rPr>
      </w:pPr>
    </w:p>
    <w:p>
      <w:pPr>
        <w:jc w:val="both"/>
        <w:ind w:right="160" w:firstLine="318"/>
        <w:spacing w:after="0" w:line="264" w:lineRule="auto"/>
        <w:rPr>
          <w:sz w:val="20"/>
          <w:szCs w:val="20"/>
          <w:color w:val="auto"/>
        </w:rPr>
      </w:pPr>
      <w:r>
        <w:rPr>
          <w:rFonts w:ascii="Arial" w:cs="Arial" w:eastAsia="Arial" w:hAnsi="Arial"/>
          <w:sz w:val="18"/>
          <w:szCs w:val="18"/>
          <w:color w:val="231F20"/>
        </w:rPr>
        <w:t>Net cash from financing activities of $19.2 million for the nine months ended September 30, 2020 was primarily related to proceeds from borrowings of $36.5 million, net of debt repayments and issuance costs of $16.4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231F20"/>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noted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We elected to adopt the new revenue recognition standard using the full retrospective method as of January 1, 2019. The adoption of the new standard did not have a significant effect on earnings or on the timing of our transactions and, therefore, the effect of applying the new guidance was not material. As such, there were no adjustments to the prior periods. In accordance with ASU 2014-09, we determine the amount of revenue to be recognized through application of the following steps:</w:t>
      </w:r>
    </w:p>
    <w:p>
      <w:pPr>
        <w:spacing w:after="0" w:line="85"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Identify the customer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Identify the performance obligations in the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Determine the transaction price;</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Allocate the transaction price to the performance obligations in the contract; and</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Recognize revenue as the performance obligations are satisfied.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0" w:lineRule="exact"/>
        <w:rPr>
          <w:sz w:val="20"/>
          <w:szCs w:val="20"/>
          <w:color w:val="auto"/>
        </w:rPr>
      </w:pPr>
    </w:p>
    <w:p>
      <w:pPr>
        <w:jc w:val="both"/>
        <w:ind w:right="40" w:firstLine="318"/>
        <w:spacing w:after="0" w:line="330" w:lineRule="auto"/>
        <w:rPr>
          <w:sz w:val="20"/>
          <w:szCs w:val="20"/>
          <w:color w:val="auto"/>
        </w:rPr>
      </w:pPr>
      <w:r>
        <w:rPr>
          <w:rFonts w:ascii="Arial" w:cs="Arial" w:eastAsia="Arial" w:hAnsi="Arial"/>
          <w:sz w:val="15"/>
          <w:szCs w:val="15"/>
          <w:color w:val="231F20"/>
        </w:rPr>
        <w:t>We measure and recognize compensation expenses for stock options, RSUs, and PSUs to employees on a straight-line basis over the vesting period based on their grant date fair values. We estimate the fair value of stock options on the date of grant using the Black-Scholes option pricing model and the fair value of PSUs on the date of grant using a Monte Carlo simulation. The fair value of the RSUs is based on the closing price of our common stock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231F20"/>
        </w:rPr>
        <w:t>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We have one reporting unit and management evaluates the carrying value of HydraFacial’s goodwill annually at the end of its fiscal year or whenever events or changes in circumstances indicate that an impairment may exist.</w:t>
      </w:r>
    </w:p>
    <w:p>
      <w:pPr>
        <w:spacing w:after="0" w:line="172"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our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conclude that it is more likely than not that the fair value of a reporting unit is less than its carrying amount, we are required to perform a quantitative impairment test.</w:t>
      </w:r>
    </w:p>
    <w:p>
      <w:pPr>
        <w:spacing w:after="0" w:line="222"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231F20"/>
        </w:rPr>
        <w:t>Quantitative impairment testing for goodwill is based upon the fair value of a reporting unit as compared to its carrying value. Under a quantitative impairment test, we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151"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231F20"/>
        </w:rPr>
        <w:t>Testing goodwill for impairment requires us to estimate fair values of reporting units using significant estimates and assumptions. The assumptions made will impact the outcome and ultimate results of the testing. We will use industry accepted valuation models and set criteria that are reviewed and approved by various levels of management and, in certain instances, we will engage independent third-party valuation specialists for advice.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231F20"/>
        </w:rPr>
        <w:t>The key estimates and factors used in the valuation models would include revenue growth rates and profit margins based on our internal forecasts, our specific weighted 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financial statements.</w:t>
      </w:r>
    </w:p>
    <w:p>
      <w:pPr>
        <w:spacing w:after="0" w:line="206" w:lineRule="exact"/>
        <w:rPr>
          <w:sz w:val="20"/>
          <w:szCs w:val="20"/>
          <w:color w:val="auto"/>
        </w:rPr>
      </w:pPr>
    </w:p>
    <w:p>
      <w:pPr>
        <w:ind w:right="380" w:firstLine="318"/>
        <w:spacing w:after="0" w:line="252" w:lineRule="auto"/>
        <w:rPr>
          <w:sz w:val="20"/>
          <w:szCs w:val="20"/>
          <w:color w:val="auto"/>
        </w:rPr>
      </w:pPr>
      <w:r>
        <w:rPr>
          <w:rFonts w:ascii="Arial" w:cs="Arial" w:eastAsia="Arial" w:hAnsi="Arial"/>
          <w:sz w:val="18"/>
          <w:szCs w:val="18"/>
          <w:color w:val="231F20"/>
        </w:rPr>
        <w:t>We performed a qualitative assessment as of December 31, 2020, based on which we determined that there is no indication of goodwill impairment. During the second quarter of 2020, our business was substantially impacted by the COVID-19 pandemic, which subsequently recovered and returned to having positive Adjusted EBITDA during the 3rd quarter of 2020. We evaluated our goodwill for impairment during the second quarter of 2020, and as a result of that assessment, concluded that our goodwill was not impaired.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17"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231F20"/>
        </w:rPr>
        <w:t>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17" w:lineRule="exact"/>
        <w:rPr>
          <w:sz w:val="20"/>
          <w:szCs w:val="20"/>
          <w:color w:val="auto"/>
        </w:rPr>
      </w:pPr>
    </w:p>
    <w:p>
      <w:pPr>
        <w:jc w:val="both"/>
        <w:ind w:right="60" w:firstLine="318"/>
        <w:spacing w:after="0" w:line="277" w:lineRule="auto"/>
        <w:rPr>
          <w:sz w:val="20"/>
          <w:szCs w:val="20"/>
          <w:color w:val="auto"/>
        </w:rPr>
      </w:pPr>
      <w:r>
        <w:rPr>
          <w:rFonts w:ascii="Arial" w:cs="Arial" w:eastAsia="Arial" w:hAnsi="Arial"/>
          <w:sz w:val="17"/>
          <w:szCs w:val="17"/>
          <w:color w:val="231F20"/>
        </w:rPr>
        <w:t>Inventories are stated at the lower of cost (determined by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We use the asset-and-liability method for income taxes.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w:t>
      </w:r>
    </w:p>
    <w:p>
      <w:pPr>
        <w:spacing w:after="0" w:line="217"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231F20"/>
        </w:rPr>
        <w:t>Valuation allowances are established when necessary to reduce deferred tax assets to an amount that, in the opinion of management, is more likely than not to be realized. Significant judgement is required to determine if a valuation allowance is needed. As of September 30, 2021, HydraFacial had incurred cumulative pre-tax losses, and as a result, does not rely on its projections as a source of income that would give us the ability to realize our deferred tax assets. In order to determine the realizability of our deferred income tax assets, we have pointed to the reversal of our taxable temporary differences as a source of income that will result in the realization of our deferred income tax assets. During the year ended December 31, 2020, and due to the pre-tax loss recorded, we began to accrue for a valuation allowance for the portion of deferred income tax assets that will not be realized through the reversal of taxable temporary differences.</w:t>
      </w:r>
    </w:p>
    <w:p>
      <w:pPr>
        <w:spacing w:after="0" w:line="22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231F20"/>
        </w:rPr>
        <w:t>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We recognized interest accrued and penalties related to unrecognized tax benefits in our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36"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18"/>
          <w:szCs w:val="18"/>
          <w:color w:val="auto"/>
        </w:rPr>
        <w:t xml:space="preserve">We classify the Public and Private Placement Warrants (“Warrant liabilities”) as liabilities on our Condensed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In certain events outside of our control, the Public Warrant and Private Placement Warrant holders are entitled to receive cash while in certain scenarios the holders of the common stock are not entitled to receive cash or may receive less than 100% of any proceeds in cash, which precludes these instruments from being classified within equity pursuant to ASC 815-40. The Warrant liabilities were initially recorded at fair value on the date of the Business Combination and are subsequently adjusted to fair value at each subsequent reporting date. Changes in the fair value of these instruments are recognized within change in fair value of warrant liabilities in the Condensed Consolidated Statements of Comprehensive Loss.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Shares Liability</w:t>
      </w:r>
    </w:p>
    <w:p>
      <w:pPr>
        <w:spacing w:after="0" w:line="223"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 xml:space="preserve">We consider Earn-out Shares liability as contingent consideration, which is measured at its acquisition-date fair value and included as part of the consideration transferred in a business combination. Contingent consideration that is classified as a liability in accordance with the requirements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is remeasured at subsequent reporting dates, with the corresponding gain or loss recognized in profit or loss. With the closing of the four distributor acquisitions in Australia, France, Germany and Mexico, the 7.5 million Earn-out Shares were earned and subsequently issued on July 15,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3"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 xml:space="preserve">We consider the Notes in “Long-term liabilities” at face value net of issuance costs in accordance with </w:t>
      </w:r>
      <w:r>
        <w:rPr>
          <w:rFonts w:ascii="Arial" w:cs="Arial" w:eastAsia="Arial" w:hAnsi="Arial"/>
          <w:sz w:val="18"/>
          <w:szCs w:val="18"/>
          <w:i w:val="1"/>
          <w:iCs w:val="1"/>
          <w:color w:val="auto"/>
        </w:rPr>
        <w:t>ASC 470-20, Debt with Conversion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w:t>
      </w:r>
      <w:r>
        <w:rPr>
          <w:rFonts w:ascii="Arial" w:cs="Arial" w:eastAsia="Arial" w:hAnsi="Arial"/>
          <w:sz w:val="18"/>
          <w:szCs w:val="18"/>
          <w:color w:val="auto"/>
        </w:rPr>
        <w:t>and Derivatives and Hedging—Contracts in Entity's Own Equity (“ASU 2020-06”). If any of the conditions to the convertibility of the Notes is</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or the Notes become due within one year, we may be required under applicable accounting standards to reclassify the liability carrying value of the Notes as a current, rather than a long-term,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Capped Call Transactions</w:t>
      </w:r>
    </w:p>
    <w:p>
      <w:pPr>
        <w:spacing w:after="0" w:line="223"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 xml:space="preserve">We consider the freestanding capped call option contracts qualify as equity under the accounting guidance on indexation and equity classification, and recognized the contract by recording an entry to “Additional paid-in capital” (“APIC”) in stockholders’ equity in its condensed consolidated balance sheet. We also determined that the capped call option contracts meet the definition of a derivative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but are not required to be accounted for as a derivative as they meet the scope exception outlined in ASC 815. Instead the capped call options are recorded in APIC and not remeasured.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2</w:t>
      </w:r>
      <w:r>
        <w:rPr>
          <w:rFonts w:ascii="Arial" w:cs="Arial" w:eastAsia="Arial" w:hAnsi="Arial"/>
          <w:sz w:val="18"/>
          <w:szCs w:val="18"/>
          <w:color w:val="231F20"/>
        </w:rPr>
        <w:t xml:space="preserve"> of the notes to our Condensed Consolidated Financial Statements in the section titled “—Recently Issued Accounting Pronouncements” in our Note </w:t>
      </w:r>
      <w:r>
        <w:rPr>
          <w:rFonts w:ascii="Arial" w:cs="Arial" w:eastAsia="Arial" w:hAnsi="Arial"/>
          <w:sz w:val="18"/>
          <w:szCs w:val="18"/>
          <w:color w:val="000000"/>
        </w:rPr>
        <w:t>2</w:t>
      </w:r>
      <w:r>
        <w:rPr>
          <w:rFonts w:ascii="Arial" w:cs="Arial" w:eastAsia="Arial" w:hAnsi="Arial"/>
          <w:sz w:val="18"/>
          <w:szCs w:val="18"/>
          <w:color w:val="231F20"/>
        </w:rPr>
        <w:t xml:space="preserve"> to our consolidated financial statements included elsewhere in this Quarterly Report on Form 10-Q for a discussion about new accounting pronouncements adopted and not yet adopted.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or Uncertainties</w:t>
      </w:r>
    </w:p>
    <w:p>
      <w:pPr>
        <w:spacing w:after="0" w:line="117"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231F20"/>
        </w:rPr>
        <w:t>We operate in the beauty health industry, which is highly competitive and changes rapidly. Our operating results could be significantly affected by our ability to develop new products and find new distribution channels for new and existing products.</w:t>
      </w:r>
    </w:p>
    <w:p>
      <w:pPr>
        <w:spacing w:after="0" w:line="75"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231F20"/>
        </w:rPr>
        <w:t>The majority of our customers are in the medical, (dermatologists and plastic surgeons), esthetician, and beauty retail industry. During economic downturns, we have seen consolidations in such industries.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 These factors may adversely impact consumer, business, and government spending as well as customers' ability to pay for our products and services on an ongoing basis. As a result, our growth rate could be affected by consolidation and downsizing in the medical, esthetician, and beauty retail industry.</w:t>
      </w: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Furthermore, it remains unclear how governmental authorities, including the Food and Drug Administration (“FDA”), will regulate the products that we sell, and in the case of the FDA, whether and when it will propose or implement new or additional regulations. Unforeseen regulatory obstacles or compliance costs may hinder our business in both the short and long-term as well.</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 Adjusted EBITDA and Adjusted EBITDA Margin</w:t>
      </w:r>
    </w:p>
    <w:p>
      <w:pPr>
        <w:spacing w:after="0" w:line="1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Adjusted net income (loss), Adjusted EBITDA and Adjusted EBITDA margin are key performance measures that management uses to assess its operating performance. Because Adjusted net income (loss), Adjusted EBITDA and Adjusted EBITDA margin facilitates internal comparisons of our historical operating performance on a more consistent basis, we use these measures for business planning purposes.</w:t>
      </w:r>
    </w:p>
    <w:p>
      <w:pPr>
        <w:spacing w:after="0" w:line="215"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21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calculate Adjusted net income as Net income (loss) adjusted to exclude: change in fair value of Public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20" w:lineRule="exact"/>
        <w:rPr>
          <w:sz w:val="20"/>
          <w:szCs w:val="20"/>
          <w:color w:val="auto"/>
        </w:rPr>
      </w:pPr>
    </w:p>
    <w:p>
      <w:pPr>
        <w:ind w:firstLine="318"/>
        <w:spacing w:after="0" w:line="236" w:lineRule="auto"/>
        <w:rPr>
          <w:sz w:val="20"/>
          <w:szCs w:val="20"/>
          <w:color w:val="auto"/>
        </w:rPr>
      </w:pPr>
      <w:r>
        <w:rPr>
          <w:rFonts w:ascii="Arial" w:cs="Arial" w:eastAsia="Arial" w:hAnsi="Arial"/>
          <w:sz w:val="18"/>
          <w:szCs w:val="18"/>
          <w:color w:val="auto"/>
        </w:rPr>
        <w:t>We calculate Adjusted EBITDA as Net income (loss) adjusted to exclude: change in fair value of Public and Private Placement Warrants, change in fair value of Earn-out Shares liability, Other expense (income), net; Interest expense; Provision for income taxes; depreciation and amortization expense; stock-based compensation expense; foreign currency gain/loss; management fees incurred from our historical private equity owners; one-time or non-recurring items such as transaction costs (including transactions costs with respect to the Business Combination); and restructuring costs (including those associated with COVID-19).</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loss to Adjusted net income (loss)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Change in fair value of earn-out shares liability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48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25"/>
        </w:trPr>
        <w:tc>
          <w:tcPr>
            <w:tcW w:w="48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Transaction related costs </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5"/>
        </w:trPr>
        <w:tc>
          <w:tcPr>
            <w:tcW w:w="48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Other non-recurring and one-time fees </w:t>
            </w:r>
            <w:r>
              <w:rPr>
                <w:rFonts w:ascii="Arial" w:cs="Arial" w:eastAsia="Arial" w:hAnsi="Arial"/>
                <w:sz w:val="22"/>
                <w:szCs w:val="22"/>
                <w:color w:val="auto"/>
                <w:vertAlign w:val="superscript"/>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adjustment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r>
      <w:tr>
        <w:trPr>
          <w:trHeight w:val="219"/>
        </w:trPr>
        <w:tc>
          <w:tcPr>
            <w:tcW w:w="4800" w:type="dxa"/>
            <w:vAlign w:val="bottom"/>
          </w:tcPr>
          <w:p>
            <w:pPr>
              <w:ind w:left="20"/>
              <w:spacing w:after="0"/>
              <w:rPr>
                <w:sz w:val="20"/>
                <w:szCs w:val="20"/>
                <w:color w:val="auto"/>
              </w:rPr>
            </w:pPr>
            <w:r>
              <w:rPr>
                <w:rFonts w:ascii="Arial" w:cs="Arial" w:eastAsia="Arial" w:hAnsi="Arial"/>
                <w:sz w:val="18"/>
                <w:szCs w:val="18"/>
                <w:color w:val="auto"/>
              </w:rPr>
              <w:t>Adjusted net income (loss)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(10,294)</w:t>
            </w: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loss to Adjusted EBITDA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231F20"/>
              </w:rPr>
              <w:t>Nine Months Ended September 30,</w:t>
            </w:r>
          </w:p>
        </w:tc>
      </w:tr>
      <w:tr>
        <w:trPr>
          <w:trHeight w:val="185"/>
        </w:trPr>
        <w:tc>
          <w:tcPr>
            <w:tcW w:w="406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Unaudited (in thousands)</w:t>
            </w:r>
          </w:p>
        </w:tc>
        <w:tc>
          <w:tcPr>
            <w:tcW w:w="6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19"/>
        </w:trPr>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w:t>
            </w:r>
          </w:p>
        </w:tc>
      </w:tr>
      <w:tr>
        <w:trPr>
          <w:trHeight w:val="225"/>
        </w:trPr>
        <w:tc>
          <w:tcPr>
            <w:tcW w:w="4060" w:type="dxa"/>
            <w:vAlign w:val="bottom"/>
          </w:tcPr>
          <w:p>
            <w:pPr>
              <w:ind w:left="400"/>
              <w:spacing w:after="0"/>
              <w:rPr>
                <w:sz w:val="20"/>
                <w:szCs w:val="20"/>
                <w:color w:val="auto"/>
              </w:rPr>
            </w:pPr>
            <w:r>
              <w:rPr>
                <w:rFonts w:ascii="Arial" w:cs="Arial" w:eastAsia="Arial" w:hAnsi="Arial"/>
                <w:sz w:val="18"/>
                <w:szCs w:val="18"/>
                <w:color w:val="auto"/>
              </w:rPr>
              <w:t>Adjusted to exclude the following:</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fair value of warrant liability</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60" w:type="dxa"/>
            <w:vAlign w:val="bottom"/>
          </w:tcPr>
          <w:p>
            <w:pPr>
              <w:ind w:left="400"/>
              <w:spacing w:after="0"/>
              <w:rPr>
                <w:sz w:val="20"/>
                <w:szCs w:val="20"/>
                <w:color w:val="auto"/>
              </w:rPr>
            </w:pPr>
            <w:r>
              <w:rPr>
                <w:rFonts w:ascii="Arial" w:cs="Arial" w:eastAsia="Arial" w:hAnsi="Arial"/>
                <w:sz w:val="18"/>
                <w:szCs w:val="18"/>
                <w:color w:val="auto"/>
                <w:w w:val="98"/>
              </w:rPr>
              <w:t>Change in fair value of earn-out shares liability</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expense</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r>
      <w:tr>
        <w:trPr>
          <w:trHeight w:val="225"/>
        </w:trPr>
        <w:tc>
          <w:tcPr>
            <w:tcW w:w="406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6"/>
        </w:trPr>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15,447</w:t>
            </w:r>
          </w:p>
        </w:tc>
      </w:tr>
      <w:tr>
        <w:trPr>
          <w:trHeight w:val="225"/>
        </w:trPr>
        <w:tc>
          <w:tcPr>
            <w:tcW w:w="4060" w:type="dxa"/>
            <w:vAlign w:val="bottom"/>
          </w:tcPr>
          <w:p>
            <w:pPr>
              <w:ind w:left="400"/>
              <w:spacing w:after="0"/>
              <w:rPr>
                <w:sz w:val="20"/>
                <w:szCs w:val="20"/>
                <w:color w:val="auto"/>
              </w:rPr>
            </w:pPr>
            <w:r>
              <w:rPr>
                <w:rFonts w:ascii="Arial" w:cs="Arial" w:eastAsia="Arial" w:hAnsi="Arial"/>
                <w:sz w:val="18"/>
                <w:szCs w:val="18"/>
                <w:color w:val="auto"/>
              </w:rPr>
              <w:t>Income tax benefit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(6,260)</w:t>
            </w:r>
          </w:p>
        </w:tc>
      </w:tr>
      <w:tr>
        <w:trPr>
          <w:trHeight w:val="226"/>
        </w:trPr>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expense (income)</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4060" w:type="dxa"/>
            <w:vAlign w:val="bottom"/>
          </w:tcPr>
          <w:p>
            <w:pPr>
              <w:ind w:left="400"/>
              <w:spacing w:after="0"/>
              <w:rPr>
                <w:sz w:val="20"/>
                <w:szCs w:val="20"/>
                <w:color w:val="auto"/>
              </w:rPr>
            </w:pPr>
            <w:r>
              <w:rPr>
                <w:rFonts w:ascii="Arial" w:cs="Arial" w:eastAsia="Arial" w:hAnsi="Arial"/>
                <w:sz w:val="18"/>
                <w:szCs w:val="18"/>
                <w:color w:val="auto"/>
              </w:rPr>
              <w:t>Foreign currency (gain) loss, net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6"/>
        </w:trPr>
        <w:tc>
          <w:tcPr>
            <w:tcW w:w="4060" w:type="dxa"/>
            <w:vAlign w:val="bottom"/>
            <w:shd w:val="clear" w:color="auto" w:fill="CCEEFF"/>
          </w:tcPr>
          <w:p>
            <w:pPr>
              <w:ind w:left="400"/>
              <w:spacing w:after="0" w:line="226"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2"/>
                <w:szCs w:val="22"/>
                <w:color w:val="auto"/>
                <w:vertAlign w:val="superscript"/>
              </w:rPr>
              <w:t>(1)</w:t>
            </w:r>
          </w:p>
        </w:tc>
        <w:tc>
          <w:tcPr>
            <w:tcW w:w="6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25"/>
        </w:trPr>
        <w:tc>
          <w:tcPr>
            <w:tcW w:w="4060" w:type="dxa"/>
            <w:vAlign w:val="bottom"/>
          </w:tcPr>
          <w:p>
            <w:pPr>
              <w:ind w:left="400"/>
              <w:spacing w:after="0" w:line="225" w:lineRule="exact"/>
              <w:rPr>
                <w:sz w:val="20"/>
                <w:szCs w:val="20"/>
                <w:color w:val="auto"/>
              </w:rPr>
            </w:pPr>
            <w:r>
              <w:rPr>
                <w:rFonts w:ascii="Arial" w:cs="Arial" w:eastAsia="Arial" w:hAnsi="Arial"/>
                <w:sz w:val="18"/>
                <w:szCs w:val="18"/>
                <w:color w:val="auto"/>
              </w:rPr>
              <w:t xml:space="preserve">Transaction related costs </w:t>
            </w:r>
            <w:r>
              <w:rPr>
                <w:rFonts w:ascii="Arial" w:cs="Arial" w:eastAsia="Arial" w:hAnsi="Arial"/>
                <w:sz w:val="22"/>
                <w:szCs w:val="22"/>
                <w:color w:val="auto"/>
                <w:vertAlign w:val="superscript"/>
              </w:rPr>
              <w:t>(2)</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25"/>
        </w:trPr>
        <w:tc>
          <w:tcPr>
            <w:tcW w:w="4060" w:type="dxa"/>
            <w:vAlign w:val="bottom"/>
            <w:shd w:val="clear" w:color="auto" w:fill="CCEEFF"/>
          </w:tcPr>
          <w:p>
            <w:pPr>
              <w:ind w:left="400"/>
              <w:spacing w:after="0" w:line="225" w:lineRule="exact"/>
              <w:rPr>
                <w:sz w:val="20"/>
                <w:szCs w:val="20"/>
                <w:color w:val="auto"/>
              </w:rPr>
            </w:pPr>
            <w:r>
              <w:rPr>
                <w:rFonts w:ascii="Arial" w:cs="Arial" w:eastAsia="Arial" w:hAnsi="Arial"/>
                <w:sz w:val="18"/>
                <w:szCs w:val="18"/>
                <w:color w:val="auto"/>
              </w:rPr>
              <w:t xml:space="preserve">Other non-recurring and one-time fees </w:t>
            </w:r>
            <w:r>
              <w:rPr>
                <w:rFonts w:ascii="Arial" w:cs="Arial" w:eastAsia="Arial" w:hAnsi="Arial"/>
                <w:sz w:val="22"/>
                <w:szCs w:val="22"/>
                <w:color w:val="auto"/>
                <w:vertAlign w:val="superscript"/>
              </w:rPr>
              <w:t>(3)</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18"/>
        </w:trPr>
        <w:tc>
          <w:tcPr>
            <w:tcW w:w="4060" w:type="dxa"/>
            <w:vAlign w:val="bottom"/>
          </w:tcPr>
          <w:p>
            <w:pPr>
              <w:ind w:left="400"/>
              <w:spacing w:after="0"/>
              <w:rPr>
                <w:sz w:val="20"/>
                <w:szCs w:val="20"/>
                <w:color w:val="auto"/>
              </w:rPr>
            </w:pPr>
            <w:r>
              <w:rPr>
                <w:rFonts w:ascii="Arial" w:cs="Arial" w:eastAsia="Arial" w:hAnsi="Arial"/>
                <w:sz w:val="18"/>
                <w:szCs w:val="18"/>
                <w:color w:val="auto"/>
              </w:rPr>
              <w:t>Adjusted EBITDA</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40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Adjusted EBITDA margin</w:t>
            </w:r>
          </w:p>
        </w:tc>
        <w:tc>
          <w:tcPr>
            <w:tcW w:w="6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7" w:lineRule="exact"/>
        <w:rPr>
          <w:sz w:val="20"/>
          <w:szCs w:val="20"/>
          <w:color w:val="auto"/>
        </w:rPr>
      </w:pPr>
    </w:p>
    <w:p>
      <w:pPr>
        <w:ind w:left="320" w:right="140" w:hanging="314"/>
        <w:spacing w:after="0" w:line="267" w:lineRule="auto"/>
        <w:tabs>
          <w:tab w:leader="none" w:pos="148"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Represents quarterly management fees paid to the majority shareholder of HydraFacial based on a pre-determined formula. Following the Business Combination, these fees are no longer paid.</w:t>
      </w:r>
    </w:p>
    <w:p>
      <w:pPr>
        <w:spacing w:after="0" w:line="1" w:lineRule="exact"/>
        <w:rPr>
          <w:rFonts w:ascii="Arial" w:cs="Arial" w:eastAsia="Arial" w:hAnsi="Arial"/>
          <w:sz w:val="17"/>
          <w:szCs w:val="17"/>
          <w:color w:val="auto"/>
          <w:vertAlign w:val="superscript"/>
        </w:rPr>
      </w:pPr>
    </w:p>
    <w:p>
      <w:pPr>
        <w:ind w:left="320" w:right="240" w:hanging="314"/>
        <w:spacing w:after="0" w:line="234" w:lineRule="auto"/>
        <w:tabs>
          <w:tab w:leader="none" w:pos="16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2021 such amount primarily represents direct costs incurred with the Business Combination, including $21.0 million paid to the former owner of HydraFacial, and to prepare HydraFacial to be marketed for sale by HydraFacial’s shareholders in previous periods.</w:t>
      </w:r>
    </w:p>
    <w:p>
      <w:pPr>
        <w:spacing w:after="0" w:line="1" w:lineRule="exact"/>
        <w:rPr>
          <w:rFonts w:ascii="Arial" w:cs="Arial" w:eastAsia="Arial" w:hAnsi="Arial"/>
          <w:sz w:val="19"/>
          <w:szCs w:val="19"/>
          <w:color w:val="auto"/>
          <w:vertAlign w:val="superscript"/>
        </w:rPr>
      </w:pPr>
    </w:p>
    <w:p>
      <w:pPr>
        <w:jc w:val="both"/>
        <w:ind w:left="320" w:right="40" w:hanging="314"/>
        <w:spacing w:after="0" w:line="289" w:lineRule="auto"/>
        <w:tabs>
          <w:tab w:leader="none" w:pos="148"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For the three and nine months ended September 30, 2021 such costs primarily represent one-time retention awards related to the distributor acquisitions. For the three and nine months ended September 30, 2020, respectively, such costs primarily represent COVID-19 related restructuring cost of $0.2 million and $2.3 million including write-off of expired Consumables, discontinued product lines, human capital and cash management consultants, and, to a lesser extent, costs associated with a former warehouse and assembly facility during the transition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50"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We use Adjusted gross profit and Adjusted gross margin to measure our profitability and ability to scale and leverage the costs of our Delivery Systems and Consumables sales. The continued growth of our Delivery Systems installed will allow us to improve our Adjusted gross margin, as additional Delivery System units sold will increase our recurring Consumables revenue, which has higher margins.</w:t>
      </w:r>
    </w:p>
    <w:p>
      <w:pPr>
        <w:spacing w:after="0" w:line="215"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We believe Adjusted gross profit and Adjusted gross margin are useful measures to us and to our investors to assist in evaluating our operating performance because it provides consistency and direct comparability with our past financial performance and between fiscal periods, as the metric eliminates the effects of amortization and depreciation as well as stock-based compensation expense,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following table reconciles Gross profit to Adjusted gross profit for the periods indicated. </w:t>
      </w:r>
      <w:r>
        <w:rPr>
          <w:rFonts w:ascii="Arial" w:cs="Arial" w:eastAsia="Arial" w:hAnsi="Arial"/>
          <w:sz w:val="17"/>
          <w:szCs w:val="17"/>
          <w:color w:val="231F20"/>
        </w:rPr>
        <w:t>Amounts and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4700" w:type="dxa"/>
            <w:vAlign w:val="bottom"/>
            <w:tcBorders>
              <w:bottom w:val="single" w:sz="8" w:color="CFF0FC"/>
            </w:tcBorders>
          </w:tcPr>
          <w:p>
            <w:pPr>
              <w:ind w:left="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9"/>
        </w:trPr>
        <w:tc>
          <w:tcPr>
            <w:tcW w:w="4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r>
      <w:tr>
        <w:trPr>
          <w:trHeight w:val="225"/>
        </w:trPr>
        <w:tc>
          <w:tcPr>
            <w:tcW w:w="47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4"/>
        </w:trPr>
        <w:tc>
          <w:tcPr>
            <w:tcW w:w="47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r>
        <w:trPr>
          <w:trHeight w:val="198"/>
        </w:trPr>
        <w:tc>
          <w:tcPr>
            <w:tcW w:w="4700" w:type="dxa"/>
            <w:vAlign w:val="bottom"/>
          </w:tcPr>
          <w:p>
            <w:pPr>
              <w:ind w:left="80"/>
              <w:spacing w:after="0" w:line="198" w:lineRule="exact"/>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67.6%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60.6%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
              <w:spacing w:after="0" w:line="198" w:lineRule="exact"/>
              <w:rPr>
                <w:sz w:val="20"/>
                <w:szCs w:val="20"/>
                <w:color w:val="auto"/>
              </w:rPr>
            </w:pPr>
            <w:r>
              <w:rPr>
                <w:rFonts w:ascii="Arial" w:cs="Arial" w:eastAsia="Arial" w:hAnsi="Arial"/>
                <w:sz w:val="18"/>
                <w:szCs w:val="18"/>
                <w:color w:val="231F20"/>
              </w:rPr>
              <w:t>68.6%</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line="198" w:lineRule="exact"/>
              <w:rPr>
                <w:sz w:val="20"/>
                <w:szCs w:val="20"/>
                <w:color w:val="auto"/>
              </w:rPr>
            </w:pPr>
            <w:r>
              <w:rPr>
                <w:rFonts w:ascii="Arial" w:cs="Arial" w:eastAsia="Arial" w:hAnsi="Arial"/>
                <w:sz w:val="18"/>
                <w:szCs w:val="18"/>
                <w:color w:val="231F20"/>
              </w:rPr>
              <w:t>54.4%</w:t>
            </w:r>
          </w:p>
        </w:tc>
      </w:tr>
      <w:tr>
        <w:trPr>
          <w:trHeight w:val="20"/>
        </w:trPr>
        <w:tc>
          <w:tcPr>
            <w:tcW w:w="47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8"/>
        </w:trPr>
        <w:tc>
          <w:tcPr>
            <w:tcW w:w="4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Adjusted to exclude the following:</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25"/>
        </w:trPr>
        <w:tc>
          <w:tcPr>
            <w:tcW w:w="4700" w:type="dxa"/>
            <w:vAlign w:val="bottom"/>
          </w:tcPr>
          <w:p>
            <w:pPr>
              <w:ind w:left="80"/>
              <w:spacing w:after="0"/>
              <w:rPr>
                <w:sz w:val="20"/>
                <w:szCs w:val="20"/>
                <w:color w:val="auto"/>
              </w:rPr>
            </w:pPr>
            <w:r>
              <w:rPr>
                <w:rFonts w:ascii="Arial" w:cs="Arial" w:eastAsia="Arial" w:hAnsi="Arial"/>
                <w:sz w:val="18"/>
                <w:szCs w:val="18"/>
                <w:color w:val="auto"/>
                <w:w w:val="94"/>
              </w:rPr>
              <w:t>Stock-based compensation expense included in cost of sales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Depreciation and amortization expense included in 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8"/>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Adjusted gross profit</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44"/>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 xml:space="preserve">We had cash and cash equivalents of approximately </w:t>
      </w:r>
      <w:r>
        <w:rPr>
          <w:rFonts w:ascii="Arial" w:cs="Arial" w:eastAsia="Arial" w:hAnsi="Arial"/>
          <w:sz w:val="18"/>
          <w:szCs w:val="18"/>
          <w:color w:val="231F20"/>
        </w:rPr>
        <w:t>$718.6 million</w:t>
      </w:r>
      <w:r>
        <w:rPr>
          <w:rFonts w:ascii="Arial" w:cs="Arial" w:eastAsia="Arial" w:hAnsi="Arial"/>
          <w:sz w:val="18"/>
          <w:szCs w:val="18"/>
          <w:color w:val="auto"/>
        </w:rPr>
        <w:t xml:space="preserve"> as of September 30, 2021. We do not enter into investments for trading or speculative purposes. Our debt obligations related to the Notes are long-term in nature with fixed interest rates. We have not been exposed, nor do we anticipate being exposed to material risks due to changes in interest rates.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w:t>
      </w:r>
    </w:p>
    <w:p>
      <w:pPr>
        <w:spacing w:after="0" w:line="21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As of September 30, 2021, the effect of a hypothetical 10% change in foreign currency exchange rates would not have had a material impact to our consolidated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5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Material Weakness</w:t>
      </w:r>
    </w:p>
    <w:p>
      <w:pPr>
        <w:spacing w:after="0" w:line="250"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In connection with the audit of our consolidated financial statements as of and for the year ended December 31, 2020 and the audit of HydraFacial as of and for the year ended December 31,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The material weaknesses are related to 1) an error in our application of guidance associated with “ASC 480: Distinguishing Liabilities from Equity,” which needed to be modified to appropriately present the impact on the accounting treatment of the temporary equity as a result of the private investment in public equity transaction that is subject of the subscription agreements entered into by the Company with certain investors on December 8, 2020 and 2) HydraFacial’s general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including required disclosures and complex accounting matters, on a timely basis.</w:t>
      </w:r>
    </w:p>
    <w:p>
      <w:pPr>
        <w:spacing w:after="0" w:line="178"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We have begun the process of, and we are focused on, designing and implementing effective internal controls measures to improve our internal control over financial reporting and remediate the material weaknesses. Our efforts include a number of actions:</w:t>
      </w:r>
    </w:p>
    <w:p>
      <w:pPr>
        <w:spacing w:after="0" w:line="207" w:lineRule="exact"/>
        <w:rPr>
          <w:sz w:val="20"/>
          <w:szCs w:val="20"/>
          <w:color w:val="auto"/>
        </w:rPr>
      </w:pPr>
    </w:p>
    <w:p>
      <w:pPr>
        <w:ind w:left="480" w:right="480" w:hanging="156"/>
        <w:spacing w:after="0" w:line="255" w:lineRule="auto"/>
        <w:tabs>
          <w:tab w:leader="none" w:pos="4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designing and implementing additional review procedures within our accounting and finance department to provide more robust and comprehensive internal controls over financial reporting that address the relative financial statement assertions and risks of material misstatement within our business processes;</w:t>
      </w:r>
    </w:p>
    <w:p>
      <w:pPr>
        <w:spacing w:after="0" w:line="214" w:lineRule="exact"/>
        <w:rPr>
          <w:rFonts w:ascii="Arial" w:cs="Arial" w:eastAsia="Arial" w:hAnsi="Arial"/>
          <w:sz w:val="18"/>
          <w:szCs w:val="18"/>
          <w:color w:val="auto"/>
        </w:rPr>
      </w:pPr>
    </w:p>
    <w:p>
      <w:pPr>
        <w:ind w:left="480" w:right="260" w:hanging="156"/>
        <w:spacing w:after="0" w:line="264" w:lineRule="auto"/>
        <w:tabs>
          <w:tab w:leader="none" w:pos="4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actively recruiting additional personnel, in addition to engaging and utilizing third party consultants and specialists to supplement our internal resources and segregate key functions within our business processes, if appropriate;</w:t>
      </w:r>
    </w:p>
    <w:p>
      <w:pPr>
        <w:spacing w:after="0" w:line="207" w:lineRule="exact"/>
        <w:rPr>
          <w:rFonts w:ascii="Arial" w:cs="Arial" w:eastAsia="Arial" w:hAnsi="Arial"/>
          <w:sz w:val="18"/>
          <w:szCs w:val="18"/>
          <w:color w:val="auto"/>
        </w:rPr>
      </w:pPr>
    </w:p>
    <w:p>
      <w:pPr>
        <w:ind w:left="480" w:right="560" w:hanging="156"/>
        <w:spacing w:after="0" w:line="264" w:lineRule="auto"/>
        <w:tabs>
          <w:tab w:leader="none" w:pos="4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designing and implementing information technology and application controls in our financially significant systems to address our relative information processing objectives; and</w:t>
      </w:r>
    </w:p>
    <w:p>
      <w:pPr>
        <w:spacing w:after="0" w:line="207" w:lineRule="exact"/>
        <w:rPr>
          <w:rFonts w:ascii="Arial" w:cs="Arial" w:eastAsia="Arial" w:hAnsi="Arial"/>
          <w:sz w:val="18"/>
          <w:szCs w:val="18"/>
          <w:color w:val="auto"/>
        </w:rPr>
      </w:pPr>
    </w:p>
    <w:p>
      <w:pPr>
        <w:ind w:left="440" w:hanging="1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developing a comprehensive risk assessment process and a plan to respond to those risks.</w:t>
      </w:r>
    </w:p>
    <w:p>
      <w:pPr>
        <w:spacing w:after="0" w:line="244" w:lineRule="exact"/>
        <w:rPr>
          <w:sz w:val="20"/>
          <w:szCs w:val="20"/>
          <w:color w:val="auto"/>
        </w:rPr>
      </w:pPr>
    </w:p>
    <w:p>
      <w:pPr>
        <w:ind w:right="60" w:firstLine="318"/>
        <w:spacing w:after="0" w:line="277" w:lineRule="auto"/>
        <w:rPr>
          <w:sz w:val="20"/>
          <w:szCs w:val="20"/>
          <w:color w:val="auto"/>
        </w:rPr>
      </w:pPr>
      <w:r>
        <w:rPr>
          <w:rFonts w:ascii="Arial" w:cs="Arial" w:eastAsia="Arial" w:hAnsi="Arial"/>
          <w:sz w:val="17"/>
          <w:szCs w:val="17"/>
          <w:color w:val="auto"/>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controls over financial reporting and will continue to diligently review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right="580" w:firstLine="318"/>
        <w:spacing w:after="0" w:line="252" w:lineRule="auto"/>
        <w:rPr>
          <w:sz w:val="20"/>
          <w:szCs w:val="20"/>
          <w:color w:val="auto"/>
        </w:rPr>
      </w:pPr>
      <w:r>
        <w:rPr>
          <w:rFonts w:ascii="Arial" w:cs="Arial" w:eastAsia="Arial" w:hAnsi="Arial"/>
          <w:sz w:val="18"/>
          <w:szCs w:val="18"/>
          <w:color w:val="231F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due to the material weaknesses that existed as of December 31, 2020 accordingly disclosed in our Annual Report on Form 10-K/A for the year ended December 31, 2020 and also disclosed in the HydraFacial audited financial statements in our Definitive Proxy Statement filed on April 7, 2021, our disclosure controls and procedures (as defined in Rules 13a-15(e) and 15d-15(e) under the Exchange Act) were not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Other than described in this Item 4, there has been no change in our internal control over financial reporting that occurred during the third fiscal quarter of 2021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For a description of our material pending legal proceedings, please see Note 12, Commitments and Contingencies, to our condensed consolidated financial statements included in Part I, Item 1 of this Quarterly Report on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Please carefully consider the information set forth in this Quarterly Report on Form 10-Q and the risk factors described in our Registration Statement on Form S-1 filed with the SEC on July 19, 2021, which could materially affect our business, financial condition, or future results. In evaluating our business, you should carefully consider the risk factors discussed in our Registration Statement on Form S-1, as updated by the risk factors described in this Quarterly Report on Form 10-Q and our subsequent filings under the Exchange Act. The occurrence of any of the risks discussed in such filings, or other events that we do not currently anticipate or that we currently deem immaterial, could result in a significant or material adverse effect on our business, prospects,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4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preferred shares. Future acquisitions could require substantial additional capital in excess of cash from operations. We may obtain the capital required for acquisitions through a combination of additional issuances of equity, corporate indebtedness, and/or cash from operations.</w:t>
      </w:r>
    </w:p>
    <w:p>
      <w:pPr>
        <w:spacing w:after="0" w:line="20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Furthermore, issuing additional shares of our common stock or other equity securities or securities convertible into equity may dilute the economic and voting rights of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23" w:lineRule="exact"/>
        <w:rPr>
          <w:sz w:val="20"/>
          <w:szCs w:val="20"/>
          <w:color w:val="auto"/>
        </w:rPr>
      </w:pPr>
    </w:p>
    <w:p>
      <w:pPr>
        <w:jc w:val="both"/>
        <w:ind w:right="760"/>
        <w:spacing w:after="0" w:line="365" w:lineRule="auto"/>
        <w:rPr>
          <w:sz w:val="20"/>
          <w:szCs w:val="20"/>
          <w:color w:val="auto"/>
        </w:rPr>
      </w:pPr>
      <w:r>
        <w:rPr>
          <w:rFonts w:ascii="Arial" w:cs="Arial" w:eastAsia="Arial" w:hAnsi="Arial"/>
          <w:sz w:val="15"/>
          <w:szCs w:val="15"/>
          <w:b w:val="1"/>
          <w:bCs w:val="1"/>
          <w:i w:val="1"/>
          <w:iCs w:val="1"/>
          <w:color w:val="auto"/>
        </w:rPr>
        <w:t>In addition to potential dilution associated with future offerings of debt or equity securities, we currently have significant numbers of securities outstanding that may be exercisable for our common stock, which may result in significant dilution and downward pressure on our stock price.</w:t>
      </w:r>
    </w:p>
    <w:p>
      <w:pPr>
        <w:spacing w:after="0" w:line="138"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As of November 9, 2021, there were 149,639,553 shares of our Class A Common Stock outstanding. In addition, the potential conversion of the Notes into shares of our Class A Common Stock represents approximately the issuance of an additional 23,614,425 shares of our Class A Common Stock. The potential issuance of these shares in the future would result in significant dilution to our current stockholders and could adversely affect the price of our common stock and the terms on which we could raise additional capital. In addition, the issuance and subsequent trading of shares could cause the supply of our Class A Common Stock available for purchase in the market to exceed the purchase demand for our Class A Common Stock. Such supply in excess of demand could cause the market price of our Class A Common Stock to decline.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and Profitability</w:t>
      </w:r>
    </w:p>
    <w:p>
      <w:pPr>
        <w:spacing w:after="0" w:line="250"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i w:val="1"/>
          <w:iCs w:val="1"/>
          <w:color w:val="auto"/>
        </w:rPr>
        <w:t>We may fail to realize all of the anticipated benefits of any entities which we acquire, such benefits may take longer to realize than expected or we may encounter significant difficulties integrating acquired businesses into our operations. If our acquisitions do not achieve their intended benefits,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that businesses we acquire will result in certain benefits, including certain cost synergies and operational efficiencies; however, to realize these anticipated benefits, the businesses we acquire must be successfully combined with our business. The combination of independent businesses is a complex, costly, and time-consuming process that will require significant management attention and resources. The integration process may disrupt the businesses and, if implemented ineffectively, would limit the expected benefits of these acquisitions to us. The failure to meet the challenges involved in integrating acquired businesses and realizing anticipated benefits could cause an interruption of, or a loss of momentum in, our activities and could adversely affect our results of operations.</w:t>
      </w:r>
    </w:p>
    <w:p>
      <w:pPr>
        <w:spacing w:after="0" w:line="222"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overall integration of acquired businesses may result in material unanticipated problems, expenses, liabilities, competitive responses, loss of customer and other business relationships, and diversion of management’s attention. The difficulties of combining the operations of companies include, among others:</w:t>
      </w:r>
    </w:p>
    <w:p>
      <w:pPr>
        <w:spacing w:after="0" w:line="160"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the diversion of management’s attention to integration matters;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difficulties in achieving anticipated cost savings, synergies, business opportunities, and growth prospects from the combinations;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difficulties in the integration of operations and systems; and</w:t>
      </w:r>
    </w:p>
    <w:p>
      <w:pPr>
        <w:spacing w:after="0" w:line="28" w:lineRule="exact"/>
        <w:rPr>
          <w:rFonts w:ascii="Arial" w:cs="Arial" w:eastAsia="Arial" w:hAnsi="Arial"/>
          <w:sz w:val="21"/>
          <w:szCs w:val="21"/>
          <w:color w:val="auto"/>
        </w:rPr>
      </w:pPr>
    </w:p>
    <w:p>
      <w:pPr>
        <w:ind w:left="640" w:right="800" w:hanging="316"/>
        <w:spacing w:after="0" w:line="232"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conforming standards, controls, procedures, accounting and other policies, business cultures, and compensation structures between the two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also be adversely affected by our inability to repay or refinance existing debt.</w:t>
      </w:r>
    </w:p>
    <w:p>
      <w:pPr>
        <w:spacing w:after="0" w:line="230"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5"/>
          <w:szCs w:val="15"/>
          <w:color w:val="auto"/>
        </w:rPr>
        <w:t>As of the filing date of this Quarterly Report on Form 10-Q, we are in compliance with all of our debt covenants. However, we may be unable to satisfy financial covenants in the future, which could materially and adversely affect our ability to finance future operations, such as acquisitions or capital needs. If our earnings deteriorate or we are unable to obtain future financings on terms acceptable to the Company, it is possible that we would fail to comply with the terms of the Notes, such as the failure to make payments of principal and interest due thereunder, and therefore be in default under the Notes. A default under the Notes, among other things, would trigger the counterparty’s ability to immediately demand payment without any further action or notice by such party.</w:t>
      </w:r>
    </w:p>
    <w:p>
      <w:pPr>
        <w:spacing w:after="0" w:line="178" w:lineRule="exact"/>
        <w:rPr>
          <w:sz w:val="20"/>
          <w:szCs w:val="20"/>
          <w:color w:val="auto"/>
        </w:rPr>
      </w:pPr>
    </w:p>
    <w:p>
      <w:pPr>
        <w:ind w:right="40" w:firstLine="318"/>
        <w:spacing w:after="0" w:line="328" w:lineRule="auto"/>
        <w:rPr>
          <w:sz w:val="20"/>
          <w:szCs w:val="20"/>
          <w:color w:val="auto"/>
        </w:rPr>
      </w:pPr>
      <w:r>
        <w:rPr>
          <w:rFonts w:ascii="Arial" w:cs="Arial" w:eastAsia="Arial" w:hAnsi="Arial"/>
          <w:sz w:val="15"/>
          <w:szCs w:val="15"/>
          <w:color w:val="auto"/>
        </w:rPr>
        <w:t>If the Notes are not converted into our equity securities and we are unable to repay in full or refinance such Notes on commercially reasonable terms, if at all, we could face substantial liquidity problems and might be required to sell material assets or operations in an attempt to meet our debt obligations.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6"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231F20"/>
        </w:rPr>
        <w:t>On July 1, 2021, we issued an aggregate of 479,373 shares of Class A Common Stock as consideration pursuant to the acquisitions of our distributors in France, Germany and Mexico.</w:t>
      </w:r>
    </w:p>
    <w:p>
      <w:pPr>
        <w:spacing w:after="0" w:line="18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231F20"/>
        </w:rPr>
        <w:t>On July 15, 2021, we issued 7,500,000 shares of Class A Common Stock as contingent consideration pursuant to the Merger Agreement to the former stockholders of HydraFacial upon completion of the Company’s acquisition of certain target businesses in June and July of 2021.</w:t>
      </w:r>
    </w:p>
    <w:p>
      <w:pPr>
        <w:spacing w:after="0" w:line="184" w:lineRule="exact"/>
        <w:rPr>
          <w:sz w:val="20"/>
          <w:szCs w:val="20"/>
          <w:color w:val="auto"/>
        </w:rPr>
      </w:pPr>
    </w:p>
    <w:p>
      <w:pPr>
        <w:ind w:right="920" w:firstLine="318"/>
        <w:spacing w:after="0" w:line="237" w:lineRule="auto"/>
        <w:rPr>
          <w:sz w:val="20"/>
          <w:szCs w:val="20"/>
          <w:color w:val="auto"/>
        </w:rPr>
      </w:pPr>
      <w:r>
        <w:rPr>
          <w:rFonts w:ascii="Arial" w:cs="Arial" w:eastAsia="Arial" w:hAnsi="Arial"/>
          <w:sz w:val="18"/>
          <w:szCs w:val="18"/>
          <w:color w:val="231F20"/>
        </w:rPr>
        <w:t>On August 25, 2021, we issued 70,860 shares of Class A Common Stock as working capital adjustment pursuant to the Merger Agreement as contemplated by the Business Combination</w:t>
      </w:r>
    </w:p>
    <w:p>
      <w:pPr>
        <w:spacing w:after="0" w:line="201" w:lineRule="exact"/>
        <w:rPr>
          <w:sz w:val="20"/>
          <w:szCs w:val="20"/>
          <w:color w:val="auto"/>
        </w:rPr>
      </w:pPr>
    </w:p>
    <w:p>
      <w:pPr>
        <w:jc w:val="both"/>
        <w:ind w:firstLine="318"/>
        <w:spacing w:after="0" w:line="214" w:lineRule="auto"/>
        <w:rPr>
          <w:sz w:val="20"/>
          <w:szCs w:val="20"/>
          <w:color w:val="auto"/>
        </w:rPr>
      </w:pPr>
      <w:r>
        <w:rPr>
          <w:rFonts w:ascii="Arial" w:cs="Arial" w:eastAsia="Arial" w:hAnsi="Arial"/>
          <w:sz w:val="18"/>
          <w:szCs w:val="18"/>
          <w:color w:val="231F20"/>
        </w:rPr>
        <w:t>These securities were issued pursuant to Section 4(a)(2) of the Securities Act, Rule 506, and/or Regulation S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in connection with the offering of these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exhibits are filed as part of, or incorporated by reference into, this Quarterly Report on Form 10-Q.</w:t>
      </w:r>
    </w:p>
    <w:p>
      <w:pPr>
        <w:sectPr>
          <w:pgSz w:w="11900" w:h="16838" w:orient="portrait"/>
          <w:cols w:equalWidth="0" w:num="1">
            <w:col w:w="11240"/>
          </w:cols>
          <w:pgMar w:left="320" w:top="127" w:right="339" w:bottom="1440" w:gutter="0" w:footer="0" w:header="0"/>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gridSpan w:val="23"/>
            <w:vMerge w:val="restart"/>
          </w:tcPr>
          <w:p>
            <w:pPr>
              <w:ind w:left="980"/>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vMerge w:val="restart"/>
          </w:tcPr>
          <w:p>
            <w:pPr>
              <w:spacing w:after="0"/>
              <w:rPr>
                <w:sz w:val="17"/>
                <w:szCs w:val="17"/>
                <w:color w:val="auto"/>
              </w:rPr>
            </w:pPr>
          </w:p>
        </w:tc>
        <w:tc>
          <w:tcPr>
            <w:tcW w:w="78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93"/>
              </w:rPr>
              <w:t>Form</w:t>
            </w:r>
          </w:p>
        </w:tc>
        <w:tc>
          <w:tcPr>
            <w:tcW w:w="80" w:type="dxa"/>
            <w:vAlign w:val="bottom"/>
            <w:vMerge w:val="restart"/>
          </w:tcPr>
          <w:p>
            <w:pPr>
              <w:spacing w:after="0"/>
              <w:rPr>
                <w:sz w:val="17"/>
                <w:szCs w:val="17"/>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File</w:t>
            </w:r>
          </w:p>
        </w:tc>
        <w:tc>
          <w:tcPr>
            <w:tcW w:w="0" w:type="dxa"/>
            <w:vAlign w:val="bottom"/>
          </w:tcPr>
          <w:p>
            <w:pPr>
              <w:spacing w:after="0"/>
              <w:rPr>
                <w:sz w:val="1"/>
                <w:szCs w:val="1"/>
                <w:color w:val="auto"/>
              </w:rPr>
            </w:pPr>
          </w:p>
        </w:tc>
      </w:tr>
      <w:tr>
        <w:trPr>
          <w:trHeight w:val="225"/>
        </w:trPr>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2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vMerge w:val="restart"/>
          </w:tcPr>
          <w:p>
            <w:pPr>
              <w:ind w:left="20"/>
              <w:spacing w:after="0"/>
              <w:rPr>
                <w:rFonts w:ascii="Arial" w:cs="Arial" w:eastAsia="Arial" w:hAnsi="Arial"/>
                <w:sz w:val="17"/>
                <w:szCs w:val="17"/>
                <w:color w:val="0000FF"/>
                <w:w w:val="70"/>
              </w:rPr>
            </w:pPr>
            <w:hyperlink r:id="rId71">
              <w:r>
                <w:rPr>
                  <w:rFonts w:ascii="Arial" w:cs="Arial" w:eastAsia="Arial" w:hAnsi="Arial"/>
                  <w:sz w:val="17"/>
                  <w:szCs w:val="17"/>
                  <w:color w:val="0000FF"/>
                  <w:w w:val="70"/>
                </w:rPr>
                <w:t>2020,</w:t>
              </w:r>
            </w:hyperlink>
          </w:p>
        </w:tc>
        <w:tc>
          <w:tcPr>
            <w:tcW w:w="4460" w:type="dxa"/>
            <w:vAlign w:val="bottom"/>
            <w:gridSpan w:val="26"/>
          </w:tcPr>
          <w:p>
            <w:pPr>
              <w:spacing w:after="0" w:line="179"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Agreement and Plan of Merger, dated as of December 8,</w:t>
              </w:r>
            </w:hyperlink>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3980" w:type="dxa"/>
            <w:vAlign w:val="bottom"/>
            <w:tcBorders>
              <w:top w:val="single" w:sz="8" w:color="0000FF"/>
            </w:tcBorders>
            <w:gridSpan w:val="15"/>
          </w:tcPr>
          <w:p>
            <w:pPr>
              <w:ind w:left="120"/>
              <w:spacing w:after="0" w:line="152" w:lineRule="exact"/>
              <w:rPr>
                <w:rFonts w:ascii="Arial" w:cs="Arial" w:eastAsia="Arial" w:hAnsi="Arial"/>
                <w:sz w:val="17"/>
                <w:szCs w:val="17"/>
                <w:color w:val="0000FF"/>
                <w:w w:val="98"/>
              </w:rPr>
            </w:pPr>
            <w:hyperlink r:id="rId71">
              <w:r>
                <w:rPr>
                  <w:rFonts w:ascii="Arial" w:cs="Arial" w:eastAsia="Arial" w:hAnsi="Arial"/>
                  <w:sz w:val="17"/>
                  <w:szCs w:val="17"/>
                  <w:color w:val="0000FF"/>
                  <w:w w:val="98"/>
                </w:rPr>
                <w:t>by and among Vesper Healthcare Acquisition 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2"/>
          </w:tcPr>
          <w:p>
            <w:pPr>
              <w:spacing w:after="0" w:line="152" w:lineRule="exact"/>
              <w:rPr>
                <w:rFonts w:ascii="Arial" w:cs="Arial" w:eastAsia="Arial" w:hAnsi="Arial"/>
                <w:sz w:val="17"/>
                <w:szCs w:val="17"/>
                <w:color w:val="0000FF"/>
                <w:w w:val="97"/>
              </w:rPr>
            </w:pPr>
            <w:hyperlink r:id="rId71">
              <w:r>
                <w:rPr>
                  <w:rFonts w:ascii="Arial" w:cs="Arial" w:eastAsia="Arial" w:hAnsi="Arial"/>
                  <w:sz w:val="17"/>
                  <w:szCs w:val="17"/>
                  <w:color w:val="0000FF"/>
                  <w:w w:val="97"/>
                </w:rPr>
                <w:t>Hydrate Merger Sub I, Inc., Hydrate Merger Sub II, LLC,</w:t>
              </w:r>
            </w:hyperlink>
          </w:p>
        </w:tc>
        <w:tc>
          <w:tcPr>
            <w:tcW w:w="660" w:type="dxa"/>
            <w:vAlign w:val="bottom"/>
            <w:gridSpan w:val="16"/>
          </w:tcPr>
          <w:p>
            <w:pPr>
              <w:spacing w:after="0" w:line="152" w:lineRule="exact"/>
              <w:rPr>
                <w:rFonts w:ascii="Arial" w:cs="Arial" w:eastAsia="Arial" w:hAnsi="Arial"/>
                <w:sz w:val="17"/>
                <w:szCs w:val="17"/>
                <w:color w:val="0000FF"/>
              </w:rPr>
            </w:pPr>
            <w:hyperlink r:id="rId71">
              <w:r>
                <w:rPr>
                  <w:rFonts w:ascii="Arial" w:cs="Arial" w:eastAsia="Arial" w:hAnsi="Arial"/>
                  <w:sz w:val="17"/>
                  <w:szCs w:val="17"/>
                  <w:color w:val="0000FF"/>
                </w:rPr>
                <w:t>LCP</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71">
              <w:r>
                <w:rPr>
                  <w:rFonts w:ascii="Arial" w:cs="Arial" w:eastAsia="Arial" w:hAnsi="Arial"/>
                  <w:sz w:val="17"/>
                  <w:szCs w:val="17"/>
                  <w:color w:val="0000FF"/>
                </w:rPr>
                <w:t>Edge Intermediate, Inc. and LCP Edge Holdco, LLC, in its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20" w:type="dxa"/>
            <w:vAlign w:val="bottom"/>
            <w:gridSpan w:val="2"/>
          </w:tcPr>
          <w:p>
            <w:pPr>
              <w:spacing w:after="0" w:line="152" w:lineRule="exact"/>
              <w:rPr>
                <w:rFonts w:ascii="Arial" w:cs="Arial" w:eastAsia="Arial" w:hAnsi="Arial"/>
                <w:sz w:val="17"/>
                <w:szCs w:val="17"/>
                <w:color w:val="0000FF"/>
              </w:rPr>
            </w:pPr>
            <w:hyperlink r:id="rId71">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71">
              <w:r>
                <w:rPr>
                  <w:rFonts w:ascii="Arial" w:cs="Arial" w:eastAsia="Arial" w:hAnsi="Arial"/>
                  <w:sz w:val="17"/>
                  <w:szCs w:val="17"/>
                  <w:color w:val="0000FF"/>
                </w:rPr>
                <w:t>capacity as the Stockholders’ Representative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gridSpan w:val="2"/>
          </w:tcPr>
          <w:p>
            <w:pPr>
              <w:ind w:left="340"/>
              <w:spacing w:after="0" w:line="152" w:lineRule="exact"/>
              <w:rPr>
                <w:sz w:val="20"/>
                <w:szCs w:val="20"/>
                <w:color w:val="auto"/>
              </w:rPr>
            </w:pPr>
            <w:r>
              <w:rPr>
                <w:rFonts w:ascii="Arial" w:cs="Arial" w:eastAsia="Arial" w:hAnsi="Arial"/>
                <w:sz w:val="17"/>
                <w:szCs w:val="17"/>
                <w:color w:val="auto"/>
              </w:rPr>
              <w:t>8-K</w:t>
            </w:r>
          </w:p>
        </w:tc>
        <w:tc>
          <w:tcPr>
            <w:tcW w:w="840" w:type="dxa"/>
            <w:vAlign w:val="bottom"/>
          </w:tcPr>
          <w:p>
            <w:pPr>
              <w:jc w:val="right"/>
              <w:ind w:right="292"/>
              <w:spacing w:after="0" w:line="152" w:lineRule="exact"/>
              <w:rPr>
                <w:sz w:val="20"/>
                <w:szCs w:val="20"/>
                <w:color w:val="auto"/>
              </w:rPr>
            </w:pPr>
            <w:r>
              <w:rPr>
                <w:rFonts w:ascii="Arial" w:cs="Arial" w:eastAsia="Arial" w:hAnsi="Arial"/>
                <w:sz w:val="17"/>
                <w:szCs w:val="17"/>
                <w:color w:val="auto"/>
                <w:w w:val="92"/>
              </w:rPr>
              <w:t>39565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6"/>
          </w:tcPr>
          <w:p>
            <w:pPr>
              <w:spacing w:after="0" w:line="205"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Second Amended and Restated Certificate of Incorporation</w:t>
              </w:r>
            </w:hyperlink>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2"/>
              <w:spacing w:after="0" w:line="205"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165" w:lineRule="exact"/>
              <w:rPr>
                <w:rFonts w:ascii="Arial" w:cs="Arial" w:eastAsia="Arial" w:hAnsi="Arial"/>
                <w:sz w:val="18"/>
                <w:szCs w:val="18"/>
                <w:color w:val="0000FF"/>
              </w:rPr>
            </w:pPr>
            <w:hyperlink r:id="rId7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60" w:type="dxa"/>
            <w:vAlign w:val="bottom"/>
            <w:gridSpan w:val="2"/>
            <w:vMerge w:val="restart"/>
          </w:tcPr>
          <w:p>
            <w:pPr>
              <w:ind w:left="340"/>
              <w:spacing w:after="0" w:line="165" w:lineRule="exact"/>
              <w:rPr>
                <w:sz w:val="20"/>
                <w:szCs w:val="20"/>
                <w:color w:val="auto"/>
              </w:rPr>
            </w:pPr>
            <w:r>
              <w:rPr>
                <w:rFonts w:ascii="Arial" w:cs="Arial" w:eastAsia="Arial" w:hAnsi="Arial"/>
                <w:sz w:val="18"/>
                <w:szCs w:val="18"/>
                <w:color w:val="auto"/>
              </w:rPr>
              <w:t>8-K</w:t>
            </w:r>
          </w:p>
        </w:tc>
        <w:tc>
          <w:tcPr>
            <w:tcW w:w="840" w:type="dxa"/>
            <w:vAlign w:val="bottom"/>
            <w:vMerge w:val="restart"/>
          </w:tcPr>
          <w:p>
            <w:pPr>
              <w:jc w:val="right"/>
              <w:ind w:right="292"/>
              <w:spacing w:after="0" w:line="165"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line="20" w:lineRule="exact"/>
              <w:rPr>
                <w:sz w:val="1"/>
                <w:szCs w:val="1"/>
                <w:color w:val="auto"/>
              </w:rPr>
            </w:pPr>
          </w:p>
        </w:tc>
      </w:tr>
      <w:tr>
        <w:trPr>
          <w:trHeight w:val="165"/>
        </w:trPr>
        <w:tc>
          <w:tcPr>
            <w:tcW w:w="3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gridSpan w:val="23"/>
          </w:tcPr>
          <w:p>
            <w:pPr>
              <w:spacing w:after="0" w:line="152" w:lineRule="exact"/>
              <w:rPr>
                <w:rFonts w:ascii="Arial" w:cs="Arial" w:eastAsia="Arial" w:hAnsi="Arial"/>
                <w:sz w:val="17"/>
                <w:szCs w:val="17"/>
                <w:color w:val="0000FF"/>
              </w:rPr>
            </w:pPr>
            <w:hyperlink r:id="rId72">
              <w:r>
                <w:rPr>
                  <w:rFonts w:ascii="Arial" w:cs="Arial" w:eastAsia="Arial" w:hAnsi="Arial"/>
                  <w:sz w:val="17"/>
                  <w:szCs w:val="17"/>
                  <w:color w:val="0000FF"/>
                </w:rPr>
                <w:t>of The Beauty Health Company</w:t>
              </w:r>
            </w:hyperlink>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bottom w:val="single" w:sz="8" w:color="0000FF"/>
            </w:tcBorders>
            <w:gridSpan w:val="9"/>
          </w:tcPr>
          <w:p>
            <w:pPr>
              <w:spacing w:after="0"/>
              <w:rPr>
                <w:rFonts w:ascii="Arial" w:cs="Arial" w:eastAsia="Arial" w:hAnsi="Arial"/>
                <w:sz w:val="18"/>
                <w:szCs w:val="18"/>
                <w:color w:val="0000FF"/>
                <w:w w:val="88"/>
              </w:rPr>
            </w:pPr>
            <w:hyperlink r:id="rId73">
              <w:r>
                <w:rPr>
                  <w:rFonts w:ascii="Arial" w:cs="Arial" w:eastAsia="Arial" w:hAnsi="Arial"/>
                  <w:sz w:val="18"/>
                  <w:szCs w:val="18"/>
                  <w:color w:val="0000FF"/>
                  <w:w w:val="88"/>
                </w:rPr>
                <w:t>Amended and Restated Bylaws of The Beauty Health</w:t>
              </w:r>
            </w:hyperlink>
          </w:p>
        </w:tc>
        <w:tc>
          <w:tcPr>
            <w:tcW w:w="680" w:type="dxa"/>
            <w:vAlign w:val="bottom"/>
            <w:gridSpan w:val="17"/>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320" w:type="dxa"/>
            <w:vAlign w:val="bottom"/>
            <w:gridSpan w:val="2"/>
          </w:tcPr>
          <w:p>
            <w:pPr>
              <w:spacing w:after="0" w:line="159" w:lineRule="exact"/>
              <w:rPr>
                <w:rFonts w:ascii="Arial" w:cs="Arial" w:eastAsia="Arial" w:hAnsi="Arial"/>
                <w:sz w:val="18"/>
                <w:szCs w:val="18"/>
                <w:color w:val="0000FF"/>
              </w:rPr>
            </w:pPr>
            <w:hyperlink r:id="rId73">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gridSpan w:val="11"/>
          </w:tcPr>
          <w:p>
            <w:pPr>
              <w:spacing w:after="0" w:line="159" w:lineRule="exact"/>
              <w:rPr>
                <w:rFonts w:ascii="Arial" w:cs="Arial" w:eastAsia="Arial" w:hAnsi="Arial"/>
                <w:sz w:val="18"/>
                <w:szCs w:val="18"/>
                <w:color w:val="0000FF"/>
              </w:rPr>
            </w:pPr>
            <w:hyperlink r:id="rId73">
              <w:r>
                <w:rPr>
                  <w:rFonts w:ascii="Arial" w:cs="Arial" w:eastAsia="Arial" w:hAnsi="Arial"/>
                  <w:sz w:val="18"/>
                  <w:szCs w:val="18"/>
                  <w:color w:val="0000FF"/>
                </w:rPr>
                <w:t>Company</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gridSpan w:val="2"/>
          </w:tcPr>
          <w:p>
            <w:pPr>
              <w:ind w:left="340"/>
              <w:spacing w:after="0" w:line="159"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59"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205" w:lineRule="exact"/>
              <w:rPr>
                <w:rFonts w:ascii="Arial" w:cs="Arial" w:eastAsia="Arial" w:hAnsi="Arial"/>
                <w:sz w:val="18"/>
                <w:szCs w:val="18"/>
                <w:color w:val="0000FF"/>
                <w:w w:val="87"/>
              </w:rPr>
            </w:pPr>
            <w:hyperlink r:id="rId74">
              <w:r>
                <w:rPr>
                  <w:rFonts w:ascii="Arial" w:cs="Arial" w:eastAsia="Arial" w:hAnsi="Arial"/>
                  <w:sz w:val="18"/>
                  <w:szCs w:val="18"/>
                  <w:color w:val="0000FF"/>
                  <w:w w:val="87"/>
                </w:rPr>
                <w:t>Indenture, dated as of September 14, 2021, between The</w:t>
              </w:r>
            </w:hyperlink>
          </w:p>
        </w:tc>
        <w:tc>
          <w:tcPr>
            <w:tcW w:w="46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gridSpan w:val="18"/>
          </w:tcPr>
          <w:p>
            <w:pPr>
              <w:spacing w:after="0" w:line="139" w:lineRule="exact"/>
              <w:rPr>
                <w:rFonts w:ascii="Arial" w:cs="Arial" w:eastAsia="Arial" w:hAnsi="Arial"/>
                <w:sz w:val="15"/>
                <w:szCs w:val="15"/>
                <w:color w:val="0000FF"/>
              </w:rPr>
            </w:pPr>
            <w:hyperlink r:id="rId74">
              <w:r>
                <w:rPr>
                  <w:rFonts w:ascii="Arial" w:cs="Arial" w:eastAsia="Arial" w:hAnsi="Arial"/>
                  <w:sz w:val="15"/>
                  <w:szCs w:val="15"/>
                  <w:color w:val="0000FF"/>
                </w:rPr>
                <w:t>Beauty Health Company and U.S. Bank National Association,</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8"/>
          </w:tcPr>
          <w:p>
            <w:pPr>
              <w:ind w:left="40"/>
              <w:spacing w:after="0" w:line="139" w:lineRule="exact"/>
              <w:rPr>
                <w:rFonts w:ascii="Arial" w:cs="Arial" w:eastAsia="Arial" w:hAnsi="Arial"/>
                <w:sz w:val="15"/>
                <w:szCs w:val="15"/>
                <w:color w:val="0000FF"/>
              </w:rPr>
            </w:pPr>
            <w:hyperlink r:id="rId74">
              <w:r>
                <w:rPr>
                  <w:rFonts w:ascii="Arial" w:cs="Arial" w:eastAsia="Arial" w:hAnsi="Arial"/>
                  <w:sz w:val="15"/>
                  <w:szCs w:val="15"/>
                  <w:color w:val="0000FF"/>
                </w:rPr>
                <w:t>as</w:t>
              </w:r>
            </w:hyperlink>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320" w:type="dxa"/>
            <w:vAlign w:val="bottom"/>
            <w:gridSpan w:val="2"/>
          </w:tcPr>
          <w:p>
            <w:pPr>
              <w:spacing w:after="0" w:line="159" w:lineRule="exact"/>
              <w:rPr>
                <w:rFonts w:ascii="Arial" w:cs="Arial" w:eastAsia="Arial" w:hAnsi="Arial"/>
                <w:sz w:val="18"/>
                <w:szCs w:val="18"/>
                <w:color w:val="0000FF"/>
              </w:rPr>
            </w:pPr>
            <w:hyperlink r:id="rId7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tcBorders>
            <w:gridSpan w:val="24"/>
          </w:tcPr>
          <w:p>
            <w:pPr>
              <w:spacing w:after="0" w:line="159" w:lineRule="exact"/>
              <w:rPr>
                <w:rFonts w:ascii="Arial" w:cs="Arial" w:eastAsia="Arial" w:hAnsi="Arial"/>
                <w:sz w:val="18"/>
                <w:szCs w:val="18"/>
                <w:color w:val="0000FF"/>
              </w:rPr>
            </w:pPr>
            <w:hyperlink r:id="rId74">
              <w:r>
                <w:rPr>
                  <w:rFonts w:ascii="Arial" w:cs="Arial" w:eastAsia="Arial" w:hAnsi="Arial"/>
                  <w:sz w:val="18"/>
                  <w:szCs w:val="18"/>
                  <w:color w:val="0000FF"/>
                </w:rPr>
                <w:t>trustee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gridSpan w:val="2"/>
          </w:tcPr>
          <w:p>
            <w:pPr>
              <w:ind w:left="340"/>
              <w:spacing w:after="0" w:line="159"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59"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3"/>
          </w:tcPr>
          <w:p>
            <w:pPr>
              <w:spacing w:after="0" w:line="205"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Form of certificate representing the 1.25% Convertible</w:t>
              </w:r>
            </w:hyperlink>
          </w:p>
        </w:tc>
        <w:tc>
          <w:tcPr>
            <w:tcW w:w="58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2"/>
              <w:spacing w:after="0" w:line="205"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2"/>
        </w:trPr>
        <w:tc>
          <w:tcPr>
            <w:tcW w:w="660" w:type="dxa"/>
            <w:vAlign w:val="bottom"/>
            <w:gridSpan w:val="3"/>
          </w:tcPr>
          <w:p>
            <w:pPr>
              <w:ind w:left="340"/>
              <w:spacing w:after="0" w:line="165" w:lineRule="exact"/>
              <w:rPr>
                <w:rFonts w:ascii="Arial" w:cs="Arial" w:eastAsia="Arial" w:hAnsi="Arial"/>
                <w:sz w:val="18"/>
                <w:szCs w:val="18"/>
                <w:color w:val="0000FF"/>
              </w:rPr>
            </w:pPr>
            <w:hyperlink r:id="rId74">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gridSpan w:val="18"/>
          </w:tcPr>
          <w:p>
            <w:pPr>
              <w:spacing w:after="0" w:line="152" w:lineRule="exact"/>
              <w:rPr>
                <w:rFonts w:ascii="Arial" w:cs="Arial" w:eastAsia="Arial" w:hAnsi="Arial"/>
                <w:sz w:val="17"/>
                <w:szCs w:val="17"/>
                <w:color w:val="0000FF"/>
                <w:w w:val="95"/>
              </w:rPr>
            </w:pPr>
            <w:hyperlink r:id="rId74">
              <w:r>
                <w:rPr>
                  <w:rFonts w:ascii="Arial" w:cs="Arial" w:eastAsia="Arial" w:hAnsi="Arial"/>
                  <w:sz w:val="17"/>
                  <w:szCs w:val="17"/>
                  <w:color w:val="0000FF"/>
                  <w:w w:val="95"/>
                </w:rPr>
                <w:t>Senior Notes due 2026 (included as Exhibit A to Exhibit 4.1)</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gridSpan w:val="2"/>
          </w:tcPr>
          <w:p>
            <w:pPr>
              <w:ind w:left="340"/>
              <w:spacing w:after="0" w:line="165"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65"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3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00" w:type="dxa"/>
            <w:vAlign w:val="bottom"/>
            <w:gridSpan w:val="3"/>
          </w:tcPr>
          <w:p>
            <w:pPr>
              <w:spacing w:after="0" w:line="198" w:lineRule="exact"/>
              <w:rPr>
                <w:rFonts w:ascii="Arial" w:cs="Arial" w:eastAsia="Arial" w:hAnsi="Arial"/>
                <w:sz w:val="18"/>
                <w:szCs w:val="18"/>
                <w:color w:val="0000FF"/>
                <w:w w:val="84"/>
              </w:rPr>
            </w:pPr>
            <w:hyperlink r:id="rId7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6"/>
          </w:tcPr>
          <w:p>
            <w:pPr>
              <w:spacing w:after="0" w:line="198"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The Beauty Health Company 2021 Incentive Award Plan</w:t>
              </w:r>
            </w:hyperlink>
          </w:p>
        </w:tc>
        <w:tc>
          <w:tcPr>
            <w:tcW w:w="860" w:type="dxa"/>
            <w:vAlign w:val="bottom"/>
            <w:gridSpan w:val="2"/>
          </w:tcPr>
          <w:p>
            <w:pPr>
              <w:ind w:left="340"/>
              <w:spacing w:after="0" w:line="198"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98"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6"/>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The Beauty Health Company 2021 Employee Stock Purchase</w:t>
              </w:r>
            </w:hyperlink>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200" w:type="dxa"/>
            <w:vAlign w:val="bottom"/>
            <w:gridSpan w:val="5"/>
          </w:tcPr>
          <w:p>
            <w:pPr>
              <w:ind w:left="340"/>
              <w:spacing w:after="0" w:line="159" w:lineRule="exact"/>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line="159" w:lineRule="exact"/>
              <w:rPr>
                <w:rFonts w:ascii="Arial" w:cs="Arial" w:eastAsia="Arial" w:hAnsi="Arial"/>
                <w:sz w:val="18"/>
                <w:szCs w:val="18"/>
                <w:color w:val="0000FF"/>
                <w:w w:val="83"/>
              </w:rPr>
            </w:pPr>
            <w:hyperlink r:id="rId76">
              <w:r>
                <w:rPr>
                  <w:rFonts w:ascii="Arial" w:cs="Arial" w:eastAsia="Arial" w:hAnsi="Arial"/>
                  <w:sz w:val="18"/>
                  <w:szCs w:val="18"/>
                  <w:color w:val="0000FF"/>
                  <w:w w:val="83"/>
                </w:rPr>
                <w:t>Plan</w:t>
              </w:r>
            </w:hyperlink>
          </w:p>
        </w:tc>
        <w:tc>
          <w:tcPr>
            <w:tcW w:w="1700" w:type="dxa"/>
            <w:vAlign w:val="bottom"/>
            <w:tcBorders>
              <w:top w:val="single" w:sz="8" w:color="0000FF"/>
            </w:tcBorders>
            <w:gridSpan w:val="3"/>
          </w:tcPr>
          <w:p>
            <w:pPr>
              <w:spacing w:after="0"/>
              <w:rPr>
                <w:sz w:val="13"/>
                <w:szCs w:val="13"/>
                <w:color w:val="auto"/>
              </w:rPr>
            </w:pPr>
          </w:p>
        </w:tc>
        <w:tc>
          <w:tcPr>
            <w:tcW w:w="132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gridSpan w:val="2"/>
          </w:tcPr>
          <w:p>
            <w:pPr>
              <w:ind w:left="340"/>
              <w:spacing w:after="0" w:line="159"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59"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00" w:type="dxa"/>
            <w:vAlign w:val="bottom"/>
            <w:tcBorders>
              <w:bottom w:val="single" w:sz="8" w:color="0000FF"/>
            </w:tcBorders>
            <w:gridSpan w:val="3"/>
          </w:tcPr>
          <w:p>
            <w:pPr>
              <w:spacing w:after="0" w:line="198" w:lineRule="exact"/>
              <w:rPr>
                <w:rFonts w:ascii="Arial" w:cs="Arial" w:eastAsia="Arial" w:hAnsi="Arial"/>
                <w:sz w:val="18"/>
                <w:szCs w:val="18"/>
                <w:color w:val="0000FF"/>
                <w:w w:val="84"/>
              </w:rPr>
            </w:pPr>
            <w:hyperlink r:id="rId7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8"/>
          </w:tcPr>
          <w:p>
            <w:pPr>
              <w:spacing w:after="0" w:line="198"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Form of Confirmation for Capped Call Transactions</w:t>
              </w:r>
            </w:hyperlink>
          </w:p>
        </w:tc>
        <w:tc>
          <w:tcPr>
            <w:tcW w:w="780" w:type="dxa"/>
            <w:vAlign w:val="bottom"/>
            <w:gridSpan w:val="18"/>
          </w:tcPr>
          <w:p>
            <w:pPr>
              <w:spacing w:after="0"/>
              <w:rPr>
                <w:sz w:val="17"/>
                <w:szCs w:val="17"/>
                <w:color w:val="auto"/>
              </w:rPr>
            </w:pPr>
          </w:p>
        </w:tc>
        <w:tc>
          <w:tcPr>
            <w:tcW w:w="860" w:type="dxa"/>
            <w:vAlign w:val="bottom"/>
            <w:gridSpan w:val="2"/>
          </w:tcPr>
          <w:p>
            <w:pPr>
              <w:ind w:left="340"/>
              <w:spacing w:after="0" w:line="198"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98"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6"/>
          </w:tcPr>
          <w:p>
            <w:pPr>
              <w:spacing w:after="0" w:line="205" w:lineRule="exact"/>
              <w:rPr>
                <w:rFonts w:ascii="Arial" w:cs="Arial" w:eastAsia="Arial" w:hAnsi="Arial"/>
                <w:sz w:val="18"/>
                <w:szCs w:val="18"/>
                <w:color w:val="0000FF"/>
              </w:rPr>
            </w:pPr>
            <w:hyperlink w:anchor="page52">
              <w:r>
                <w:rPr>
                  <w:rFonts w:ascii="Arial" w:cs="Arial" w:eastAsia="Arial" w:hAnsi="Arial"/>
                  <w:sz w:val="18"/>
                  <w:szCs w:val="18"/>
                  <w:color w:val="0000FF"/>
                </w:rPr>
                <w:t>Certification of Principal Executive Officer Pursuant to</w:t>
              </w:r>
            </w:hyperlink>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vMerge w:val="restart"/>
          </w:tcPr>
          <w:p>
            <w:pPr>
              <w:spacing w:after="0"/>
              <w:rPr>
                <w:sz w:val="13"/>
                <w:szCs w:val="13"/>
                <w:color w:val="auto"/>
              </w:rPr>
            </w:pPr>
          </w:p>
        </w:tc>
        <w:tc>
          <w:tcPr>
            <w:tcW w:w="400" w:type="dxa"/>
            <w:vAlign w:val="bottom"/>
            <w:gridSpan w:val="3"/>
            <w:vMerge w:val="restart"/>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4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28"/>
          </w:tcPr>
          <w:p>
            <w:pPr>
              <w:spacing w:after="0" w:line="152" w:lineRule="exact"/>
              <w:rPr>
                <w:rFonts w:ascii="Arial" w:cs="Arial" w:eastAsia="Arial" w:hAnsi="Arial"/>
                <w:sz w:val="17"/>
                <w:szCs w:val="17"/>
                <w:color w:val="0000FF"/>
                <w:w w:val="95"/>
              </w:rPr>
            </w:pPr>
            <w:hyperlink w:anchor="page52">
              <w:r>
                <w:rPr>
                  <w:rFonts w:ascii="Arial" w:cs="Arial" w:eastAsia="Arial" w:hAnsi="Arial"/>
                  <w:sz w:val="17"/>
                  <w:szCs w:val="17"/>
                  <w:color w:val="0000FF"/>
                  <w:w w:val="95"/>
                </w:rPr>
                <w:t>Securities Exchange Act Rules 13a-14(a), as adopted Pursuant to</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w:anchor="page52">
              <w:r>
                <w:rPr>
                  <w:rFonts w:ascii="Arial" w:cs="Arial" w:eastAsia="Arial" w:hAnsi="Arial"/>
                  <w:sz w:val="17"/>
                  <w:szCs w:val="17"/>
                  <w:color w:val="0000FF"/>
                </w:rPr>
                <w:t>Section 302 of the Sarbanes-Oxley Act of 2002</w:t>
              </w:r>
            </w:hyperlink>
          </w:p>
        </w:tc>
        <w:tc>
          <w:tcPr>
            <w:tcW w:w="1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12"/>
          </w:tcPr>
          <w:p>
            <w:pPr>
              <w:spacing w:after="0" w:line="205"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Certification of Principal Financial Officer Pursuant to</w:t>
              </w:r>
            </w:hyperlink>
          </w:p>
        </w:tc>
        <w:tc>
          <w:tcPr>
            <w:tcW w:w="6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40" w:type="dxa"/>
            <w:vAlign w:val="bottom"/>
            <w:vMerge w:val="restart"/>
          </w:tcPr>
          <w:p>
            <w:pPr>
              <w:spacing w:after="0"/>
              <w:rPr>
                <w:sz w:val="13"/>
                <w:szCs w:val="13"/>
                <w:color w:val="auto"/>
              </w:rPr>
            </w:pPr>
          </w:p>
        </w:tc>
        <w:tc>
          <w:tcPr>
            <w:tcW w:w="400" w:type="dxa"/>
            <w:vAlign w:val="bottom"/>
            <w:gridSpan w:val="3"/>
            <w:vMerge w:val="restart"/>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4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28"/>
          </w:tcPr>
          <w:p>
            <w:pPr>
              <w:spacing w:after="0" w:line="152" w:lineRule="exact"/>
              <w:rPr>
                <w:rFonts w:ascii="Arial" w:cs="Arial" w:eastAsia="Arial" w:hAnsi="Arial"/>
                <w:sz w:val="17"/>
                <w:szCs w:val="17"/>
                <w:color w:val="0000FF"/>
                <w:w w:val="95"/>
              </w:rPr>
            </w:pPr>
            <w:hyperlink w:anchor="page53">
              <w:r>
                <w:rPr>
                  <w:rFonts w:ascii="Arial" w:cs="Arial" w:eastAsia="Arial" w:hAnsi="Arial"/>
                  <w:sz w:val="17"/>
                  <w:szCs w:val="17"/>
                  <w:color w:val="0000FF"/>
                  <w:w w:val="95"/>
                </w:rPr>
                <w:t>Securities Exchange Act Rules 13a-14(a), as adopted Pursuant to</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w:anchor="page53">
              <w:r>
                <w:rPr>
                  <w:rFonts w:ascii="Arial" w:cs="Arial" w:eastAsia="Arial" w:hAnsi="Arial"/>
                  <w:sz w:val="17"/>
                  <w:szCs w:val="17"/>
                  <w:color w:val="0000FF"/>
                </w:rPr>
                <w:t>Section 302 of the Sarbanes-Oxley Act of 2002</w:t>
              </w:r>
            </w:hyperlink>
          </w:p>
        </w:tc>
        <w:tc>
          <w:tcPr>
            <w:tcW w:w="1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tcBorders>
              <w:bottom w:val="single" w:sz="8" w:color="0000FF"/>
            </w:tcBorders>
            <w:gridSpan w:val="20"/>
          </w:tcPr>
          <w:p>
            <w:pPr>
              <w:spacing w:after="0" w:line="185"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Principal Executive Officer Pursuant to 18</w:t>
              </w:r>
            </w:hyperlink>
          </w:p>
        </w:tc>
        <w:tc>
          <w:tcPr>
            <w:tcW w:w="32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 w:type="dxa"/>
            <w:vAlign w:val="bottom"/>
            <w:vMerge w:val="restart"/>
          </w:tcPr>
          <w:p>
            <w:pPr>
              <w:spacing w:after="0"/>
              <w:rPr>
                <w:sz w:val="13"/>
                <w:szCs w:val="13"/>
                <w:color w:val="auto"/>
              </w:rPr>
            </w:pPr>
          </w:p>
        </w:tc>
        <w:tc>
          <w:tcPr>
            <w:tcW w:w="400" w:type="dxa"/>
            <w:vAlign w:val="bottom"/>
            <w:gridSpan w:val="3"/>
            <w:vMerge w:val="restart"/>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4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bottom w:val="single" w:sz="8" w:color="0000FF"/>
            </w:tcBorders>
            <w:gridSpan w:val="22"/>
          </w:tcPr>
          <w:p>
            <w:pPr>
              <w:spacing w:after="0" w:line="152" w:lineRule="exact"/>
              <w:rPr>
                <w:rFonts w:ascii="Arial" w:cs="Arial" w:eastAsia="Arial" w:hAnsi="Arial"/>
                <w:sz w:val="17"/>
                <w:szCs w:val="17"/>
                <w:color w:val="0000FF"/>
                <w:w w:val="92"/>
              </w:rPr>
            </w:pPr>
            <w:hyperlink w:anchor="page54">
              <w:r>
                <w:rPr>
                  <w:rFonts w:ascii="Arial" w:cs="Arial" w:eastAsia="Arial" w:hAnsi="Arial"/>
                  <w:sz w:val="17"/>
                  <w:szCs w:val="17"/>
                  <w:color w:val="0000FF"/>
                  <w:w w:val="92"/>
                </w:rPr>
                <w:t>U.S.C. Section 1350, as adopted Pursuant to Section 906 of the</w:t>
              </w:r>
            </w:hyperlink>
          </w:p>
        </w:tc>
        <w:tc>
          <w:tcPr>
            <w:tcW w:w="40" w:type="dxa"/>
            <w:vAlign w:val="bottom"/>
            <w:tcBorders>
              <w:bottom w:val="single" w:sz="8" w:color="0000FF"/>
            </w:tcBorders>
          </w:tcPr>
          <w:p>
            <w:pPr>
              <w:spacing w:after="0"/>
              <w:rPr>
                <w:sz w:val="13"/>
                <w:szCs w:val="13"/>
                <w:color w:val="auto"/>
              </w:rPr>
            </w:pPr>
          </w:p>
        </w:tc>
        <w:tc>
          <w:tcPr>
            <w:tcW w:w="28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vMerge w:val="continue"/>
          </w:tcPr>
          <w:p>
            <w:pPr>
              <w:spacing w:after="0"/>
              <w:rPr>
                <w:sz w:val="13"/>
                <w:szCs w:val="13"/>
                <w:color w:val="auto"/>
              </w:rPr>
            </w:pPr>
          </w:p>
        </w:tc>
        <w:tc>
          <w:tcPr>
            <w:tcW w:w="400" w:type="dxa"/>
            <w:vAlign w:val="bottom"/>
            <w:tcBorders>
              <w:bottom w:val="single" w:sz="8" w:color="0000FF"/>
            </w:tcBorders>
            <w:gridSpan w:val="3"/>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bottom w:val="single" w:sz="8" w:color="0000FF"/>
            </w:tcBorders>
            <w:gridSpan w:val="5"/>
          </w:tcPr>
          <w:p>
            <w:pPr>
              <w:spacing w:after="0" w:line="152" w:lineRule="exact"/>
              <w:rPr>
                <w:rFonts w:ascii="Arial" w:cs="Arial" w:eastAsia="Arial" w:hAnsi="Arial"/>
                <w:sz w:val="17"/>
                <w:szCs w:val="17"/>
                <w:color w:val="0000FF"/>
                <w:w w:val="94"/>
              </w:rPr>
            </w:pPr>
            <w:hyperlink w:anchor="page54">
              <w:r>
                <w:rPr>
                  <w:rFonts w:ascii="Arial" w:cs="Arial" w:eastAsia="Arial" w:hAnsi="Arial"/>
                  <w:sz w:val="17"/>
                  <w:szCs w:val="17"/>
                  <w:color w:val="0000FF"/>
                  <w:w w:val="94"/>
                </w:rPr>
                <w:t>Sarbanes-Oxley Act of 2002</w:t>
              </w:r>
            </w:hyperlink>
          </w:p>
        </w:tc>
        <w:tc>
          <w:tcPr>
            <w:tcW w:w="2480" w:type="dxa"/>
            <w:vAlign w:val="bottom"/>
            <w:gridSpan w:val="18"/>
          </w:tcPr>
          <w:p>
            <w:pPr>
              <w:spacing w:after="0"/>
              <w:rPr>
                <w:sz w:val="13"/>
                <w:szCs w:val="13"/>
                <w:color w:val="auto"/>
              </w:rPr>
            </w:pPr>
          </w:p>
        </w:tc>
        <w:tc>
          <w:tcPr>
            <w:tcW w:w="28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8"/>
          </w:tcPr>
          <w:p>
            <w:pPr>
              <w:spacing w:after="0" w:line="205"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Certification of Principal Financial Officer Pursuant to 18</w:t>
              </w:r>
            </w:hyperlink>
          </w:p>
        </w:tc>
        <w:tc>
          <w:tcPr>
            <w:tcW w:w="3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200" w:type="dxa"/>
            <w:vAlign w:val="bottom"/>
            <w:gridSpan w:val="5"/>
            <w:vMerge w:val="restart"/>
          </w:tcPr>
          <w:p>
            <w:pPr>
              <w:ind w:left="340"/>
              <w:spacing w:after="0"/>
              <w:rPr>
                <w:rFonts w:ascii="Arial" w:cs="Arial" w:eastAsia="Arial" w:hAnsi="Arial"/>
                <w:sz w:val="18"/>
                <w:szCs w:val="18"/>
                <w:color w:val="0000FF"/>
              </w:rPr>
            </w:pPr>
            <w:hyperlink w:anchor="page5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28"/>
          </w:tcPr>
          <w:p>
            <w:pPr>
              <w:spacing w:after="0" w:line="152" w:lineRule="exact"/>
              <w:rPr>
                <w:rFonts w:ascii="Arial" w:cs="Arial" w:eastAsia="Arial" w:hAnsi="Arial"/>
                <w:sz w:val="17"/>
                <w:szCs w:val="17"/>
                <w:color w:val="0000FF"/>
                <w:w w:val="98"/>
              </w:rPr>
            </w:pPr>
            <w:hyperlink w:anchor="page55">
              <w:r>
                <w:rPr>
                  <w:rFonts w:ascii="Arial" w:cs="Arial" w:eastAsia="Arial" w:hAnsi="Arial"/>
                  <w:sz w:val="17"/>
                  <w:szCs w:val="17"/>
                  <w:color w:val="0000FF"/>
                  <w:w w:val="98"/>
                </w:rPr>
                <w:t>U.S.C. Section 1350, as adopted Pursuant to Section 906 of the</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w:anchor="page55">
              <w:r>
                <w:rPr>
                  <w:rFonts w:ascii="Arial" w:cs="Arial" w:eastAsia="Arial" w:hAnsi="Arial"/>
                  <w:sz w:val="17"/>
                  <w:szCs w:val="17"/>
                  <w:color w:val="0000FF"/>
                </w:rPr>
                <w:t>Sarbanes-Oxley Act of 2002</w:t>
              </w:r>
            </w:hyperlink>
          </w:p>
        </w:tc>
        <w:tc>
          <w:tcPr>
            <w:tcW w:w="28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20" w:type="dxa"/>
            <w:vAlign w:val="bottom"/>
            <w:tcBorders>
              <w:bottom w:val="single" w:sz="8" w:color="0000FF"/>
            </w:tcBorders>
            <w:gridSpan w:val="2"/>
          </w:tcPr>
          <w:p>
            <w:pPr>
              <w:spacing w:after="0" w:line="198" w:lineRule="exact"/>
              <w:rPr>
                <w:rFonts w:ascii="Arial" w:cs="Arial" w:eastAsia="Arial" w:hAnsi="Arial"/>
                <w:sz w:val="18"/>
                <w:szCs w:val="18"/>
                <w:color w:val="0000FF"/>
                <w:w w:val="85"/>
              </w:rPr>
            </w:pPr>
            <w:hyperlink r:id="rId78">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7"/>
          </w:tcPr>
          <w:p>
            <w:pPr>
              <w:spacing w:after="0" w:line="198" w:lineRule="exact"/>
              <w:rPr>
                <w:rFonts w:ascii="Arial" w:cs="Arial" w:eastAsia="Arial" w:hAnsi="Arial"/>
                <w:sz w:val="18"/>
                <w:szCs w:val="18"/>
                <w:color w:val="0000FF"/>
                <w:w w:val="88"/>
              </w:rPr>
            </w:pPr>
            <w:hyperlink r:id="rId78">
              <w:r>
                <w:rPr>
                  <w:rFonts w:ascii="Arial" w:cs="Arial" w:eastAsia="Arial" w:hAnsi="Arial"/>
                  <w:sz w:val="18"/>
                  <w:szCs w:val="18"/>
                  <w:color w:val="0000FF"/>
                  <w:w w:val="88"/>
                </w:rPr>
                <w:t>Notice of Redemption dated October 4, 2021</w:t>
              </w:r>
            </w:hyperlink>
          </w:p>
        </w:tc>
        <w:tc>
          <w:tcPr>
            <w:tcW w:w="1280" w:type="dxa"/>
            <w:vAlign w:val="bottom"/>
            <w:gridSpan w:val="19"/>
          </w:tcPr>
          <w:p>
            <w:pPr>
              <w:spacing w:after="0"/>
              <w:rPr>
                <w:sz w:val="17"/>
                <w:szCs w:val="17"/>
                <w:color w:val="auto"/>
              </w:rPr>
            </w:pPr>
          </w:p>
        </w:tc>
        <w:tc>
          <w:tcPr>
            <w:tcW w:w="860" w:type="dxa"/>
            <w:vAlign w:val="bottom"/>
            <w:gridSpan w:val="2"/>
          </w:tcPr>
          <w:p>
            <w:pPr>
              <w:ind w:left="340"/>
              <w:spacing w:after="0" w:line="198"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292"/>
              <w:spacing w:after="0" w:line="198" w:lineRule="exact"/>
              <w:rPr>
                <w:sz w:val="20"/>
                <w:szCs w:val="20"/>
                <w:color w:val="auto"/>
              </w:rPr>
            </w:pPr>
            <w:r>
              <w:rPr>
                <w:rFonts w:ascii="Arial" w:cs="Arial" w:eastAsia="Arial" w:hAnsi="Arial"/>
                <w:sz w:val="18"/>
                <w:szCs w:val="18"/>
                <w:color w:val="auto"/>
                <w:w w:val="87"/>
              </w:rPr>
              <w:t>39565</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6"/>
          </w:tcPr>
          <w:p>
            <w:pPr>
              <w:spacing w:after="0"/>
              <w:rPr>
                <w:sz w:val="20"/>
                <w:szCs w:val="20"/>
                <w:color w:val="auto"/>
              </w:rPr>
            </w:pPr>
            <w:r>
              <w:rPr>
                <w:rFonts w:ascii="Arial" w:cs="Arial" w:eastAsia="Arial" w:hAnsi="Arial"/>
                <w:sz w:val="18"/>
                <w:szCs w:val="18"/>
                <w:color w:val="auto"/>
              </w:rPr>
              <w:t>Inline XBRL Instance Document</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4" w:lineRule="exact"/>
              <w:rPr>
                <w:sz w:val="20"/>
                <w:szCs w:val="20"/>
                <w:color w:val="auto"/>
              </w:rPr>
            </w:pPr>
            <w:r>
              <w:rPr>
                <w:rFonts w:ascii="Arial" w:cs="Arial" w:eastAsia="Arial" w:hAnsi="Arial"/>
                <w:sz w:val="18"/>
                <w:szCs w:val="18"/>
                <w:color w:val="auto"/>
              </w:rPr>
              <w:t>Inline XBRL Taxonomy Extension Calculation Linkbase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4" w:lineRule="exact"/>
              <w:rPr>
                <w:sz w:val="20"/>
                <w:szCs w:val="20"/>
                <w:color w:val="auto"/>
              </w:rPr>
            </w:pPr>
            <w:r>
              <w:rPr>
                <w:rFonts w:ascii="Arial" w:cs="Arial" w:eastAsia="Arial" w:hAnsi="Arial"/>
                <w:sz w:val="18"/>
                <w:szCs w:val="18"/>
                <w:color w:val="auto"/>
              </w:rPr>
              <w:t>Inline XBRL Taxonomy Extension Definition Linkbase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4" w:lineRule="exact"/>
              <w:rPr>
                <w:sz w:val="20"/>
                <w:szCs w:val="20"/>
                <w:color w:val="auto"/>
              </w:rPr>
            </w:pPr>
            <w:r>
              <w:rPr>
                <w:rFonts w:ascii="Arial" w:cs="Arial" w:eastAsia="Arial" w:hAnsi="Arial"/>
                <w:sz w:val="18"/>
                <w:szCs w:val="18"/>
                <w:color w:val="auto"/>
              </w:rPr>
              <w:t>Inline XBRL Taxonomy Extension Labels Linkbase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4" w:lineRule="exact"/>
              <w:rPr>
                <w:sz w:val="20"/>
                <w:szCs w:val="20"/>
                <w:color w:val="auto"/>
              </w:rPr>
            </w:pPr>
            <w:r>
              <w:rPr>
                <w:rFonts w:ascii="Arial" w:cs="Arial" w:eastAsia="Arial" w:hAnsi="Arial"/>
                <w:sz w:val="18"/>
                <w:szCs w:val="18"/>
                <w:color w:val="auto"/>
                <w:w w:val="98"/>
              </w:rPr>
              <w:t>Inline XBRL Taxonomy Extension Presentation Linkbase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200" w:type="dxa"/>
            <w:vAlign w:val="bottom"/>
            <w:gridSpan w:val="5"/>
            <w:vMerge w:val="restart"/>
          </w:tcPr>
          <w:p>
            <w:pPr>
              <w:ind w:left="3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4" w:lineRule="exact"/>
              <w:rPr>
                <w:sz w:val="20"/>
                <w:szCs w:val="20"/>
                <w:color w:val="auto"/>
              </w:rPr>
            </w:pPr>
            <w:r>
              <w:rPr>
                <w:rFonts w:ascii="Arial" w:cs="Arial" w:eastAsia="Arial" w:hAnsi="Arial"/>
                <w:sz w:val="18"/>
                <w:szCs w:val="18"/>
                <w:color w:val="auto"/>
                <w:w w:val="94"/>
              </w:rPr>
              <w:t>Cover Page Interactive Data File (formatted as Inline XBRL</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8"/>
          </w:tcPr>
          <w:p>
            <w:pPr>
              <w:spacing w:after="0"/>
              <w:rPr>
                <w:sz w:val="20"/>
                <w:szCs w:val="20"/>
                <w:color w:val="auto"/>
              </w:rPr>
            </w:pPr>
            <w:r>
              <w:rPr>
                <w:rFonts w:ascii="Arial" w:cs="Arial" w:eastAsia="Arial" w:hAnsi="Arial"/>
                <w:sz w:val="18"/>
                <w:szCs w:val="18"/>
                <w:color w:val="auto"/>
              </w:rPr>
              <w:t>and contained in Exhibit 101 attachments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-5829300</wp:posOffset>
            </wp:positionV>
            <wp:extent cx="7134860" cy="589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4860" cy="5892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-4971415</wp:posOffset>
            </wp:positionV>
            <wp:extent cx="7134860" cy="269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-4340225</wp:posOffset>
            </wp:positionV>
            <wp:extent cx="7134860" cy="269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-3801745</wp:posOffset>
            </wp:positionV>
            <wp:extent cx="7134860" cy="269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-3263265</wp:posOffset>
            </wp:positionV>
            <wp:extent cx="7134860" cy="361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4860" cy="3619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-2539365</wp:posOffset>
            </wp:positionV>
            <wp:extent cx="7134860" cy="361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4860" cy="3619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-1816100</wp:posOffset>
            </wp:positionV>
            <wp:extent cx="7134860" cy="269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-1403985</wp:posOffset>
            </wp:positionV>
            <wp:extent cx="713486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-1008380</wp:posOffset>
            </wp:positionV>
            <wp:extent cx="7134860" cy="252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4860" cy="2527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-503555</wp:posOffset>
            </wp:positionV>
            <wp:extent cx="7134860" cy="252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93"/>
              </w:rPr>
              <w:t>Exhibit</w:t>
            </w:r>
          </w:p>
        </w:tc>
        <w:tc>
          <w:tcPr>
            <w:tcW w:w="80" w:type="dxa"/>
            <w:vAlign w:val="bottom"/>
            <w:vMerge w:val="restart"/>
          </w:tcPr>
          <w:p>
            <w:pPr>
              <w:spacing w:after="0"/>
              <w:rPr>
                <w:sz w:val="17"/>
                <w:szCs w:val="17"/>
                <w:color w:val="auto"/>
              </w:rPr>
            </w:pPr>
          </w:p>
        </w:tc>
        <w:tc>
          <w:tcPr>
            <w:tcW w:w="14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Filing Date</w:t>
            </w:r>
          </w:p>
        </w:tc>
        <w:tc>
          <w:tcPr>
            <w:tcW w:w="80" w:type="dxa"/>
            <w:vAlign w:val="bottom"/>
            <w:vMerge w:val="restart"/>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December 9,</w:t>
      </w:r>
    </w:p>
    <w:p>
      <w:pPr>
        <w:ind w:left="680"/>
        <w:spacing w:after="0"/>
        <w:tabs>
          <w:tab w:leader="none" w:pos="2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2020</w:t>
      </w:r>
    </w:p>
    <w:p>
      <w:pPr>
        <w:spacing w:after="0" w:line="190"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May 10, 2021</w:t>
      </w:r>
    </w:p>
    <w:p>
      <w:pPr>
        <w:spacing w:after="0" w:line="230"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May 10, 2021</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September 14,</w:t>
      </w:r>
    </w:p>
    <w:p>
      <w:pPr>
        <w:ind w:left="680"/>
        <w:spacing w:after="0"/>
        <w:tabs>
          <w:tab w:leader="none" w:pos="2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2021</w:t>
      </w:r>
    </w:p>
    <w:p>
      <w:pPr>
        <w:ind w:left="1420"/>
        <w:spacing w:after="0" w:line="236" w:lineRule="auto"/>
        <w:rPr>
          <w:sz w:val="20"/>
          <w:szCs w:val="20"/>
          <w:color w:val="auto"/>
        </w:rPr>
      </w:pPr>
      <w:r>
        <w:rPr>
          <w:rFonts w:ascii="Arial" w:cs="Arial" w:eastAsia="Arial" w:hAnsi="Arial"/>
          <w:sz w:val="18"/>
          <w:szCs w:val="18"/>
          <w:color w:val="auto"/>
        </w:rPr>
        <w:t>September 14,</w:t>
      </w:r>
    </w:p>
    <w:p>
      <w:pPr>
        <w:ind w:left="680"/>
        <w:spacing w:after="0"/>
        <w:tabs>
          <w:tab w:leader="none" w:pos="2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2021</w:t>
      </w:r>
    </w:p>
    <w:p>
      <w:pPr>
        <w:spacing w:after="0" w:line="216"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April 30, 2021</w:t>
      </w:r>
    </w:p>
    <w:p>
      <w:pPr>
        <w:spacing w:after="0" w:line="217"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April 30, 2021</w:t>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September 14,</w:t>
      </w:r>
    </w:p>
    <w:p>
      <w:pPr>
        <w:ind w:left="580"/>
        <w:spacing w:after="0"/>
        <w:tabs>
          <w:tab w:leader="none" w:pos="2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2021</w:t>
      </w:r>
    </w:p>
    <w:p>
      <w:pPr>
        <w:spacing w:after="0" w:line="349"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363"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363"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363"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October 4,</w:t>
      </w:r>
    </w:p>
    <w:p>
      <w:pPr>
        <w:ind w:left="580"/>
        <w:spacing w:after="0"/>
        <w:tabs>
          <w:tab w:leader="none" w:pos="2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2021</w:t>
      </w:r>
    </w:p>
    <w:p>
      <w:pPr>
        <w:spacing w:after="0" w:line="4"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191"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191"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191"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191"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X</w:t>
      </w:r>
    </w:p>
    <w:p>
      <w:pPr>
        <w:spacing w:after="0" w:line="510" w:lineRule="exact"/>
        <w:rPr>
          <w:sz w:val="20"/>
          <w:szCs w:val="20"/>
          <w:color w:val="auto"/>
        </w:rPr>
      </w:pPr>
    </w:p>
    <w:p>
      <w:pPr>
        <w:sectPr>
          <w:pgSz w:w="11900" w:h="16838" w:orient="portrait"/>
          <w:cols w:equalWidth="0" w:num="2">
            <w:col w:w="7780" w:space="100"/>
            <w:col w:w="3360"/>
          </w:cols>
          <w:pgMar w:left="320" w:top="127" w:right="339" w:bottom="1440" w:gutter="0" w:footer="0" w:header="0"/>
          <w:type w:val="continuous"/>
        </w:sectPr>
      </w:pPr>
    </w:p>
    <w:p>
      <w:pPr>
        <w:spacing w:after="0"/>
        <w:rPr>
          <w:sz w:val="20"/>
          <w:szCs w:val="20"/>
          <w:color w:val="auto"/>
        </w:rPr>
      </w:pPr>
      <w:r>
        <w:rPr>
          <w:rFonts w:ascii="Arial" w:cs="Arial" w:eastAsia="Arial" w:hAnsi="Arial"/>
          <w:sz w:val="21"/>
          <w:szCs w:val="21"/>
          <w:color w:val="auto"/>
        </w:rPr>
        <w:t>________</w:t>
      </w:r>
    </w:p>
    <w:p>
      <w:pPr>
        <w:ind w:left="320" w:right="20" w:hanging="314"/>
        <w:spacing w:after="0" w:line="217" w:lineRule="auto"/>
        <w:tabs>
          <w:tab w:leader="none" w:pos="211"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320" w:right="40" w:hanging="314"/>
        <w:spacing w:after="0" w:line="233" w:lineRule="auto"/>
        <w:tabs>
          <w:tab w:leader="none" w:pos="282"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w:t>
      </w:r>
    </w:p>
    <w:p>
      <w:pPr>
        <w:ind w:left="320"/>
        <w:spacing w:after="0" w:line="219" w:lineRule="auto"/>
        <w:rPr>
          <w:sz w:val="20"/>
          <w:szCs w:val="20"/>
          <w:color w:val="auto"/>
        </w:rPr>
      </w:pPr>
      <w:r>
        <w:rPr>
          <w:rFonts w:ascii="Arial" w:cs="Arial" w:eastAsia="Arial" w:hAnsi="Arial"/>
          <w:sz w:val="14"/>
          <w:szCs w:val="14"/>
          <w:color w:val="auto"/>
        </w:rPr>
        <w:t>reference in such filing or document.</w:t>
      </w: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784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99"/>
              </w:rPr>
              <w:t>THE BEAUTY HEALTH COMPANY</w:t>
            </w:r>
          </w:p>
        </w:tc>
      </w:tr>
      <w:tr>
        <w:trPr>
          <w:trHeight w:val="478"/>
        </w:trPr>
        <w:tc>
          <w:tcPr>
            <w:tcW w:w="3160" w:type="dxa"/>
            <w:vAlign w:val="bottom"/>
          </w:tcPr>
          <w:p>
            <w:pPr>
              <w:spacing w:after="0"/>
              <w:rPr>
                <w:sz w:val="20"/>
                <w:szCs w:val="20"/>
                <w:color w:val="auto"/>
              </w:rPr>
            </w:pPr>
            <w:r>
              <w:rPr>
                <w:rFonts w:ascii="Arial" w:cs="Arial" w:eastAsia="Arial" w:hAnsi="Arial"/>
                <w:sz w:val="18"/>
                <w:szCs w:val="18"/>
                <w:color w:val="auto"/>
              </w:rPr>
              <w:t>Date: November 12, 2021</w:t>
            </w:r>
          </w:p>
        </w:tc>
        <w:tc>
          <w:tcPr>
            <w:tcW w:w="7840" w:type="dxa"/>
            <w:vAlign w:val="bottom"/>
            <w:gridSpan w:val="2"/>
          </w:tcPr>
          <w:p>
            <w:pPr>
              <w:ind w:left="1840"/>
              <w:spacing w:after="0"/>
              <w:rPr>
                <w:sz w:val="20"/>
                <w:szCs w:val="20"/>
                <w:color w:val="auto"/>
              </w:rPr>
            </w:pPr>
            <w:r>
              <w:rPr>
                <w:rFonts w:ascii="Arial" w:cs="Arial" w:eastAsia="Arial" w:hAnsi="Arial"/>
                <w:sz w:val="18"/>
                <w:szCs w:val="18"/>
                <w:color w:val="auto"/>
              </w:rPr>
              <w:t>By: /s/ Clinton E. Carnell</w:t>
            </w:r>
          </w:p>
        </w:tc>
      </w:tr>
      <w:tr>
        <w:trPr>
          <w:trHeight w:val="20"/>
        </w:trPr>
        <w:tc>
          <w:tcPr>
            <w:tcW w:w="3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3160" w:type="dxa"/>
            <w:vAlign w:val="bottom"/>
          </w:tcPr>
          <w:p>
            <w:pPr>
              <w:spacing w:after="0"/>
              <w:rPr>
                <w:sz w:val="18"/>
                <w:szCs w:val="18"/>
                <w:color w:val="auto"/>
              </w:rPr>
            </w:pPr>
          </w:p>
        </w:tc>
        <w:tc>
          <w:tcPr>
            <w:tcW w:w="7840" w:type="dxa"/>
            <w:vAlign w:val="bottom"/>
            <w:gridSpan w:val="2"/>
          </w:tcPr>
          <w:p>
            <w:pPr>
              <w:ind w:left="1620"/>
              <w:spacing w:after="0"/>
              <w:rPr>
                <w:sz w:val="20"/>
                <w:szCs w:val="20"/>
                <w:color w:val="auto"/>
              </w:rPr>
            </w:pPr>
            <w:r>
              <w:rPr>
                <w:rFonts w:ascii="Arial" w:cs="Arial" w:eastAsia="Arial" w:hAnsi="Arial"/>
                <w:sz w:val="18"/>
                <w:szCs w:val="18"/>
                <w:color w:val="auto"/>
              </w:rPr>
              <w:t>Name: Clinton E. Carnell</w:t>
            </w:r>
          </w:p>
        </w:tc>
      </w:tr>
      <w:tr>
        <w:trPr>
          <w:trHeight w:val="225"/>
        </w:trPr>
        <w:tc>
          <w:tcPr>
            <w:tcW w:w="3160" w:type="dxa"/>
            <w:vAlign w:val="bottom"/>
          </w:tcPr>
          <w:p>
            <w:pPr>
              <w:spacing w:after="0"/>
              <w:rPr>
                <w:sz w:val="19"/>
                <w:szCs w:val="19"/>
                <w:color w:val="auto"/>
              </w:rPr>
            </w:pPr>
          </w:p>
        </w:tc>
        <w:tc>
          <w:tcPr>
            <w:tcW w:w="7840" w:type="dxa"/>
            <w:vAlign w:val="bottom"/>
            <w:gridSpan w:val="2"/>
          </w:tcPr>
          <w:p>
            <w:pPr>
              <w:jc w:val="center"/>
              <w:ind w:right="2212"/>
              <w:spacing w:after="0"/>
              <w:rPr>
                <w:sz w:val="20"/>
                <w:szCs w:val="20"/>
                <w:color w:val="auto"/>
              </w:rPr>
            </w:pPr>
            <w:r>
              <w:rPr>
                <w:rFonts w:ascii="Arial" w:cs="Arial" w:eastAsia="Arial" w:hAnsi="Arial"/>
                <w:sz w:val="18"/>
                <w:szCs w:val="18"/>
                <w:color w:val="auto"/>
                <w:w w:val="92"/>
              </w:rPr>
              <w:t>Title: Chief Executive Officer</w:t>
            </w:r>
          </w:p>
        </w:tc>
      </w:tr>
      <w:tr>
        <w:trPr>
          <w:trHeight w:val="225"/>
        </w:trPr>
        <w:tc>
          <w:tcPr>
            <w:tcW w:w="3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8"/>
        </w:trPr>
        <w:tc>
          <w:tcPr>
            <w:tcW w:w="3160" w:type="dxa"/>
            <w:vAlign w:val="bottom"/>
          </w:tcPr>
          <w:p>
            <w:pPr>
              <w:spacing w:after="0"/>
              <w:rPr>
                <w:sz w:val="20"/>
                <w:szCs w:val="20"/>
                <w:color w:val="auto"/>
              </w:rPr>
            </w:pPr>
            <w:r>
              <w:rPr>
                <w:rFonts w:ascii="Arial" w:cs="Arial" w:eastAsia="Arial" w:hAnsi="Arial"/>
                <w:sz w:val="18"/>
                <w:szCs w:val="18"/>
                <w:color w:val="auto"/>
              </w:rPr>
              <w:t>Date: November 12, 2021</w:t>
            </w:r>
          </w:p>
        </w:tc>
        <w:tc>
          <w:tcPr>
            <w:tcW w:w="7840" w:type="dxa"/>
            <w:vAlign w:val="bottom"/>
            <w:gridSpan w:val="2"/>
          </w:tcPr>
          <w:p>
            <w:pPr>
              <w:ind w:left="1840"/>
              <w:spacing w:after="0"/>
              <w:rPr>
                <w:sz w:val="20"/>
                <w:szCs w:val="20"/>
                <w:color w:val="auto"/>
              </w:rPr>
            </w:pPr>
            <w:r>
              <w:rPr>
                <w:rFonts w:ascii="Arial" w:cs="Arial" w:eastAsia="Arial" w:hAnsi="Arial"/>
                <w:sz w:val="18"/>
                <w:szCs w:val="18"/>
                <w:color w:val="auto"/>
              </w:rPr>
              <w:t>By: /s/ Liyuan Woo</w:t>
            </w:r>
          </w:p>
        </w:tc>
      </w:tr>
      <w:tr>
        <w:trPr>
          <w:trHeight w:val="20"/>
        </w:trPr>
        <w:tc>
          <w:tcPr>
            <w:tcW w:w="3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3160" w:type="dxa"/>
            <w:vAlign w:val="bottom"/>
          </w:tcPr>
          <w:p>
            <w:pPr>
              <w:spacing w:after="0"/>
              <w:rPr>
                <w:sz w:val="18"/>
                <w:szCs w:val="18"/>
                <w:color w:val="auto"/>
              </w:rPr>
            </w:pPr>
          </w:p>
        </w:tc>
        <w:tc>
          <w:tcPr>
            <w:tcW w:w="7840" w:type="dxa"/>
            <w:vAlign w:val="bottom"/>
            <w:gridSpan w:val="2"/>
          </w:tcPr>
          <w:p>
            <w:pPr>
              <w:ind w:left="1620"/>
              <w:spacing w:after="0"/>
              <w:rPr>
                <w:sz w:val="20"/>
                <w:szCs w:val="20"/>
                <w:color w:val="auto"/>
              </w:rPr>
            </w:pPr>
            <w:r>
              <w:rPr>
                <w:rFonts w:ascii="Arial" w:cs="Arial" w:eastAsia="Arial" w:hAnsi="Arial"/>
                <w:sz w:val="18"/>
                <w:szCs w:val="18"/>
                <w:color w:val="auto"/>
              </w:rPr>
              <w:t>Name: Liyuan Woo</w:t>
            </w:r>
          </w:p>
        </w:tc>
      </w:tr>
      <w:tr>
        <w:trPr>
          <w:trHeight w:val="225"/>
        </w:trPr>
        <w:tc>
          <w:tcPr>
            <w:tcW w:w="3160" w:type="dxa"/>
            <w:vAlign w:val="bottom"/>
          </w:tcPr>
          <w:p>
            <w:pPr>
              <w:spacing w:after="0"/>
              <w:rPr>
                <w:sz w:val="19"/>
                <w:szCs w:val="19"/>
                <w:color w:val="auto"/>
              </w:rPr>
            </w:pPr>
          </w:p>
        </w:tc>
        <w:tc>
          <w:tcPr>
            <w:tcW w:w="7840" w:type="dxa"/>
            <w:vAlign w:val="bottom"/>
            <w:gridSpan w:val="2"/>
          </w:tcPr>
          <w:p>
            <w:pPr>
              <w:jc w:val="center"/>
              <w:ind w:right="2272"/>
              <w:spacing w:after="0"/>
              <w:rPr>
                <w:sz w:val="20"/>
                <w:szCs w:val="20"/>
                <w:color w:val="auto"/>
              </w:rPr>
            </w:pPr>
            <w:r>
              <w:rPr>
                <w:rFonts w:ascii="Arial" w:cs="Arial" w:eastAsia="Arial" w:hAnsi="Arial"/>
                <w:sz w:val="18"/>
                <w:szCs w:val="18"/>
                <w:color w:val="auto"/>
                <w:w w:val="92"/>
              </w:rPr>
              <w:t>Title: Chief Financial Officer</w:t>
            </w:r>
          </w:p>
        </w:tc>
      </w:tr>
      <w:tr>
        <w:trPr>
          <w:trHeight w:val="225"/>
        </w:trPr>
        <w:tc>
          <w:tcPr>
            <w:tcW w:w="3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Accounting Officer and Financial Officer)</w:t>
            </w:r>
          </w:p>
        </w:tc>
      </w:tr>
      <w:tr>
        <w:trPr>
          <w:trHeight w:val="888"/>
        </w:trPr>
        <w:tc>
          <w:tcPr>
            <w:tcW w:w="3160" w:type="dxa"/>
            <w:vAlign w:val="bottom"/>
          </w:tcPr>
          <w:p>
            <w:pPr>
              <w:spacing w:after="0"/>
              <w:rPr>
                <w:sz w:val="24"/>
                <w:szCs w:val="24"/>
                <w:color w:val="auto"/>
              </w:rPr>
            </w:pPr>
          </w:p>
        </w:tc>
        <w:tc>
          <w:tcPr>
            <w:tcW w:w="7840" w:type="dxa"/>
            <w:vAlign w:val="bottom"/>
            <w:gridSpan w:val="2"/>
          </w:tcPr>
          <w:p>
            <w:pPr>
              <w:ind w:left="230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240"/>
          </w:cols>
          <w:pgMar w:left="320" w:top="127" w:right="339" w:bottom="1440" w:gutter="0" w:footer="0" w:header="0"/>
        </w:sectPr>
      </w:pPr>
    </w:p>
    <w:bookmarkStart w:id="51" w:name="page52"/>
    <w:bookmarkEnd w:id="51"/>
    <w:p>
      <w:pPr>
        <w:ind w:left="10140"/>
        <w:spacing w:after="0"/>
        <w:rPr>
          <w:sz w:val="20"/>
          <w:szCs w:val="20"/>
          <w:color w:val="auto"/>
        </w:rPr>
      </w:pPr>
      <w:r>
        <w:rPr>
          <w:rFonts w:ascii="Arial" w:cs="Arial" w:eastAsia="Arial" w:hAnsi="Arial"/>
          <w:sz w:val="17"/>
          <w:szCs w:val="17"/>
          <w:b w:val="1"/>
          <w:bCs w:val="1"/>
          <w:color w:val="auto"/>
        </w:rPr>
        <w:t>EXHIBIT 31.1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Clinton E. Carnell, certify that:</w:t>
      </w:r>
    </w:p>
    <w:p>
      <w:pPr>
        <w:spacing w:after="0" w:line="24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30"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12,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Clinton E. Carnell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Clinton E. Carnell</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52" w:name="page53"/>
    <w:bookmarkEnd w:id="52"/>
    <w:p>
      <w:pPr>
        <w:ind w:left="10140"/>
        <w:spacing w:after="0"/>
        <w:rPr>
          <w:sz w:val="20"/>
          <w:szCs w:val="20"/>
          <w:color w:val="auto"/>
        </w:rPr>
      </w:pPr>
      <w:r>
        <w:rPr>
          <w:rFonts w:ascii="Arial" w:cs="Arial" w:eastAsia="Arial" w:hAnsi="Arial"/>
          <w:sz w:val="17"/>
          <w:szCs w:val="17"/>
          <w:b w:val="1"/>
          <w:bCs w:val="1"/>
          <w:color w:val="auto"/>
        </w:rPr>
        <w:t>EXHIBIT 31.2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30"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12,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075" w:right="339" w:bottom="1440" w:gutter="0" w:footer="0" w:header="0"/>
        </w:sectPr>
      </w:pPr>
    </w:p>
    <w:bookmarkStart w:id="53" w:name="page54"/>
    <w:bookmarkEnd w:id="53"/>
    <w:p>
      <w:pPr>
        <w:ind w:left="10140"/>
        <w:spacing w:after="0"/>
        <w:rPr>
          <w:sz w:val="20"/>
          <w:szCs w:val="20"/>
          <w:color w:val="auto"/>
        </w:rPr>
      </w:pPr>
      <w:r>
        <w:rPr>
          <w:rFonts w:ascii="Arial" w:cs="Arial" w:eastAsia="Arial" w:hAnsi="Arial"/>
          <w:sz w:val="17"/>
          <w:szCs w:val="17"/>
          <w:b w:val="1"/>
          <w:bCs w:val="1"/>
          <w:color w:val="auto"/>
        </w:rPr>
        <w:t>EXHIBIT 32.1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September 30, 2021, as filed with the Securities and Exchange Commission (the “Report”), I, Clinton E. Carnell, Chief Executive Officer of the Company, certify, pursuant to 18 U.S.C. §1350, as added by §906 of the Sarbanes-Oxley Act of 2002, that:</w:t>
      </w:r>
    </w:p>
    <w:p>
      <w:pPr>
        <w:spacing w:after="0" w:line="215"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80" w:hanging="316"/>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12,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Clinton E. Carnell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Clinton E. Carnell</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54" w:name="page55"/>
    <w:bookmarkEnd w:id="54"/>
    <w:p>
      <w:pPr>
        <w:ind w:left="10140"/>
        <w:spacing w:after="0"/>
        <w:rPr>
          <w:sz w:val="20"/>
          <w:szCs w:val="20"/>
          <w:color w:val="auto"/>
        </w:rPr>
      </w:pPr>
      <w:r>
        <w:rPr>
          <w:rFonts w:ascii="Arial" w:cs="Arial" w:eastAsia="Arial" w:hAnsi="Arial"/>
          <w:sz w:val="17"/>
          <w:szCs w:val="17"/>
          <w:b w:val="1"/>
          <w:bCs w:val="1"/>
          <w:color w:val="auto"/>
        </w:rPr>
        <w:t>EXHIBIT 32.2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September 30, 2021, as filed with the Securities and Exchange Commission (the “Report”), I, Liyuan Woo, Chief Financial Officer of the Company, certify, pursuant to 18 U.S.C. §1350, as added by §906 of the Sarbanes-Oxley Act of 2002, that:</w:t>
      </w:r>
    </w:p>
    <w:p>
      <w:pPr>
        <w:spacing w:after="0" w:line="215"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80" w:hanging="316"/>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12,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upperLetter"/>
      <w:start w:val="6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71" Type="http://schemas.openxmlformats.org/officeDocument/2006/relationships/hyperlink" Target="http://www.sec.gov/Archives/edgar/data/1818093/000121390020041690/ea131234ex2-1_vesperhealth.htm" TargetMode="External"/><Relationship Id="rId72" Type="http://schemas.openxmlformats.org/officeDocument/2006/relationships/hyperlink" Target="http://www.sec.gov/Archives/edgar/data/1818093/000119312521156433/d422189dex31.htm" TargetMode="External"/><Relationship Id="rId73" Type="http://schemas.openxmlformats.org/officeDocument/2006/relationships/hyperlink" Target="http://www.sec.gov/Archives/edgar/data/1818093/000119312521156433/d422189dex32.htm" TargetMode="External"/><Relationship Id="rId74" Type="http://schemas.openxmlformats.org/officeDocument/2006/relationships/hyperlink" Target="http://www.sec.gov/Archives/edgar/data/1818093/000181809321000062/exhibit41-convdebtclosing.htm" TargetMode="External"/><Relationship Id="rId75" Type="http://schemas.openxmlformats.org/officeDocument/2006/relationships/hyperlink" Target="http://www.sec.gov/Archives/edgar/data/1818093/000119312521145386/d133045dex101.htm" TargetMode="External"/><Relationship Id="rId76" Type="http://schemas.openxmlformats.org/officeDocument/2006/relationships/hyperlink" Target="http://www.sec.gov/Archives/edgar/data/1818093/000119312521145386/d133045dex102.htm" TargetMode="External"/><Relationship Id="rId77" Type="http://schemas.openxmlformats.org/officeDocument/2006/relationships/hyperlink" Target="http://www.sec.gov/Archives/edgar/data/1818093/000181809321000062/exhibit101-convdebtclosing.htm" TargetMode="External"/><Relationship Id="rId78" Type="http://schemas.openxmlformats.org/officeDocument/2006/relationships/hyperlink" Target="http://www.sec.gov/Archives/edgar/data/1818093/000181809321000084/ex992-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2021-11-12T20:14:34Z</dcterms:created>
  <dcterms:modified xsi:type="dcterms:W3CDTF">2021-11-12T20:14:34Z</dcterms:modified>
</cp:coreProperties>
</file>