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BEAUTY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2900" w:type="dxa"/>
            <w:vAlign w:val="bottom"/>
          </w:tcPr>
          <w:p>
            <w:pPr>
              <w:jc w:val="center"/>
              <w:ind w:right="1179"/>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ind w:left="1300"/>
              <w:spacing w:after="0"/>
              <w:rPr>
                <w:sz w:val="20"/>
                <w:szCs w:val="20"/>
                <w:color w:val="auto"/>
              </w:rPr>
            </w:pPr>
            <w:r>
              <w:rPr>
                <w:rFonts w:ascii="Arial" w:cs="Arial" w:eastAsia="Arial" w:hAnsi="Arial"/>
                <w:sz w:val="18"/>
                <w:szCs w:val="18"/>
                <w:b w:val="1"/>
                <w:bCs w:val="1"/>
                <w:color w:val="auto"/>
              </w:rPr>
              <w:t>001-39565</w:t>
            </w:r>
          </w:p>
        </w:tc>
        <w:tc>
          <w:tcPr>
            <w:tcW w:w="2240" w:type="dxa"/>
            <w:vAlign w:val="bottom"/>
          </w:tcPr>
          <w:p>
            <w:pPr>
              <w:jc w:val="center"/>
              <w:ind w:left="1021"/>
              <w:spacing w:after="0"/>
              <w:rPr>
                <w:sz w:val="20"/>
                <w:szCs w:val="20"/>
                <w:color w:val="auto"/>
              </w:rPr>
            </w:pPr>
            <w:r>
              <w:rPr>
                <w:rFonts w:ascii="Arial" w:cs="Arial" w:eastAsia="Arial" w:hAnsi="Arial"/>
                <w:sz w:val="18"/>
                <w:szCs w:val="18"/>
                <w:b w:val="1"/>
                <w:bCs w:val="1"/>
                <w:color w:val="auto"/>
                <w:w w:val="89"/>
              </w:rPr>
              <w:t>85-1908962</w:t>
            </w:r>
          </w:p>
        </w:tc>
      </w:tr>
      <w:tr>
        <w:trPr>
          <w:trHeight w:val="193"/>
        </w:trPr>
        <w:tc>
          <w:tcPr>
            <w:tcW w:w="2900" w:type="dxa"/>
            <w:vAlign w:val="bottom"/>
          </w:tcPr>
          <w:p>
            <w:pPr>
              <w:jc w:val="center"/>
              <w:ind w:right="1179"/>
              <w:spacing w:after="0"/>
              <w:rPr>
                <w:sz w:val="20"/>
                <w:szCs w:val="20"/>
                <w:color w:val="auto"/>
              </w:rPr>
            </w:pPr>
            <w:r>
              <w:rPr>
                <w:rFonts w:ascii="Arial" w:cs="Arial" w:eastAsia="Arial" w:hAnsi="Arial"/>
                <w:sz w:val="14"/>
                <w:szCs w:val="14"/>
                <w:b w:val="1"/>
                <w:bCs w:val="1"/>
                <w:color w:val="auto"/>
                <w:w w:val="93"/>
              </w:rPr>
              <w:t>(State or other jurisdiction</w:t>
            </w:r>
          </w:p>
        </w:tc>
        <w:tc>
          <w:tcPr>
            <w:tcW w:w="382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240" w:type="dxa"/>
            <w:vAlign w:val="bottom"/>
          </w:tcPr>
          <w:p>
            <w:pPr>
              <w:jc w:val="center"/>
              <w:ind w:left="1021"/>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79"/>
              <w:spacing w:after="0"/>
              <w:rPr>
                <w:sz w:val="20"/>
                <w:szCs w:val="20"/>
                <w:color w:val="auto"/>
              </w:rPr>
            </w:pPr>
            <w:r>
              <w:rPr>
                <w:rFonts w:ascii="Arial" w:cs="Arial" w:eastAsia="Arial" w:hAnsi="Arial"/>
                <w:sz w:val="14"/>
                <w:szCs w:val="14"/>
                <w:b w:val="1"/>
                <w:bCs w:val="1"/>
                <w:color w:val="auto"/>
                <w:w w:val="92"/>
              </w:rPr>
              <w:t>of incorporation)</w:t>
            </w:r>
          </w:p>
        </w:tc>
        <w:tc>
          <w:tcPr>
            <w:tcW w:w="382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2900" w:type="dxa"/>
            <w:vAlign w:val="bottom"/>
          </w:tcPr>
          <w:p>
            <w:pPr>
              <w:jc w:val="center"/>
              <w:ind w:left="239"/>
              <w:spacing w:after="0"/>
              <w:rPr>
                <w:sz w:val="20"/>
                <w:szCs w:val="20"/>
                <w:color w:val="auto"/>
              </w:rPr>
            </w:pPr>
            <w:r>
              <w:rPr>
                <w:rFonts w:ascii="Arial" w:cs="Arial" w:eastAsia="Arial" w:hAnsi="Arial"/>
                <w:sz w:val="18"/>
                <w:szCs w:val="18"/>
                <w:b w:val="1"/>
                <w:bCs w:val="1"/>
                <w:color w:val="auto"/>
                <w:w w:val="89"/>
              </w:rPr>
              <w:t>2165 Spring Street</w:t>
            </w: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2"/>
        </w:trPr>
        <w:tc>
          <w:tcPr>
            <w:tcW w:w="2900" w:type="dxa"/>
            <w:vAlign w:val="bottom"/>
          </w:tcPr>
          <w:p>
            <w:pPr>
              <w:jc w:val="center"/>
              <w:ind w:left="239"/>
              <w:spacing w:after="0"/>
              <w:rPr>
                <w:sz w:val="20"/>
                <w:szCs w:val="20"/>
                <w:color w:val="auto"/>
              </w:rPr>
            </w:pPr>
            <w:r>
              <w:rPr>
                <w:rFonts w:ascii="Arial" w:cs="Arial" w:eastAsia="Arial" w:hAnsi="Arial"/>
                <w:sz w:val="18"/>
                <w:szCs w:val="18"/>
                <w:b w:val="1"/>
                <w:bCs w:val="1"/>
                <w:color w:val="auto"/>
                <w:w w:val="90"/>
              </w:rPr>
              <w:t>Long Beach, CA</w:t>
            </w:r>
          </w:p>
        </w:tc>
        <w:tc>
          <w:tcPr>
            <w:tcW w:w="3820" w:type="dxa"/>
            <w:vAlign w:val="bottom"/>
          </w:tcPr>
          <w:p>
            <w:pPr>
              <w:spacing w:after="0"/>
              <w:rPr>
                <w:sz w:val="18"/>
                <w:szCs w:val="18"/>
                <w:color w:val="auto"/>
              </w:rPr>
            </w:pPr>
          </w:p>
        </w:tc>
        <w:tc>
          <w:tcPr>
            <w:tcW w:w="2240" w:type="dxa"/>
            <w:vAlign w:val="bottom"/>
          </w:tcPr>
          <w:p>
            <w:pPr>
              <w:jc w:val="right"/>
              <w:ind w:right="1141"/>
              <w:spacing w:after="0"/>
              <w:rPr>
                <w:sz w:val="20"/>
                <w:szCs w:val="20"/>
                <w:color w:val="auto"/>
              </w:rPr>
            </w:pPr>
            <w:r>
              <w:rPr>
                <w:rFonts w:ascii="Arial" w:cs="Arial" w:eastAsia="Arial" w:hAnsi="Arial"/>
                <w:sz w:val="18"/>
                <w:szCs w:val="18"/>
                <w:b w:val="1"/>
                <w:bCs w:val="1"/>
                <w:color w:val="auto"/>
              </w:rPr>
              <w:t>90806</w:t>
            </w:r>
          </w:p>
        </w:tc>
      </w:tr>
      <w:tr>
        <w:trPr>
          <w:trHeight w:val="213"/>
        </w:trPr>
        <w:tc>
          <w:tcPr>
            <w:tcW w:w="2900" w:type="dxa"/>
            <w:vAlign w:val="bottom"/>
          </w:tcPr>
          <w:p>
            <w:pPr>
              <w:jc w:val="center"/>
              <w:ind w:lef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20" w:type="dxa"/>
            <w:vAlign w:val="bottom"/>
          </w:tcPr>
          <w:p>
            <w:pPr>
              <w:spacing w:after="0"/>
              <w:rPr>
                <w:sz w:val="18"/>
                <w:szCs w:val="18"/>
                <w:color w:val="auto"/>
              </w:rPr>
            </w:pPr>
          </w:p>
        </w:tc>
        <w:tc>
          <w:tcPr>
            <w:tcW w:w="2240" w:type="dxa"/>
            <w:vAlign w:val="bottom"/>
          </w:tcPr>
          <w:p>
            <w:pPr>
              <w:jc w:val="center"/>
              <w:ind w:right="561"/>
              <w:spacing w:after="0"/>
              <w:rPr>
                <w:sz w:val="20"/>
                <w:szCs w:val="20"/>
                <w:color w:val="auto"/>
              </w:rPr>
            </w:pPr>
            <w:r>
              <w:rPr>
                <w:rFonts w:ascii="Arial" w:cs="Arial" w:eastAsia="Arial" w:hAnsi="Arial"/>
                <w:sz w:val="14"/>
                <w:szCs w:val="14"/>
                <w:b w:val="1"/>
                <w:bCs w:val="1"/>
                <w:color w:val="auto"/>
                <w:w w:val="98"/>
              </w:rPr>
              <w:t>(Zip Code)</w:t>
            </w:r>
          </w:p>
        </w:tc>
      </w:tr>
      <w:tr>
        <w:trPr>
          <w:trHeight w:val="246"/>
        </w:trPr>
        <w:tc>
          <w:tcPr>
            <w:tcW w:w="2900" w:type="dxa"/>
            <w:vAlign w:val="bottom"/>
          </w:tcPr>
          <w:p>
            <w:pPr>
              <w:spacing w:after="0"/>
              <w:rPr>
                <w:sz w:val="21"/>
                <w:szCs w:val="21"/>
                <w:color w:val="auto"/>
              </w:rPr>
            </w:pPr>
          </w:p>
        </w:tc>
        <w:tc>
          <w:tcPr>
            <w:tcW w:w="3820" w:type="dxa"/>
            <w:vAlign w:val="bottom"/>
          </w:tcPr>
          <w:p>
            <w:pPr>
              <w:jc w:val="right"/>
              <w:ind w:right="1461"/>
              <w:spacing w:after="0"/>
              <w:rPr>
                <w:sz w:val="20"/>
                <w:szCs w:val="20"/>
                <w:color w:val="auto"/>
              </w:rPr>
            </w:pPr>
            <w:r>
              <w:rPr>
                <w:rFonts w:ascii="Arial" w:cs="Arial" w:eastAsia="Arial" w:hAnsi="Arial"/>
                <w:sz w:val="18"/>
                <w:szCs w:val="18"/>
                <w:b w:val="1"/>
                <w:bCs w:val="1"/>
                <w:color w:val="auto"/>
              </w:rPr>
              <w:t>(800) 603-4996</w:t>
            </w:r>
          </w:p>
        </w:tc>
        <w:tc>
          <w:tcPr>
            <w:tcW w:w="2240" w:type="dxa"/>
            <w:vAlign w:val="bottom"/>
          </w:tcPr>
          <w:p>
            <w:pPr>
              <w:spacing w:after="0"/>
              <w:rPr>
                <w:sz w:val="21"/>
                <w:szCs w:val="21"/>
                <w:color w:val="auto"/>
              </w:rPr>
            </w:pPr>
          </w:p>
        </w:tc>
      </w:tr>
      <w:tr>
        <w:trPr>
          <w:trHeight w:val="186"/>
        </w:trPr>
        <w:tc>
          <w:tcPr>
            <w:tcW w:w="2900" w:type="dxa"/>
            <w:vAlign w:val="bottom"/>
          </w:tcPr>
          <w:p>
            <w:pPr>
              <w:spacing w:after="0"/>
              <w:rPr>
                <w:sz w:val="16"/>
                <w:szCs w:val="16"/>
                <w:color w:val="auto"/>
              </w:rPr>
            </w:pPr>
          </w:p>
        </w:tc>
        <w:tc>
          <w:tcPr>
            <w:tcW w:w="3820" w:type="dxa"/>
            <w:vAlign w:val="bottom"/>
          </w:tcPr>
          <w:p>
            <w:pPr>
              <w:jc w:val="center"/>
              <w:ind w:right="30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40" w:type="dxa"/>
            <w:vAlign w:val="bottom"/>
          </w:tcPr>
          <w:p>
            <w:pPr>
              <w:spacing w:after="0"/>
              <w:rPr>
                <w:sz w:val="16"/>
                <w:szCs w:val="16"/>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370"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4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6"/>
        </w:trPr>
        <w:tc>
          <w:tcPr>
            <w:tcW w:w="4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SKIN</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52"/>
        </w:trPr>
        <w:tc>
          <w:tcPr>
            <w:tcW w:w="4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Warrants, each exercisable for one share of Class A</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SKINW</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at a price of $11.50</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21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This Current Report on Form 8-K/A (this “Amendment”) amends the Current Report on Form 8-K filed with the Securities and Exchange Commission (“SEC”) on May 10, 2021 (the “Original Form 8-K”).</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previously disclosed, on April 12, 2021, the Staff of the SEC released the Staff Statement on Accounting and Reporting Considerations for Warrants Issued by Special Purpose Acquisition Companies (“SPACs”) (the “Staff Statement”). The Staff Statement sets forth the conclusion of the SEC’s Office of the Chief Accountant that certain provisions included in the warrant agreements entered into by many SPACs, including, previously, The Beauty Health Company (formerly known as Vesper Healthcare Acquisition Corp. (“Vesper”)) (the “Company”), require such warrants to be accounted for as liabilities measured at fair value, rather than as equity securities, with changes in fair value during each financial reporting period reported in earnings. The Company</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has previously classified its private placement warrants and public warrants as equity. For a full description of the Company’s private placement warrants and public warrants (collectively, the “warrants”), refer to the registration statement on Form S-1 (File No. 333-248717), filed in connection with the Company’s initial public offering, declared effective by the SEC on September 30, 2020.</w:t>
      </w:r>
    </w:p>
    <w:p>
      <w:pPr>
        <w:spacing w:after="0" w:line="6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As previously disclosed, on May 9, 2021, the Company’s management and the Audit Committee of the Company’s board of directors (the “Audit Committee”) concluded that, in light of the Staff Statement, it is appropriate to restate the Company’s previously issued audited financial statements as of</w:t>
      </w:r>
    </w:p>
    <w:p>
      <w:pPr>
        <w:spacing w:after="0" w:line="1"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December 31, 2020 and for the period from July 8, 2020 (inception) through December 31, 2020 (the “Affected Periods”) and accordingly, such audited financial statements should no longer be relied upon. Similarly, the Audit Committee concluded that any previously furnished or filed reports, related earnings releases, investor presentations or similar communications of the Company describing the Company’s financial results for the Affected Periods should no longer be relied upon, including previously filed pro forma financial statements.</w:t>
      </w:r>
    </w:p>
    <w:p>
      <w:pPr>
        <w:spacing w:after="0" w:line="7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May 28, 2021, the Company filed an amendment to its Annual Report on Form 10-K for the year ended December 31, 2020 filed with the SEC on March 18, 2021 (the “Amended 10-K”) reflecting this reclassification of the warrants for the Affected Periods. The adjustments to the financial statement items for the Affected Periods are set forth through expanded disclosure in the Company’s management’s discussion and analysis of financial of financial condition and results and operations and the financial statements included in the Amended 10-K, including further describing the restatement and its impact on previously reported amounts.</w:t>
      </w:r>
    </w:p>
    <w:p>
      <w:pPr>
        <w:spacing w:after="0" w:line="7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on July 1, 2021, the Company filed its Quarterly Report on Form 10-Q (the “Form 10-Q”) for the period ended March 31, 2021, including the unaudited condensed consolidated financial statements of the Company, as of and for the three months ended March 31, 2021. In connection with the preparation of the Form 10-Q, the Company noted an error in its application of guidance associated with “ASC 480: Distinguishing Liabilities from Equity” which needed to be modified to appropriately present the impact on the accounting treatment of the temporary equity as a result of the private investment in public equity transaction that is subject of the Subscription Agreements entered into by the Company with certain investors on December 8, 2021 in connection with the Company’s business combination with LCP Edge Intermediate, Inc., a Delaware corporation and indirect parent of Edge Systems LLC d/b/a The HydraFacial Company, and LCP Edge Holdco, LLC, as previously disclosed in the Company’s Form 10-K/A filed on May 27, 2021. This modification to the accounting treatment of equity required the Company’s common stock to be reclassified from permanent equity to temporary equity in the form of common stock subject to possible redemption. The Audit Committee, in consultation with the Company’s management, concluded that all Class A common stock that was sold to the public in the Company’s initial public offering are to be classified as temporary equity, thereby correcting an error of classification within the Condensed Balance Sheet. In the financial statements filed in the Company’s Form 10-K/A, the Company incorrectly classified 8,351,205 Class A common stock as permanent equity as of December 31, 2020, whereas no Class A common stock should have been so classified. The 8,351,205 shares of Class A common stock that were originally incorrectly classified as permanent equity have been reclassified as temporary equity in the Form 10-Q and in the unaudited pro forma condensed combined financial information of the Company as of and for the three months ended March 31, 2021 and for the year ended December 31, 2020 included in Exhibit 99.8 to this Form 8-K/A, thereby yielding a total of 46,000,000 shares of Class A common stock (the shares sold to the public in our initial public offering, which are subject to redemption) as temporary equity. Further detail on the impact of the revision can be found in Note 10 of the Interim Financial Statements contained in the Form 10-Q.</w:t>
      </w:r>
    </w:p>
    <w:p>
      <w:pPr>
        <w:sectPr>
          <w:pgSz w:w="11900" w:h="16838" w:orient="portrait"/>
          <w:cols w:equalWidth="0" w:num="1">
            <w:col w:w="11220"/>
          </w:cols>
          <w:pgMar w:left="320" w:top="918" w:right="359" w:bottom="1440" w:gutter="0" w:footer="0" w:header="0"/>
        </w:sectPr>
      </w:pPr>
    </w:p>
    <w:bookmarkStart w:id="2" w:name="page3"/>
    <w:bookmarkEnd w:id="2"/>
    <w:p>
      <w:pPr>
        <w:spacing w:after="0" w:line="250" w:lineRule="auto"/>
        <w:rPr>
          <w:sz w:val="20"/>
          <w:szCs w:val="20"/>
          <w:color w:val="auto"/>
        </w:rPr>
      </w:pPr>
      <w:r>
        <w:rPr>
          <w:rFonts w:ascii="Arial" w:cs="Arial" w:eastAsia="Arial" w:hAnsi="Arial"/>
          <w:sz w:val="16"/>
          <w:szCs w:val="16"/>
          <w:color w:val="auto"/>
        </w:rPr>
        <w:t>The Company is filing this Amendment to the Original Form 8-K to (i) incorporate by reference into Item 9.01(a) of this Current Report on Form 8-K/A and file as Exhibit 99.1 the restated audited financial statements of the Company as of December 31, 2020 and for the period from July 8, 2020 (inception) through December 31, 2020 included in the Amended 10-K, (ii) incorporate by reference into Item 2.01 of this Current Report on Form 8-K/A and file as Exhibit 99.2 management’s discussion and analysis of financial condition and results of operations of the Company for the period from July 8, 2020 (inception) through December 31, 2020 included in the Amended 10-K, (iii) incorporate by reference into Item 9.01(a) of this Current Report on Form 8-K/A and file as Exhibit 99.3 the audited consolidated financial statements of LCP Edge Intermediate, Inc. as of December 31, 2020 and 2019, and for the years ended December 31, 2020, 2019 and 2018, (iv) incorporate by reference into Item 9.01(a) of this Current Report on Form 8-K/A and file as Exhibit 99.4 the unaudited condensed consolidated financial statements of the Company as of March 31, 2021 and for three months ended March 31, 2021 included in the Form 10-Q, (v) incorporate by reference into Item 2.01 of this Current Report on Form 8-K/A and file as Exhibit 99.5 management’s discussion and analysis of financial condition and results of operations of the Company for the three months ended March 31, 2021 included in the Form 10-Q, (vi) incorporate by reference into Item 9.01(a) of this Current Report on Form 8-K/A and file as Exhibit 99.6 the unaudited condensed consolidated financial statements of LCP Edge Intermediate, Inc. as of March 31, 2021 and December 31, 2020, and for the three months ended March 31, 2021 and 2020, (vii) incorporate by reference into Item 2.01 of this Current Report on Form 8-K/A and file as Exhibit 99.7 management’s discussion and analysis of financial condition and results of operations of LCP Edge Intermediate, Inc. for the three months ended March 31, 2021 and 2020, and (viii) incorporate by reference into Item 9.01(a) of this Current Report on Form 8-K/A and file as Exhibit 99.8 the unaudited pro forma condensed combined financial information of the Company as of and for the three months ended March 31, 2021 and for the year ended December 31, 2020.</w:t>
      </w:r>
    </w:p>
    <w:p>
      <w:pPr>
        <w:spacing w:after="0" w:line="66"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Additionally, on July 9, 2021, the Audit Committee approved the engagement of Deloitte &amp; Touche LLP (“Deloitte”) as the Company’s independent registered public accounting firm. This Amendment is also being filed to add the disclosure required by Item 4.01 of Form 8-K.</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Accordingly, the Original Form 8-K is hereby amended solely to amend Item 2.01, add Item 4.01 and amend and restate Item 9.01. The Original Form 8-K otherwise remains unchanged.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and Quantitative and Qualitative Disclosures About Market Risk</w:t>
      </w:r>
    </w:p>
    <w:p>
      <w:pPr>
        <w:spacing w:after="0" w:line="62"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Management’s discussion and analysis of financial condition and results of operations of the Company for the year ended December 31, 2020 included in Part II, Item 7 of the Amended 10-K is incorporated by reference into Item 2.01 of this Current Report on Form 8-K/A and filed as Exhibit 99.2 hereto.</w:t>
      </w:r>
    </w:p>
    <w:p>
      <w:pPr>
        <w:spacing w:after="0" w:line="1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Management’s discussion and analysis of financial condition and results of operations of the Company for the three months ended March 31, 2021 included in Part I, Item 2 of the Form 10-Q is incorporated by reference into Item 2.01 of this Current Report on Form 8-K/A and filed as Exhibit 99.5 hereto.</w:t>
      </w:r>
    </w:p>
    <w:p>
      <w:pPr>
        <w:spacing w:after="0" w:line="1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Management’s discussion and analysis of financial condition and results of operations of LCP Edge Intermediate, Inc. for the three months ended March 31, 2021 and 2020 is filed as Exhibit 99.7 hereto and is incorporated by reference into Item 2.01 of this Current Report on Form 8-K/A.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On July 9, 2021, the Audit Committee approved the engagement of Deloitte as the Company’s independent registered public accounting firm, effective immediately, to audit the Company’s consolidated financial statements for the year ended December 31, 2021. Deloitte served as independent registered public accounting firm of LCP Edge Intermediate, Inc. prior to the business combination between LCP Edge Intermediate, Inc. and Vesper (the “Business Combination”). Accordingly, Marcum LLP (“Marcum”), Vesper Healthcare Acquisition Corp’s independent registered public accounting firm prior to the Business Combination, was informed that it would be replaced by Deloitte as the Company’s independent registered public accounting firm.</w:t>
      </w:r>
    </w:p>
    <w:p>
      <w:pPr>
        <w:spacing w:after="0" w:line="53"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reports of Marcum on Vesper’s, the Company’s legal predecessor, consolidated balance sheet as of December 31, 2020, the related consolidated statements of operations, changes in stockholders’ equity and cash flows for the period from July 8, 2020 (inception) through December 31, 2020, and the related notes, did not contain an adverse opinion or a disclaimer of opinion, and were not qualified or modified as to uncertainties, audit scope or accounting principles.</w:t>
      </w:r>
    </w:p>
    <w:p>
      <w:pPr>
        <w:sectPr>
          <w:pgSz w:w="11900" w:h="16838" w:orient="portrait"/>
          <w:cols w:equalWidth="0" w:num="1">
            <w:col w:w="11240"/>
          </w:cols>
          <w:pgMar w:left="320" w:top="922" w:right="339" w:bottom="1440" w:gutter="0" w:footer="0" w:header="0"/>
        </w:sectPr>
      </w:pPr>
    </w:p>
    <w:bookmarkStart w:id="3" w:name="page4"/>
    <w:bookmarkEnd w:id="3"/>
    <w:p>
      <w:pPr>
        <w:ind w:right="160"/>
        <w:spacing w:after="0" w:line="242" w:lineRule="auto"/>
        <w:rPr>
          <w:sz w:val="20"/>
          <w:szCs w:val="20"/>
          <w:color w:val="auto"/>
        </w:rPr>
      </w:pPr>
      <w:r>
        <w:rPr>
          <w:rFonts w:ascii="Arial" w:cs="Arial" w:eastAsia="Arial" w:hAnsi="Arial"/>
          <w:sz w:val="17"/>
          <w:szCs w:val="17"/>
          <w:color w:val="auto"/>
        </w:rPr>
        <w:t>During the period of Marcum’s engagement by the Company, and the subsequent interim period preceding Marcum’s dismissal, there were no disagreements with Marcum on any matter of accounting principles or practices, financial statement disclosure or auditing scope or procedure, which disagreements if not resolved to the satisfaction of Marcum, would have caused it to make a reference to the subject matter of the disagreement in connection with its reports covering such periods. In addition, no “reportable events,” as defined in Item 304(a)(1)(v) of Regulation S-K, occurred within the period of Marcum’s engagement and subsequent interim period preceding Marcum’s dismissal.</w:t>
      </w:r>
    </w:p>
    <w:p>
      <w:pPr>
        <w:spacing w:after="0" w:line="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July 9, 2021, is filed as Exhibit 16.1 to this Current Report on Form 8-K.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of businesses acquired</w:t>
      </w:r>
    </w:p>
    <w:p>
      <w:pPr>
        <w:spacing w:after="0" w:line="90" w:lineRule="exact"/>
        <w:rPr>
          <w:rFonts w:ascii="Arial" w:cs="Arial" w:eastAsia="Arial" w:hAnsi="Arial"/>
          <w:sz w:val="18"/>
          <w:szCs w:val="18"/>
          <w:i w:val="1"/>
          <w:iCs w:val="1"/>
          <w:color w:val="auto"/>
        </w:rPr>
      </w:pPr>
    </w:p>
    <w:p>
      <w:pPr>
        <w:jc w:val="both"/>
        <w:ind w:left="660" w:right="100" w:hanging="328"/>
        <w:spacing w:after="0" w:line="225"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Company as of December 31, 2020 and for the period from July 8, 2020 (inception) through December 31, 2020 included in the Amended 10-K filed with the SEC on May 28, 2021 are incorporated herein by reference and filed as Exhibit 99.1 to this Current Report on Form 8-K/A.</w:t>
      </w:r>
    </w:p>
    <w:p>
      <w:pPr>
        <w:ind w:left="660" w:right="420" w:hanging="328"/>
        <w:spacing w:after="0" w:line="246"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audited consolidated financial statements of LCP Edge Intermediate, Inc. as of December 31, 2020 and 2019, and for the years ended December 31, 2020, 2019 and 2018 are filed as Exhibit 99.3 to this Current Report on Form 8-K/A and are incorporated herein by reference.</w:t>
      </w:r>
    </w:p>
    <w:p>
      <w:pPr>
        <w:jc w:val="both"/>
        <w:ind w:left="660" w:right="180" w:hanging="328"/>
        <w:spacing w:after="0" w:line="219"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of the Company as of March 31, 2021 and December 31, 2020 and for three months ended March 31, 2021 and 2020 included in the Form 10-Q filed with the SEC on July 1, 2021 are incorporated herein by reference and filed as Exhibit 99.4 to this Current Report on Form 8-K/A.</w:t>
      </w:r>
    </w:p>
    <w:p>
      <w:pPr>
        <w:ind w:left="660" w:right="20" w:hanging="328"/>
        <w:spacing w:after="0" w:line="228"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of LCP Edge Intermediate, Inc. as of March 31, 2021 and December 31, 2020, and for the three months ended March 31, 2021 and 2020 are filed as Exhibit 99.6 to this Current Report on Form 8-K/A and are incorporated herein by reference.</w:t>
      </w:r>
    </w:p>
    <w:p>
      <w:pPr>
        <w:spacing w:after="0" w:line="6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90" w:lineRule="exact"/>
        <w:rPr>
          <w:rFonts w:ascii="Arial" w:cs="Arial" w:eastAsia="Arial" w:hAnsi="Arial"/>
          <w:sz w:val="18"/>
          <w:szCs w:val="18"/>
          <w:i w:val="1"/>
          <w:iCs w:val="1"/>
          <w:color w:val="auto"/>
        </w:rPr>
      </w:pPr>
    </w:p>
    <w:p>
      <w:pPr>
        <w:ind w:left="660" w:hanging="328"/>
        <w:spacing w:after="0" w:line="307"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unaudited pro forma condensed combined financial information of the Company as of and for the three months ended March 31, 2021 and for the year ended December 31, 2020 are filed as Exhibit 99.8 to this Current Report on Form 8-K/A and are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640" w:type="dxa"/>
            <w:vAlign w:val="bottom"/>
          </w:tcPr>
          <w:p>
            <w:pPr>
              <w:spacing w:after="0"/>
              <w:rPr>
                <w:sz w:val="20"/>
                <w:szCs w:val="20"/>
                <w:color w:val="auto"/>
              </w:rPr>
            </w:pPr>
            <w:r>
              <w:rPr>
                <w:rFonts w:ascii="Arial" w:cs="Arial" w:eastAsia="Arial" w:hAnsi="Arial"/>
                <w:sz w:val="16"/>
                <w:szCs w:val="16"/>
                <w:b w:val="1"/>
                <w:bCs w:val="1"/>
                <w:color w:val="auto"/>
              </w:rPr>
              <w:t>Exhibit Number</w:t>
            </w: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gridSpan w:val="15"/>
          </w:tcPr>
          <w:p>
            <w:pPr>
              <w:ind w:left="300"/>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2.1+</w:t>
            </w:r>
          </w:p>
        </w:tc>
        <w:tc>
          <w:tcPr>
            <w:tcW w:w="9540" w:type="dxa"/>
            <w:vAlign w:val="bottom"/>
            <w:gridSpan w:val="18"/>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Agreement and Plan of Merger, dated as of December 8, 2020, by and among Vesper Healthcare Acquisition Corp., Hydrate Merger</w:t>
              </w:r>
            </w:hyperlink>
          </w:p>
        </w:tc>
      </w:tr>
      <w:tr>
        <w:trPr>
          <w:trHeight w:val="196"/>
        </w:trPr>
        <w:tc>
          <w:tcPr>
            <w:tcW w:w="1640" w:type="dxa"/>
            <w:vAlign w:val="bottom"/>
          </w:tcPr>
          <w:p>
            <w:pPr>
              <w:spacing w:after="0"/>
              <w:rPr>
                <w:sz w:val="17"/>
                <w:szCs w:val="17"/>
                <w:color w:val="auto"/>
              </w:rPr>
            </w:pPr>
          </w:p>
        </w:tc>
        <w:tc>
          <w:tcPr>
            <w:tcW w:w="87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Sub I, Inc., Hydrate Merger Sub II, LLC, LCP Edge Intermediate, Inc. and LCP Edge Holdco, LLC, in its capacity as the</w:t>
              </w:r>
            </w:hyperlink>
          </w:p>
        </w:tc>
        <w:tc>
          <w:tcPr>
            <w:tcW w:w="780" w:type="dxa"/>
            <w:vAlign w:val="bottom"/>
            <w:tcBorders>
              <w:top w:val="single" w:sz="8" w:color="0000FF"/>
            </w:tcBorders>
            <w:gridSpan w:val="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Stockholders’ Representative (incorporated by reference to Exhibit 2.1 to the Current Report on Form 8-K of the Company on</w:t>
              </w:r>
            </w:hyperlink>
          </w:p>
        </w:tc>
      </w:tr>
      <w:tr>
        <w:trPr>
          <w:trHeight w:val="196"/>
        </w:trPr>
        <w:tc>
          <w:tcPr>
            <w:tcW w:w="1640" w:type="dxa"/>
            <w:vAlign w:val="bottom"/>
          </w:tcPr>
          <w:p>
            <w:pPr>
              <w:spacing w:after="0"/>
              <w:rPr>
                <w:sz w:val="17"/>
                <w:szCs w:val="17"/>
                <w:color w:val="auto"/>
              </w:rPr>
            </w:pPr>
          </w:p>
        </w:tc>
        <w:tc>
          <w:tcPr>
            <w:tcW w:w="9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December 9, 2020).</w:t>
              </w:r>
            </w:hyperlink>
          </w:p>
        </w:tc>
        <w:tc>
          <w:tcPr>
            <w:tcW w:w="460" w:type="dxa"/>
            <w:vAlign w:val="bottom"/>
            <w:gridSpan w:val="8"/>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3.1</w:t>
            </w:r>
          </w:p>
        </w:tc>
        <w:tc>
          <w:tcPr>
            <w:tcW w:w="9540" w:type="dxa"/>
            <w:vAlign w:val="bottom"/>
            <w:gridSpan w:val="18"/>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Second Amended and Restated Certificate of Incorporation of The Beauty Health Company (incorporated by reference to Exhibit</w:t>
              </w:r>
            </w:hyperlink>
          </w:p>
        </w:tc>
      </w:tr>
      <w:tr>
        <w:trPr>
          <w:trHeight w:val="196"/>
        </w:trPr>
        <w:tc>
          <w:tcPr>
            <w:tcW w:w="1640" w:type="dxa"/>
            <w:vAlign w:val="bottom"/>
          </w:tcPr>
          <w:p>
            <w:pPr>
              <w:spacing w:after="0"/>
              <w:rPr>
                <w:sz w:val="17"/>
                <w:szCs w:val="17"/>
                <w:color w:val="auto"/>
              </w:rPr>
            </w:pPr>
          </w:p>
        </w:tc>
        <w:tc>
          <w:tcPr>
            <w:tcW w:w="6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with the SEC on May 10, 2021).</w:t>
              </w:r>
            </w:hyperlink>
          </w:p>
        </w:tc>
        <w:tc>
          <w:tcPr>
            <w:tcW w:w="2900" w:type="dxa"/>
            <w:vAlign w:val="bottom"/>
            <w:tcBorders>
              <w:top w:val="single" w:sz="8" w:color="0000FF"/>
            </w:tcBorders>
            <w:gridSpan w:val="6"/>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3.2</w:t>
            </w:r>
          </w:p>
        </w:tc>
        <w:tc>
          <w:tcPr>
            <w:tcW w:w="9540" w:type="dxa"/>
            <w:vAlign w:val="bottom"/>
            <w:gridSpan w:val="18"/>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Bylaws of The Beauty Health Company (incorporated by reference to Exhibit 3.2 to the Company’s Current</w:t>
              </w:r>
            </w:hyperlink>
          </w:p>
        </w:tc>
      </w:tr>
      <w:tr>
        <w:trPr>
          <w:trHeight w:val="196"/>
        </w:trPr>
        <w:tc>
          <w:tcPr>
            <w:tcW w:w="164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Report on Form 8-K filed with the SEC on May 10, 2021).</w:t>
              </w:r>
            </w:hyperlink>
          </w:p>
        </w:tc>
        <w:tc>
          <w:tcPr>
            <w:tcW w:w="5240" w:type="dxa"/>
            <w:vAlign w:val="bottom"/>
            <w:tcBorders>
              <w:top w:val="single" w:sz="8" w:color="0000FF"/>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4.1</w:t>
            </w:r>
          </w:p>
        </w:tc>
        <w:tc>
          <w:tcPr>
            <w:tcW w:w="9540" w:type="dxa"/>
            <w:vAlign w:val="bottom"/>
            <w:gridSpan w:val="18"/>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Specimen Class A Common Stock Certificate (incorporated by reference to Exhibit 4.2 to the Registration Statement on Form S-1</w:t>
              </w:r>
            </w:hyperlink>
          </w:p>
        </w:tc>
      </w:tr>
      <w:tr>
        <w:trPr>
          <w:trHeight w:val="196"/>
        </w:trPr>
        <w:tc>
          <w:tcPr>
            <w:tcW w:w="1640" w:type="dxa"/>
            <w:vAlign w:val="bottom"/>
          </w:tcPr>
          <w:p>
            <w:pPr>
              <w:spacing w:after="0"/>
              <w:rPr>
                <w:sz w:val="17"/>
                <w:szCs w:val="17"/>
                <w:color w:val="auto"/>
              </w:rPr>
            </w:pPr>
          </w:p>
        </w:tc>
        <w:tc>
          <w:tcPr>
            <w:tcW w:w="93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(File No. 333-248717) of the Company on September 21, 2020).</w:t>
              </w:r>
            </w:hyperlink>
          </w:p>
        </w:tc>
        <w:tc>
          <w:tcPr>
            <w:tcW w:w="180" w:type="dxa"/>
            <w:vAlign w:val="bottom"/>
            <w:gridSpan w:val="5"/>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4.2</w:t>
            </w:r>
          </w:p>
        </w:tc>
        <w:tc>
          <w:tcPr>
            <w:tcW w:w="9280" w:type="dxa"/>
            <w:vAlign w:val="bottom"/>
            <w:tcBorders>
              <w:bottom w:val="single" w:sz="8" w:color="0000FF"/>
            </w:tcBorders>
            <w:gridSpan w:val="11"/>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Specimen Warrant Certificate (incorporated by reference to Exhibit 4.3 to the Registration Statement on Form S-1 (File No. 333-</w:t>
              </w:r>
            </w:hyperlink>
          </w:p>
        </w:tc>
        <w:tc>
          <w:tcPr>
            <w:tcW w:w="260" w:type="dxa"/>
            <w:vAlign w:val="bottom"/>
            <w:gridSpan w:val="7"/>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248717) of the Company on September 21, 2020).</w:t>
              </w:r>
            </w:hyperlink>
          </w:p>
        </w:tc>
      </w:tr>
      <w:tr>
        <w:trPr>
          <w:trHeight w:val="20"/>
        </w:trPr>
        <w:tc>
          <w:tcPr>
            <w:tcW w:w="1640" w:type="dxa"/>
            <w:vAlign w:val="bottom"/>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4.3</w:t>
            </w:r>
          </w:p>
        </w:tc>
        <w:tc>
          <w:tcPr>
            <w:tcW w:w="9540" w:type="dxa"/>
            <w:vAlign w:val="bottom"/>
            <w:tcBorders>
              <w:bottom w:val="single" w:sz="8" w:color="0000FF"/>
            </w:tcBorders>
            <w:gridSpan w:val="18"/>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Warrant Agreement, dated September 29, 2020, between the Company and Continental Stock Transfer &amp; Trust Company, as warrant</w:t>
              </w:r>
            </w:hyperlink>
          </w:p>
        </w:tc>
      </w:tr>
      <w:tr>
        <w:trPr>
          <w:trHeight w:val="196"/>
        </w:trPr>
        <w:tc>
          <w:tcPr>
            <w:tcW w:w="1640" w:type="dxa"/>
            <w:vAlign w:val="bottom"/>
          </w:tcPr>
          <w:p>
            <w:pPr>
              <w:spacing w:after="0"/>
              <w:rPr>
                <w:sz w:val="17"/>
                <w:szCs w:val="17"/>
                <w:color w:val="auto"/>
              </w:rPr>
            </w:pPr>
          </w:p>
        </w:tc>
        <w:tc>
          <w:tcPr>
            <w:tcW w:w="86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agent (incorporated by reference to Exhibit 4.1 to the Current Report on Form 8-K of the Company on October 5, 2020).</w:t>
              </w:r>
            </w:hyperlink>
          </w:p>
        </w:tc>
        <w:tc>
          <w:tcPr>
            <w:tcW w:w="860" w:type="dxa"/>
            <w:vAlign w:val="bottom"/>
            <w:gridSpan w:val="11"/>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w:t>
            </w:r>
          </w:p>
        </w:tc>
        <w:tc>
          <w:tcPr>
            <w:tcW w:w="9540" w:type="dxa"/>
            <w:vAlign w:val="bottom"/>
            <w:gridSpan w:val="18"/>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Form of Subscription Agreement (incorporated by reference to Exhibit 10.1 to the Current Report on Form 8-K of the Company on</w:t>
              </w:r>
            </w:hyperlink>
          </w:p>
        </w:tc>
      </w:tr>
      <w:tr>
        <w:trPr>
          <w:trHeight w:val="196"/>
        </w:trPr>
        <w:tc>
          <w:tcPr>
            <w:tcW w:w="1640" w:type="dxa"/>
            <w:vAlign w:val="bottom"/>
          </w:tcPr>
          <w:p>
            <w:pPr>
              <w:spacing w:after="0"/>
              <w:rPr>
                <w:sz w:val="17"/>
                <w:szCs w:val="17"/>
                <w:color w:val="auto"/>
              </w:rPr>
            </w:pPr>
          </w:p>
        </w:tc>
        <w:tc>
          <w:tcPr>
            <w:tcW w:w="94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December 9, 2020).</w:t>
              </w:r>
            </w:hyperlink>
          </w:p>
        </w:tc>
        <w:tc>
          <w:tcPr>
            <w:tcW w:w="100" w:type="dxa"/>
            <w:vAlign w:val="bottom"/>
            <w:gridSpan w:val="3"/>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10.2</w:t>
            </w:r>
          </w:p>
        </w:tc>
        <w:tc>
          <w:tcPr>
            <w:tcW w:w="9540" w:type="dxa"/>
            <w:vAlign w:val="bottom"/>
            <w:gridSpan w:val="18"/>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Registration Rights Agreement dated as of May 4, 2021, by and among The Beauty Health Company, BLS</w:t>
              </w:r>
            </w:hyperlink>
          </w:p>
        </w:tc>
      </w:tr>
      <w:tr>
        <w:trPr>
          <w:trHeight w:val="196"/>
        </w:trPr>
        <w:tc>
          <w:tcPr>
            <w:tcW w:w="1640" w:type="dxa"/>
            <w:vAlign w:val="bottom"/>
          </w:tcPr>
          <w:p>
            <w:pPr>
              <w:spacing w:after="0"/>
              <w:rPr>
                <w:sz w:val="17"/>
                <w:szCs w:val="17"/>
                <w:color w:val="auto"/>
              </w:rPr>
            </w:pPr>
          </w:p>
        </w:tc>
        <w:tc>
          <w:tcPr>
            <w:tcW w:w="9400" w:type="dxa"/>
            <w:vAlign w:val="bottom"/>
            <w:tcBorders>
              <w:top w:val="single" w:sz="8" w:color="0000FF"/>
            </w:tcBorders>
            <w:gridSpan w:val="14"/>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Investor Group LLC and the stockholders of LCP Edge Intermediate, Inc (incorporated by reference to Exhibit 10.2 to the</w:t>
              </w:r>
            </w:hyperlink>
          </w:p>
        </w:tc>
        <w:tc>
          <w:tcPr>
            <w:tcW w:w="140" w:type="dxa"/>
            <w:vAlign w:val="bottom"/>
            <w:gridSpan w:val="4"/>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Company’s Current Report on Form 8-K filed with the SEC on May 10, 2021).</w:t>
              </w:r>
            </w:hyperlink>
          </w:p>
        </w:tc>
        <w:tc>
          <w:tcPr>
            <w:tcW w:w="3080" w:type="dxa"/>
            <w:vAlign w:val="bottom"/>
            <w:tcBorders>
              <w:top w:val="single" w:sz="8" w:color="0000FF"/>
            </w:tcBorders>
            <w:gridSpan w:val="4"/>
          </w:tcPr>
          <w:p>
            <w:pPr>
              <w:spacing w:after="0"/>
              <w:rPr>
                <w:sz w:val="17"/>
                <w:szCs w:val="17"/>
                <w:color w:val="auto"/>
              </w:rPr>
            </w:pPr>
          </w:p>
        </w:tc>
        <w:tc>
          <w:tcPr>
            <w:tcW w:w="760" w:type="dxa"/>
            <w:vAlign w:val="bottom"/>
            <w:gridSpan w:val="9"/>
          </w:tcPr>
          <w:p>
            <w:pPr>
              <w:spacing w:after="0"/>
              <w:rPr>
                <w:sz w:val="17"/>
                <w:szCs w:val="17"/>
                <w:color w:val="auto"/>
              </w:rPr>
            </w:pPr>
          </w:p>
        </w:tc>
      </w:tr>
    </w:tbl>
    <w:p>
      <w:pPr>
        <w:sectPr>
          <w:pgSz w:w="11900" w:h="16838" w:orient="portrait"/>
          <w:cols w:equalWidth="0" w:num="1">
            <w:col w:w="11200"/>
          </w:cols>
          <w:pgMar w:left="320" w:top="922" w:right="3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10.3</w:t>
            </w:r>
          </w:p>
        </w:tc>
        <w:tc>
          <w:tcPr>
            <w:tcW w:w="9220" w:type="dxa"/>
            <w:vAlign w:val="bottom"/>
            <w:tcBorders>
              <w:bottom w:val="single" w:sz="8" w:color="0000FF"/>
            </w:tcBorders>
            <w:gridSpan w:val="19"/>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Investor Rights Agreement dated as of May 4, 2021, by and between The Beauty Health Company and LCP Edge Holdco, LLC</w:t>
              </w:r>
            </w:hyperlink>
          </w:p>
        </w:tc>
        <w:tc>
          <w:tcPr>
            <w:tcW w:w="340" w:type="dxa"/>
            <w:vAlign w:val="bottom"/>
            <w:gridSpan w:val="14"/>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2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(incorporated by reference to Exhibit 10.3 to the Company’s Current Report on Form 8-K filed with the SEC on May 10, 2021).</w:t>
              </w:r>
            </w:hyperlink>
          </w:p>
        </w:tc>
        <w:tc>
          <w:tcPr>
            <w:tcW w:w="340" w:type="dxa"/>
            <w:vAlign w:val="bottom"/>
            <w:gridSpan w:val="14"/>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10.4#</w:t>
            </w:r>
          </w:p>
        </w:tc>
        <w:tc>
          <w:tcPr>
            <w:tcW w:w="9420" w:type="dxa"/>
            <w:vAlign w:val="bottom"/>
            <w:tcBorders>
              <w:bottom w:val="single" w:sz="8" w:color="0000FF"/>
            </w:tcBorders>
            <w:gridSpan w:val="27"/>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The Beauty Health Company 2021 Incentive Award Plan (incorporated by reference to Exhibit 10.1 to the Current Report on Form</w:t>
              </w:r>
            </w:hyperlink>
          </w:p>
        </w:tc>
        <w:tc>
          <w:tcPr>
            <w:tcW w:w="140" w:type="dxa"/>
            <w:vAlign w:val="bottom"/>
            <w:gridSpan w:val="6"/>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8-K of the Company on April 30, 2021).</w:t>
              </w:r>
            </w:hyperlink>
          </w:p>
        </w:tc>
        <w:tc>
          <w:tcPr>
            <w:tcW w:w="6640" w:type="dxa"/>
            <w:vAlign w:val="bottom"/>
            <w:gridSpan w:val="27"/>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10.5#</w:t>
            </w:r>
          </w:p>
        </w:tc>
        <w:tc>
          <w:tcPr>
            <w:tcW w:w="9560" w:type="dxa"/>
            <w:vAlign w:val="bottom"/>
            <w:gridSpan w:val="33"/>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The Beauty Health Company 2021 Employee Stock Purchase Plan (incorporated by reference to Exhibit 10.2 to the Current Report</w:t>
              </w:r>
            </w:hyperlink>
          </w:p>
        </w:tc>
      </w:tr>
      <w:tr>
        <w:trPr>
          <w:trHeight w:val="196"/>
        </w:trPr>
        <w:tc>
          <w:tcPr>
            <w:tcW w:w="16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on Form 8-K of the Company on April 30, 2021).</w:t>
              </w:r>
            </w:hyperlink>
          </w:p>
        </w:tc>
        <w:tc>
          <w:tcPr>
            <w:tcW w:w="5860" w:type="dxa"/>
            <w:vAlign w:val="bottom"/>
            <w:tcBorders>
              <w:top w:val="single" w:sz="8" w:color="0000FF"/>
            </w:tcBorders>
            <w:gridSpan w:val="2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10.6#</w:t>
            </w:r>
          </w:p>
        </w:tc>
        <w:tc>
          <w:tcPr>
            <w:tcW w:w="9560" w:type="dxa"/>
            <w:vAlign w:val="bottom"/>
            <w:tcBorders>
              <w:bottom w:val="single" w:sz="8" w:color="0000FF"/>
            </w:tcBorders>
            <w:gridSpan w:val="33"/>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Employment Agreement, dated as of May 4, 2021, between Clinton E. Carnell, Edge Systems LLC d/b/a The HydraFacial Company</w:t>
              </w:r>
            </w:hyperlink>
          </w:p>
        </w:tc>
      </w:tr>
      <w:tr>
        <w:trPr>
          <w:trHeight w:val="196"/>
        </w:trPr>
        <w:tc>
          <w:tcPr>
            <w:tcW w:w="1640" w:type="dxa"/>
            <w:vAlign w:val="bottom"/>
          </w:tcPr>
          <w:p>
            <w:pPr>
              <w:spacing w:after="0"/>
              <w:rPr>
                <w:sz w:val="17"/>
                <w:szCs w:val="17"/>
                <w:color w:val="auto"/>
              </w:rPr>
            </w:pPr>
          </w:p>
        </w:tc>
        <w:tc>
          <w:tcPr>
            <w:tcW w:w="93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and The Beauty Health Company (incorporated by reference to Exhibit 10.6 to the Company’s Current Report on Form 8-K filed</w:t>
              </w:r>
            </w:hyperlink>
          </w:p>
        </w:tc>
        <w:tc>
          <w:tcPr>
            <w:tcW w:w="260" w:type="dxa"/>
            <w:vAlign w:val="bottom"/>
            <w:gridSpan w:val="11"/>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23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with the SEC on May 10, 2021).</w:t>
              </w:r>
            </w:hyperlink>
          </w:p>
        </w:tc>
        <w:tc>
          <w:tcPr>
            <w:tcW w:w="7220" w:type="dxa"/>
            <w:vAlign w:val="bottom"/>
            <w:gridSpan w:val="29"/>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10.7#</w:t>
            </w:r>
          </w:p>
        </w:tc>
        <w:tc>
          <w:tcPr>
            <w:tcW w:w="9560" w:type="dxa"/>
            <w:vAlign w:val="bottom"/>
            <w:gridSpan w:val="33"/>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Employment Agreement, dated as of May 4, 2021, between Liyuan Woo, Edge Systems LLC d/b/a The HydraFacial Company and</w:t>
              </w:r>
            </w:hyperlink>
          </w:p>
        </w:tc>
      </w:tr>
      <w:tr>
        <w:trPr>
          <w:trHeight w:val="196"/>
        </w:trPr>
        <w:tc>
          <w:tcPr>
            <w:tcW w:w="1640" w:type="dxa"/>
            <w:vAlign w:val="bottom"/>
          </w:tcPr>
          <w:p>
            <w:pPr>
              <w:spacing w:after="0"/>
              <w:rPr>
                <w:sz w:val="17"/>
                <w:szCs w:val="17"/>
                <w:color w:val="auto"/>
              </w:rPr>
            </w:pPr>
          </w:p>
        </w:tc>
        <w:tc>
          <w:tcPr>
            <w:tcW w:w="9420" w:type="dxa"/>
            <w:vAlign w:val="bottom"/>
            <w:tcBorders>
              <w:top w:val="single" w:sz="8" w:color="0000FF"/>
            </w:tcBorders>
            <w:gridSpan w:val="27"/>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The Beauty Health Company (incorporated by reference to Exhibit 10.7 to the Company’s Current Report on Form 8-K filed with</w:t>
              </w:r>
            </w:hyperlink>
          </w:p>
        </w:tc>
        <w:tc>
          <w:tcPr>
            <w:tcW w:w="140" w:type="dxa"/>
            <w:vAlign w:val="bottom"/>
            <w:gridSpan w:val="6"/>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the SEC on May 10, 2021).</w:t>
              </w:r>
            </w:hyperlink>
          </w:p>
        </w:tc>
        <w:tc>
          <w:tcPr>
            <w:tcW w:w="7360" w:type="dxa"/>
            <w:vAlign w:val="bottom"/>
            <w:tcBorders>
              <w:top w:val="single" w:sz="8" w:color="0000FF"/>
            </w:tcBorders>
            <w:gridSpan w:val="20"/>
          </w:tcPr>
          <w:p>
            <w:pPr>
              <w:spacing w:after="0"/>
              <w:rPr>
                <w:sz w:val="17"/>
                <w:szCs w:val="17"/>
                <w:color w:val="auto"/>
              </w:rPr>
            </w:pPr>
          </w:p>
        </w:tc>
        <w:tc>
          <w:tcPr>
            <w:tcW w:w="220" w:type="dxa"/>
            <w:vAlign w:val="bottom"/>
            <w:gridSpan w:val="10"/>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10.8#</w:t>
            </w:r>
          </w:p>
        </w:tc>
        <w:tc>
          <w:tcPr>
            <w:tcW w:w="9560" w:type="dxa"/>
            <w:vAlign w:val="bottom"/>
            <w:gridSpan w:val="33"/>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Offer Letter dated as of April 21, 2021, between Daniel Watson, Edge Systems LLC d/b/a The HydraFacial Company and The</w:t>
              </w:r>
            </w:hyperlink>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3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Beauty Health Company (incorporated by reference to Exhibit 10.8 to the Company’s Current Report on Form 8-K filed with the</w:t>
              </w:r>
            </w:hyperlink>
          </w:p>
        </w:tc>
        <w:tc>
          <w:tcPr>
            <w:tcW w:w="260" w:type="dxa"/>
            <w:vAlign w:val="bottom"/>
            <w:gridSpan w:val="11"/>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SEC on May 10, 2021).</w:t>
              </w:r>
            </w:hyperlink>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10.9#</w:t>
            </w:r>
          </w:p>
        </w:tc>
        <w:tc>
          <w:tcPr>
            <w:tcW w:w="9160" w:type="dxa"/>
            <w:vAlign w:val="bottom"/>
            <w:tcBorders>
              <w:bottom w:val="single" w:sz="8" w:color="0000FF"/>
            </w:tcBorders>
            <w:gridSpan w:val="17"/>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Stock Option Award Agreement (CEO and CFO) (incorporated by reference to Exhibit 10.9 to the Company’s Current</w:t>
              </w:r>
            </w:hyperlink>
          </w:p>
        </w:tc>
        <w:tc>
          <w:tcPr>
            <w:tcW w:w="400" w:type="dxa"/>
            <w:vAlign w:val="bottom"/>
            <w:gridSpan w:val="16"/>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Report on Form 8-K filed with the SEC on May 10, 2021).</w:t>
              </w:r>
            </w:hyperlink>
          </w:p>
        </w:tc>
        <w:tc>
          <w:tcPr>
            <w:tcW w:w="5320" w:type="dxa"/>
            <w:vAlign w:val="bottom"/>
            <w:gridSpan w:val="25"/>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10.10#</w:t>
            </w:r>
          </w:p>
        </w:tc>
        <w:tc>
          <w:tcPr>
            <w:tcW w:w="9460" w:type="dxa"/>
            <w:vAlign w:val="bottom"/>
            <w:tcBorders>
              <w:bottom w:val="single" w:sz="8" w:color="0000FF"/>
            </w:tcBorders>
            <w:gridSpan w:val="2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Form of Stock Option Award Agreement Form (Non-CEO and CFO) (incorporated by reference to Exhibit 10.10 to the Company’s</w:t>
              </w:r>
            </w:hyperlink>
          </w:p>
        </w:tc>
        <w:tc>
          <w:tcPr>
            <w:tcW w:w="100" w:type="dxa"/>
            <w:vAlign w:val="bottom"/>
            <w:gridSpan w:val="4"/>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Current Report on Form 8-K filed with the SEC on May 10, 2021).</w:t>
              </w:r>
            </w:hyperlink>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10.11#</w:t>
            </w:r>
          </w:p>
        </w:tc>
        <w:tc>
          <w:tcPr>
            <w:tcW w:w="9560" w:type="dxa"/>
            <w:vAlign w:val="bottom"/>
            <w:tcBorders>
              <w:bottom w:val="single" w:sz="8" w:color="0000FF"/>
            </w:tcBorders>
            <w:gridSpan w:val="33"/>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Form of Performance-Based Restricted Stock Unit Agreement (incorporated by reference to Exhibit 10.11 to the Company’s Current</w:t>
              </w:r>
            </w:hyperlink>
          </w:p>
        </w:tc>
      </w:tr>
      <w:tr>
        <w:trPr>
          <w:trHeight w:val="196"/>
        </w:trPr>
        <w:tc>
          <w:tcPr>
            <w:tcW w:w="164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Report on Form 8-K filed with the SEC on May 10, 2021).</w:t>
              </w:r>
            </w:hyperlink>
          </w:p>
        </w:tc>
        <w:tc>
          <w:tcPr>
            <w:tcW w:w="5320" w:type="dxa"/>
            <w:vAlign w:val="bottom"/>
            <w:gridSpan w:val="25"/>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10.12#</w:t>
            </w:r>
          </w:p>
        </w:tc>
        <w:tc>
          <w:tcPr>
            <w:tcW w:w="9560" w:type="dxa"/>
            <w:vAlign w:val="bottom"/>
            <w:gridSpan w:val="33"/>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The Beauty Health Company Executive Severance Plan (incorporated by reference to Exhibit 10.12 to the Company’s Current</w:t>
              </w:r>
            </w:hyperlink>
          </w:p>
        </w:tc>
      </w:tr>
      <w:tr>
        <w:trPr>
          <w:trHeight w:val="196"/>
        </w:trPr>
        <w:tc>
          <w:tcPr>
            <w:tcW w:w="164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Report on Form 8-K filed with the SEC on May 10, 2021).</w:t>
              </w:r>
            </w:hyperlink>
          </w:p>
        </w:tc>
        <w:tc>
          <w:tcPr>
            <w:tcW w:w="4860" w:type="dxa"/>
            <w:vAlign w:val="bottom"/>
            <w:tcBorders>
              <w:top w:val="single" w:sz="8" w:color="0000FF"/>
            </w:tcBorders>
            <w:gridSpan w:val="8"/>
          </w:tcPr>
          <w:p>
            <w:pPr>
              <w:spacing w:after="0"/>
              <w:rPr>
                <w:sz w:val="17"/>
                <w:szCs w:val="17"/>
                <w:color w:val="auto"/>
              </w:rPr>
            </w:pPr>
          </w:p>
        </w:tc>
        <w:tc>
          <w:tcPr>
            <w:tcW w:w="460" w:type="dxa"/>
            <w:vAlign w:val="bottom"/>
            <w:gridSpan w:val="17"/>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10.13#</w:t>
            </w:r>
          </w:p>
        </w:tc>
        <w:tc>
          <w:tcPr>
            <w:tcW w:w="9560" w:type="dxa"/>
            <w:vAlign w:val="bottom"/>
            <w:gridSpan w:val="33"/>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Indemnity Agreement (incorporated by reference to Exhibit 10.13 to the Company’s Current Report on Form 8-K filed with</w:t>
              </w:r>
            </w:hyperlink>
          </w:p>
        </w:tc>
      </w:tr>
      <w:tr>
        <w:trPr>
          <w:trHeight w:val="196"/>
        </w:trPr>
        <w:tc>
          <w:tcPr>
            <w:tcW w:w="164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the SEC on May 10, 2021).</w:t>
              </w:r>
            </w:hyperlink>
          </w:p>
        </w:tc>
        <w:tc>
          <w:tcPr>
            <w:tcW w:w="7560" w:type="dxa"/>
            <w:vAlign w:val="bottom"/>
            <w:tcBorders>
              <w:top w:val="single" w:sz="8" w:color="0000FF"/>
            </w:tcBorders>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10.14</w:t>
            </w:r>
          </w:p>
        </w:tc>
        <w:tc>
          <w:tcPr>
            <w:tcW w:w="9220" w:type="dxa"/>
            <w:vAlign w:val="bottom"/>
            <w:tcBorders>
              <w:bottom w:val="single" w:sz="8" w:color="0000FF"/>
            </w:tcBorders>
            <w:gridSpan w:val="19"/>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Amended and Restated Management Services Agreement dated as of May 4, 2021, by and among Linden Manager III LP, Edge</w:t>
              </w:r>
            </w:hyperlink>
          </w:p>
        </w:tc>
        <w:tc>
          <w:tcPr>
            <w:tcW w:w="340" w:type="dxa"/>
            <w:vAlign w:val="bottom"/>
            <w:gridSpan w:val="14"/>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4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Systems LLC d/b/a The HydraFacial Company and The Beauty Health Company (incorporated by reference to Exhibit 10.14 to the</w:t>
              </w:r>
            </w:hyperlink>
          </w:p>
        </w:tc>
        <w:tc>
          <w:tcPr>
            <w:tcW w:w="100" w:type="dxa"/>
            <w:vAlign w:val="bottom"/>
            <w:gridSpan w:val="4"/>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570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Company’s Current Report on Form 8-K filed with the SEC on May 10, 2021).</w:t>
              </w:r>
            </w:hyperlink>
          </w:p>
        </w:tc>
        <w:tc>
          <w:tcPr>
            <w:tcW w:w="3860" w:type="dxa"/>
            <w:vAlign w:val="bottom"/>
            <w:gridSpan w:val="21"/>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16.1*</w:t>
            </w:r>
          </w:p>
        </w:tc>
        <w:tc>
          <w:tcPr>
            <w:tcW w:w="830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 xml:space="preserve">Letter from Marcum LLP regarding Change in Independent Registered Public Accounting Firm dated July </w:t>
              </w:r>
            </w:hyperlink>
            <w:r>
              <w:rPr>
                <w:rFonts w:ascii="Arial" w:cs="Arial" w:eastAsia="Arial" w:hAnsi="Arial"/>
                <w:sz w:val="18"/>
                <w:szCs w:val="18"/>
                <w:color w:val="0000FF"/>
                <w:w w:val="91"/>
              </w:rPr>
              <w:t xml:space="preserve">1, </w:t>
            </w:r>
            <w:hyperlink w:anchor="page8">
              <w:r>
                <w:rPr>
                  <w:rFonts w:ascii="Arial" w:cs="Arial" w:eastAsia="Arial" w:hAnsi="Arial"/>
                  <w:sz w:val="18"/>
                  <w:szCs w:val="18"/>
                  <w:color w:val="0000FF"/>
                  <w:w w:val="91"/>
                </w:rPr>
                <w:t>2021.</w:t>
              </w:r>
            </w:hyperlink>
          </w:p>
        </w:tc>
        <w:tc>
          <w:tcPr>
            <w:tcW w:w="1260" w:type="dxa"/>
            <w:vAlign w:val="bottom"/>
            <w:gridSpan w:val="19"/>
          </w:tcPr>
          <w:p>
            <w:pPr>
              <w:spacing w:after="0"/>
              <w:rPr>
                <w:sz w:val="21"/>
                <w:szCs w:val="2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21.1</w:t>
            </w:r>
          </w:p>
        </w:tc>
        <w:tc>
          <w:tcPr>
            <w:tcW w:w="9560" w:type="dxa"/>
            <w:vAlign w:val="bottom"/>
            <w:gridSpan w:val="33"/>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Subsidiaries of the Registrant (incorporated by reference to Exhibit 21.1 to the Company’s Current Report on Form 8-K filed with</w:t>
              </w:r>
            </w:hyperlink>
          </w:p>
        </w:tc>
      </w:tr>
      <w:tr>
        <w:trPr>
          <w:trHeight w:val="196"/>
        </w:trPr>
        <w:tc>
          <w:tcPr>
            <w:tcW w:w="164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the SEC on May 10, 2021).</w:t>
              </w:r>
            </w:hyperlink>
          </w:p>
        </w:tc>
        <w:tc>
          <w:tcPr>
            <w:tcW w:w="7380" w:type="dxa"/>
            <w:vAlign w:val="bottom"/>
            <w:tcBorders>
              <w:top w:val="single" w:sz="8" w:color="0000FF"/>
            </w:tcBorders>
            <w:gridSpan w:val="21"/>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99.1</w:t>
            </w:r>
          </w:p>
        </w:tc>
        <w:tc>
          <w:tcPr>
            <w:tcW w:w="9560" w:type="dxa"/>
            <w:vAlign w:val="bottom"/>
            <w:gridSpan w:val="33"/>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Audited Consolidated Financial Statements of The Beauty Health Company and its subsidiaries as of December 31, 2020 for the</w:t>
              </w:r>
            </w:hyperlink>
          </w:p>
        </w:tc>
      </w:tr>
      <w:tr>
        <w:trPr>
          <w:trHeight w:val="196"/>
        </w:trPr>
        <w:tc>
          <w:tcPr>
            <w:tcW w:w="164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period from July 8, 2020 (inception) through December 31, 2020 (incorporated by reference to Part II, Item 8 of the Company’s</w:t>
              </w:r>
            </w:hyperlink>
          </w:p>
        </w:tc>
        <w:tc>
          <w:tcPr>
            <w:tcW w:w="40" w:type="dxa"/>
            <w:vAlign w:val="bottom"/>
            <w:tcBorders>
              <w:top w:val="single" w:sz="8" w:color="0000FF"/>
            </w:tcBorders>
            <w:gridSpan w:val="2"/>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50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Annual Report on Form 10-K/A filed with the SEC on May 28, 2021).</w:t>
              </w:r>
            </w:hyperlink>
          </w:p>
        </w:tc>
        <w:tc>
          <w:tcPr>
            <w:tcW w:w="4480" w:type="dxa"/>
            <w:vAlign w:val="bottom"/>
            <w:gridSpan w:val="22"/>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99.2</w:t>
            </w:r>
          </w:p>
        </w:tc>
        <w:tc>
          <w:tcPr>
            <w:tcW w:w="9400" w:type="dxa"/>
            <w:vAlign w:val="bottom"/>
            <w:tcBorders>
              <w:bottom w:val="single" w:sz="8" w:color="0000FF"/>
            </w:tcBorders>
            <w:gridSpan w:val="26"/>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Management’s Discussion and Analysis of Financial Condition and Results of Operations for The Beauty Health Company for the</w:t>
              </w:r>
            </w:hyperlink>
          </w:p>
        </w:tc>
        <w:tc>
          <w:tcPr>
            <w:tcW w:w="160" w:type="dxa"/>
            <w:vAlign w:val="bottom"/>
            <w:gridSpan w:val="7"/>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year ended December 31, 2020 (incorporated by reference to Part II, Item 7 of the Company’s Annual Report on Form 10-K/A filed</w:t>
              </w:r>
            </w:hyperlink>
          </w:p>
        </w:tc>
        <w:tc>
          <w:tcPr>
            <w:tcW w:w="60" w:type="dxa"/>
            <w:vAlign w:val="bottom"/>
            <w:gridSpan w:val="2"/>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23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with the SEC on May 28, 2021).</w:t>
              </w:r>
            </w:hyperlink>
          </w:p>
        </w:tc>
        <w:tc>
          <w:tcPr>
            <w:tcW w:w="7220" w:type="dxa"/>
            <w:vAlign w:val="bottom"/>
            <w:gridSpan w:val="29"/>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99.3</w:t>
            </w:r>
          </w:p>
        </w:tc>
        <w:tc>
          <w:tcPr>
            <w:tcW w:w="9280" w:type="dxa"/>
            <w:vAlign w:val="bottom"/>
            <w:tcBorders>
              <w:bottom w:val="single" w:sz="8" w:color="0000FF"/>
            </w:tcBorders>
            <w:gridSpan w:val="21"/>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Audited Consolidated Financial Statements of LCP Edge Intermediate, Inc. as of December 31, 2020 and 2019, and for the years</w:t>
              </w:r>
            </w:hyperlink>
          </w:p>
        </w:tc>
        <w:tc>
          <w:tcPr>
            <w:tcW w:w="280" w:type="dxa"/>
            <w:vAlign w:val="bottom"/>
            <w:gridSpan w:val="12"/>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ended December 31, 2020, 2019 and 2018 (incorporated by reference to the consolidated financial statements of LCP Edge</w:t>
              </w:r>
            </w:hyperlink>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Intermediate, Inc. set forth beginning on page FS-23 of the Company's definitive proxy statement filed with the SEC on April 7,</w:t>
              </w:r>
            </w:hyperlink>
          </w:p>
        </w:tc>
      </w:tr>
      <w:tr>
        <w:trPr>
          <w:trHeight w:val="196"/>
        </w:trPr>
        <w:tc>
          <w:tcPr>
            <w:tcW w:w="1640" w:type="dxa"/>
            <w:vAlign w:val="bottom"/>
          </w:tcPr>
          <w:p>
            <w:pPr>
              <w:spacing w:after="0"/>
              <w:rPr>
                <w:sz w:val="17"/>
                <w:szCs w:val="17"/>
                <w:color w:val="auto"/>
              </w:rPr>
            </w:pPr>
          </w:p>
        </w:tc>
        <w:tc>
          <w:tcPr>
            <w:tcW w:w="17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2021)</w:t>
              </w:r>
              <w:r>
                <w:rPr>
                  <w:rFonts w:ascii="Arial" w:cs="Arial" w:eastAsia="Arial" w:hAnsi="Arial"/>
                  <w:sz w:val="18"/>
                  <w:szCs w:val="18"/>
                  <w:u w:val="single" w:color="auto"/>
                  <w:color w:val="0000FF"/>
                </w:rPr>
                <w:t>.</w:t>
              </w:r>
            </w:hyperlink>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99.4</w:t>
            </w:r>
          </w:p>
        </w:tc>
        <w:tc>
          <w:tcPr>
            <w:tcW w:w="9480" w:type="dxa"/>
            <w:vAlign w:val="bottom"/>
            <w:tcBorders>
              <w:bottom w:val="single" w:sz="8" w:color="0000FF"/>
            </w:tcBorders>
            <w:gridSpan w:val="30"/>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Unaudited Condensed Consolidated Financial Statements of The Beauty Health Company and its subsidiaries as of March 31, 2021</w:t>
              </w:r>
            </w:hyperlink>
          </w:p>
        </w:tc>
        <w:tc>
          <w:tcPr>
            <w:tcW w:w="80" w:type="dxa"/>
            <w:vAlign w:val="bottom"/>
            <w:gridSpan w:val="3"/>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and December 31, 2020 and for three months ended March 31, 2021 and 2020 (incorporated by reference to Part I, Item 1 of the</w:t>
              </w:r>
            </w:hyperlink>
          </w:p>
        </w:tc>
      </w:tr>
      <w:tr>
        <w:trPr>
          <w:trHeight w:val="196"/>
        </w:trPr>
        <w:tc>
          <w:tcPr>
            <w:tcW w:w="1640" w:type="dxa"/>
            <w:vAlign w:val="bottom"/>
          </w:tcPr>
          <w:p>
            <w:pPr>
              <w:spacing w:after="0"/>
              <w:rPr>
                <w:sz w:val="17"/>
                <w:szCs w:val="17"/>
                <w:color w:val="auto"/>
              </w:rPr>
            </w:pPr>
          </w:p>
        </w:tc>
        <w:tc>
          <w:tcPr>
            <w:tcW w:w="92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Company’s Quarterly Report on Form 10-Q filed with the SEC on July 1, 2021).</w:t>
              </w:r>
            </w:hyperlink>
          </w:p>
        </w:tc>
        <w:tc>
          <w:tcPr>
            <w:tcW w:w="340" w:type="dxa"/>
            <w:vAlign w:val="bottom"/>
            <w:gridSpan w:val="14"/>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5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99.5</w:t>
            </w:r>
          </w:p>
        </w:tc>
        <w:tc>
          <w:tcPr>
            <w:tcW w:w="9400" w:type="dxa"/>
            <w:vAlign w:val="bottom"/>
            <w:tcBorders>
              <w:bottom w:val="single" w:sz="8" w:color="0000FF"/>
            </w:tcBorders>
            <w:gridSpan w:val="26"/>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Management’s Discussion and Analysis of Financial Condition and Results of Operations for The Beauty Health Company for the</w:t>
              </w:r>
            </w:hyperlink>
          </w:p>
        </w:tc>
        <w:tc>
          <w:tcPr>
            <w:tcW w:w="160" w:type="dxa"/>
            <w:vAlign w:val="bottom"/>
            <w:gridSpan w:val="7"/>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4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three months ended March 31, 2021 (incorporated by reference to Part I, Item 2 of the Company’s Quarterly Report on Form 10-Q</w:t>
              </w:r>
            </w:hyperlink>
          </w:p>
        </w:tc>
        <w:tc>
          <w:tcPr>
            <w:tcW w:w="160" w:type="dxa"/>
            <w:vAlign w:val="bottom"/>
            <w:gridSpan w:val="7"/>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26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filed with the SEC on July 1, 2021).</w:t>
              </w:r>
            </w:hyperlink>
          </w:p>
        </w:tc>
        <w:tc>
          <w:tcPr>
            <w:tcW w:w="6960" w:type="dxa"/>
            <w:vAlign w:val="bottom"/>
            <w:gridSpan w:val="28"/>
          </w:tcPr>
          <w:p>
            <w:pPr>
              <w:spacing w:after="0"/>
              <w:rPr>
                <w:sz w:val="17"/>
                <w:szCs w:val="17"/>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8"/>
                <w:szCs w:val="18"/>
                <w:color w:val="auto"/>
              </w:rPr>
              <w:t>99.6*</w:t>
            </w:r>
          </w:p>
        </w:tc>
        <w:tc>
          <w:tcPr>
            <w:tcW w:w="938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Condensed Consolidated Financial Statements of LCP Edge Intermediate, Inc. as of March 31, 2021 and December 31,</w:t>
              </w:r>
            </w:hyperlink>
          </w:p>
        </w:tc>
        <w:tc>
          <w:tcPr>
            <w:tcW w:w="180" w:type="dxa"/>
            <w:vAlign w:val="bottom"/>
            <w:gridSpan w:val="8"/>
          </w:tcPr>
          <w:p>
            <w:pPr>
              <w:spacing w:after="0"/>
              <w:rPr>
                <w:sz w:val="21"/>
                <w:szCs w:val="21"/>
                <w:color w:val="auto"/>
              </w:rPr>
            </w:pPr>
          </w:p>
        </w:tc>
      </w:tr>
      <w:tr>
        <w:trPr>
          <w:trHeight w:val="196"/>
        </w:trPr>
        <w:tc>
          <w:tcPr>
            <w:tcW w:w="164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FF"/>
              </w:rPr>
            </w:pPr>
            <w:hyperlink w:anchor="page9">
              <w:r>
                <w:rPr>
                  <w:rFonts w:ascii="Arial" w:cs="Arial" w:eastAsia="Arial" w:hAnsi="Arial"/>
                  <w:sz w:val="18"/>
                  <w:szCs w:val="18"/>
                  <w:color w:val="0000FF"/>
                </w:rPr>
                <w:t>2020, and for the three months ended March 31, 2021 and 2020.</w:t>
              </w:r>
            </w:hyperlink>
          </w:p>
        </w:tc>
      </w:tr>
      <w:tr>
        <w:trPr>
          <w:trHeight w:val="20"/>
        </w:trPr>
        <w:tc>
          <w:tcPr>
            <w:tcW w:w="1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00"/>
          </w:cols>
          <w:pgMar w:left="340" w:top="972" w:right="3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jc w:val="right"/>
              <w:ind w:right="1130"/>
              <w:spacing w:after="0"/>
              <w:rPr>
                <w:sz w:val="20"/>
                <w:szCs w:val="20"/>
                <w:color w:val="auto"/>
              </w:rPr>
            </w:pPr>
            <w:r>
              <w:rPr>
                <w:rFonts w:ascii="Arial" w:cs="Arial" w:eastAsia="Arial" w:hAnsi="Arial"/>
                <w:sz w:val="18"/>
                <w:szCs w:val="18"/>
                <w:color w:val="auto"/>
                <w:w w:val="95"/>
              </w:rPr>
              <w:t>99.7*</w:t>
            </w:r>
          </w:p>
        </w:tc>
        <w:tc>
          <w:tcPr>
            <w:tcW w:w="93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Management’s Discussion and Analysis of Financial Condition and Results of Operations for LCP Edge Intermediate, Inc. for the</w:t>
              </w:r>
            </w:hyperlink>
          </w:p>
        </w:tc>
        <w:tc>
          <w:tcPr>
            <w:tcW w:w="120" w:type="dxa"/>
            <w:vAlign w:val="bottom"/>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336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29">
              <w:r>
                <w:rPr>
                  <w:rFonts w:ascii="Arial" w:cs="Arial" w:eastAsia="Arial" w:hAnsi="Arial"/>
                  <w:sz w:val="18"/>
                  <w:szCs w:val="18"/>
                  <w:color w:val="0000FF"/>
                  <w:w w:val="88"/>
                </w:rPr>
                <w:t>three months ended March 31, 2021 and 2020.</w:t>
              </w:r>
            </w:hyperlink>
          </w:p>
        </w:tc>
        <w:tc>
          <w:tcPr>
            <w:tcW w:w="6100" w:type="dxa"/>
            <w:vAlign w:val="bottom"/>
            <w:gridSpan w:val="3"/>
          </w:tcPr>
          <w:p>
            <w:pPr>
              <w:spacing w:after="0"/>
              <w:rPr>
                <w:sz w:val="17"/>
                <w:szCs w:val="17"/>
                <w:color w:val="auto"/>
              </w:rPr>
            </w:pPr>
          </w:p>
        </w:tc>
      </w:tr>
      <w:tr>
        <w:trPr>
          <w:trHeight w:val="250"/>
        </w:trPr>
        <w:tc>
          <w:tcPr>
            <w:tcW w:w="1640" w:type="dxa"/>
            <w:vAlign w:val="bottom"/>
          </w:tcPr>
          <w:p>
            <w:pPr>
              <w:jc w:val="right"/>
              <w:ind w:right="1130"/>
              <w:spacing w:after="0"/>
              <w:rPr>
                <w:sz w:val="20"/>
                <w:szCs w:val="20"/>
                <w:color w:val="auto"/>
              </w:rPr>
            </w:pPr>
            <w:r>
              <w:rPr>
                <w:rFonts w:ascii="Arial" w:cs="Arial" w:eastAsia="Arial" w:hAnsi="Arial"/>
                <w:sz w:val="18"/>
                <w:szCs w:val="18"/>
                <w:color w:val="auto"/>
                <w:w w:val="95"/>
              </w:rPr>
              <w:t>99.8*</w:t>
            </w:r>
          </w:p>
        </w:tc>
        <w:tc>
          <w:tcPr>
            <w:tcW w:w="94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Unaudited Pro Forma Condensed Combined Financial Statements of The Beauty Health Company and its subsidiaries as of and for</w:t>
              </w:r>
            </w:hyperlink>
          </w:p>
        </w:tc>
      </w:tr>
      <w:tr>
        <w:trPr>
          <w:trHeight w:val="196"/>
        </w:trPr>
        <w:tc>
          <w:tcPr>
            <w:tcW w:w="1640" w:type="dxa"/>
            <w:vAlign w:val="bottom"/>
          </w:tcPr>
          <w:p>
            <w:pPr>
              <w:spacing w:after="0"/>
              <w:rPr>
                <w:sz w:val="17"/>
                <w:szCs w:val="17"/>
                <w:color w:val="auto"/>
              </w:rPr>
            </w:pPr>
          </w:p>
        </w:tc>
        <w:tc>
          <w:tcPr>
            <w:tcW w:w="60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the three months ended March 31, 2021 and for the year ended December 31, 2020.</w:t>
              </w:r>
            </w:hyperlink>
          </w:p>
        </w:tc>
        <w:tc>
          <w:tcPr>
            <w:tcW w:w="3440" w:type="dxa"/>
            <w:vAlign w:val="bottom"/>
            <w:gridSpan w:val="2"/>
          </w:tcPr>
          <w:p>
            <w:pPr>
              <w:spacing w:after="0"/>
              <w:rPr>
                <w:sz w:val="17"/>
                <w:szCs w:val="17"/>
                <w:color w:val="auto"/>
              </w:rPr>
            </w:pPr>
          </w:p>
        </w:tc>
      </w:tr>
    </w:tbl>
    <w:p>
      <w:pPr>
        <w:spacing w:after="0" w:line="296" w:lineRule="exact"/>
        <w:rPr>
          <w:sz w:val="20"/>
          <w:szCs w:val="20"/>
          <w:color w:val="auto"/>
        </w:rPr>
      </w:pPr>
    </w:p>
    <w:p>
      <w:pPr>
        <w:ind w:left="680" w:hanging="674"/>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or Item 601(b)(10)(iv), as applicable, of Regulation S-K. The Registrant agrees to furnish supplemental copies of all omitted exhibits and schedules to the Securities and Exchange Commission upon its request.</w:t>
      </w:r>
    </w:p>
    <w:p>
      <w:pPr>
        <w:spacing w:after="0" w:line="22" w:lineRule="exact"/>
        <w:rPr>
          <w:sz w:val="20"/>
          <w:szCs w:val="20"/>
          <w:color w:val="auto"/>
        </w:rPr>
      </w:pPr>
    </w:p>
    <w:p>
      <w:pPr>
        <w:ind w:left="680" w:hanging="67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680" w:hanging="67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180"/>
          </w:cols>
          <w:pgMar w:left="340" w:top="972"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color w:val="auto"/>
              </w:rPr>
              <w:t>Dated: July 9, 2021</w:t>
            </w:r>
          </w:p>
        </w:tc>
        <w:tc>
          <w:tcPr>
            <w:tcW w:w="7800" w:type="dxa"/>
            <w:vAlign w:val="bottom"/>
            <w:gridSpan w:val="2"/>
          </w:tcPr>
          <w:p>
            <w:pPr>
              <w:ind w:left="2020"/>
              <w:spacing w:after="0"/>
              <w:rPr>
                <w:sz w:val="20"/>
                <w:szCs w:val="20"/>
                <w:color w:val="auto"/>
              </w:rPr>
            </w:pPr>
            <w:r>
              <w:rPr>
                <w:rFonts w:ascii="Arial" w:cs="Arial" w:eastAsia="Arial" w:hAnsi="Arial"/>
                <w:sz w:val="18"/>
                <w:szCs w:val="18"/>
                <w:b w:val="1"/>
                <w:bCs w:val="1"/>
                <w:color w:val="auto"/>
              </w:rPr>
              <w:t>The Beauty Health Company</w:t>
            </w:r>
          </w:p>
        </w:tc>
        <w:tc>
          <w:tcPr>
            <w:tcW w:w="0" w:type="dxa"/>
            <w:vAlign w:val="bottom"/>
          </w:tcPr>
          <w:p>
            <w:pPr>
              <w:spacing w:after="0"/>
              <w:rPr>
                <w:sz w:val="1"/>
                <w:szCs w:val="1"/>
                <w:color w:val="auto"/>
              </w:rPr>
            </w:pPr>
          </w:p>
        </w:tc>
      </w:tr>
      <w:tr>
        <w:trPr>
          <w:trHeight w:val="527"/>
        </w:trPr>
        <w:tc>
          <w:tcPr>
            <w:tcW w:w="3420" w:type="dxa"/>
            <w:vAlign w:val="bottom"/>
          </w:tcPr>
          <w:p>
            <w:pPr>
              <w:spacing w:after="0"/>
              <w:rPr>
                <w:sz w:val="24"/>
                <w:szCs w:val="24"/>
                <w:color w:val="auto"/>
              </w:rPr>
            </w:pPr>
          </w:p>
        </w:tc>
        <w:tc>
          <w:tcPr>
            <w:tcW w:w="2740" w:type="dxa"/>
            <w:vAlign w:val="bottom"/>
          </w:tcPr>
          <w:p>
            <w:pPr>
              <w:ind w:left="202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Liyuan Woo</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740" w:type="dxa"/>
            <w:vAlign w:val="bottom"/>
            <w:vMerge w:val="restart"/>
          </w:tcPr>
          <w:p>
            <w:pPr>
              <w:ind w:left="2020"/>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Liyuan Woo</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740" w:type="dxa"/>
            <w:vAlign w:val="bottom"/>
          </w:tcPr>
          <w:p>
            <w:pPr>
              <w:ind w:left="2020"/>
              <w:spacing w:after="0"/>
              <w:rPr>
                <w:sz w:val="20"/>
                <w:szCs w:val="20"/>
                <w:color w:val="auto"/>
              </w:rPr>
            </w:pPr>
            <w:r>
              <w:rPr>
                <w:rFonts w:ascii="Arial" w:cs="Arial" w:eastAsia="Arial" w:hAnsi="Arial"/>
                <w:sz w:val="18"/>
                <w:szCs w:val="18"/>
                <w:color w:val="auto"/>
              </w:rPr>
              <w:t>Title:</w:t>
            </w: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16.1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3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We have read the statements made by The Beauty Health Company (formerly Vesper Healthcare Acquisition Corp.) under Item 4.01 of its Form 8-K/A dated May 4, 2021 and filed on July 9, 2021. We agree with the statements concerning our Firm in such Form 8-K/A; we are not in a position to agree or disagree with other statements of The Beauty Health Company (formerly Vesper Healthcare Acquisition Corp.) contained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ectPr>
          <w:pgSz w:w="11900" w:h="16838" w:orient="portrait"/>
          <w:cols w:equalWidth="0" w:num="1">
            <w:col w:w="11240"/>
          </w:cols>
          <w:pgMar w:left="320" w:top="1440" w:right="339" w:bottom="1440" w:gutter="0" w:footer="0" w:header="0"/>
        </w:sectPr>
      </w:pPr>
    </w:p>
    <w:bookmarkStart w:id="8" w:name="page9"/>
    <w:bookmarkEnd w:id="8"/>
    <w:p>
      <w:pPr>
        <w:ind w:left="10240"/>
        <w:spacing w:after="0"/>
        <w:rPr>
          <w:sz w:val="20"/>
          <w:szCs w:val="20"/>
          <w:color w:val="auto"/>
        </w:rPr>
      </w:pPr>
      <w:r>
        <w:rPr>
          <w:rFonts w:ascii="Arial" w:cs="Arial" w:eastAsia="Arial" w:hAnsi="Arial"/>
          <w:sz w:val="17"/>
          <w:szCs w:val="17"/>
          <w:b w:val="1"/>
          <w:bCs w:val="1"/>
          <w:color w:val="auto"/>
        </w:rPr>
        <w:t>Exhibit 99.6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 xml:space="preserve">INDEX TO CONDENSED CONSOLIDATED FINANCIAL STATEMENTS OF </w:t>
      </w:r>
      <w:r>
        <w:rPr>
          <w:rFonts w:ascii="Arial" w:cs="Arial" w:eastAsia="Arial" w:hAnsi="Arial"/>
          <w:sz w:val="22"/>
          <w:szCs w:val="22"/>
          <w:b w:val="1"/>
          <w:bCs w:val="1"/>
          <w:color w:val="000000"/>
        </w:rPr>
        <w:t>LCP EDGE INTERMEDIATE, INC.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460" w:type="dxa"/>
            <w:vAlign w:val="bottom"/>
          </w:tcPr>
          <w:p>
            <w:pPr>
              <w:spacing w:after="0"/>
              <w:rPr>
                <w:sz w:val="20"/>
                <w:szCs w:val="20"/>
                <w:color w:val="auto"/>
              </w:rPr>
            </w:pPr>
            <w:r>
              <w:rPr>
                <w:rFonts w:ascii="Arial" w:cs="Arial" w:eastAsia="Arial" w:hAnsi="Arial"/>
                <w:sz w:val="22"/>
                <w:szCs w:val="22"/>
                <w:b w:val="1"/>
                <w:bCs w:val="1"/>
                <w:color w:val="auto"/>
              </w:rPr>
              <w:t>Unaudited Condensed Consolidated Financial Statements</w:t>
            </w:r>
          </w:p>
        </w:tc>
        <w:tc>
          <w:tcPr>
            <w:tcW w:w="320" w:type="dxa"/>
            <w:vAlign w:val="bottom"/>
          </w:tcPr>
          <w:p>
            <w:pPr>
              <w:spacing w:after="0"/>
              <w:rPr>
                <w:sz w:val="24"/>
                <w:szCs w:val="24"/>
                <w:color w:val="auto"/>
              </w:rPr>
            </w:pPr>
          </w:p>
        </w:tc>
      </w:tr>
      <w:tr>
        <w:trPr>
          <w:trHeight w:val="257"/>
        </w:trPr>
        <w:tc>
          <w:tcPr>
            <w:tcW w:w="7460" w:type="dxa"/>
            <w:vAlign w:val="bottom"/>
          </w:tcPr>
          <w:p>
            <w:pPr>
              <w:ind w:left="660"/>
              <w:spacing w:after="0"/>
              <w:rPr>
                <w:sz w:val="20"/>
                <w:szCs w:val="20"/>
                <w:color w:val="auto"/>
              </w:rPr>
            </w:pPr>
            <w:r>
              <w:rPr>
                <w:rFonts w:ascii="Arial" w:cs="Arial" w:eastAsia="Arial" w:hAnsi="Arial"/>
                <w:sz w:val="22"/>
                <w:szCs w:val="22"/>
                <w:color w:val="auto"/>
              </w:rPr>
              <w:t>Unaudited condensed consolidated balance sheets   2</w:t>
            </w:r>
          </w:p>
        </w:tc>
        <w:tc>
          <w:tcPr>
            <w:tcW w:w="320" w:type="dxa"/>
            <w:vAlign w:val="bottom"/>
          </w:tcPr>
          <w:p>
            <w:pPr>
              <w:spacing w:after="0"/>
              <w:rPr>
                <w:sz w:val="22"/>
                <w:szCs w:val="22"/>
                <w:color w:val="auto"/>
              </w:rPr>
            </w:pPr>
          </w:p>
        </w:tc>
      </w:tr>
      <w:tr>
        <w:trPr>
          <w:trHeight w:val="256"/>
        </w:trPr>
        <w:tc>
          <w:tcPr>
            <w:tcW w:w="7460" w:type="dxa"/>
            <w:vAlign w:val="bottom"/>
          </w:tcPr>
          <w:p>
            <w:pPr>
              <w:ind w:left="660"/>
              <w:spacing w:after="0"/>
              <w:rPr>
                <w:sz w:val="20"/>
                <w:szCs w:val="20"/>
                <w:color w:val="auto"/>
              </w:rPr>
            </w:pPr>
            <w:r>
              <w:rPr>
                <w:rFonts w:ascii="Arial" w:cs="Arial" w:eastAsia="Arial" w:hAnsi="Arial"/>
                <w:sz w:val="22"/>
                <w:szCs w:val="22"/>
                <w:color w:val="auto"/>
                <w:w w:val="99"/>
              </w:rPr>
              <w:t>Unaudited condensed consolidated statements of comprehensive loss</w:t>
            </w:r>
          </w:p>
        </w:tc>
        <w:tc>
          <w:tcPr>
            <w:tcW w:w="3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7460" w:type="dxa"/>
            <w:vAlign w:val="bottom"/>
          </w:tcPr>
          <w:p>
            <w:pPr>
              <w:ind w:left="660"/>
              <w:spacing w:after="0"/>
              <w:rPr>
                <w:sz w:val="20"/>
                <w:szCs w:val="20"/>
                <w:color w:val="auto"/>
              </w:rPr>
            </w:pPr>
            <w:r>
              <w:rPr>
                <w:rFonts w:ascii="Arial" w:cs="Arial" w:eastAsia="Arial" w:hAnsi="Arial"/>
                <w:sz w:val="22"/>
                <w:szCs w:val="22"/>
                <w:color w:val="auto"/>
                <w:w w:val="99"/>
              </w:rPr>
              <w:t>Unaudited condensed consolidated statements of stockholders’ deficit</w:t>
            </w:r>
          </w:p>
        </w:tc>
        <w:tc>
          <w:tcPr>
            <w:tcW w:w="3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57"/>
        </w:trPr>
        <w:tc>
          <w:tcPr>
            <w:tcW w:w="7460" w:type="dxa"/>
            <w:vAlign w:val="bottom"/>
          </w:tcPr>
          <w:p>
            <w:pPr>
              <w:ind w:left="660"/>
              <w:spacing w:after="0"/>
              <w:rPr>
                <w:sz w:val="20"/>
                <w:szCs w:val="20"/>
                <w:color w:val="auto"/>
              </w:rPr>
            </w:pPr>
            <w:r>
              <w:rPr>
                <w:rFonts w:ascii="Arial" w:cs="Arial" w:eastAsia="Arial" w:hAnsi="Arial"/>
                <w:sz w:val="22"/>
                <w:szCs w:val="22"/>
                <w:color w:val="auto"/>
              </w:rPr>
              <w:t>Unaudited condensed consolidated statements of cash flows  5</w:t>
            </w:r>
          </w:p>
        </w:tc>
        <w:tc>
          <w:tcPr>
            <w:tcW w:w="320" w:type="dxa"/>
            <w:vAlign w:val="bottom"/>
          </w:tcPr>
          <w:p>
            <w:pPr>
              <w:spacing w:after="0"/>
              <w:rPr>
                <w:sz w:val="22"/>
                <w:szCs w:val="22"/>
                <w:color w:val="auto"/>
              </w:rPr>
            </w:pPr>
          </w:p>
        </w:tc>
      </w:tr>
    </w:tbl>
    <w:p>
      <w:pPr>
        <w:ind w:left="660"/>
        <w:spacing w:after="0"/>
        <w:tabs>
          <w:tab w:leader="none" w:pos="7100" w:val="left"/>
        </w:tabs>
        <w:rPr>
          <w:sz w:val="20"/>
          <w:szCs w:val="20"/>
          <w:color w:val="auto"/>
        </w:rPr>
      </w:pPr>
      <w:r>
        <w:rPr>
          <w:rFonts w:ascii="Arial" w:cs="Arial" w:eastAsia="Arial" w:hAnsi="Arial"/>
          <w:sz w:val="22"/>
          <w:szCs w:val="22"/>
          <w:color w:val="auto"/>
        </w:rPr>
        <w:t>Notes to unaudited condensed consolidated financial statements</w:t>
      </w:r>
      <w:r>
        <w:rPr>
          <w:sz w:val="20"/>
          <w:szCs w:val="20"/>
          <w:color w:val="auto"/>
        </w:rPr>
        <w:tab/>
      </w:r>
      <w:r>
        <w:rPr>
          <w:rFonts w:ascii="Arial" w:cs="Arial" w:eastAsia="Arial" w:hAnsi="Arial"/>
          <w:sz w:val="21"/>
          <w:szCs w:val="21"/>
          <w:color w:val="auto"/>
        </w:rPr>
        <w:t>6–20</w:t>
      </w:r>
    </w:p>
    <w:p>
      <w:pPr>
        <w:sectPr>
          <w:pgSz w:w="11900" w:h="16838" w:orient="portrait"/>
          <w:cols w:equalWidth="0" w:num="1">
            <w:col w:w="11240"/>
          </w:cols>
          <w:pgMar w:left="320" w:top="1183" w:right="339" w:bottom="1440" w:gutter="0" w:footer="0" w:header="0"/>
        </w:sectPr>
      </w:pPr>
    </w:p>
    <w:bookmarkStart w:id="9" w:name="page10"/>
    <w:bookmarkEnd w:id="9"/>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LCP EDGE INTERMEDIATE,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9"/>
                <w:szCs w:val="19"/>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(unaudited)</w:t>
            </w:r>
          </w:p>
        </w:tc>
      </w:tr>
      <w:tr>
        <w:trPr>
          <w:trHeight w:val="229"/>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66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188"/>
        </w:trPr>
        <w:tc>
          <w:tcPr>
            <w:tcW w:w="7660" w:type="dxa"/>
            <w:vAlign w:val="bottom"/>
          </w:tcPr>
          <w:p>
            <w:pPr>
              <w:ind w:left="300"/>
              <w:spacing w:after="0" w:line="189" w:lineRule="exact"/>
              <w:rPr>
                <w:sz w:val="20"/>
                <w:szCs w:val="20"/>
                <w:color w:val="auto"/>
              </w:rPr>
            </w:pPr>
            <w:r>
              <w:rPr>
                <w:rFonts w:ascii="Arial" w:cs="Arial" w:eastAsia="Arial" w:hAnsi="Arial"/>
                <w:sz w:val="18"/>
                <w:szCs w:val="18"/>
                <w:color w:val="auto"/>
              </w:rPr>
              <w:t>Accounts receivable, net of allowance for doubtful accounts of $2,049 as of March 31, 2021</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7"/>
        </w:trPr>
        <w:tc>
          <w:tcPr>
            <w:tcW w:w="7660" w:type="dxa"/>
            <w:vAlign w:val="bottom"/>
          </w:tcPr>
          <w:p>
            <w:pPr>
              <w:ind w:left="300"/>
              <w:spacing w:after="0"/>
              <w:rPr>
                <w:sz w:val="20"/>
                <w:szCs w:val="20"/>
                <w:color w:val="auto"/>
              </w:rPr>
            </w:pPr>
            <w:r>
              <w:rPr>
                <w:rFonts w:ascii="Arial" w:cs="Arial" w:eastAsia="Arial" w:hAnsi="Arial"/>
                <w:sz w:val="18"/>
                <w:szCs w:val="18"/>
                <w:color w:val="auto"/>
              </w:rPr>
              <w:t>and $2,032 as of December 31, 2020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18,576</w:t>
            </w:r>
          </w:p>
        </w:tc>
      </w:tr>
      <w:tr>
        <w:trPr>
          <w:trHeight w:val="229"/>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29"/>
        </w:trPr>
        <w:tc>
          <w:tcPr>
            <w:tcW w:w="7660" w:type="dxa"/>
            <w:vAlign w:val="bottom"/>
          </w:tcPr>
          <w:p>
            <w:pPr>
              <w:ind w:left="30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230"/>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w:t>
            </w:r>
          </w:p>
        </w:tc>
      </w:tr>
      <w:tr>
        <w:trPr>
          <w:trHeight w:val="223"/>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59,095</w:t>
            </w:r>
          </w:p>
        </w:tc>
      </w:tr>
      <w:tr>
        <w:trPr>
          <w:trHeight w:val="223"/>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r>
      <w:tr>
        <w:trPr>
          <w:trHeight w:val="229"/>
        </w:trPr>
        <w:tc>
          <w:tcPr>
            <w:tcW w:w="7660" w:type="dxa"/>
            <w:vAlign w:val="bottom"/>
          </w:tcPr>
          <w:p>
            <w:pPr>
              <w:ind w:left="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50,935</w:t>
            </w:r>
          </w:p>
        </w:tc>
      </w:tr>
      <w:tr>
        <w:trPr>
          <w:trHeight w:val="230"/>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98,531</w:t>
            </w:r>
          </w:p>
        </w:tc>
      </w:tr>
      <w:tr>
        <w:trPr>
          <w:trHeight w:val="229"/>
        </w:trPr>
        <w:tc>
          <w:tcPr>
            <w:tcW w:w="7660" w:type="dxa"/>
            <w:vAlign w:val="bottom"/>
          </w:tcPr>
          <w:p>
            <w:pPr>
              <w:ind w:left="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234,789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222,835</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66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r>
      <w:tr>
        <w:trPr>
          <w:trHeight w:val="230"/>
        </w:trPr>
        <w:tc>
          <w:tcPr>
            <w:tcW w:w="7660" w:type="dxa"/>
            <w:vAlign w:val="bottom"/>
          </w:tcPr>
          <w:p>
            <w:pPr>
              <w:ind w:left="300"/>
              <w:spacing w:after="0"/>
              <w:rPr>
                <w:sz w:val="20"/>
                <w:szCs w:val="20"/>
                <w:color w:val="auto"/>
              </w:rPr>
            </w:pPr>
            <w:r>
              <w:rPr>
                <w:rFonts w:ascii="Arial" w:cs="Arial" w:eastAsia="Arial" w:hAnsi="Arial"/>
                <w:sz w:val="18"/>
                <w:szCs w:val="18"/>
                <w:color w:val="auto"/>
              </w:rPr>
              <w:t>Accrued payroll related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9,475</w:t>
            </w:r>
          </w:p>
        </w:tc>
      </w:tr>
      <w:tr>
        <w:trPr>
          <w:trHeight w:val="229"/>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30"/>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Current portion of long-term debt due to related parties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30,930</w:t>
            </w:r>
          </w:p>
        </w:tc>
      </w:tr>
      <w:tr>
        <w:trPr>
          <w:trHeight w:val="223"/>
        </w:trPr>
        <w:tc>
          <w:tcPr>
            <w:tcW w:w="7660" w:type="dxa"/>
            <w:vAlign w:val="bottom"/>
          </w:tcPr>
          <w:p>
            <w:pPr>
              <w:ind w:left="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7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debt due to related parties, net of current portion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216,024</w:t>
            </w:r>
          </w:p>
        </w:tc>
      </w:tr>
      <w:tr>
        <w:trPr>
          <w:trHeight w:val="230"/>
        </w:trPr>
        <w:tc>
          <w:tcPr>
            <w:tcW w:w="7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2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267,994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252,795</w:t>
            </w:r>
          </w:p>
        </w:tc>
      </w:tr>
      <w:tr>
        <w:trPr>
          <w:trHeight w:val="223"/>
        </w:trPr>
        <w:tc>
          <w:tcPr>
            <w:tcW w:w="7660" w:type="dxa"/>
            <w:vAlign w:val="bottom"/>
          </w:tcPr>
          <w:p>
            <w:pPr>
              <w:ind w:left="8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88"/>
        </w:trPr>
        <w:tc>
          <w:tcPr>
            <w:tcW w:w="76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Common stock $0.01 par value; 60,000 shares authorized; 54,358 shares issued and</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7"/>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at March 31, 2021 and December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660" w:type="dxa"/>
            <w:vAlign w:val="bottom"/>
          </w:tcPr>
          <w:p>
            <w:pPr>
              <w:ind w:left="300"/>
              <w:spacing w:after="0" w:line="189" w:lineRule="exact"/>
              <w:rPr>
                <w:sz w:val="20"/>
                <w:szCs w:val="20"/>
                <w:color w:val="auto"/>
              </w:rPr>
            </w:pPr>
            <w:r>
              <w:rPr>
                <w:rFonts w:ascii="Arial" w:cs="Arial" w:eastAsia="Arial" w:hAnsi="Arial"/>
                <w:sz w:val="18"/>
                <w:szCs w:val="18"/>
                <w:color w:val="auto"/>
              </w:rPr>
              <w:t>Class A Preferred stock, $0.01 par value; 1,500 shares authorized; 935 issued and 931</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75"/>
        </w:trPr>
        <w:tc>
          <w:tcPr>
            <w:tcW w:w="7660" w:type="dxa"/>
            <w:vAlign w:val="bottom"/>
          </w:tcPr>
          <w:p>
            <w:pPr>
              <w:ind w:left="300"/>
              <w:spacing w:after="0" w:line="176" w:lineRule="exact"/>
              <w:rPr>
                <w:sz w:val="20"/>
                <w:szCs w:val="20"/>
                <w:color w:val="auto"/>
              </w:rPr>
            </w:pPr>
            <w:r>
              <w:rPr>
                <w:rFonts w:ascii="Arial" w:cs="Arial" w:eastAsia="Arial" w:hAnsi="Arial"/>
                <w:sz w:val="18"/>
                <w:szCs w:val="18"/>
                <w:color w:val="auto"/>
              </w:rPr>
              <w:t>outstanding at both March 31, 2021 and December 31, 2020 (Aggregated liquidation</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7"/>
        </w:trPr>
        <w:tc>
          <w:tcPr>
            <w:tcW w:w="7660" w:type="dxa"/>
            <w:vAlign w:val="bottom"/>
          </w:tcPr>
          <w:p>
            <w:pPr>
              <w:ind w:left="300"/>
              <w:spacing w:after="0"/>
              <w:rPr>
                <w:sz w:val="20"/>
                <w:szCs w:val="20"/>
                <w:color w:val="auto"/>
              </w:rPr>
            </w:pPr>
            <w:r>
              <w:rPr>
                <w:rFonts w:ascii="Arial" w:cs="Arial" w:eastAsia="Arial" w:hAnsi="Arial"/>
                <w:sz w:val="18"/>
                <w:szCs w:val="18"/>
                <w:color w:val="auto"/>
              </w:rPr>
              <w:t>preference of $8,465 as of March 31, 2021 and December 31, 2020)</w:t>
            </w: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r>
      <w:tr>
        <w:trPr>
          <w:trHeight w:val="230"/>
        </w:trPr>
        <w:tc>
          <w:tcPr>
            <w:tcW w:w="7660" w:type="dxa"/>
            <w:vAlign w:val="bottom"/>
          </w:tcPr>
          <w:p>
            <w:pPr>
              <w:ind w:left="300"/>
              <w:spacing w:after="0"/>
              <w:rPr>
                <w:sz w:val="20"/>
                <w:szCs w:val="20"/>
                <w:color w:val="auto"/>
              </w:rPr>
            </w:pPr>
            <w:r>
              <w:rPr>
                <w:rFonts w:ascii="Arial" w:cs="Arial" w:eastAsia="Arial" w:hAnsi="Arial"/>
                <w:sz w:val="18"/>
                <w:szCs w:val="18"/>
                <w:color w:val="auto"/>
              </w:rPr>
              <w:t>Note receivable from stockholder</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(43,604)</w:t>
            </w:r>
          </w:p>
        </w:tc>
      </w:tr>
      <w:tr>
        <w:trPr>
          <w:trHeight w:val="22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(29,960)</w:t>
            </w:r>
          </w:p>
        </w:tc>
      </w:tr>
      <w:tr>
        <w:trPr>
          <w:trHeight w:val="223"/>
        </w:trPr>
        <w:tc>
          <w:tcPr>
            <w:tcW w:w="7660" w:type="dxa"/>
            <w:vAlign w:val="bottom"/>
          </w:tcPr>
          <w:p>
            <w:pPr>
              <w:ind w:left="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234,789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222,835</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LCP EDGE INTERMEDIATE,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(unaudited)</w:t>
            </w:r>
          </w:p>
        </w:tc>
      </w:tr>
      <w:tr>
        <w:trPr>
          <w:trHeight w:val="230"/>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32,536</w:t>
            </w:r>
          </w:p>
        </w:tc>
      </w:tr>
      <w:tr>
        <w:trPr>
          <w:trHeight w:val="229"/>
        </w:trPr>
        <w:tc>
          <w:tcPr>
            <w:tcW w:w="67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w:t>
            </w:r>
          </w:p>
        </w:tc>
      </w:tr>
      <w:tr>
        <w:trPr>
          <w:trHeight w:val="223"/>
        </w:trPr>
        <w:tc>
          <w:tcPr>
            <w:tcW w:w="6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18,929</w:t>
            </w:r>
          </w:p>
        </w:tc>
      </w:tr>
      <w:tr>
        <w:trPr>
          <w:trHeight w:val="223"/>
        </w:trPr>
        <w:tc>
          <w:tcPr>
            <w:tcW w:w="674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17,697</w:t>
            </w:r>
          </w:p>
        </w:tc>
      </w:tr>
      <w:tr>
        <w:trPr>
          <w:trHeight w:val="229"/>
        </w:trPr>
        <w:tc>
          <w:tcPr>
            <w:tcW w:w="674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6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w:t>
            </w: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26,265</w:t>
            </w:r>
          </w:p>
        </w:tc>
      </w:tr>
      <w:tr>
        <w:trPr>
          <w:trHeight w:val="223"/>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w:t>
            </w:r>
          </w:p>
        </w:tc>
      </w:tr>
      <w:tr>
        <w:trPr>
          <w:trHeight w:val="223"/>
        </w:trPr>
        <w:tc>
          <w:tcPr>
            <w:tcW w:w="6740" w:type="dxa"/>
            <w:vAlign w:val="bottom"/>
          </w:tcPr>
          <w:p>
            <w:pPr>
              <w:ind w:left="8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w:t>
            </w:r>
          </w:p>
        </w:tc>
      </w:tr>
      <w:tr>
        <w:trPr>
          <w:trHeight w:val="229"/>
        </w:trPr>
        <w:tc>
          <w:tcPr>
            <w:tcW w:w="6740" w:type="dxa"/>
            <w:vAlign w:val="bottom"/>
          </w:tcPr>
          <w:p>
            <w:pPr>
              <w:ind w:left="30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Foreign currency loss, net</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r>
      <w:tr>
        <w:trPr>
          <w:trHeight w:val="223"/>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Loss before provision for income taxes</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(11,684)</w:t>
            </w:r>
          </w:p>
        </w:tc>
      </w:tr>
      <w:tr>
        <w:trPr>
          <w:trHeight w:val="229"/>
        </w:trPr>
        <w:tc>
          <w:tcPr>
            <w:tcW w:w="6740" w:type="dxa"/>
            <w:vAlign w:val="bottom"/>
            <w:tcBorders>
              <w:bottom w:val="single" w:sz="8" w:color="CFF0FC"/>
            </w:tcBorders>
          </w:tcPr>
          <w:p>
            <w:pPr>
              <w:ind w:left="3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r>
      <w:tr>
        <w:trPr>
          <w:trHeight w:val="223"/>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r>
      <w:tr>
        <w:trPr>
          <w:trHeight w:val="230"/>
        </w:trPr>
        <w:tc>
          <w:tcPr>
            <w:tcW w:w="67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Cumulative preferred dividends</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loss attributable to common shareholders</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w:t>
            </w:r>
          </w:p>
        </w:tc>
      </w:tr>
      <w:tr>
        <w:trPr>
          <w:trHeight w:val="230"/>
        </w:trPr>
        <w:tc>
          <w:tcPr>
            <w:tcW w:w="6740" w:type="dxa"/>
            <w:vAlign w:val="bottom"/>
          </w:tcPr>
          <w:p>
            <w:pPr>
              <w:ind w:left="80"/>
              <w:spacing w:after="0"/>
              <w:rPr>
                <w:sz w:val="20"/>
                <w:szCs w:val="20"/>
                <w:color w:val="auto"/>
              </w:rPr>
            </w:pPr>
            <w:r>
              <w:rPr>
                <w:rFonts w:ascii="Arial" w:cs="Arial" w:eastAsia="Arial" w:hAnsi="Arial"/>
                <w:sz w:val="18"/>
                <w:szCs w:val="18"/>
                <w:color w:val="auto"/>
              </w:rPr>
              <w:t>Comprehensive loss, net of tax:</w:t>
            </w: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740" w:type="dxa"/>
            <w:vAlign w:val="bottom"/>
          </w:tcPr>
          <w:p>
            <w:pPr>
              <w:ind w:left="80"/>
              <w:spacing w:after="0"/>
              <w:rPr>
                <w:sz w:val="20"/>
                <w:szCs w:val="20"/>
                <w:color w:val="auto"/>
              </w:rPr>
            </w:pPr>
            <w:r>
              <w:rPr>
                <w:rFonts w:ascii="Arial" w:cs="Arial" w:eastAsia="Arial" w:hAnsi="Arial"/>
                <w:sz w:val="18"/>
                <w:szCs w:val="18"/>
                <w:b w:val="1"/>
                <w:bCs w:val="1"/>
                <w:color w:val="auto"/>
              </w:rPr>
              <w:t>Comprehensive loss, net of tax:</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0"/>
        </w:trPr>
        <w:tc>
          <w:tcPr>
            <w:tcW w:w="67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Net loss per share available to common stockholders - basic and diluted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w:t>
            </w:r>
          </w:p>
        </w:tc>
      </w:tr>
      <w:tr>
        <w:trPr>
          <w:trHeight w:val="223"/>
        </w:trPr>
        <w:tc>
          <w:tcPr>
            <w:tcW w:w="67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Weighted average common shares outstanding - basic and diluted</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bookmarkStart w:id="11" w:name="page12"/>
    <w:bookmarkEnd w:id="11"/>
    <w:p>
      <w:pPr>
        <w:spacing w:after="0" w:line="7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LCP EDGE INTERMEDIATE, INC.</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CONDENSED CONSOLIDATED STATEMENTS OF STOCKHOLDERS’ DEFICIT</w:t>
      </w:r>
    </w:p>
    <w:p>
      <w:pPr>
        <w:jc w:val="center"/>
        <w:ind w:right="80"/>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Note</w:t>
            </w:r>
          </w:p>
        </w:tc>
        <w:tc>
          <w:tcPr>
            <w:tcW w:w="1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vMerge w:val="restart"/>
          </w:tcPr>
          <w:p>
            <w:pPr>
              <w:spacing w:after="0"/>
              <w:rPr>
                <w:sz w:val="15"/>
                <w:szCs w:val="15"/>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Preferred Stock</w:t>
            </w:r>
          </w:p>
        </w:tc>
        <w:tc>
          <w:tcPr>
            <w:tcW w:w="160" w:type="dxa"/>
            <w:vAlign w:val="bottom"/>
            <w:vMerge w:val="restart"/>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6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Receivable</w:t>
            </w:r>
          </w:p>
        </w:tc>
        <w:tc>
          <w:tcPr>
            <w:tcW w:w="12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7"/>
                <w:szCs w:val="17"/>
                <w:b w:val="1"/>
                <w:bCs w:val="1"/>
                <w:color w:val="auto"/>
              </w:rPr>
              <w:t>Paid-in</w:t>
            </w:r>
          </w:p>
        </w:tc>
        <w:tc>
          <w:tcPr>
            <w:tcW w:w="24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7"/>
                <w:szCs w:val="17"/>
                <w:b w:val="1"/>
                <w:bCs w:val="1"/>
                <w:color w:val="auto"/>
              </w:rPr>
              <w:t>from</w:t>
            </w:r>
          </w:p>
        </w:tc>
        <w:tc>
          <w:tcPr>
            <w:tcW w:w="1560" w:type="dxa"/>
            <w:vAlign w:val="bottom"/>
            <w:gridSpan w:val="3"/>
          </w:tcPr>
          <w:p>
            <w:pPr>
              <w:ind w:left="20"/>
              <w:spacing w:after="0" w:line="149" w:lineRule="exact"/>
              <w:rPr>
                <w:sz w:val="20"/>
                <w:szCs w:val="20"/>
                <w:color w:val="auto"/>
              </w:rPr>
            </w:pPr>
            <w:r>
              <w:rPr>
                <w:rFonts w:ascii="Arial" w:cs="Arial" w:eastAsia="Arial" w:hAnsi="Arial"/>
                <w:sz w:val="17"/>
                <w:szCs w:val="17"/>
                <w:b w:val="1"/>
                <w:bCs w:val="1"/>
                <w:color w:val="auto"/>
              </w:rPr>
              <w:t>Comprehensive</w:t>
            </w:r>
          </w:p>
        </w:tc>
        <w:tc>
          <w:tcPr>
            <w:tcW w:w="1360" w:type="dxa"/>
            <w:vAlign w:val="bottom"/>
            <w:gridSpan w:val="3"/>
          </w:tcPr>
          <w:p>
            <w:pPr>
              <w:ind w:left="20"/>
              <w:spacing w:after="0" w:line="149" w:lineRule="exact"/>
              <w:rPr>
                <w:sz w:val="20"/>
                <w:szCs w:val="20"/>
                <w:color w:val="auto"/>
              </w:rPr>
            </w:pPr>
            <w:r>
              <w:rPr>
                <w:rFonts w:ascii="Arial" w:cs="Arial" w:eastAsia="Arial" w:hAnsi="Arial"/>
                <w:sz w:val="17"/>
                <w:szCs w:val="17"/>
                <w:b w:val="1"/>
                <w:bCs w:val="1"/>
                <w:color w:val="auto"/>
              </w:rPr>
              <w:t>Accumulated</w:t>
            </w:r>
          </w:p>
        </w:tc>
        <w:tc>
          <w:tcPr>
            <w:tcW w:w="1220" w:type="dxa"/>
            <w:vAlign w:val="bottom"/>
            <w:gridSpan w:val="2"/>
          </w:tcPr>
          <w:p>
            <w:pPr>
              <w:ind w:left="20"/>
              <w:spacing w:after="0" w:line="149"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w:t>
            </w:r>
          </w:p>
        </w:tc>
        <w:tc>
          <w:tcPr>
            <w:tcW w:w="12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Income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56"/>
        </w:trPr>
        <w:tc>
          <w:tcPr>
            <w:tcW w:w="1400" w:type="dxa"/>
            <w:vAlign w:val="bottom"/>
            <w:tcBorders>
              <w:top w:val="single" w:sz="8" w:color="CFF0FC"/>
            </w:tcBorders>
            <w:shd w:val="clear" w:color="auto" w:fill="CFF0FC"/>
          </w:tcPr>
          <w:p>
            <w:pPr>
              <w:ind w:left="8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ind w:left="8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2019</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88"/>
        </w:trPr>
        <w:tc>
          <w:tcPr>
            <w:tcW w:w="1400" w:type="dxa"/>
            <w:vAlign w:val="bottom"/>
          </w:tcPr>
          <w:p>
            <w:pPr>
              <w:ind w:left="260"/>
              <w:spacing w:after="0" w:line="189" w:lineRule="exact"/>
              <w:rPr>
                <w:sz w:val="20"/>
                <w:szCs w:val="20"/>
                <w:color w:val="auto"/>
              </w:rPr>
            </w:pPr>
            <w:r>
              <w:rPr>
                <w:rFonts w:ascii="Arial" w:cs="Arial" w:eastAsia="Arial" w:hAnsi="Arial"/>
                <w:sz w:val="18"/>
                <w:szCs w:val="18"/>
                <w:color w:val="auto"/>
              </w:rPr>
              <w:t>Stock-based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00" w:type="dxa"/>
            <w:vAlign w:val="bottom"/>
          </w:tcPr>
          <w:p>
            <w:pPr>
              <w:ind w:left="260"/>
              <w:spacing w:after="0"/>
              <w:rPr>
                <w:sz w:val="20"/>
                <w:szCs w:val="20"/>
                <w:color w:val="auto"/>
              </w:rPr>
            </w:pPr>
            <w:r>
              <w:rPr>
                <w:rFonts w:ascii="Arial" w:cs="Arial" w:eastAsia="Arial" w:hAnsi="Arial"/>
                <w:sz w:val="18"/>
                <w:szCs w:val="18"/>
                <w:color w:val="auto"/>
                <w:w w:val="99"/>
              </w:rPr>
              <w:t>compensation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1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188"/>
        </w:trPr>
        <w:tc>
          <w:tcPr>
            <w:tcW w:w="1400" w:type="dxa"/>
            <w:vAlign w:val="bottom"/>
          </w:tcPr>
          <w:p>
            <w:pPr>
              <w:ind w:left="260"/>
              <w:spacing w:after="0" w:line="189"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ind w:left="260"/>
              <w:spacing w:after="0" w:line="176" w:lineRule="exact"/>
              <w:rPr>
                <w:sz w:val="20"/>
                <w:szCs w:val="20"/>
                <w:color w:val="auto"/>
              </w:rPr>
            </w:pPr>
            <w:r>
              <w:rPr>
                <w:rFonts w:ascii="Arial" w:cs="Arial" w:eastAsia="Arial" w:hAnsi="Arial"/>
                <w:sz w:val="18"/>
                <w:szCs w:val="18"/>
                <w:color w:val="auto"/>
              </w:rPr>
              <w:t>currency</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60"/>
              <w:spacing w:after="0" w:line="176" w:lineRule="exact"/>
              <w:rPr>
                <w:sz w:val="20"/>
                <w:szCs w:val="20"/>
                <w:color w:val="auto"/>
              </w:rPr>
            </w:pPr>
            <w:r>
              <w:rPr>
                <w:rFonts w:ascii="Arial" w:cs="Arial" w:eastAsia="Arial" w:hAnsi="Arial"/>
                <w:sz w:val="18"/>
                <w:szCs w:val="18"/>
                <w:color w:val="auto"/>
              </w:rPr>
              <w:t>translation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adjustment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56"/>
        </w:trPr>
        <w:tc>
          <w:tcPr>
            <w:tcW w:w="1400" w:type="dxa"/>
            <w:vAlign w:val="bottom"/>
            <w:shd w:val="clear" w:color="auto" w:fill="CFF0FC"/>
          </w:tcPr>
          <w:p>
            <w:pPr>
              <w:ind w:left="8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49,205</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8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(23,499)</w:t>
            </w:r>
          </w:p>
        </w:tc>
        <w:tc>
          <w:tcPr>
            <w:tcW w:w="1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23"/>
        </w:trPr>
        <w:tc>
          <w:tcPr>
            <w:tcW w:w="14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b w:val="1"/>
                <w:bCs w:val="1"/>
                <w:color w:val="auto"/>
              </w:rPr>
              <w:t>March 31, 2020</w:t>
            </w:r>
          </w:p>
        </w:tc>
        <w:tc>
          <w:tcPr>
            <w:tcW w:w="6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CFF0FC"/>
          </w:tcPr>
          <w:p>
            <w:pPr>
              <w:ind w:left="80"/>
              <w:spacing w:after="0" w:line="176" w:lineRule="exact"/>
              <w:rPr>
                <w:sz w:val="20"/>
                <w:szCs w:val="20"/>
                <w:color w:val="auto"/>
              </w:rPr>
            </w:pPr>
            <w:r>
              <w:rPr>
                <w:rFonts w:ascii="Arial" w:cs="Arial" w:eastAsia="Arial" w:hAnsi="Arial"/>
                <w:sz w:val="18"/>
                <w:szCs w:val="18"/>
                <w:b w:val="1"/>
                <w:bCs w:val="1"/>
                <w:color w:val="auto"/>
              </w:rPr>
              <w:t>BALANCE,</w:t>
            </w: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ind w:left="8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2020</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54,358</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188"/>
        </w:trPr>
        <w:tc>
          <w:tcPr>
            <w:tcW w:w="1400" w:type="dxa"/>
            <w:vAlign w:val="bottom"/>
          </w:tcPr>
          <w:p>
            <w:pPr>
              <w:ind w:left="260"/>
              <w:spacing w:after="0" w:line="189" w:lineRule="exact"/>
              <w:rPr>
                <w:sz w:val="20"/>
                <w:szCs w:val="20"/>
                <w:color w:val="auto"/>
              </w:rPr>
            </w:pPr>
            <w:r>
              <w:rPr>
                <w:rFonts w:ascii="Arial" w:cs="Arial" w:eastAsia="Arial" w:hAnsi="Arial"/>
                <w:sz w:val="18"/>
                <w:szCs w:val="18"/>
                <w:color w:val="auto"/>
              </w:rPr>
              <w:t>Stock-based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00" w:type="dxa"/>
            <w:vAlign w:val="bottom"/>
          </w:tcPr>
          <w:p>
            <w:pPr>
              <w:ind w:left="260"/>
              <w:spacing w:after="0"/>
              <w:rPr>
                <w:sz w:val="20"/>
                <w:szCs w:val="20"/>
                <w:color w:val="auto"/>
              </w:rPr>
            </w:pPr>
            <w:r>
              <w:rPr>
                <w:rFonts w:ascii="Arial" w:cs="Arial" w:eastAsia="Arial" w:hAnsi="Arial"/>
                <w:sz w:val="18"/>
                <w:szCs w:val="18"/>
                <w:color w:val="auto"/>
                <w:w w:val="99"/>
              </w:rPr>
              <w:t>compensation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188"/>
        </w:trPr>
        <w:tc>
          <w:tcPr>
            <w:tcW w:w="1400" w:type="dxa"/>
            <w:vAlign w:val="bottom"/>
          </w:tcPr>
          <w:p>
            <w:pPr>
              <w:ind w:left="260"/>
              <w:spacing w:after="0" w:line="189"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60"/>
              <w:spacing w:after="0" w:line="176" w:lineRule="exact"/>
              <w:rPr>
                <w:sz w:val="20"/>
                <w:szCs w:val="20"/>
                <w:color w:val="auto"/>
              </w:rPr>
            </w:pPr>
            <w:r>
              <w:rPr>
                <w:rFonts w:ascii="Arial" w:cs="Arial" w:eastAsia="Arial" w:hAnsi="Arial"/>
                <w:sz w:val="18"/>
                <w:szCs w:val="18"/>
                <w:color w:val="auto"/>
              </w:rPr>
              <w:t>currency</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60"/>
              <w:spacing w:after="0" w:line="176" w:lineRule="exact"/>
              <w:rPr>
                <w:sz w:val="20"/>
                <w:szCs w:val="20"/>
                <w:color w:val="auto"/>
              </w:rPr>
            </w:pPr>
            <w:r>
              <w:rPr>
                <w:rFonts w:ascii="Arial" w:cs="Arial" w:eastAsia="Arial" w:hAnsi="Arial"/>
                <w:sz w:val="18"/>
                <w:szCs w:val="18"/>
                <w:color w:val="auto"/>
              </w:rPr>
              <w:t>translation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adjustment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1400" w:type="dxa"/>
            <w:vAlign w:val="bottom"/>
            <w:shd w:val="clear" w:color="auto" w:fill="CFF0FC"/>
          </w:tcPr>
          <w:p>
            <w:pPr>
              <w:ind w:left="8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54,358</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13,990</w:t>
            </w:r>
          </w:p>
        </w:tc>
        <w:tc>
          <w:tcPr>
            <w:tcW w:w="18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(46,878)</w:t>
            </w:r>
          </w:p>
        </w:tc>
        <w:tc>
          <w:tcPr>
            <w:tcW w:w="1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(33,205)</w:t>
            </w:r>
          </w:p>
        </w:tc>
        <w:tc>
          <w:tcPr>
            <w:tcW w:w="0" w:type="dxa"/>
            <w:vAlign w:val="bottom"/>
          </w:tcPr>
          <w:p>
            <w:pPr>
              <w:spacing w:after="0"/>
              <w:rPr>
                <w:sz w:val="1"/>
                <w:szCs w:val="1"/>
                <w:color w:val="auto"/>
              </w:rPr>
            </w:pPr>
          </w:p>
        </w:tc>
      </w:tr>
      <w:tr>
        <w:trPr>
          <w:trHeight w:val="223"/>
        </w:trPr>
        <w:tc>
          <w:tcPr>
            <w:tcW w:w="14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b w:val="1"/>
                <w:bCs w:val="1"/>
                <w:color w:val="auto"/>
              </w:rPr>
              <w:t>March 31, 2021</w:t>
            </w:r>
          </w:p>
        </w:tc>
        <w:tc>
          <w:tcPr>
            <w:tcW w:w="6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320"/>
          </w:cols>
          <w:pgMar w:left="320" w:top="144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LCP EDGE INTERMEDIATE,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7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(used in) operating activities: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(3,274)</w:t>
            </w: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(9,070)</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80" w:type="dxa"/>
            <w:vAlign w:val="bottom"/>
          </w:tcPr>
          <w:p>
            <w:pPr>
              <w:ind w:left="400"/>
              <w:spacing w:after="0"/>
              <w:rPr>
                <w:sz w:val="20"/>
                <w:szCs w:val="20"/>
                <w:color w:val="auto"/>
              </w:rPr>
            </w:pPr>
            <w:r>
              <w:rPr>
                <w:rFonts w:ascii="Arial" w:cs="Arial" w:eastAsia="Arial" w:hAnsi="Arial"/>
                <w:sz w:val="18"/>
                <w:szCs w:val="18"/>
                <w:color w:val="auto"/>
              </w:rPr>
              <w:t>Depreciation of property and equipment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0" w:type="dxa"/>
            <w:vAlign w:val="bottom"/>
          </w:tcPr>
          <w:p>
            <w:pPr>
              <w:spacing w:after="0"/>
              <w:rPr>
                <w:sz w:val="19"/>
                <w:szCs w:val="19"/>
                <w:color w:val="auto"/>
              </w:rPr>
            </w:pPr>
          </w:p>
        </w:tc>
      </w:tr>
      <w:tr>
        <w:trPr>
          <w:trHeight w:val="229"/>
        </w:trPr>
        <w:tc>
          <w:tcPr>
            <w:tcW w:w="738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other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29"/>
        </w:trPr>
        <w:tc>
          <w:tcPr>
            <w:tcW w:w="7380" w:type="dxa"/>
            <w:vAlign w:val="bottom"/>
          </w:tcPr>
          <w:p>
            <w:pPr>
              <w:ind w:left="40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r>
      <w:tr>
        <w:trPr>
          <w:trHeight w:val="230"/>
        </w:trPr>
        <w:tc>
          <w:tcPr>
            <w:tcW w:w="7380" w:type="dxa"/>
            <w:vAlign w:val="bottom"/>
          </w:tcPr>
          <w:p>
            <w:pPr>
              <w:ind w:left="400"/>
              <w:spacing w:after="0"/>
              <w:rPr>
                <w:sz w:val="20"/>
                <w:szCs w:val="20"/>
                <w:color w:val="auto"/>
              </w:rPr>
            </w:pPr>
            <w:r>
              <w:rPr>
                <w:rFonts w:ascii="Arial" w:cs="Arial" w:eastAsia="Arial" w:hAnsi="Arial"/>
                <w:sz w:val="18"/>
                <w:szCs w:val="18"/>
                <w:color w:val="auto"/>
              </w:rPr>
              <w:t>Amortization of unfavorable lease terms</w:t>
            </w:r>
          </w:p>
        </w:tc>
        <w:tc>
          <w:tcPr>
            <w:tcW w:w="2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in-kind interest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3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Accounts receivables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5,245</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(3,393)</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Accrued payroll and other expenses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30"/>
        </w:trPr>
        <w:tc>
          <w:tcPr>
            <w:tcW w:w="7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9"/>
                <w:szCs w:val="19"/>
                <w:color w:val="auto"/>
              </w:rPr>
            </w:pPr>
          </w:p>
        </w:tc>
      </w:tr>
      <w:tr>
        <w:trPr>
          <w:trHeight w:val="223"/>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from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Pr>
          <w:p>
            <w:pPr>
              <w:spacing w:after="0"/>
              <w:rPr>
                <w:sz w:val="19"/>
                <w:szCs w:val="19"/>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for intangible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 for property and equipment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20" w:type="dxa"/>
            <w:vAlign w:val="bottom"/>
          </w:tcPr>
          <w:p>
            <w:pPr>
              <w:spacing w:after="0"/>
              <w:rPr>
                <w:sz w:val="19"/>
                <w:szCs w:val="19"/>
                <w:color w:val="auto"/>
              </w:rPr>
            </w:pPr>
          </w:p>
        </w:tc>
      </w:tr>
      <w:tr>
        <w:trPr>
          <w:trHeight w:val="223"/>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19"/>
                <w:szCs w:val="19"/>
                <w:color w:val="auto"/>
              </w:rPr>
            </w:pPr>
          </w:p>
        </w:tc>
      </w:tr>
      <w:tr>
        <w:trPr>
          <w:trHeight w:val="223"/>
        </w:trPr>
        <w:tc>
          <w:tcPr>
            <w:tcW w:w="7380" w:type="dxa"/>
            <w:vAlign w:val="bottom"/>
          </w:tcPr>
          <w:p>
            <w:pPr>
              <w:ind w:left="8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revolving facility borrowings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transaction costs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3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from financing activities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20" w:type="dxa"/>
            <w:vAlign w:val="bottom"/>
          </w:tcPr>
          <w:p>
            <w:pPr>
              <w:spacing w:after="0"/>
              <w:rPr>
                <w:sz w:val="19"/>
                <w:szCs w:val="19"/>
                <w:color w:val="auto"/>
              </w:rPr>
            </w:pPr>
          </w:p>
        </w:tc>
      </w:tr>
      <w:tr>
        <w:trPr>
          <w:trHeight w:val="223"/>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9"/>
                <w:szCs w:val="19"/>
                <w:color w:val="auto"/>
              </w:rPr>
            </w:pPr>
          </w:p>
        </w:tc>
      </w:tr>
      <w:tr>
        <w:trPr>
          <w:trHeight w:val="230"/>
        </w:trPr>
        <w:tc>
          <w:tcPr>
            <w:tcW w:w="7380" w:type="dxa"/>
            <w:vAlign w:val="bottom"/>
          </w:tcPr>
          <w:p>
            <w:pPr>
              <w:ind w:left="80"/>
              <w:spacing w:after="0"/>
              <w:rPr>
                <w:sz w:val="20"/>
                <w:szCs w:val="20"/>
                <w:color w:val="auto"/>
              </w:rPr>
            </w:pPr>
            <w:r>
              <w:rPr>
                <w:rFonts w:ascii="Arial" w:cs="Arial" w:eastAsia="Arial" w:hAnsi="Arial"/>
                <w:sz w:val="18"/>
                <w:szCs w:val="18"/>
                <w:color w:val="auto"/>
              </w:rPr>
              <w:t>Effect of foreign currency translation on cash</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0" w:type="dxa"/>
            <w:vAlign w:val="bottom"/>
          </w:tcPr>
          <w:p>
            <w:pPr>
              <w:spacing w:after="0"/>
              <w:rPr>
                <w:sz w:val="19"/>
                <w:szCs w:val="19"/>
                <w:color w:val="auto"/>
              </w:rPr>
            </w:pPr>
          </w:p>
        </w:tc>
      </w:tr>
      <w:tr>
        <w:trPr>
          <w:trHeight w:val="223"/>
        </w:trPr>
        <w:tc>
          <w:tcPr>
            <w:tcW w:w="7380" w:type="dxa"/>
            <w:vAlign w:val="bottom"/>
          </w:tcPr>
          <w:p>
            <w:pPr>
              <w:ind w:left="8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20" w:type="dxa"/>
            <w:vAlign w:val="bottom"/>
          </w:tcPr>
          <w:p>
            <w:pPr>
              <w:spacing w:after="0"/>
              <w:rPr>
                <w:sz w:val="19"/>
                <w:szCs w:val="19"/>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3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7380" w:type="dxa"/>
            <w:vAlign w:val="bottom"/>
          </w:tcPr>
          <w:p>
            <w:pPr>
              <w:ind w:left="2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3,123</w:t>
            </w: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5,350</w:t>
            </w:r>
          </w:p>
        </w:tc>
        <w:tc>
          <w:tcPr>
            <w:tcW w:w="20" w:type="dxa"/>
            <w:vAlign w:val="bottom"/>
          </w:tcPr>
          <w:p>
            <w:pPr>
              <w:spacing w:after="0"/>
              <w:rPr>
                <w:sz w:val="19"/>
                <w:szCs w:val="19"/>
                <w:color w:val="auto"/>
              </w:rPr>
            </w:pPr>
          </w:p>
        </w:tc>
      </w:tr>
      <w:tr>
        <w:trPr>
          <w:trHeight w:val="230"/>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Supplemental disclosures of non cash investing and financing activities: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Capital expenditures included in accounts payable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9"/>
        </w:trPr>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offering costs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391"/>
        </w:trPr>
        <w:tc>
          <w:tcPr>
            <w:tcW w:w="7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86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LCP Edge Intermediate,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 – Description of Business and Basis of Presentation</w:t>
      </w:r>
    </w:p>
    <w:p>
      <w:pPr>
        <w:spacing w:after="0" w:line="138" w:lineRule="exact"/>
        <w:rPr>
          <w:sz w:val="20"/>
          <w:szCs w:val="20"/>
          <w:color w:val="auto"/>
        </w:rPr>
      </w:pPr>
    </w:p>
    <w:p>
      <w:pPr>
        <w:ind w:right="340"/>
        <w:spacing w:after="0" w:line="226" w:lineRule="auto"/>
        <w:rPr>
          <w:sz w:val="20"/>
          <w:szCs w:val="20"/>
          <w:color w:val="auto"/>
        </w:rPr>
      </w:pPr>
      <w:r>
        <w:rPr>
          <w:rFonts w:ascii="Arial" w:cs="Arial" w:eastAsia="Arial" w:hAnsi="Arial"/>
          <w:sz w:val="22"/>
          <w:szCs w:val="22"/>
          <w:color w:val="231F20"/>
        </w:rPr>
        <w:t>LCP Edge Intermediate, Inc. (“The HydraFacial Company” or “HydraFacial” or the “Company”) and its subsidiaries design, develop, manufacture, market, and sell aesthetic technologies and products. HydraFacial is a wholly owned subsidiary of LCP Edge Holdco, LLC (“LCP Holdco” or “Parent”). HydraFacial offers hydradermabrasion systems that enhance the skin to cleanse, exfoliate, extract, and hydrate simultaneously; HydraFacial</w:t>
      </w:r>
      <w:r>
        <w:rPr>
          <w:rFonts w:ascii="Arial" w:cs="Arial" w:eastAsia="Arial" w:hAnsi="Arial"/>
          <w:sz w:val="28"/>
          <w:szCs w:val="28"/>
          <w:color w:val="231F20"/>
          <w:vertAlign w:val="superscript"/>
        </w:rPr>
        <w:t>®</w:t>
      </w:r>
      <w:r>
        <w:rPr>
          <w:rFonts w:ascii="Arial" w:cs="Arial" w:eastAsia="Arial" w:hAnsi="Arial"/>
          <w:sz w:val="22"/>
          <w:szCs w:val="22"/>
          <w:color w:val="231F20"/>
        </w:rPr>
        <w:t xml:space="preserve"> Daily Essentials, which provides detoxification, rejuvenation, and protection of skin; crystal microdermabrasion systems; and light emitting diode systems. The premiere system is the HydraFacial MD</w:t>
      </w:r>
      <w:r>
        <w:rPr>
          <w:rFonts w:ascii="Arial" w:cs="Arial" w:eastAsia="Arial" w:hAnsi="Arial"/>
          <w:sz w:val="28"/>
          <w:szCs w:val="28"/>
          <w:color w:val="231F20"/>
          <w:vertAlign w:val="superscript"/>
        </w:rPr>
        <w:t>®</w:t>
      </w:r>
      <w:r>
        <w:rPr>
          <w:rFonts w:ascii="Arial" w:cs="Arial" w:eastAsia="Arial" w:hAnsi="Arial"/>
          <w:sz w:val="22"/>
          <w:szCs w:val="22"/>
          <w:color w:val="231F20"/>
        </w:rPr>
        <w:t xml:space="preserve"> liquid based skin exfoliation system.</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Merger</w:t>
      </w:r>
    </w:p>
    <w:p>
      <w:pPr>
        <w:spacing w:after="0" w:line="134" w:lineRule="exact"/>
        <w:rPr>
          <w:sz w:val="20"/>
          <w:szCs w:val="20"/>
          <w:color w:val="auto"/>
        </w:rPr>
      </w:pPr>
    </w:p>
    <w:p>
      <w:pPr>
        <w:ind w:right="360"/>
        <w:spacing w:after="0" w:line="257" w:lineRule="auto"/>
        <w:rPr>
          <w:sz w:val="20"/>
          <w:szCs w:val="20"/>
          <w:color w:val="auto"/>
        </w:rPr>
      </w:pPr>
      <w:r>
        <w:rPr>
          <w:rFonts w:ascii="Arial" w:cs="Arial" w:eastAsia="Arial" w:hAnsi="Arial"/>
          <w:sz w:val="21"/>
          <w:szCs w:val="21"/>
          <w:color w:val="auto"/>
        </w:rPr>
        <w:t>On May 4, 2021 (the “Closing Date”), HydraFacial consummated a merger pursuant to the Agreement and Plan of Merger, dated December 8, 2020 (the “Merger Agreement”) with Vesper Healthcare Acquisition Corp. (“Vesper”), which provided for, among other things, the merger with and into Vesper, with the Company surviving as the accounting acquirer. Upon closing, the surviving entity was renamed The Beauty Health Company (“BeautyHealth”) and began to trade on the Nasdaq Capital Market under the ticker symbol “SKIN.” The transactions set forth in the Merger Agreement constitute a “Business Combination” as contemplated by Vesper’s Amended &amp; Restated Certificate of Incorporation. See Note 17 for additional information on the merger.</w:t>
      </w:r>
    </w:p>
    <w:p>
      <w:pPr>
        <w:spacing w:after="0" w:line="67" w:lineRule="exact"/>
        <w:rPr>
          <w:sz w:val="20"/>
          <w:szCs w:val="20"/>
          <w:color w:val="auto"/>
        </w:rPr>
      </w:pPr>
    </w:p>
    <w:p>
      <w:pPr>
        <w:ind w:right="720"/>
        <w:spacing w:after="0" w:line="269" w:lineRule="auto"/>
        <w:rPr>
          <w:sz w:val="20"/>
          <w:szCs w:val="20"/>
          <w:color w:val="auto"/>
        </w:rPr>
      </w:pPr>
      <w:r>
        <w:rPr>
          <w:rFonts w:ascii="Arial" w:cs="Arial" w:eastAsia="Arial" w:hAnsi="Arial"/>
          <w:sz w:val="21"/>
          <w:szCs w:val="21"/>
          <w:b w:val="1"/>
          <w:bCs w:val="1"/>
          <w:color w:val="231F20"/>
        </w:rPr>
        <w:t xml:space="preserve">Basis of presentation and consolidation </w:t>
      </w:r>
      <w:r>
        <w:rPr>
          <w:rFonts w:ascii="Arial" w:cs="Arial" w:eastAsia="Arial" w:hAnsi="Arial"/>
          <w:sz w:val="21"/>
          <w:szCs w:val="21"/>
          <w:color w:val="231F20"/>
        </w:rPr>
        <w:t>– The consolidated financial statements have been prepared in</w:t>
      </w:r>
      <w:r>
        <w:rPr>
          <w:rFonts w:ascii="Arial" w:cs="Arial" w:eastAsia="Arial" w:hAnsi="Arial"/>
          <w:sz w:val="21"/>
          <w:szCs w:val="21"/>
          <w:b w:val="1"/>
          <w:bCs w:val="1"/>
          <w:color w:val="231F20"/>
        </w:rPr>
        <w:t xml:space="preserve"> </w:t>
      </w:r>
      <w:r>
        <w:rPr>
          <w:rFonts w:ascii="Arial" w:cs="Arial" w:eastAsia="Arial" w:hAnsi="Arial"/>
          <w:sz w:val="21"/>
          <w:szCs w:val="21"/>
          <w:color w:val="231F20"/>
        </w:rPr>
        <w:t>accordance with accounting principles generally accepted in the United States of America. The consolidated financial statements are presented on a consolidated basis and include the operations of HydraFacial and its wholly owned subsidiaries. All intercompany balances and transactions have been eliminated in consolidation.</w:t>
      </w:r>
    </w:p>
    <w:p>
      <w:pPr>
        <w:spacing w:after="0" w:line="77" w:lineRule="exact"/>
        <w:rPr>
          <w:sz w:val="20"/>
          <w:szCs w:val="20"/>
          <w:color w:val="auto"/>
        </w:rPr>
      </w:pPr>
    </w:p>
    <w:p>
      <w:pPr>
        <w:ind w:right="360"/>
        <w:spacing w:after="0" w:line="244" w:lineRule="auto"/>
        <w:rPr>
          <w:sz w:val="20"/>
          <w:szCs w:val="20"/>
          <w:color w:val="auto"/>
        </w:rPr>
      </w:pPr>
      <w:r>
        <w:rPr>
          <w:rFonts w:ascii="Arial" w:cs="Arial" w:eastAsia="Arial" w:hAnsi="Arial"/>
          <w:sz w:val="22"/>
          <w:szCs w:val="22"/>
          <w:color w:val="231F20"/>
        </w:rPr>
        <w:t>The interim Unaudited Condensed Consolidated Financial Statements are presented in accordance with accounting principles generally accepted in the United States of America (“GAAP”) for interim financial information and include HydraFacial’s consolidated domestic and international subsidiaries. Certain information and disclosures normally included in consolidated financial statements prepared in accordance with GAAP have been condensed or omitted. Accordingly, these interim Unaudited Condensed Consolidated Financial Statements and accompanying footnotes should be read in conjunction with HydraFacial’s Consolidated Financial Statements as of and for the year ended December 31, 2020. Except as described elsewhere in this Note 2, there have been no material changes to HydraFacial’s significant accounting policies as described in HydraFacial’s Consolidated Financial Statements as of and for the year ended December 31, 2020.</w:t>
      </w:r>
    </w:p>
    <w:p>
      <w:pPr>
        <w:spacing w:after="0" w:line="102" w:lineRule="exact"/>
        <w:rPr>
          <w:sz w:val="20"/>
          <w:szCs w:val="20"/>
          <w:color w:val="auto"/>
        </w:rPr>
      </w:pPr>
    </w:p>
    <w:p>
      <w:pPr>
        <w:ind w:right="420"/>
        <w:spacing w:after="0" w:line="244" w:lineRule="auto"/>
        <w:rPr>
          <w:sz w:val="20"/>
          <w:szCs w:val="20"/>
          <w:color w:val="auto"/>
        </w:rPr>
      </w:pPr>
      <w:r>
        <w:rPr>
          <w:rFonts w:ascii="Arial" w:cs="Arial" w:eastAsia="Arial" w:hAnsi="Arial"/>
          <w:sz w:val="22"/>
          <w:szCs w:val="22"/>
          <w:color w:val="231F20"/>
        </w:rPr>
        <w:t>In the opinion of management, all adjustments, of a normal recurring nature, considered necessary for a fair presentation have been included in the Condensed Consolidated Financial Statements. HydraFacial believes that the disclosures provided herein are adequate to prevent the information presented from being misleading. The results of operations for the three months ended March 31, 2021 are not necessarily indicative of the results of operations to be expected for the full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231F20"/>
        </w:rPr>
        <w:t>Note 2 – Summary of Significant Accounting Policies</w:t>
      </w:r>
    </w:p>
    <w:p>
      <w:pPr>
        <w:spacing w:after="0" w:line="112"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b w:val="1"/>
          <w:bCs w:val="1"/>
          <w:color w:val="231F20"/>
        </w:rPr>
        <w:t xml:space="preserve">Use of estimates and assumptions in preparing consolidated financial statements </w:t>
      </w:r>
      <w:r>
        <w:rPr>
          <w:rFonts w:ascii="Arial" w:cs="Arial" w:eastAsia="Arial" w:hAnsi="Arial"/>
          <w:sz w:val="22"/>
          <w:szCs w:val="22"/>
          <w:color w:val="231F20"/>
        </w:rPr>
        <w:t>– In preparing its</w:t>
      </w:r>
      <w:r>
        <w:rPr>
          <w:rFonts w:ascii="Arial" w:cs="Arial" w:eastAsia="Arial" w:hAnsi="Arial"/>
          <w:sz w:val="22"/>
          <w:szCs w:val="22"/>
          <w:b w:val="1"/>
          <w:bCs w:val="1"/>
          <w:color w:val="231F20"/>
        </w:rPr>
        <w:t xml:space="preserve"> </w:t>
      </w:r>
      <w:r>
        <w:rPr>
          <w:rFonts w:ascii="Arial" w:cs="Arial" w:eastAsia="Arial" w:hAnsi="Arial"/>
          <w:sz w:val="22"/>
          <w:szCs w:val="22"/>
          <w:color w:val="231F20"/>
        </w:rPr>
        <w:t>consolidated financial statements in conformity with accounting principles generally accepted in the United States of America, HydraFacial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HydraFacial evaluates its estimates, including, among others, those related to revenue related reserves, allowance for doubtful accounts, the realizability of inventory, fair value measurements including common stock valuations, useful lives of property and equipment, goodwill and finite-lived intangible assets, accounting for income taxes, stock-based compensation expense and commitments and contingencies. HydraFacial’s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its current estimates and those differences may be material.</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Recently issued accounting pronouncements</w:t>
      </w:r>
    </w:p>
    <w:p>
      <w:pPr>
        <w:spacing w:after="0" w:line="138"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231F20"/>
        </w:rPr>
        <w:t>With the Business Combination consummated, HydraFacial expects to be an “emerging growth company.” The Jumpstart Our Business Startups Act, or the JOBS Act, allows HydraFacial to delay adoption of new or revised accounting pronouncements applicable to public companies until such pronouncements are made applicable to private companies. HydraFacial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HydraFacial’s financial statements may not be comparable to the financial statements of issuers who are required to comply with the effective date for new or revised accounting standards that are applicable to public companies.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Recently Adopted Accounting Pronouncements</w:t>
      </w:r>
    </w:p>
    <w:p>
      <w:pPr>
        <w:spacing w:after="0" w:line="112" w:lineRule="exact"/>
        <w:rPr>
          <w:sz w:val="20"/>
          <w:szCs w:val="20"/>
          <w:color w:val="auto"/>
        </w:rPr>
      </w:pPr>
    </w:p>
    <w:p>
      <w:pPr>
        <w:ind w:right="280"/>
        <w:spacing w:after="0" w:line="248" w:lineRule="auto"/>
        <w:rPr>
          <w:sz w:val="20"/>
          <w:szCs w:val="20"/>
          <w:color w:val="auto"/>
        </w:rPr>
      </w:pPr>
      <w:r>
        <w:rPr>
          <w:rFonts w:ascii="Arial" w:cs="Arial" w:eastAsia="Arial" w:hAnsi="Arial"/>
          <w:sz w:val="22"/>
          <w:szCs w:val="22"/>
          <w:i w:val="1"/>
          <w:iCs w:val="1"/>
          <w:color w:val="231F20"/>
        </w:rPr>
        <w:t xml:space="preserve">Income Taxes. </w:t>
      </w:r>
      <w:r>
        <w:rPr>
          <w:rFonts w:ascii="Arial" w:cs="Arial" w:eastAsia="Arial" w:hAnsi="Arial"/>
          <w:sz w:val="22"/>
          <w:szCs w:val="22"/>
          <w:color w:val="231F20"/>
        </w:rPr>
        <w:t>In December 2019, the FASB issued ASU No. 2019-12,</w:t>
      </w:r>
      <w:r>
        <w:rPr>
          <w:rFonts w:ascii="Arial" w:cs="Arial" w:eastAsia="Arial" w:hAnsi="Arial"/>
          <w:sz w:val="22"/>
          <w:szCs w:val="22"/>
          <w:i w:val="1"/>
          <w:iCs w:val="1"/>
          <w:color w:val="231F20"/>
        </w:rPr>
        <w:t xml:space="preserve"> Income Taxes (Topic 740): Simplifying the Accounting for Income Taxes </w:t>
      </w:r>
      <w:r>
        <w:rPr>
          <w:rFonts w:ascii="Arial" w:cs="Arial" w:eastAsia="Arial" w:hAnsi="Arial"/>
          <w:sz w:val="22"/>
          <w:szCs w:val="22"/>
          <w:color w:val="231F20"/>
        </w:rPr>
        <w:t>(“ASU 2019-12”). The amendments in this ASU 2019-12 simplify the accounting for</w:t>
      </w:r>
      <w:r>
        <w:rPr>
          <w:rFonts w:ascii="Arial" w:cs="Arial" w:eastAsia="Arial" w:hAnsi="Arial"/>
          <w:sz w:val="22"/>
          <w:szCs w:val="22"/>
          <w:i w:val="1"/>
          <w:iCs w:val="1"/>
          <w:color w:val="231F20"/>
        </w:rPr>
        <w:t xml:space="preserve"> </w:t>
      </w:r>
      <w:r>
        <w:rPr>
          <w:rFonts w:ascii="Arial" w:cs="Arial" w:eastAsia="Arial" w:hAnsi="Arial"/>
          <w:sz w:val="22"/>
          <w:szCs w:val="22"/>
          <w:color w:val="231F20"/>
        </w:rPr>
        <w:t>income taxes by removing certain exceptions to the general principles in Topic 740. The amendments also improve consistent application of and simplify GAAP for other areas of Topic 740 by clarifying and amending existing guidance. HydraFacial adopted ASU 2019-12 on January 1, 2021, which did not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30" w:right="339" w:bottom="1440" w:gutter="0" w:footer="0" w:header="0"/>
        </w:sectPr>
      </w:pPr>
    </w:p>
    <w:bookmarkStart w:id="15" w:name="page16"/>
    <w:bookmarkEnd w:id="15"/>
    <w:p>
      <w:pPr>
        <w:spacing w:after="0" w:line="103"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Accounting Pronouncements Not Yet Adopted</w:t>
      </w:r>
    </w:p>
    <w:p>
      <w:pPr>
        <w:spacing w:after="0" w:line="112" w:lineRule="exact"/>
        <w:rPr>
          <w:sz w:val="20"/>
          <w:szCs w:val="20"/>
          <w:color w:val="auto"/>
        </w:rPr>
      </w:pPr>
    </w:p>
    <w:p>
      <w:pPr>
        <w:ind w:right="360"/>
        <w:spacing w:after="0" w:line="247" w:lineRule="auto"/>
        <w:rPr>
          <w:sz w:val="20"/>
          <w:szCs w:val="20"/>
          <w:color w:val="auto"/>
        </w:rPr>
      </w:pPr>
      <w:r>
        <w:rPr>
          <w:rFonts w:ascii="Arial" w:cs="Arial" w:eastAsia="Arial" w:hAnsi="Arial"/>
          <w:sz w:val="22"/>
          <w:szCs w:val="22"/>
          <w:i w:val="1"/>
          <w:iCs w:val="1"/>
          <w:color w:val="231F20"/>
        </w:rPr>
        <w:t xml:space="preserve">Leases. </w:t>
      </w:r>
      <w:r>
        <w:rPr>
          <w:rFonts w:ascii="Arial" w:cs="Arial" w:eastAsia="Arial" w:hAnsi="Arial"/>
          <w:sz w:val="22"/>
          <w:szCs w:val="22"/>
          <w:color w:val="231F20"/>
        </w:rPr>
        <w:t>In February 2016, FASB issued ASU 2016–02,</w:t>
      </w:r>
      <w:r>
        <w:rPr>
          <w:rFonts w:ascii="Arial" w:cs="Arial" w:eastAsia="Arial" w:hAnsi="Arial"/>
          <w:sz w:val="22"/>
          <w:szCs w:val="22"/>
          <w:i w:val="1"/>
          <w:iCs w:val="1"/>
          <w:color w:val="231F20"/>
        </w:rPr>
        <w:t xml:space="preserve"> Leases (Topic 842</w:t>
      </w:r>
      <w:r>
        <w:rPr>
          <w:rFonts w:ascii="Arial" w:cs="Arial" w:eastAsia="Arial" w:hAnsi="Arial"/>
          <w:sz w:val="22"/>
          <w:szCs w:val="22"/>
          <w:color w:val="231F20"/>
        </w:rPr>
        <w:t>): Lessees will be required to recognize</w:t>
      </w:r>
      <w:r>
        <w:rPr>
          <w:rFonts w:ascii="Arial" w:cs="Arial" w:eastAsia="Arial" w:hAnsi="Arial"/>
          <w:sz w:val="22"/>
          <w:szCs w:val="22"/>
          <w:i w:val="1"/>
          <w:iCs w:val="1"/>
          <w:color w:val="231F20"/>
        </w:rPr>
        <w:t xml:space="preserve"> </w:t>
      </w:r>
      <w:r>
        <w:rPr>
          <w:rFonts w:ascii="Arial" w:cs="Arial" w:eastAsia="Arial" w:hAnsi="Arial"/>
          <w:sz w:val="22"/>
          <w:szCs w:val="22"/>
          <w:color w:val="231F20"/>
        </w:rPr>
        <w:t xml:space="preserve">assets and liabilities on the balance sheet for the rights and obligations created by all leases with terms of more than 12 months. For non-public entities, the standard is effective for fiscal years beginning after December 15, 2021, and interim periods within fiscal years beginning after December 15, 2022. In October 2019, the FASB issued ASU 2019-10, Lease ( </w:t>
      </w:r>
      <w:r>
        <w:rPr>
          <w:rFonts w:ascii="Arial" w:cs="Arial" w:eastAsia="Arial" w:hAnsi="Arial"/>
          <w:sz w:val="22"/>
          <w:szCs w:val="22"/>
          <w:i w:val="1"/>
          <w:iCs w:val="1"/>
          <w:color w:val="231F20"/>
        </w:rPr>
        <w:t>Topic 842</w:t>
      </w:r>
      <w:r>
        <w:rPr>
          <w:rFonts w:ascii="Arial" w:cs="Arial" w:eastAsia="Arial" w:hAnsi="Arial"/>
          <w:sz w:val="22"/>
          <w:szCs w:val="22"/>
          <w:color w:val="231F20"/>
        </w:rPr>
        <w:t>): Effective Dates, which defers the effective date of ASU 2016-02 for companies that are not public business entities. For calendar-year end companies that are eligible for the deferral, the effective date is January 1, 2022.</w:t>
      </w:r>
    </w:p>
    <w:p>
      <w:pPr>
        <w:spacing w:after="0" w:line="103" w:lineRule="exact"/>
        <w:rPr>
          <w:sz w:val="20"/>
          <w:szCs w:val="20"/>
          <w:color w:val="auto"/>
        </w:rPr>
      </w:pPr>
    </w:p>
    <w:p>
      <w:pPr>
        <w:jc w:val="both"/>
        <w:ind w:right="1100"/>
        <w:spacing w:after="0" w:line="246" w:lineRule="auto"/>
        <w:rPr>
          <w:sz w:val="20"/>
          <w:szCs w:val="20"/>
          <w:color w:val="auto"/>
        </w:rPr>
      </w:pPr>
      <w:r>
        <w:rPr>
          <w:rFonts w:ascii="Arial" w:cs="Arial" w:eastAsia="Arial" w:hAnsi="Arial"/>
          <w:sz w:val="22"/>
          <w:szCs w:val="22"/>
          <w:color w:val="231F20"/>
        </w:rPr>
        <w:t>Early adoption is permitted, however, HydraFacial will elect to defer adoption until January 1, 2022, once it indicates its emerging growth company status. HydraFacial is evaluating the impact of the amended lease guidance on HydraFacial’s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3 – Revenue Recognition</w:t>
      </w:r>
    </w:p>
    <w:p>
      <w:pPr>
        <w:spacing w:after="0" w:line="111"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231F20"/>
        </w:rPr>
        <w:t>HydraFacial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HydraFacial’s products generally transfers to the customer upon shipment of the products from HydraFacial’s warehouse facility. Therefore, revenue associated with product purchases is recognized at a point in time upon shipment to the intended customer.</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Disaggregated Revenue</w:t>
      </w:r>
    </w:p>
    <w:p>
      <w:pPr>
        <w:spacing w:after="0" w:line="134"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231F20"/>
        </w:rPr>
        <w:t>HydraFacial generates revenue through manufacturing and selling HydraFacial and Perk Delivery Systems (the “Delivery Systems”). In conjunction with the sale of Delivery Systems, HydraFacial also sells its serum solutions and consumables (the “Consumables”). The Consumables are sold by HydraFacial and are available for purchase separately from the purchase of the Delivery System.</w:t>
      </w:r>
    </w:p>
    <w:p>
      <w:pPr>
        <w:spacing w:after="0" w:line="74" w:lineRule="exact"/>
        <w:rPr>
          <w:sz w:val="20"/>
          <w:szCs w:val="20"/>
          <w:color w:val="auto"/>
        </w:rPr>
      </w:pPr>
    </w:p>
    <w:p>
      <w:pPr>
        <w:ind w:right="580"/>
        <w:spacing w:after="0" w:line="244" w:lineRule="auto"/>
        <w:rPr>
          <w:sz w:val="20"/>
          <w:szCs w:val="20"/>
          <w:color w:val="auto"/>
        </w:rPr>
      </w:pPr>
      <w:r>
        <w:rPr>
          <w:rFonts w:ascii="Arial" w:cs="Arial" w:eastAsia="Arial" w:hAnsi="Arial"/>
          <w:sz w:val="22"/>
          <w:szCs w:val="22"/>
          <w:color w:val="231F20"/>
        </w:rPr>
        <w:t>HydraFacial’s revenue disaggregated by major product line consists of the following for the periods indicated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4"/>
          </w:tcPr>
          <w:p>
            <w:pPr>
              <w:jc w:val="right"/>
              <w:ind w:right="1472"/>
              <w:spacing w:after="0"/>
              <w:rPr>
                <w:sz w:val="20"/>
                <w:szCs w:val="20"/>
                <w:color w:val="auto"/>
              </w:rPr>
            </w:pPr>
            <w:r>
              <w:rPr>
                <w:rFonts w:ascii="Arial" w:cs="Arial" w:eastAsia="Arial" w:hAnsi="Arial"/>
                <w:sz w:val="22"/>
                <w:szCs w:val="22"/>
                <w:b w:val="1"/>
                <w:bCs w:val="1"/>
                <w:color w:val="auto"/>
              </w:rPr>
              <w:t>Three Months Ended</w:t>
            </w:r>
          </w:p>
        </w:tc>
      </w:tr>
      <w:tr>
        <w:trPr>
          <w:trHeight w:val="264"/>
        </w:trPr>
        <w:tc>
          <w:tcPr>
            <w:tcW w:w="5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2"/>
          </w:tcPr>
          <w:p>
            <w:pPr>
              <w:ind w:left="120"/>
              <w:spacing w:after="0"/>
              <w:rPr>
                <w:sz w:val="20"/>
                <w:szCs w:val="20"/>
                <w:color w:val="auto"/>
              </w:rPr>
            </w:pPr>
            <w:r>
              <w:rPr>
                <w:rFonts w:ascii="Arial" w:cs="Arial" w:eastAsia="Arial" w:hAnsi="Arial"/>
                <w:sz w:val="22"/>
                <w:szCs w:val="22"/>
                <w:b w:val="1"/>
                <w:bCs w:val="1"/>
                <w:color w:val="auto"/>
              </w:rPr>
              <w:t>March 31, 2021</w:t>
            </w:r>
          </w:p>
        </w:tc>
        <w:tc>
          <w:tcPr>
            <w:tcW w:w="340" w:type="dxa"/>
            <w:vAlign w:val="bottom"/>
          </w:tcPr>
          <w:p>
            <w:pPr>
              <w:spacing w:after="0"/>
              <w:rPr>
                <w:sz w:val="22"/>
                <w:szCs w:val="22"/>
                <w:color w:val="auto"/>
              </w:rPr>
            </w:pPr>
          </w:p>
        </w:tc>
        <w:tc>
          <w:tcPr>
            <w:tcW w:w="2160" w:type="dxa"/>
            <w:vAlign w:val="bottom"/>
          </w:tcPr>
          <w:p>
            <w:pPr>
              <w:jc w:val="right"/>
              <w:ind w:right="372"/>
              <w:spacing w:after="0"/>
              <w:rPr>
                <w:sz w:val="20"/>
                <w:szCs w:val="20"/>
                <w:color w:val="auto"/>
              </w:rPr>
            </w:pPr>
            <w:r>
              <w:rPr>
                <w:rFonts w:ascii="Arial" w:cs="Arial" w:eastAsia="Arial" w:hAnsi="Arial"/>
                <w:sz w:val="22"/>
                <w:szCs w:val="22"/>
                <w:b w:val="1"/>
                <w:bCs w:val="1"/>
                <w:color w:val="auto"/>
              </w:rPr>
              <w:t>March 31, 2020</w:t>
            </w:r>
          </w:p>
        </w:tc>
      </w:tr>
      <w:tr>
        <w:trPr>
          <w:trHeight w:val="264"/>
        </w:trPr>
        <w:tc>
          <w:tcPr>
            <w:tcW w:w="594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Net Sales</w:t>
            </w:r>
          </w:p>
        </w:tc>
        <w:tc>
          <w:tcPr>
            <w:tcW w:w="320" w:type="dxa"/>
            <w:vAlign w:val="bottom"/>
            <w:tcBorders>
              <w:top w:val="single" w:sz="8" w:color="auto"/>
            </w:tcBorders>
            <w:shd w:val="clear" w:color="auto" w:fill="CFF0FC"/>
          </w:tcPr>
          <w:p>
            <w:pPr>
              <w:spacing w:after="0"/>
              <w:rPr>
                <w:sz w:val="22"/>
                <w:szCs w:val="22"/>
                <w:color w:val="auto"/>
              </w:rPr>
            </w:pPr>
          </w:p>
        </w:tc>
        <w:tc>
          <w:tcPr>
            <w:tcW w:w="2120" w:type="dxa"/>
            <w:vAlign w:val="bottom"/>
            <w:tcBorders>
              <w:top w:val="single" w:sz="8" w:color="auto"/>
            </w:tcBorders>
            <w:shd w:val="clear" w:color="auto" w:fill="CFF0FC"/>
          </w:tcPr>
          <w:p>
            <w:pPr>
              <w:spacing w:after="0"/>
              <w:rPr>
                <w:sz w:val="22"/>
                <w:szCs w:val="22"/>
                <w:color w:val="auto"/>
              </w:rPr>
            </w:pPr>
          </w:p>
        </w:tc>
        <w:tc>
          <w:tcPr>
            <w:tcW w:w="360" w:type="dxa"/>
            <w:vAlign w:val="bottom"/>
            <w:tcBorders>
              <w:top w:val="single" w:sz="8" w:color="CFF0FC"/>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2160" w:type="dxa"/>
            <w:vAlign w:val="bottom"/>
            <w:tcBorders>
              <w:top w:val="single" w:sz="8" w:color="auto"/>
            </w:tcBorders>
            <w:shd w:val="clear" w:color="auto" w:fill="CFF0FC"/>
          </w:tcPr>
          <w:p>
            <w:pPr>
              <w:spacing w:after="0"/>
              <w:rPr>
                <w:sz w:val="22"/>
                <w:szCs w:val="22"/>
                <w:color w:val="auto"/>
              </w:rPr>
            </w:pPr>
          </w:p>
        </w:tc>
      </w:tr>
      <w:tr>
        <w:trPr>
          <w:trHeight w:val="268"/>
        </w:trPr>
        <w:tc>
          <w:tcPr>
            <w:tcW w:w="5940" w:type="dxa"/>
            <w:vAlign w:val="bottom"/>
          </w:tcPr>
          <w:p>
            <w:pPr>
              <w:ind w:left="420"/>
              <w:spacing w:after="0"/>
              <w:rPr>
                <w:sz w:val="20"/>
                <w:szCs w:val="20"/>
                <w:color w:val="auto"/>
              </w:rPr>
            </w:pPr>
            <w:r>
              <w:rPr>
                <w:rFonts w:ascii="Arial" w:cs="Arial" w:eastAsia="Arial" w:hAnsi="Arial"/>
                <w:sz w:val="22"/>
                <w:szCs w:val="22"/>
                <w:color w:val="auto"/>
              </w:rPr>
              <w:t>Delivery Systems</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20" w:type="dxa"/>
            <w:vAlign w:val="bottom"/>
          </w:tcPr>
          <w:p>
            <w:pPr>
              <w:jc w:val="right"/>
              <w:spacing w:after="0"/>
              <w:rPr>
                <w:sz w:val="20"/>
                <w:szCs w:val="20"/>
                <w:color w:val="auto"/>
              </w:rPr>
            </w:pPr>
            <w:r>
              <w:rPr>
                <w:rFonts w:ascii="Arial" w:cs="Arial" w:eastAsia="Arial" w:hAnsi="Arial"/>
                <w:sz w:val="22"/>
                <w:szCs w:val="22"/>
                <w:color w:val="auto"/>
              </w:rPr>
              <w:t>25,672</w:t>
            </w:r>
          </w:p>
        </w:tc>
        <w:tc>
          <w:tcPr>
            <w:tcW w:w="360" w:type="dxa"/>
            <w:vAlign w:val="bottom"/>
          </w:tcPr>
          <w:p>
            <w:pPr>
              <w:spacing w:after="0"/>
              <w:rPr>
                <w:sz w:val="23"/>
                <w:szCs w:val="23"/>
                <w:color w:val="auto"/>
              </w:rPr>
            </w:pP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jc w:val="right"/>
              <w:spacing w:after="0"/>
              <w:rPr>
                <w:sz w:val="20"/>
                <w:szCs w:val="20"/>
                <w:color w:val="auto"/>
              </w:rPr>
            </w:pPr>
            <w:r>
              <w:rPr>
                <w:rFonts w:ascii="Arial" w:cs="Arial" w:eastAsia="Arial" w:hAnsi="Arial"/>
                <w:sz w:val="22"/>
                <w:szCs w:val="22"/>
                <w:color w:val="auto"/>
              </w:rPr>
              <w:t>14,081</w:t>
            </w:r>
          </w:p>
        </w:tc>
      </w:tr>
      <w:tr>
        <w:trPr>
          <w:trHeight w:val="270"/>
        </w:trPr>
        <w:tc>
          <w:tcPr>
            <w:tcW w:w="5940" w:type="dxa"/>
            <w:vAlign w:val="bottom"/>
            <w:shd w:val="clear" w:color="auto" w:fill="CFF0FC"/>
          </w:tcPr>
          <w:p>
            <w:pPr>
              <w:ind w:left="420"/>
              <w:spacing w:after="0"/>
              <w:rPr>
                <w:sz w:val="20"/>
                <w:szCs w:val="20"/>
                <w:color w:val="auto"/>
              </w:rPr>
            </w:pPr>
            <w:r>
              <w:rPr>
                <w:rFonts w:ascii="Arial" w:cs="Arial" w:eastAsia="Arial" w:hAnsi="Arial"/>
                <w:sz w:val="22"/>
                <w:szCs w:val="22"/>
                <w:color w:val="auto"/>
              </w:rPr>
              <w:t>Consumables</w:t>
            </w:r>
          </w:p>
        </w:tc>
        <w:tc>
          <w:tcPr>
            <w:tcW w:w="320" w:type="dxa"/>
            <w:vAlign w:val="bottom"/>
            <w:tcBorders>
              <w:bottom w:val="single" w:sz="8" w:color="auto"/>
            </w:tcBorders>
            <w:shd w:val="clear" w:color="auto" w:fill="CFF0FC"/>
          </w:tcPr>
          <w:p>
            <w:pPr>
              <w:spacing w:after="0"/>
              <w:rPr>
                <w:sz w:val="23"/>
                <w:szCs w:val="23"/>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21,870</w:t>
            </w:r>
          </w:p>
        </w:tc>
        <w:tc>
          <w:tcPr>
            <w:tcW w:w="36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18,455</w:t>
            </w:r>
          </w:p>
        </w:tc>
      </w:tr>
      <w:tr>
        <w:trPr>
          <w:trHeight w:val="265"/>
        </w:trPr>
        <w:tc>
          <w:tcPr>
            <w:tcW w:w="5940" w:type="dxa"/>
            <w:vAlign w:val="bottom"/>
          </w:tcPr>
          <w:p>
            <w:pPr>
              <w:ind w:left="760"/>
              <w:spacing w:after="0"/>
              <w:rPr>
                <w:sz w:val="20"/>
                <w:szCs w:val="20"/>
                <w:color w:val="auto"/>
              </w:rPr>
            </w:pPr>
            <w:r>
              <w:rPr>
                <w:rFonts w:ascii="Arial" w:cs="Arial" w:eastAsia="Arial" w:hAnsi="Arial"/>
                <w:sz w:val="22"/>
                <w:szCs w:val="22"/>
                <w:color w:val="auto"/>
              </w:rPr>
              <w:t>Total net sales</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47,542</w:t>
            </w:r>
          </w:p>
        </w:tc>
        <w:tc>
          <w:tcPr>
            <w:tcW w:w="360" w:type="dxa"/>
            <w:vAlign w:val="bottom"/>
          </w:tcPr>
          <w:p>
            <w:pPr>
              <w:spacing w:after="0"/>
              <w:rPr>
                <w:sz w:val="23"/>
                <w:szCs w:val="23"/>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32,536</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31F20"/>
        </w:rPr>
        <w:t xml:space="preserve">See Note </w:t>
      </w:r>
      <w:r>
        <w:rPr>
          <w:rFonts w:ascii="Arial" w:cs="Arial" w:eastAsia="Arial" w:hAnsi="Arial"/>
          <w:sz w:val="22"/>
          <w:szCs w:val="22"/>
          <w:color w:val="000000"/>
        </w:rPr>
        <w:t>15</w:t>
      </w:r>
      <w:r>
        <w:rPr>
          <w:rFonts w:ascii="Arial" w:cs="Arial" w:eastAsia="Arial" w:hAnsi="Arial"/>
          <w:sz w:val="22"/>
          <w:szCs w:val="22"/>
          <w:color w:val="231F20"/>
        </w:rPr>
        <w:t xml:space="preserve"> for revenue disaggregated by geographical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6" w:name="page17"/>
    <w:bookmarkEnd w:id="16"/>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760" w:type="dxa"/>
            <w:vAlign w:val="bottom"/>
          </w:tcPr>
          <w:p>
            <w:pPr>
              <w:spacing w:after="0"/>
              <w:rPr>
                <w:sz w:val="20"/>
                <w:szCs w:val="20"/>
                <w:color w:val="auto"/>
              </w:rPr>
            </w:pPr>
            <w:r>
              <w:rPr>
                <w:rFonts w:ascii="Arial" w:cs="Arial" w:eastAsia="Arial" w:hAnsi="Arial"/>
                <w:sz w:val="22"/>
                <w:szCs w:val="22"/>
                <w:b w:val="1"/>
                <w:bCs w:val="1"/>
                <w:color w:val="231F20"/>
              </w:rPr>
              <w:t>Note 4 – Inventories</w:t>
            </w:r>
          </w:p>
        </w:tc>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5"/>
          </w:tcPr>
          <w:p>
            <w:pPr>
              <w:spacing w:after="0"/>
              <w:rPr>
                <w:sz w:val="20"/>
                <w:szCs w:val="20"/>
                <w:color w:val="auto"/>
              </w:rPr>
            </w:pPr>
            <w:r>
              <w:rPr>
                <w:rFonts w:ascii="Arial" w:cs="Arial" w:eastAsia="Arial" w:hAnsi="Arial"/>
                <w:sz w:val="22"/>
                <w:szCs w:val="22"/>
                <w:color w:val="231F20"/>
              </w:rPr>
              <w:t>Inventories consist of the follo</w:t>
            </w:r>
            <w:r>
              <w:rPr>
                <w:rFonts w:ascii="Arial" w:cs="Arial" w:eastAsia="Arial" w:hAnsi="Arial"/>
                <w:sz w:val="22"/>
                <w:szCs w:val="22"/>
                <w:color w:val="000000"/>
              </w:rPr>
              <w:t>wing as of the periods indicated (in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7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22"/>
                <w:szCs w:val="22"/>
                <w:b w:val="1"/>
                <w:bCs w:val="1"/>
                <w:color w:val="auto"/>
              </w:rPr>
              <w:t>March 31, 2021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22"/>
                <w:szCs w:val="22"/>
                <w:b w:val="1"/>
                <w:bCs w:val="1"/>
                <w:color w:val="auto"/>
              </w:rPr>
              <w:t>December 31, 2020</w:t>
            </w:r>
          </w:p>
        </w:tc>
        <w:tc>
          <w:tcPr>
            <w:tcW w:w="0" w:type="dxa"/>
            <w:vAlign w:val="bottom"/>
          </w:tcPr>
          <w:p>
            <w:pPr>
              <w:spacing w:after="0"/>
              <w:rPr>
                <w:sz w:val="1"/>
                <w:szCs w:val="1"/>
                <w:color w:val="auto"/>
              </w:rPr>
            </w:pPr>
          </w:p>
        </w:tc>
      </w:tr>
      <w:tr>
        <w:trPr>
          <w:trHeight w:val="265"/>
        </w:trPr>
        <w:tc>
          <w:tcPr>
            <w:tcW w:w="3760" w:type="dxa"/>
            <w:vAlign w:val="bottom"/>
            <w:shd w:val="clear" w:color="auto" w:fill="CCEEFF"/>
          </w:tcPr>
          <w:p>
            <w:pPr>
              <w:ind w:left="80"/>
              <w:spacing w:after="0"/>
              <w:rPr>
                <w:sz w:val="20"/>
                <w:szCs w:val="20"/>
                <w:color w:val="auto"/>
              </w:rPr>
            </w:pPr>
            <w:r>
              <w:rPr>
                <w:rFonts w:ascii="Arial" w:cs="Arial" w:eastAsia="Arial" w:hAnsi="Arial"/>
                <w:sz w:val="22"/>
                <w:szCs w:val="22"/>
                <w:color w:val="auto"/>
              </w:rPr>
              <w:t>Raw materials</w:t>
            </w:r>
          </w:p>
        </w:tc>
        <w:tc>
          <w:tcPr>
            <w:tcW w:w="2820" w:type="dxa"/>
            <w:vAlign w:val="bottom"/>
            <w:gridSpan w:val="2"/>
            <w:shd w:val="clear" w:color="auto" w:fill="CCEEFF"/>
          </w:tcPr>
          <w:p>
            <w:pPr>
              <w:jc w:val="right"/>
              <w:ind w:right="772"/>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9,531</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9,335</w:t>
            </w:r>
          </w:p>
        </w:tc>
        <w:tc>
          <w:tcPr>
            <w:tcW w:w="0" w:type="dxa"/>
            <w:vAlign w:val="bottom"/>
          </w:tcPr>
          <w:p>
            <w:pPr>
              <w:spacing w:after="0"/>
              <w:rPr>
                <w:sz w:val="1"/>
                <w:szCs w:val="1"/>
                <w:color w:val="auto"/>
              </w:rPr>
            </w:pPr>
          </w:p>
        </w:tc>
      </w:tr>
      <w:tr>
        <w:trPr>
          <w:trHeight w:val="268"/>
        </w:trPr>
        <w:tc>
          <w:tcPr>
            <w:tcW w:w="3760" w:type="dxa"/>
            <w:vAlign w:val="bottom"/>
            <w:tcBorders>
              <w:bottom w:val="single" w:sz="8" w:color="CCEEFF"/>
            </w:tcBorders>
          </w:tcPr>
          <w:p>
            <w:pPr>
              <w:ind w:left="80"/>
              <w:spacing w:after="0"/>
              <w:rPr>
                <w:sz w:val="20"/>
                <w:szCs w:val="20"/>
                <w:color w:val="auto"/>
              </w:rPr>
            </w:pPr>
            <w:r>
              <w:rPr>
                <w:rFonts w:ascii="Arial" w:cs="Arial" w:eastAsia="Arial" w:hAnsi="Arial"/>
                <w:sz w:val="22"/>
                <w:szCs w:val="22"/>
                <w:color w:val="auto"/>
              </w:rPr>
              <w:t>Finished goods</w:t>
            </w:r>
          </w:p>
        </w:tc>
        <w:tc>
          <w:tcPr>
            <w:tcW w:w="174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12,239</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13,867</w:t>
            </w:r>
          </w:p>
        </w:tc>
        <w:tc>
          <w:tcPr>
            <w:tcW w:w="0" w:type="dxa"/>
            <w:vAlign w:val="bottom"/>
          </w:tcPr>
          <w:p>
            <w:pPr>
              <w:spacing w:after="0"/>
              <w:rPr>
                <w:sz w:val="1"/>
                <w:szCs w:val="1"/>
                <w:color w:val="auto"/>
              </w:rPr>
            </w:pPr>
          </w:p>
        </w:tc>
      </w:tr>
      <w:tr>
        <w:trPr>
          <w:trHeight w:val="285"/>
        </w:trPr>
        <w:tc>
          <w:tcPr>
            <w:tcW w:w="3760" w:type="dxa"/>
            <w:vAlign w:val="bottom"/>
            <w:shd w:val="clear" w:color="auto" w:fill="CCEEFF"/>
          </w:tcPr>
          <w:p>
            <w:pPr>
              <w:ind w:left="80"/>
              <w:spacing w:after="0"/>
              <w:rPr>
                <w:sz w:val="20"/>
                <w:szCs w:val="20"/>
                <w:color w:val="auto"/>
              </w:rPr>
            </w:pPr>
            <w:r>
              <w:rPr>
                <w:rFonts w:ascii="Arial" w:cs="Arial" w:eastAsia="Arial" w:hAnsi="Arial"/>
                <w:sz w:val="22"/>
                <w:szCs w:val="22"/>
                <w:color w:val="auto"/>
              </w:rPr>
              <w:t>Total inventories</w:t>
            </w:r>
          </w:p>
        </w:tc>
        <w:tc>
          <w:tcPr>
            <w:tcW w:w="2820" w:type="dxa"/>
            <w:vAlign w:val="bottom"/>
            <w:gridSpan w:val="2"/>
            <w:shd w:val="clear" w:color="auto" w:fill="CCEEFF"/>
          </w:tcPr>
          <w:p>
            <w:pPr>
              <w:jc w:val="right"/>
              <w:ind w:right="772"/>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21,770</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23,202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6800" w:type="dxa"/>
            <w:vAlign w:val="bottom"/>
            <w:gridSpan w:val="4"/>
          </w:tcPr>
          <w:p>
            <w:pPr>
              <w:spacing w:after="0"/>
              <w:rPr>
                <w:sz w:val="20"/>
                <w:szCs w:val="20"/>
                <w:color w:val="auto"/>
              </w:rPr>
            </w:pPr>
            <w:r>
              <w:rPr>
                <w:rFonts w:ascii="Arial" w:cs="Arial" w:eastAsia="Arial" w:hAnsi="Arial"/>
                <w:sz w:val="22"/>
                <w:szCs w:val="22"/>
                <w:b w:val="1"/>
                <w:bCs w:val="1"/>
                <w:color w:val="231F20"/>
              </w:rPr>
              <w:t>Note 5 – Property and Equipment, net</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20" w:type="dxa"/>
            <w:vAlign w:val="bottom"/>
            <w:gridSpan w:val="9"/>
          </w:tcPr>
          <w:p>
            <w:pPr>
              <w:spacing w:after="0"/>
              <w:rPr>
                <w:sz w:val="20"/>
                <w:szCs w:val="20"/>
                <w:color w:val="auto"/>
              </w:rPr>
            </w:pPr>
            <w:r>
              <w:rPr>
                <w:rFonts w:ascii="Arial" w:cs="Arial" w:eastAsia="Arial" w:hAnsi="Arial"/>
                <w:sz w:val="22"/>
                <w:szCs w:val="22"/>
                <w:color w:val="231F20"/>
              </w:rPr>
              <w:t xml:space="preserve">Property and equipment consist of the following </w:t>
            </w:r>
            <w:r>
              <w:rPr>
                <w:rFonts w:ascii="Arial" w:cs="Arial" w:eastAsia="Arial" w:hAnsi="Arial"/>
                <w:sz w:val="22"/>
                <w:szCs w:val="22"/>
                <w:color w:val="000000"/>
              </w:rPr>
              <w:t>as of the periods indicated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tcBorders>
              <w:bottom w:val="single" w:sz="8" w:color="CFF0FC"/>
            </w:tcBorders>
          </w:tcPr>
          <w:p>
            <w:pPr>
              <w:spacing w:after="0"/>
              <w:rPr>
                <w:sz w:val="22"/>
                <w:szCs w:val="22"/>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Useful life (years)</w:t>
            </w:r>
          </w:p>
        </w:tc>
        <w:tc>
          <w:tcPr>
            <w:tcW w:w="220" w:type="dxa"/>
            <w:vAlign w:val="bottom"/>
            <w:tcBorders>
              <w:bottom w:val="single" w:sz="8" w:color="CFF0FC"/>
            </w:tcBorders>
          </w:tcPr>
          <w:p>
            <w:pPr>
              <w:spacing w:after="0"/>
              <w:rPr>
                <w:sz w:val="22"/>
                <w:szCs w:val="22"/>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20"/>
                <w:szCs w:val="20"/>
                <w:b w:val="1"/>
                <w:bCs w:val="1"/>
                <w:color w:val="auto"/>
              </w:rPr>
              <w:t>March 31, 2021</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159"/>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80"/>
              <w:spacing w:after="0"/>
              <w:rPr>
                <w:sz w:val="20"/>
                <w:szCs w:val="20"/>
                <w:color w:val="auto"/>
              </w:rPr>
            </w:pPr>
            <w:r>
              <w:rPr>
                <w:rFonts w:ascii="Arial" w:cs="Arial" w:eastAsia="Arial" w:hAnsi="Arial"/>
                <w:sz w:val="20"/>
                <w:szCs w:val="20"/>
                <w:color w:val="auto"/>
              </w:rPr>
              <w:t>Furniture and fixtures</w:t>
            </w:r>
          </w:p>
        </w:tc>
        <w:tc>
          <w:tcPr>
            <w:tcW w:w="1740" w:type="dxa"/>
            <w:vAlign w:val="bottom"/>
            <w:shd w:val="clear" w:color="auto" w:fill="CFF0FC"/>
          </w:tcPr>
          <w:p>
            <w:pPr>
              <w:jc w:val="center"/>
              <w:ind w:left="979"/>
              <w:spacing w:after="0"/>
              <w:rPr>
                <w:sz w:val="20"/>
                <w:szCs w:val="20"/>
                <w:color w:val="auto"/>
              </w:rPr>
            </w:pPr>
            <w:r>
              <w:rPr>
                <w:rFonts w:ascii="Arial" w:cs="Arial" w:eastAsia="Arial" w:hAnsi="Arial"/>
                <w:sz w:val="20"/>
                <w:szCs w:val="20"/>
                <w:color w:val="auto"/>
              </w:rPr>
              <w:t>2-7</w:t>
            </w: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038"/>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w w:val="99"/>
              </w:rPr>
              <w:t>3,225</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3,265</w:t>
            </w:r>
          </w:p>
        </w:tc>
        <w:tc>
          <w:tcPr>
            <w:tcW w:w="0" w:type="dxa"/>
            <w:vAlign w:val="bottom"/>
          </w:tcPr>
          <w:p>
            <w:pPr>
              <w:spacing w:after="0"/>
              <w:rPr>
                <w:sz w:val="1"/>
                <w:szCs w:val="1"/>
                <w:color w:val="auto"/>
              </w:rPr>
            </w:pPr>
          </w:p>
        </w:tc>
      </w:tr>
      <w:tr>
        <w:trPr>
          <w:trHeight w:val="243"/>
        </w:trPr>
        <w:tc>
          <w:tcPr>
            <w:tcW w:w="3760" w:type="dxa"/>
            <w:vAlign w:val="bottom"/>
          </w:tcPr>
          <w:p>
            <w:pPr>
              <w:ind w:left="80"/>
              <w:spacing w:after="0"/>
              <w:rPr>
                <w:sz w:val="20"/>
                <w:szCs w:val="20"/>
                <w:color w:val="auto"/>
              </w:rPr>
            </w:pPr>
            <w:r>
              <w:rPr>
                <w:rFonts w:ascii="Arial" w:cs="Arial" w:eastAsia="Arial" w:hAnsi="Arial"/>
                <w:sz w:val="20"/>
                <w:szCs w:val="20"/>
                <w:color w:val="auto"/>
              </w:rPr>
              <w:t>Computers and equipment</w:t>
            </w:r>
          </w:p>
        </w:tc>
        <w:tc>
          <w:tcPr>
            <w:tcW w:w="1740" w:type="dxa"/>
            <w:vAlign w:val="bottom"/>
          </w:tcPr>
          <w:p>
            <w:pPr>
              <w:jc w:val="center"/>
              <w:ind w:left="979"/>
              <w:spacing w:after="0"/>
              <w:rPr>
                <w:sz w:val="20"/>
                <w:szCs w:val="20"/>
                <w:color w:val="auto"/>
              </w:rPr>
            </w:pPr>
            <w:r>
              <w:rPr>
                <w:rFonts w:ascii="Arial" w:cs="Arial" w:eastAsia="Arial" w:hAnsi="Arial"/>
                <w:sz w:val="20"/>
                <w:szCs w:val="20"/>
                <w:color w:val="auto"/>
              </w:rPr>
              <w:t>3-5</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20"/>
                <w:szCs w:val="20"/>
                <w:color w:val="auto"/>
                <w:w w:val="99"/>
              </w:rPr>
              <w:t>3,630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3,502</w:t>
            </w: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80"/>
              <w:spacing w:after="0"/>
              <w:rPr>
                <w:sz w:val="20"/>
                <w:szCs w:val="20"/>
                <w:color w:val="auto"/>
              </w:rPr>
            </w:pPr>
            <w:r>
              <w:rPr>
                <w:rFonts w:ascii="Arial" w:cs="Arial" w:eastAsia="Arial" w:hAnsi="Arial"/>
                <w:sz w:val="20"/>
                <w:szCs w:val="20"/>
                <w:color w:val="auto"/>
              </w:rPr>
              <w:t>Autos and trucks</w:t>
            </w:r>
          </w:p>
        </w:tc>
        <w:tc>
          <w:tcPr>
            <w:tcW w:w="1740" w:type="dxa"/>
            <w:vAlign w:val="bottom"/>
            <w:shd w:val="clear" w:color="auto" w:fill="CFF0FC"/>
          </w:tcPr>
          <w:p>
            <w:pPr>
              <w:jc w:val="center"/>
              <w:ind w:left="979"/>
              <w:spacing w:after="0"/>
              <w:rPr>
                <w:sz w:val="20"/>
                <w:szCs w:val="20"/>
                <w:color w:val="auto"/>
              </w:rPr>
            </w:pPr>
            <w:r>
              <w:rPr>
                <w:rFonts w:ascii="Arial" w:cs="Arial" w:eastAsia="Arial" w:hAnsi="Arial"/>
                <w:sz w:val="20"/>
                <w:szCs w:val="20"/>
                <w:color w:val="auto"/>
                <w:w w:val="89"/>
              </w:rPr>
              <w:t>5</w:t>
            </w: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454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w:t>
            </w:r>
          </w:p>
        </w:tc>
        <w:tc>
          <w:tcPr>
            <w:tcW w:w="0" w:type="dxa"/>
            <w:vAlign w:val="bottom"/>
          </w:tcPr>
          <w:p>
            <w:pPr>
              <w:spacing w:after="0"/>
              <w:rPr>
                <w:sz w:val="1"/>
                <w:szCs w:val="1"/>
                <w:color w:val="auto"/>
              </w:rPr>
            </w:pPr>
          </w:p>
        </w:tc>
      </w:tr>
      <w:tr>
        <w:trPr>
          <w:trHeight w:val="243"/>
        </w:trPr>
        <w:tc>
          <w:tcPr>
            <w:tcW w:w="3760" w:type="dxa"/>
            <w:vAlign w:val="bottom"/>
          </w:tcPr>
          <w:p>
            <w:pPr>
              <w:ind w:left="80"/>
              <w:spacing w:after="0"/>
              <w:rPr>
                <w:sz w:val="20"/>
                <w:szCs w:val="20"/>
                <w:color w:val="auto"/>
              </w:rPr>
            </w:pPr>
            <w:r>
              <w:rPr>
                <w:rFonts w:ascii="Arial" w:cs="Arial" w:eastAsia="Arial" w:hAnsi="Arial"/>
                <w:sz w:val="20"/>
                <w:szCs w:val="20"/>
                <w:color w:val="auto"/>
              </w:rPr>
              <w:t>Tooling</w:t>
            </w:r>
          </w:p>
        </w:tc>
        <w:tc>
          <w:tcPr>
            <w:tcW w:w="1740" w:type="dxa"/>
            <w:vAlign w:val="bottom"/>
          </w:tcPr>
          <w:p>
            <w:pPr>
              <w:jc w:val="center"/>
              <w:ind w:left="979"/>
              <w:spacing w:after="0"/>
              <w:rPr>
                <w:sz w:val="20"/>
                <w:szCs w:val="20"/>
                <w:color w:val="auto"/>
              </w:rPr>
            </w:pPr>
            <w:r>
              <w:rPr>
                <w:rFonts w:ascii="Arial" w:cs="Arial" w:eastAsia="Arial" w:hAnsi="Arial"/>
                <w:sz w:val="20"/>
                <w:szCs w:val="20"/>
                <w:color w:val="auto"/>
                <w:w w:val="89"/>
              </w:rPr>
              <w:t>5</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20"/>
                <w:szCs w:val="20"/>
                <w:color w:val="auto"/>
                <w:w w:val="99"/>
              </w:rPr>
              <w:t>1,150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1,150</w:t>
            </w:r>
          </w:p>
        </w:tc>
        <w:tc>
          <w:tcPr>
            <w:tcW w:w="0" w:type="dxa"/>
            <w:vAlign w:val="bottom"/>
          </w:tcPr>
          <w:p>
            <w:pPr>
              <w:spacing w:after="0"/>
              <w:rPr>
                <w:sz w:val="1"/>
                <w:szCs w:val="1"/>
                <w:color w:val="auto"/>
              </w:rPr>
            </w:pPr>
          </w:p>
        </w:tc>
      </w:tr>
      <w:tr>
        <w:trPr>
          <w:trHeight w:val="199"/>
        </w:trPr>
        <w:tc>
          <w:tcPr>
            <w:tcW w:w="3760" w:type="dxa"/>
            <w:vAlign w:val="bottom"/>
            <w:vMerge w:val="restart"/>
            <w:shd w:val="clear" w:color="auto" w:fill="CFF0FC"/>
          </w:tcPr>
          <w:p>
            <w:pPr>
              <w:ind w:left="80"/>
              <w:spacing w:after="0"/>
              <w:rPr>
                <w:sz w:val="20"/>
                <w:szCs w:val="20"/>
                <w:color w:val="auto"/>
              </w:rPr>
            </w:pPr>
            <w:r>
              <w:rPr>
                <w:rFonts w:ascii="Arial" w:cs="Arial" w:eastAsia="Arial" w:hAnsi="Arial"/>
                <w:sz w:val="20"/>
                <w:szCs w:val="20"/>
                <w:color w:val="auto"/>
              </w:rPr>
              <w:t>Leasehold improvements</w:t>
            </w:r>
          </w:p>
        </w:tc>
        <w:tc>
          <w:tcPr>
            <w:tcW w:w="3040" w:type="dxa"/>
            <w:vAlign w:val="bottom"/>
            <w:gridSpan w:val="3"/>
            <w:shd w:val="clear" w:color="auto" w:fill="CFF0FC"/>
          </w:tcPr>
          <w:p>
            <w:pPr>
              <w:jc w:val="center"/>
              <w:ind w:right="220"/>
              <w:spacing w:after="0" w:line="199" w:lineRule="exact"/>
              <w:rPr>
                <w:sz w:val="20"/>
                <w:szCs w:val="20"/>
                <w:color w:val="auto"/>
              </w:rPr>
            </w:pPr>
            <w:r>
              <w:rPr>
                <w:rFonts w:ascii="Arial" w:cs="Arial" w:eastAsia="Arial" w:hAnsi="Arial"/>
                <w:sz w:val="20"/>
                <w:szCs w:val="20"/>
                <w:color w:val="auto"/>
                <w:w w:val="99"/>
              </w:rPr>
              <w:t>Shorter of remaining lease term</w:t>
            </w:r>
          </w:p>
        </w:tc>
        <w:tc>
          <w:tcPr>
            <w:tcW w:w="1320" w:type="dxa"/>
            <w:vAlign w:val="bottom"/>
            <w:shd w:val="clear" w:color="auto" w:fill="CFF0FC"/>
          </w:tcPr>
          <w:p>
            <w:pPr>
              <w:spacing w:after="0"/>
              <w:rPr>
                <w:sz w:val="17"/>
                <w:szCs w:val="17"/>
                <w:color w:val="auto"/>
              </w:rPr>
            </w:pPr>
          </w:p>
        </w:tc>
        <w:tc>
          <w:tcPr>
            <w:tcW w:w="58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20"/>
                <w:szCs w:val="20"/>
                <w:color w:val="auto"/>
                <w:w w:val="99"/>
              </w:rPr>
              <w:t>4,443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4,097</w:t>
            </w:r>
          </w:p>
        </w:tc>
        <w:tc>
          <w:tcPr>
            <w:tcW w:w="0" w:type="dxa"/>
            <w:vAlign w:val="bottom"/>
          </w:tcPr>
          <w:p>
            <w:pPr>
              <w:spacing w:after="0"/>
              <w:rPr>
                <w:sz w:val="1"/>
                <w:szCs w:val="1"/>
                <w:color w:val="auto"/>
              </w:rPr>
            </w:pPr>
          </w:p>
        </w:tc>
      </w:tr>
      <w:tr>
        <w:trPr>
          <w:trHeight w:val="233"/>
        </w:trPr>
        <w:tc>
          <w:tcPr>
            <w:tcW w:w="3760" w:type="dxa"/>
            <w:vAlign w:val="bottom"/>
            <w:vMerge w:val="continue"/>
            <w:shd w:val="clear" w:color="auto" w:fill="CFF0FC"/>
          </w:tcPr>
          <w:p>
            <w:pPr>
              <w:spacing w:after="0"/>
              <w:rPr>
                <w:sz w:val="20"/>
                <w:szCs w:val="20"/>
                <w:color w:val="auto"/>
              </w:rPr>
            </w:pPr>
          </w:p>
        </w:tc>
        <w:tc>
          <w:tcPr>
            <w:tcW w:w="3040" w:type="dxa"/>
            <w:vAlign w:val="bottom"/>
            <w:gridSpan w:val="3"/>
            <w:shd w:val="clear" w:color="auto" w:fill="CFF0FC"/>
          </w:tcPr>
          <w:p>
            <w:pPr>
              <w:jc w:val="center"/>
              <w:ind w:right="220"/>
              <w:spacing w:after="0"/>
              <w:rPr>
                <w:sz w:val="20"/>
                <w:szCs w:val="20"/>
                <w:color w:val="auto"/>
              </w:rPr>
            </w:pPr>
            <w:r>
              <w:rPr>
                <w:rFonts w:ascii="Arial" w:cs="Arial" w:eastAsia="Arial" w:hAnsi="Arial"/>
                <w:sz w:val="20"/>
                <w:szCs w:val="20"/>
                <w:color w:val="auto"/>
                <w:w w:val="98"/>
              </w:rPr>
              <w:t>or estimated useful life</w:t>
            </w:r>
          </w:p>
        </w:tc>
        <w:tc>
          <w:tcPr>
            <w:tcW w:w="13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1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FF0FC"/>
            </w:tcBorders>
          </w:tcPr>
          <w:p>
            <w:pPr>
              <w:ind w:left="80"/>
              <w:spacing w:after="0" w:line="227" w:lineRule="exact"/>
              <w:rPr>
                <w:sz w:val="20"/>
                <w:szCs w:val="20"/>
                <w:color w:val="auto"/>
              </w:rPr>
            </w:pPr>
            <w:r>
              <w:rPr>
                <w:rFonts w:ascii="Arial" w:cs="Arial" w:eastAsia="Arial" w:hAnsi="Arial"/>
                <w:sz w:val="20"/>
                <w:szCs w:val="20"/>
                <w:color w:val="auto"/>
              </w:rPr>
              <w:t>Total Property and equipment</w:t>
            </w:r>
          </w:p>
        </w:tc>
        <w:tc>
          <w:tcPr>
            <w:tcW w:w="174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20"/>
                <w:szCs w:val="20"/>
                <w:color w:val="auto"/>
              </w:rPr>
              <w:t>12,902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12,427</w:t>
            </w:r>
          </w:p>
        </w:tc>
        <w:tc>
          <w:tcPr>
            <w:tcW w:w="0" w:type="dxa"/>
            <w:vAlign w:val="bottom"/>
          </w:tcPr>
          <w:p>
            <w:pPr>
              <w:spacing w:after="0"/>
              <w:rPr>
                <w:sz w:val="1"/>
                <w:szCs w:val="1"/>
                <w:color w:val="auto"/>
              </w:rPr>
            </w:pPr>
          </w:p>
        </w:tc>
      </w:tr>
      <w:tr>
        <w:trPr>
          <w:trHeight w:val="179"/>
        </w:trPr>
        <w:tc>
          <w:tcPr>
            <w:tcW w:w="3760" w:type="dxa"/>
            <w:vAlign w:val="bottom"/>
            <w:shd w:val="clear" w:color="auto" w:fill="CFF0FC"/>
          </w:tcPr>
          <w:p>
            <w:pPr>
              <w:ind w:left="80"/>
              <w:spacing w:after="0" w:line="179" w:lineRule="exact"/>
              <w:rPr>
                <w:sz w:val="20"/>
                <w:szCs w:val="20"/>
                <w:color w:val="auto"/>
              </w:rPr>
            </w:pPr>
            <w:r>
              <w:rPr>
                <w:rFonts w:ascii="Arial" w:cs="Arial" w:eastAsia="Arial" w:hAnsi="Arial"/>
                <w:sz w:val="20"/>
                <w:szCs w:val="20"/>
                <w:color w:val="auto"/>
              </w:rPr>
              <w:t>Less: accumulated depreciation and</w:t>
            </w:r>
          </w:p>
        </w:tc>
        <w:tc>
          <w:tcPr>
            <w:tcW w:w="17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900" w:type="dxa"/>
            <w:vAlign w:val="bottom"/>
            <w:gridSpan w:val="4"/>
            <w:vMerge w:val="restart"/>
            <w:shd w:val="clear" w:color="auto" w:fill="CFF0FC"/>
          </w:tcPr>
          <w:p>
            <w:pPr>
              <w:jc w:val="right"/>
              <w:ind w:right="60"/>
              <w:spacing w:after="0"/>
              <w:rPr>
                <w:sz w:val="20"/>
                <w:szCs w:val="20"/>
                <w:color w:val="auto"/>
              </w:rPr>
            </w:pPr>
            <w:r>
              <w:rPr>
                <w:rFonts w:ascii="Arial" w:cs="Arial" w:eastAsia="Arial" w:hAnsi="Arial"/>
                <w:sz w:val="20"/>
                <w:szCs w:val="20"/>
                <w:color w:val="auto"/>
              </w:rPr>
              <w:t>(5,023)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1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(4,407)</w:t>
            </w:r>
          </w:p>
        </w:tc>
        <w:tc>
          <w:tcPr>
            <w:tcW w:w="0" w:type="dxa"/>
            <w:vAlign w:val="bottom"/>
          </w:tcPr>
          <w:p>
            <w:pPr>
              <w:spacing w:after="0"/>
              <w:rPr>
                <w:sz w:val="1"/>
                <w:szCs w:val="1"/>
                <w:color w:val="auto"/>
              </w:rPr>
            </w:pPr>
          </w:p>
        </w:tc>
      </w:tr>
      <w:tr>
        <w:trPr>
          <w:trHeight w:val="233"/>
        </w:trPr>
        <w:tc>
          <w:tcPr>
            <w:tcW w:w="3760" w:type="dxa"/>
            <w:vAlign w:val="bottom"/>
            <w:shd w:val="clear" w:color="auto" w:fill="CFF0FC"/>
          </w:tcPr>
          <w:p>
            <w:pPr>
              <w:ind w:left="80"/>
              <w:spacing w:after="0"/>
              <w:rPr>
                <w:sz w:val="20"/>
                <w:szCs w:val="20"/>
                <w:color w:val="auto"/>
              </w:rPr>
            </w:pPr>
            <w:r>
              <w:rPr>
                <w:rFonts w:ascii="Arial" w:cs="Arial" w:eastAsia="Arial" w:hAnsi="Arial"/>
                <w:sz w:val="20"/>
                <w:szCs w:val="20"/>
                <w:color w:val="auto"/>
              </w:rPr>
              <w:t>amortization</w:t>
            </w:r>
          </w:p>
        </w:tc>
        <w:tc>
          <w:tcPr>
            <w:tcW w:w="17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gridSpan w:val="4"/>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1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tcPr>
          <w:p>
            <w:pPr>
              <w:ind w:left="80"/>
              <w:spacing w:after="0"/>
              <w:rPr>
                <w:sz w:val="20"/>
                <w:szCs w:val="20"/>
                <w:color w:val="auto"/>
              </w:rPr>
            </w:pPr>
            <w:r>
              <w:rPr>
                <w:rFonts w:ascii="Arial" w:cs="Arial" w:eastAsia="Arial" w:hAnsi="Arial"/>
                <w:sz w:val="20"/>
                <w:szCs w:val="20"/>
                <w:color w:val="auto"/>
              </w:rPr>
              <w:t>Construction-in-progress</w:t>
            </w:r>
          </w:p>
        </w:tc>
        <w:tc>
          <w:tcPr>
            <w:tcW w:w="174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rPr>
              <w:t>267</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1,171</w:t>
            </w:r>
          </w:p>
        </w:tc>
        <w:tc>
          <w:tcPr>
            <w:tcW w:w="0" w:type="dxa"/>
            <w:vAlign w:val="bottom"/>
          </w:tcPr>
          <w:p>
            <w:pPr>
              <w:spacing w:after="0"/>
              <w:rPr>
                <w:sz w:val="1"/>
                <w:szCs w:val="1"/>
                <w:color w:val="auto"/>
              </w:rPr>
            </w:pPr>
          </w:p>
        </w:tc>
      </w:tr>
      <w:tr>
        <w:trPr>
          <w:trHeight w:val="256"/>
        </w:trPr>
        <w:tc>
          <w:tcPr>
            <w:tcW w:w="3760" w:type="dxa"/>
            <w:vAlign w:val="bottom"/>
            <w:shd w:val="clear" w:color="auto" w:fill="CFF0FC"/>
          </w:tcPr>
          <w:p>
            <w:pPr>
              <w:ind w:left="80"/>
              <w:spacing w:after="0"/>
              <w:rPr>
                <w:sz w:val="20"/>
                <w:szCs w:val="20"/>
                <w:color w:val="auto"/>
              </w:rPr>
            </w:pPr>
            <w:r>
              <w:rPr>
                <w:rFonts w:ascii="Arial" w:cs="Arial" w:eastAsia="Arial" w:hAnsi="Arial"/>
                <w:sz w:val="20"/>
                <w:szCs w:val="20"/>
                <w:color w:val="auto"/>
              </w:rPr>
              <w:t>Property and equipment, net</w:t>
            </w:r>
          </w:p>
        </w:tc>
        <w:tc>
          <w:tcPr>
            <w:tcW w:w="17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38"/>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w w:val="99"/>
              </w:rPr>
              <w:t>8,146</w:t>
            </w:r>
          </w:p>
        </w:tc>
        <w:tc>
          <w:tcPr>
            <w:tcW w:w="12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9,191</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740"/>
        <w:spacing w:after="0" w:line="244" w:lineRule="auto"/>
        <w:rPr>
          <w:sz w:val="20"/>
          <w:szCs w:val="20"/>
          <w:color w:val="auto"/>
        </w:rPr>
      </w:pPr>
      <w:r>
        <w:rPr>
          <w:rFonts w:ascii="Arial" w:cs="Arial" w:eastAsia="Arial" w:hAnsi="Arial"/>
          <w:sz w:val="22"/>
          <w:szCs w:val="22"/>
          <w:color w:val="auto"/>
        </w:rPr>
        <w:t>Depreciation expense was $0.7 million and $0.6 million for the three months ended March 31, 2021 and 2020, respectively. Of the total depreciation for the three months ended March 31, 2021 and 2020, $0.3 million and $0.3 million, respectively, were recorded in Cost of sales and $0.4 million and $0.3 million, respectively, were recorded in General and administrative expenses in the Condensed Consolidated Statements of C</w:t>
      </w:r>
      <w:r>
        <w:rPr>
          <w:rFonts w:ascii="Arial" w:cs="Arial" w:eastAsia="Arial" w:hAnsi="Arial"/>
          <w:sz w:val="22"/>
          <w:szCs w:val="22"/>
          <w:color w:val="231F20"/>
        </w:rPr>
        <w:t>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40" w:right="339" w:bottom="1440" w:gutter="0" w:footer="0" w:header="0"/>
        </w:sectPr>
      </w:pPr>
    </w:p>
    <w:bookmarkStart w:id="17" w:name="page18"/>
    <w:bookmarkEnd w:id="17"/>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6 – Goodwill and Intangible Assets, net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231F20"/>
        </w:rPr>
        <w:t>The gross carrying amount and accumulated amortization of HydraFacial’s intangible assets, net, as of March 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231F20"/>
        </w:rPr>
        <w:t>2021 were as follows (in thousands):</w:t>
      </w: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Gross Carrying</w:t>
            </w:r>
          </w:p>
        </w:tc>
        <w:tc>
          <w:tcPr>
            <w:tcW w:w="380" w:type="dxa"/>
            <w:vAlign w:val="bottom"/>
          </w:tcPr>
          <w:p>
            <w:pPr>
              <w:spacing w:after="0"/>
              <w:rPr>
                <w:sz w:val="18"/>
                <w:szCs w:val="18"/>
                <w:color w:val="auto"/>
              </w:rPr>
            </w:pPr>
          </w:p>
        </w:tc>
        <w:tc>
          <w:tcPr>
            <w:tcW w:w="1980" w:type="dxa"/>
            <w:vAlign w:val="bottom"/>
            <w:gridSpan w:val="2"/>
            <w:vMerge w:val="restart"/>
          </w:tcPr>
          <w:p>
            <w:pPr>
              <w:ind w:left="260"/>
              <w:spacing w:after="0"/>
              <w:rPr>
                <w:sz w:val="20"/>
                <w:szCs w:val="20"/>
                <w:color w:val="auto"/>
              </w:rPr>
            </w:pPr>
            <w:r>
              <w:rPr>
                <w:rFonts w:ascii="Arial" w:cs="Arial" w:eastAsia="Arial" w:hAnsi="Arial"/>
                <w:sz w:val="20"/>
                <w:szCs w:val="20"/>
                <w:b w:val="1"/>
                <w:bCs w:val="1"/>
                <w:color w:val="auto"/>
              </w:rPr>
              <w:t>Accumulated</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98"/>
              </w:rPr>
              <w:t>Estimated</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w w:val="98"/>
              </w:rPr>
              <w:t>Net Carrying Value</w:t>
            </w:r>
          </w:p>
        </w:tc>
        <w:tc>
          <w:tcPr>
            <w:tcW w:w="220" w:type="dxa"/>
            <w:vAlign w:val="bottom"/>
          </w:tcPr>
          <w:p>
            <w:pPr>
              <w:spacing w:after="0"/>
              <w:rPr>
                <w:sz w:val="16"/>
                <w:szCs w:val="16"/>
                <w:color w:val="auto"/>
              </w:rPr>
            </w:pPr>
          </w:p>
        </w:tc>
        <w:tc>
          <w:tcPr>
            <w:tcW w:w="162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9"/>
              </w:rPr>
              <w:t>Useful Life</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Value</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Amortization</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(Years)</w:t>
            </w:r>
          </w:p>
        </w:tc>
        <w:tc>
          <w:tcPr>
            <w:tcW w:w="0" w:type="dxa"/>
            <w:vAlign w:val="bottom"/>
          </w:tcPr>
          <w:p>
            <w:pPr>
              <w:spacing w:after="0"/>
              <w:rPr>
                <w:sz w:val="1"/>
                <w:szCs w:val="1"/>
                <w:color w:val="auto"/>
              </w:rPr>
            </w:pPr>
          </w:p>
        </w:tc>
      </w:tr>
      <w:tr>
        <w:trPr>
          <w:trHeight w:val="237"/>
        </w:trPr>
        <w:tc>
          <w:tcPr>
            <w:tcW w:w="2660" w:type="dxa"/>
            <w:vAlign w:val="bottom"/>
            <w:shd w:val="clear" w:color="auto" w:fill="CFF0FC"/>
          </w:tcPr>
          <w:p>
            <w:pPr>
              <w:ind w:left="80"/>
              <w:spacing w:after="0"/>
              <w:rPr>
                <w:sz w:val="20"/>
                <w:szCs w:val="20"/>
                <w:color w:val="auto"/>
              </w:rPr>
            </w:pPr>
            <w:r>
              <w:rPr>
                <w:rFonts w:ascii="Arial" w:cs="Arial" w:eastAsia="Arial" w:hAnsi="Arial"/>
                <w:sz w:val="20"/>
                <w:szCs w:val="20"/>
                <w:color w:val="auto"/>
              </w:rPr>
              <w:t>Trademarks</w:t>
            </w:r>
          </w:p>
        </w:tc>
        <w:tc>
          <w:tcPr>
            <w:tcW w:w="3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9,480</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6,546</w:t>
            </w:r>
          </w:p>
        </w:tc>
        <w:tc>
          <w:tcPr>
            <w:tcW w:w="1840" w:type="dxa"/>
            <w:vAlign w:val="bottom"/>
            <w:gridSpan w:val="2"/>
            <w:shd w:val="clear" w:color="auto" w:fill="CFF0FC"/>
          </w:tcPr>
          <w:p>
            <w:pPr>
              <w:jc w:val="center"/>
              <w:ind w:left="121"/>
              <w:spacing w:after="0"/>
              <w:rPr>
                <w:sz w:val="20"/>
                <w:szCs w:val="20"/>
                <w:color w:val="auto"/>
              </w:rPr>
            </w:pPr>
            <w:r>
              <w:rPr>
                <w:rFonts w:ascii="Arial" w:cs="Arial" w:eastAsia="Arial" w:hAnsi="Arial"/>
                <w:sz w:val="20"/>
                <w:szCs w:val="20"/>
                <w:color w:val="auto"/>
                <w:w w:val="98"/>
              </w:rPr>
              <w:t>15</w:t>
            </w:r>
          </w:p>
        </w:tc>
        <w:tc>
          <w:tcPr>
            <w:tcW w:w="0" w:type="dxa"/>
            <w:vAlign w:val="bottom"/>
          </w:tcPr>
          <w:p>
            <w:pPr>
              <w:spacing w:after="0"/>
              <w:rPr>
                <w:sz w:val="1"/>
                <w:szCs w:val="1"/>
                <w:color w:val="auto"/>
              </w:rPr>
            </w:pPr>
          </w:p>
        </w:tc>
      </w:tr>
      <w:tr>
        <w:trPr>
          <w:trHeight w:val="243"/>
        </w:trPr>
        <w:tc>
          <w:tcPr>
            <w:tcW w:w="2660" w:type="dxa"/>
            <w:vAlign w:val="bottom"/>
          </w:tcPr>
          <w:p>
            <w:pPr>
              <w:ind w:left="80"/>
              <w:spacing w:after="0"/>
              <w:rPr>
                <w:sz w:val="20"/>
                <w:szCs w:val="20"/>
                <w:color w:val="auto"/>
              </w:rPr>
            </w:pPr>
            <w:r>
              <w:rPr>
                <w:rFonts w:ascii="Arial" w:cs="Arial" w:eastAsia="Arial" w:hAnsi="Arial"/>
                <w:sz w:val="20"/>
                <w:szCs w:val="20"/>
                <w:color w:val="auto"/>
              </w:rPr>
              <w:t>Customer relationships</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6,016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(2,455)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3,561</w:t>
            </w:r>
          </w:p>
        </w:tc>
        <w:tc>
          <w:tcPr>
            <w:tcW w:w="1840" w:type="dxa"/>
            <w:vAlign w:val="bottom"/>
            <w:gridSpan w:val="2"/>
          </w:tcPr>
          <w:p>
            <w:pPr>
              <w:jc w:val="center"/>
              <w:ind w:left="121"/>
              <w:spacing w:after="0"/>
              <w:rPr>
                <w:sz w:val="20"/>
                <w:szCs w:val="20"/>
                <w:color w:val="auto"/>
              </w:rPr>
            </w:pPr>
            <w:r>
              <w:rPr>
                <w:rFonts w:ascii="Arial" w:cs="Arial" w:eastAsia="Arial" w:hAnsi="Arial"/>
                <w:sz w:val="20"/>
                <w:szCs w:val="20"/>
                <w:color w:val="auto"/>
                <w:w w:val="94"/>
              </w:rPr>
              <w:t>5-10</w:t>
            </w:r>
          </w:p>
        </w:tc>
        <w:tc>
          <w:tcPr>
            <w:tcW w:w="0" w:type="dxa"/>
            <w:vAlign w:val="bottom"/>
          </w:tcPr>
          <w:p>
            <w:pPr>
              <w:spacing w:after="0"/>
              <w:rPr>
                <w:sz w:val="1"/>
                <w:szCs w:val="1"/>
                <w:color w:val="auto"/>
              </w:rPr>
            </w:pPr>
          </w:p>
        </w:tc>
      </w:tr>
      <w:tr>
        <w:trPr>
          <w:trHeight w:val="243"/>
        </w:trPr>
        <w:tc>
          <w:tcPr>
            <w:tcW w:w="2660" w:type="dxa"/>
            <w:vAlign w:val="bottom"/>
            <w:shd w:val="clear" w:color="auto" w:fill="CFF0FC"/>
          </w:tcPr>
          <w:p>
            <w:pPr>
              <w:ind w:left="80"/>
              <w:spacing w:after="0"/>
              <w:rPr>
                <w:sz w:val="20"/>
                <w:szCs w:val="20"/>
                <w:color w:val="auto"/>
              </w:rPr>
            </w:pPr>
            <w:r>
              <w:rPr>
                <w:rFonts w:ascii="Arial" w:cs="Arial" w:eastAsia="Arial" w:hAnsi="Arial"/>
                <w:sz w:val="20"/>
                <w:szCs w:val="20"/>
                <w:color w:val="auto"/>
              </w:rPr>
              <w:t>Developed technology</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70,900</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(38,404)</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32,496</w:t>
            </w:r>
          </w:p>
        </w:tc>
        <w:tc>
          <w:tcPr>
            <w:tcW w:w="1840" w:type="dxa"/>
            <w:vAlign w:val="bottom"/>
            <w:gridSpan w:val="2"/>
            <w:shd w:val="clear" w:color="auto" w:fill="CFF0FC"/>
          </w:tcPr>
          <w:p>
            <w:pPr>
              <w:jc w:val="center"/>
              <w:ind w:left="12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43"/>
        </w:trPr>
        <w:tc>
          <w:tcPr>
            <w:tcW w:w="2660" w:type="dxa"/>
            <w:vAlign w:val="bottom"/>
          </w:tcPr>
          <w:p>
            <w:pPr>
              <w:ind w:left="80"/>
              <w:spacing w:after="0"/>
              <w:rPr>
                <w:sz w:val="20"/>
                <w:szCs w:val="20"/>
                <w:color w:val="auto"/>
              </w:rPr>
            </w:pPr>
            <w:r>
              <w:rPr>
                <w:rFonts w:ascii="Arial" w:cs="Arial" w:eastAsia="Arial" w:hAnsi="Arial"/>
                <w:sz w:val="20"/>
                <w:szCs w:val="20"/>
                <w:color w:val="auto"/>
              </w:rPr>
              <w:t>Patents</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1,596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1,423</w:t>
            </w:r>
          </w:p>
        </w:tc>
        <w:tc>
          <w:tcPr>
            <w:tcW w:w="1840" w:type="dxa"/>
            <w:vAlign w:val="bottom"/>
            <w:gridSpan w:val="2"/>
          </w:tcPr>
          <w:p>
            <w:pPr>
              <w:jc w:val="center"/>
              <w:ind w:left="121"/>
              <w:spacing w:after="0"/>
              <w:rPr>
                <w:sz w:val="20"/>
                <w:szCs w:val="20"/>
                <w:color w:val="auto"/>
              </w:rPr>
            </w:pPr>
            <w:r>
              <w:rPr>
                <w:rFonts w:ascii="Arial" w:cs="Arial" w:eastAsia="Arial" w:hAnsi="Arial"/>
                <w:sz w:val="20"/>
                <w:szCs w:val="20"/>
                <w:color w:val="auto"/>
                <w:w w:val="94"/>
              </w:rPr>
              <w:t>4-19</w:t>
            </w:r>
          </w:p>
        </w:tc>
        <w:tc>
          <w:tcPr>
            <w:tcW w:w="0" w:type="dxa"/>
            <w:vAlign w:val="bottom"/>
          </w:tcPr>
          <w:p>
            <w:pPr>
              <w:spacing w:after="0"/>
              <w:rPr>
                <w:sz w:val="1"/>
                <w:szCs w:val="1"/>
                <w:color w:val="auto"/>
              </w:rPr>
            </w:pPr>
          </w:p>
        </w:tc>
      </w:tr>
      <w:tr>
        <w:trPr>
          <w:trHeight w:val="243"/>
        </w:trPr>
        <w:tc>
          <w:tcPr>
            <w:tcW w:w="2660" w:type="dxa"/>
            <w:vAlign w:val="bottom"/>
            <w:shd w:val="clear" w:color="auto" w:fill="CFF0FC"/>
          </w:tcPr>
          <w:p>
            <w:pPr>
              <w:ind w:left="80"/>
              <w:spacing w:after="0"/>
              <w:rPr>
                <w:sz w:val="20"/>
                <w:szCs w:val="20"/>
                <w:color w:val="auto"/>
              </w:rPr>
            </w:pPr>
            <w:r>
              <w:rPr>
                <w:rFonts w:ascii="Arial" w:cs="Arial" w:eastAsia="Arial" w:hAnsi="Arial"/>
                <w:sz w:val="20"/>
                <w:szCs w:val="20"/>
                <w:color w:val="auto"/>
              </w:rPr>
              <w:t>Capitalized Software</w:t>
            </w:r>
          </w:p>
        </w:tc>
        <w:tc>
          <w:tcPr>
            <w:tcW w:w="3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8,208</w:t>
            </w:r>
          </w:p>
        </w:tc>
        <w:tc>
          <w:tcPr>
            <w:tcW w:w="2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(1,980)</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6,228</w:t>
            </w:r>
          </w:p>
        </w:tc>
        <w:tc>
          <w:tcPr>
            <w:tcW w:w="1840" w:type="dxa"/>
            <w:vAlign w:val="bottom"/>
            <w:gridSpan w:val="2"/>
            <w:shd w:val="clear" w:color="auto" w:fill="CFF0FC"/>
          </w:tcPr>
          <w:p>
            <w:pPr>
              <w:jc w:val="center"/>
              <w:ind w:left="121"/>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37"/>
        </w:trPr>
        <w:tc>
          <w:tcPr>
            <w:tcW w:w="2660" w:type="dxa"/>
            <w:vAlign w:val="bottom"/>
          </w:tcPr>
          <w:p>
            <w:pPr>
              <w:ind w:left="80"/>
              <w:spacing w:after="0"/>
              <w:rPr>
                <w:sz w:val="20"/>
                <w:szCs w:val="20"/>
                <w:color w:val="auto"/>
              </w:rPr>
            </w:pPr>
            <w:r>
              <w:rPr>
                <w:rFonts w:ascii="Arial" w:cs="Arial" w:eastAsia="Arial" w:hAnsi="Arial"/>
                <w:sz w:val="20"/>
                <w:szCs w:val="20"/>
                <w:color w:val="auto"/>
              </w:rPr>
              <w:t>Total intangible assets</w:t>
            </w: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96,200</w:t>
            </w:r>
          </w:p>
        </w:tc>
        <w:tc>
          <w:tcPr>
            <w:tcW w:w="200" w:type="dxa"/>
            <w:vAlign w:val="bottom"/>
          </w:tcPr>
          <w:p>
            <w:pPr>
              <w:spacing w:after="0"/>
              <w:rPr>
                <w:sz w:val="20"/>
                <w:szCs w:val="20"/>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(45,946)</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50,254</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231F20"/>
        </w:rPr>
        <w:t>The gross carrying amount and accumulated amortization of HydraFacial’s intangible assets, net, as of December 31, 2020 were as follows (in thousands):</w:t>
      </w: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Gross Carrying</w:t>
            </w:r>
          </w:p>
        </w:tc>
        <w:tc>
          <w:tcPr>
            <w:tcW w:w="340" w:type="dxa"/>
            <w:vAlign w:val="bottom"/>
          </w:tcPr>
          <w:p>
            <w:pPr>
              <w:spacing w:after="0"/>
              <w:rPr>
                <w:sz w:val="17"/>
                <w:szCs w:val="17"/>
                <w:color w:val="auto"/>
              </w:rPr>
            </w:pPr>
          </w:p>
        </w:tc>
        <w:tc>
          <w:tcPr>
            <w:tcW w:w="1980" w:type="dxa"/>
            <w:vAlign w:val="bottom"/>
            <w:gridSpan w:val="2"/>
            <w:vMerge w:val="restart"/>
          </w:tcPr>
          <w:p>
            <w:pPr>
              <w:ind w:left="260"/>
              <w:spacing w:after="0"/>
              <w:rPr>
                <w:sz w:val="20"/>
                <w:szCs w:val="20"/>
                <w:color w:val="auto"/>
              </w:rPr>
            </w:pPr>
            <w:r>
              <w:rPr>
                <w:rFonts w:ascii="Arial" w:cs="Arial" w:eastAsia="Arial" w:hAnsi="Arial"/>
                <w:sz w:val="20"/>
                <w:szCs w:val="20"/>
                <w:b w:val="1"/>
                <w:bCs w:val="1"/>
                <w:color w:val="auto"/>
              </w:rPr>
              <w:t>Accumulated</w:t>
            </w: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spacing w:after="0" w:line="204" w:lineRule="exact"/>
              <w:rPr>
                <w:sz w:val="20"/>
                <w:szCs w:val="20"/>
                <w:color w:val="auto"/>
              </w:rPr>
            </w:pPr>
            <w:r>
              <w:rPr>
                <w:rFonts w:ascii="Arial" w:cs="Arial" w:eastAsia="Arial" w:hAnsi="Arial"/>
                <w:sz w:val="20"/>
                <w:szCs w:val="20"/>
                <w:b w:val="1"/>
                <w:bCs w:val="1"/>
                <w:color w:val="auto"/>
                <w:w w:val="98"/>
              </w:rPr>
              <w:t>Estimated</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7"/>
              </w:rPr>
              <w:t>Net Carrying Value</w:t>
            </w:r>
          </w:p>
        </w:tc>
        <w:tc>
          <w:tcPr>
            <w:tcW w:w="220" w:type="dxa"/>
            <w:vAlign w:val="bottom"/>
          </w:tcPr>
          <w:p>
            <w:pPr>
              <w:spacing w:after="0"/>
              <w:rPr>
                <w:sz w:val="16"/>
                <w:szCs w:val="16"/>
                <w:color w:val="auto"/>
              </w:rPr>
            </w:pPr>
          </w:p>
        </w:tc>
        <w:tc>
          <w:tcPr>
            <w:tcW w:w="160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7"/>
              </w:rPr>
              <w:t>Useful Life</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Value</w:t>
            </w:r>
          </w:p>
        </w:tc>
        <w:tc>
          <w:tcPr>
            <w:tcW w:w="20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76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Amortization</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(Years)</w:t>
            </w:r>
          </w:p>
        </w:tc>
        <w:tc>
          <w:tcPr>
            <w:tcW w:w="0" w:type="dxa"/>
            <w:vAlign w:val="bottom"/>
          </w:tcPr>
          <w:p>
            <w:pPr>
              <w:spacing w:after="0"/>
              <w:rPr>
                <w:sz w:val="1"/>
                <w:szCs w:val="1"/>
                <w:color w:val="auto"/>
              </w:rPr>
            </w:pPr>
          </w:p>
        </w:tc>
      </w:tr>
      <w:tr>
        <w:trPr>
          <w:trHeight w:val="237"/>
        </w:trPr>
        <w:tc>
          <w:tcPr>
            <w:tcW w:w="2860" w:type="dxa"/>
            <w:vAlign w:val="bottom"/>
            <w:shd w:val="clear" w:color="auto" w:fill="CFF0FC"/>
          </w:tcPr>
          <w:p>
            <w:pPr>
              <w:ind w:left="80"/>
              <w:spacing w:after="0"/>
              <w:rPr>
                <w:sz w:val="20"/>
                <w:szCs w:val="20"/>
                <w:color w:val="auto"/>
              </w:rPr>
            </w:pPr>
            <w:r>
              <w:rPr>
                <w:rFonts w:ascii="Arial" w:cs="Arial" w:eastAsia="Arial" w:hAnsi="Arial"/>
                <w:sz w:val="20"/>
                <w:szCs w:val="20"/>
                <w:color w:val="auto"/>
              </w:rPr>
              <w:t>Trademarks</w:t>
            </w:r>
          </w:p>
        </w:tc>
        <w:tc>
          <w:tcPr>
            <w:tcW w:w="28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9,480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(2,765)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6,715</w:t>
            </w:r>
          </w:p>
        </w:tc>
        <w:tc>
          <w:tcPr>
            <w:tcW w:w="1820" w:type="dxa"/>
            <w:vAlign w:val="bottom"/>
            <w:gridSpan w:val="2"/>
            <w:shd w:val="clear" w:color="auto" w:fill="CFF0FC"/>
          </w:tcPr>
          <w:p>
            <w:pPr>
              <w:jc w:val="center"/>
              <w:ind w:left="101"/>
              <w:spacing w:after="0"/>
              <w:rPr>
                <w:sz w:val="20"/>
                <w:szCs w:val="20"/>
                <w:color w:val="auto"/>
              </w:rPr>
            </w:pPr>
            <w:r>
              <w:rPr>
                <w:rFonts w:ascii="Arial" w:cs="Arial" w:eastAsia="Arial" w:hAnsi="Arial"/>
                <w:sz w:val="20"/>
                <w:szCs w:val="20"/>
                <w:color w:val="auto"/>
                <w:w w:val="98"/>
              </w:rPr>
              <w:t>15</w:t>
            </w:r>
          </w:p>
        </w:tc>
        <w:tc>
          <w:tcPr>
            <w:tcW w:w="0" w:type="dxa"/>
            <w:vAlign w:val="bottom"/>
          </w:tcPr>
          <w:p>
            <w:pPr>
              <w:spacing w:after="0"/>
              <w:rPr>
                <w:sz w:val="1"/>
                <w:szCs w:val="1"/>
                <w:color w:val="auto"/>
              </w:rPr>
            </w:pPr>
          </w:p>
        </w:tc>
      </w:tr>
      <w:tr>
        <w:trPr>
          <w:trHeight w:val="243"/>
        </w:trPr>
        <w:tc>
          <w:tcPr>
            <w:tcW w:w="2860" w:type="dxa"/>
            <w:vAlign w:val="bottom"/>
          </w:tcPr>
          <w:p>
            <w:pPr>
              <w:ind w:left="80"/>
              <w:spacing w:after="0"/>
              <w:rPr>
                <w:sz w:val="20"/>
                <w:szCs w:val="20"/>
                <w:color w:val="auto"/>
              </w:rPr>
            </w:pPr>
            <w:r>
              <w:rPr>
                <w:rFonts w:ascii="Arial" w:cs="Arial" w:eastAsia="Arial" w:hAnsi="Arial"/>
                <w:sz w:val="20"/>
                <w:szCs w:val="20"/>
                <w:color w:val="auto"/>
              </w:rPr>
              <w:t>Customer relationships</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6,003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(2,263)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3,740</w:t>
            </w:r>
          </w:p>
        </w:tc>
        <w:tc>
          <w:tcPr>
            <w:tcW w:w="1820" w:type="dxa"/>
            <w:vAlign w:val="bottom"/>
            <w:gridSpan w:val="2"/>
          </w:tcPr>
          <w:p>
            <w:pPr>
              <w:jc w:val="center"/>
              <w:ind w:left="121"/>
              <w:spacing w:after="0"/>
              <w:rPr>
                <w:sz w:val="20"/>
                <w:szCs w:val="20"/>
                <w:color w:val="auto"/>
              </w:rPr>
            </w:pPr>
            <w:r>
              <w:rPr>
                <w:rFonts w:ascii="Arial" w:cs="Arial" w:eastAsia="Arial" w:hAnsi="Arial"/>
                <w:sz w:val="20"/>
                <w:szCs w:val="20"/>
                <w:color w:val="auto"/>
                <w:w w:val="99"/>
              </w:rPr>
              <w:t>5-10</w:t>
            </w: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80"/>
              <w:spacing w:after="0"/>
              <w:rPr>
                <w:sz w:val="20"/>
                <w:szCs w:val="20"/>
                <w:color w:val="auto"/>
              </w:rPr>
            </w:pPr>
            <w:r>
              <w:rPr>
                <w:rFonts w:ascii="Arial" w:cs="Arial" w:eastAsia="Arial" w:hAnsi="Arial"/>
                <w:sz w:val="20"/>
                <w:szCs w:val="20"/>
                <w:color w:val="auto"/>
              </w:rPr>
              <w:t>Developed technology</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70,900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(36,189)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34,711</w:t>
            </w:r>
          </w:p>
        </w:tc>
        <w:tc>
          <w:tcPr>
            <w:tcW w:w="1820" w:type="dxa"/>
            <w:vAlign w:val="bottom"/>
            <w:gridSpan w:val="2"/>
            <w:shd w:val="clear" w:color="auto" w:fill="CFF0FC"/>
          </w:tcPr>
          <w:p>
            <w:pPr>
              <w:jc w:val="center"/>
              <w:ind w:left="12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43"/>
        </w:trPr>
        <w:tc>
          <w:tcPr>
            <w:tcW w:w="2860" w:type="dxa"/>
            <w:vAlign w:val="bottom"/>
          </w:tcPr>
          <w:p>
            <w:pPr>
              <w:ind w:left="80"/>
              <w:spacing w:after="0"/>
              <w:rPr>
                <w:sz w:val="20"/>
                <w:szCs w:val="20"/>
                <w:color w:val="auto"/>
              </w:rPr>
            </w:pPr>
            <w:r>
              <w:rPr>
                <w:rFonts w:ascii="Arial" w:cs="Arial" w:eastAsia="Arial" w:hAnsi="Arial"/>
                <w:sz w:val="20"/>
                <w:szCs w:val="20"/>
                <w:color w:val="auto"/>
              </w:rPr>
              <w:t>Patents</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1,423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1,265</w:t>
            </w:r>
          </w:p>
        </w:tc>
        <w:tc>
          <w:tcPr>
            <w:tcW w:w="1820" w:type="dxa"/>
            <w:vAlign w:val="bottom"/>
            <w:gridSpan w:val="2"/>
          </w:tcPr>
          <w:p>
            <w:pPr>
              <w:jc w:val="center"/>
              <w:ind w:left="121"/>
              <w:spacing w:after="0"/>
              <w:rPr>
                <w:sz w:val="20"/>
                <w:szCs w:val="20"/>
                <w:color w:val="auto"/>
              </w:rPr>
            </w:pPr>
            <w:r>
              <w:rPr>
                <w:rFonts w:ascii="Arial" w:cs="Arial" w:eastAsia="Arial" w:hAnsi="Arial"/>
                <w:sz w:val="20"/>
                <w:szCs w:val="20"/>
                <w:color w:val="auto"/>
                <w:w w:val="99"/>
              </w:rPr>
              <w:t>4-19</w:t>
            </w: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80"/>
              <w:spacing w:after="0"/>
              <w:rPr>
                <w:sz w:val="20"/>
                <w:szCs w:val="20"/>
                <w:color w:val="auto"/>
              </w:rPr>
            </w:pPr>
            <w:r>
              <w:rPr>
                <w:rFonts w:ascii="Arial" w:cs="Arial" w:eastAsia="Arial" w:hAnsi="Arial"/>
                <w:sz w:val="20"/>
                <w:szCs w:val="20"/>
                <w:color w:val="auto"/>
              </w:rPr>
              <w:t>Capitalized Software</w:t>
            </w:r>
          </w:p>
        </w:tc>
        <w:tc>
          <w:tcPr>
            <w:tcW w:w="2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6,172</w:t>
            </w:r>
          </w:p>
        </w:tc>
        <w:tc>
          <w:tcPr>
            <w:tcW w:w="2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(1,668)</w:t>
            </w:r>
          </w:p>
        </w:tc>
        <w:tc>
          <w:tcPr>
            <w:tcW w:w="2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4,504</w:t>
            </w:r>
          </w:p>
        </w:tc>
        <w:tc>
          <w:tcPr>
            <w:tcW w:w="1820" w:type="dxa"/>
            <w:vAlign w:val="bottom"/>
            <w:gridSpan w:val="2"/>
            <w:shd w:val="clear" w:color="auto" w:fill="CFF0FC"/>
          </w:tcPr>
          <w:p>
            <w:pPr>
              <w:jc w:val="center"/>
              <w:ind w:left="121"/>
              <w:spacing w:after="0"/>
              <w:rPr>
                <w:sz w:val="20"/>
                <w:szCs w:val="20"/>
                <w:color w:val="auto"/>
              </w:rPr>
            </w:pPr>
            <w:r>
              <w:rPr>
                <w:rFonts w:ascii="Arial" w:cs="Arial" w:eastAsia="Arial" w:hAnsi="Arial"/>
                <w:sz w:val="20"/>
                <w:szCs w:val="20"/>
                <w:color w:val="auto"/>
                <w:w w:val="96"/>
              </w:rPr>
              <w:t>3-5</w:t>
            </w:r>
          </w:p>
        </w:tc>
        <w:tc>
          <w:tcPr>
            <w:tcW w:w="0" w:type="dxa"/>
            <w:vAlign w:val="bottom"/>
          </w:tcPr>
          <w:p>
            <w:pPr>
              <w:spacing w:after="0"/>
              <w:rPr>
                <w:sz w:val="1"/>
                <w:szCs w:val="1"/>
                <w:color w:val="auto"/>
              </w:rPr>
            </w:pPr>
          </w:p>
        </w:tc>
      </w:tr>
      <w:tr>
        <w:trPr>
          <w:trHeight w:val="237"/>
        </w:trPr>
        <w:tc>
          <w:tcPr>
            <w:tcW w:w="2860" w:type="dxa"/>
            <w:vAlign w:val="bottom"/>
          </w:tcPr>
          <w:p>
            <w:pPr>
              <w:ind w:left="80"/>
              <w:spacing w:after="0"/>
              <w:rPr>
                <w:sz w:val="20"/>
                <w:szCs w:val="20"/>
                <w:color w:val="auto"/>
              </w:rPr>
            </w:pPr>
            <w:r>
              <w:rPr>
                <w:rFonts w:ascii="Arial" w:cs="Arial" w:eastAsia="Arial" w:hAnsi="Arial"/>
                <w:sz w:val="20"/>
                <w:szCs w:val="20"/>
                <w:color w:val="auto"/>
              </w:rPr>
              <w:t>Total intangible assets</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93,978</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(43,043)</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50,935</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380"/>
        <w:spacing w:after="0" w:line="244" w:lineRule="auto"/>
        <w:rPr>
          <w:sz w:val="20"/>
          <w:szCs w:val="20"/>
          <w:color w:val="auto"/>
        </w:rPr>
      </w:pPr>
      <w:r>
        <w:rPr>
          <w:rFonts w:ascii="Arial" w:cs="Arial" w:eastAsia="Arial" w:hAnsi="Arial"/>
          <w:sz w:val="22"/>
          <w:szCs w:val="22"/>
          <w:color w:val="231F20"/>
        </w:rPr>
        <w:t>Amortiz</w:t>
      </w:r>
      <w:r>
        <w:rPr>
          <w:rFonts w:ascii="Arial" w:cs="Arial" w:eastAsia="Arial" w:hAnsi="Arial"/>
          <w:sz w:val="22"/>
          <w:szCs w:val="22"/>
          <w:color w:val="000000"/>
        </w:rPr>
        <w:t>ation expense for the three months ended March 31, 2021 and 2020, was $2.9 million and $3.2 million,</w:t>
      </w:r>
      <w:r>
        <w:rPr>
          <w:rFonts w:ascii="Arial" w:cs="Arial" w:eastAsia="Arial" w:hAnsi="Arial"/>
          <w:sz w:val="22"/>
          <w:szCs w:val="22"/>
          <w:color w:val="231F20"/>
        </w:rPr>
        <w:t xml:space="preserve"> </w:t>
      </w:r>
      <w:r>
        <w:rPr>
          <w:rFonts w:ascii="Arial" w:cs="Arial" w:eastAsia="Arial" w:hAnsi="Arial"/>
          <w:sz w:val="22"/>
          <w:szCs w:val="22"/>
          <w:color w:val="000000"/>
        </w:rPr>
        <w:t>respectively. Of the total amortization expense for three months ended March 31, 2021 and 2020, $2.2 million and $2.7 million, respectively, were recorded in Cost of sales and $0.7 million and $0.5 million, respectively, were record</w:t>
      </w:r>
      <w:r>
        <w:rPr>
          <w:rFonts w:ascii="Arial" w:cs="Arial" w:eastAsia="Arial" w:hAnsi="Arial"/>
          <w:sz w:val="22"/>
          <w:szCs w:val="22"/>
          <w:color w:val="231F20"/>
        </w:rPr>
        <w:t>ed in General and administrative expenses in the Condensed Consolidated Statements of Comprehensive</w:t>
      </w:r>
      <w:r>
        <w:rPr>
          <w:rFonts w:ascii="Arial" w:cs="Arial" w:eastAsia="Arial" w:hAnsi="Arial"/>
          <w:sz w:val="22"/>
          <w:szCs w:val="22"/>
          <w:color w:val="000000"/>
        </w:rPr>
        <w:t xml:space="preserve"> </w:t>
      </w:r>
      <w:r>
        <w:rPr>
          <w:rFonts w:ascii="Arial" w:cs="Arial" w:eastAsia="Arial" w:hAnsi="Arial"/>
          <w:sz w:val="22"/>
          <w:szCs w:val="22"/>
          <w:color w:val="231F20"/>
        </w:rPr>
        <w:t>Loss.</w:t>
      </w:r>
    </w:p>
    <w:p>
      <w:pPr>
        <w:spacing w:after="0" w:line="105" w:lineRule="exact"/>
        <w:rPr>
          <w:sz w:val="20"/>
          <w:szCs w:val="20"/>
          <w:color w:val="auto"/>
        </w:rPr>
      </w:pPr>
    </w:p>
    <w:p>
      <w:pPr>
        <w:ind w:right="380"/>
        <w:spacing w:after="0" w:line="249" w:lineRule="auto"/>
        <w:rPr>
          <w:sz w:val="20"/>
          <w:szCs w:val="20"/>
          <w:color w:val="auto"/>
        </w:rPr>
      </w:pPr>
      <w:r>
        <w:rPr>
          <w:rFonts w:ascii="Arial" w:cs="Arial" w:eastAsia="Arial" w:hAnsi="Arial"/>
          <w:sz w:val="22"/>
          <w:szCs w:val="22"/>
          <w:color w:val="231F20"/>
        </w:rPr>
        <w:t>The changes in the carrying value of goodwill between December 31, 2020 and March 31, 2021 are from the effect of a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8" w:name="page19"/>
    <w:bookmarkEnd w:id="18"/>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7 – Long-term Debt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231F20"/>
        </w:rPr>
        <w:t xml:space="preserve">HydraFacial’s long-term debt consists of the following </w:t>
      </w:r>
      <w:r>
        <w:rPr>
          <w:rFonts w:ascii="Arial" w:cs="Arial" w:eastAsia="Arial" w:hAnsi="Arial"/>
          <w:sz w:val="22"/>
          <w:szCs w:val="22"/>
          <w:color w:val="000000"/>
        </w:rPr>
        <w:t>as of the periods indicated (in thousands)</w:t>
      </w:r>
      <w:r>
        <w:rPr>
          <w:rFonts w:ascii="Arial" w:cs="Arial" w:eastAsia="Arial" w:hAnsi="Arial"/>
          <w:sz w:val="22"/>
          <w:szCs w:val="22"/>
          <w:color w:val="231F20"/>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120"/>
              <w:spacing w:after="0"/>
              <w:rPr>
                <w:sz w:val="20"/>
                <w:szCs w:val="20"/>
                <w:color w:val="auto"/>
              </w:rPr>
            </w:pPr>
            <w:r>
              <w:rPr>
                <w:rFonts w:ascii="Arial" w:cs="Arial" w:eastAsia="Arial" w:hAnsi="Arial"/>
                <w:sz w:val="20"/>
                <w:szCs w:val="20"/>
                <w:b w:val="1"/>
                <w:bCs w:val="1"/>
                <w:color w:val="auto"/>
              </w:rPr>
              <w:t>March 31, 2021</w:t>
            </w:r>
          </w:p>
        </w:tc>
        <w:tc>
          <w:tcPr>
            <w:tcW w:w="220" w:type="dxa"/>
            <w:vAlign w:val="bottom"/>
          </w:tcPr>
          <w:p>
            <w:pPr>
              <w:spacing w:after="0"/>
              <w:rPr>
                <w:sz w:val="22"/>
                <w:szCs w:val="22"/>
                <w:color w:val="auto"/>
              </w:rPr>
            </w:pPr>
          </w:p>
        </w:tc>
        <w:tc>
          <w:tcPr>
            <w:tcW w:w="2060" w:type="dxa"/>
            <w:vAlign w:val="bottom"/>
          </w:tcPr>
          <w:p>
            <w:pPr>
              <w:jc w:val="right"/>
              <w:ind w:right="133"/>
              <w:spacing w:after="0"/>
              <w:rPr>
                <w:sz w:val="20"/>
                <w:szCs w:val="20"/>
                <w:color w:val="auto"/>
              </w:rPr>
            </w:pPr>
            <w:r>
              <w:rPr>
                <w:rFonts w:ascii="Arial" w:cs="Arial" w:eastAsia="Arial" w:hAnsi="Arial"/>
                <w:sz w:val="20"/>
                <w:szCs w:val="20"/>
                <w:b w:val="1"/>
                <w:bCs w:val="1"/>
                <w:color w:val="auto"/>
                <w:w w:val="99"/>
              </w:rPr>
              <w:t>December 31, 2020</w:t>
            </w:r>
          </w:p>
        </w:tc>
      </w:tr>
      <w:tr>
        <w:trPr>
          <w:trHeight w:val="263"/>
        </w:trPr>
        <w:tc>
          <w:tcPr>
            <w:tcW w:w="642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Revolver</w:t>
            </w:r>
          </w:p>
        </w:tc>
        <w:tc>
          <w:tcPr>
            <w:tcW w:w="3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22"/>
                <w:szCs w:val="22"/>
                <w:color w:val="auto"/>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5,000</w:t>
            </w:r>
          </w:p>
        </w:tc>
        <w:tc>
          <w:tcPr>
            <w:tcW w:w="260" w:type="dxa"/>
            <w:vAlign w:val="bottom"/>
            <w:tcBorders>
              <w:top w:val="single" w:sz="8" w:color="CFF0FC"/>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06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22"/>
                <w:szCs w:val="22"/>
                <w:color w:val="auto"/>
              </w:rPr>
              <w:t>—</w:t>
            </w:r>
          </w:p>
        </w:tc>
      </w:tr>
      <w:tr>
        <w:trPr>
          <w:trHeight w:val="268"/>
        </w:trPr>
        <w:tc>
          <w:tcPr>
            <w:tcW w:w="6420" w:type="dxa"/>
            <w:vAlign w:val="bottom"/>
          </w:tcPr>
          <w:p>
            <w:pPr>
              <w:ind w:left="80"/>
              <w:spacing w:after="0"/>
              <w:rPr>
                <w:sz w:val="20"/>
                <w:szCs w:val="20"/>
                <w:color w:val="auto"/>
              </w:rPr>
            </w:pPr>
            <w:r>
              <w:rPr>
                <w:rFonts w:ascii="Arial" w:cs="Arial" w:eastAsia="Arial" w:hAnsi="Arial"/>
                <w:sz w:val="22"/>
                <w:szCs w:val="22"/>
                <w:color w:val="auto"/>
              </w:rPr>
              <w:t>Current portion of Term Loan</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1,772</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1,772</w:t>
            </w:r>
          </w:p>
        </w:tc>
      </w:tr>
      <w:tr>
        <w:trPr>
          <w:trHeight w:val="272"/>
        </w:trPr>
        <w:tc>
          <w:tcPr>
            <w:tcW w:w="6420" w:type="dxa"/>
            <w:vAlign w:val="bottom"/>
            <w:shd w:val="clear" w:color="auto" w:fill="CFF0FC"/>
          </w:tcPr>
          <w:p>
            <w:pPr>
              <w:ind w:left="80"/>
              <w:spacing w:after="0"/>
              <w:rPr>
                <w:sz w:val="20"/>
                <w:szCs w:val="20"/>
                <w:color w:val="auto"/>
              </w:rPr>
            </w:pPr>
            <w:r>
              <w:rPr>
                <w:rFonts w:ascii="Arial" w:cs="Arial" w:eastAsia="Arial" w:hAnsi="Arial"/>
                <w:sz w:val="22"/>
                <w:szCs w:val="22"/>
                <w:color w:val="auto"/>
              </w:rPr>
              <w:t>Current portion of deferred financing costs</w:t>
            </w:r>
          </w:p>
        </w:tc>
        <w:tc>
          <w:tcPr>
            <w:tcW w:w="320" w:type="dxa"/>
            <w:vAlign w:val="bottom"/>
            <w:tcBorders>
              <w:bottom w:val="single" w:sz="8" w:color="auto"/>
            </w:tcBorders>
            <w:shd w:val="clear" w:color="auto" w:fill="CFF0FC"/>
          </w:tcPr>
          <w:p>
            <w:pPr>
              <w:spacing w:after="0"/>
              <w:rPr>
                <w:sz w:val="23"/>
                <w:szCs w:val="23"/>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(1,575)</w:t>
            </w:r>
          </w:p>
        </w:tc>
        <w:tc>
          <w:tcPr>
            <w:tcW w:w="26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(1,260)</w:t>
            </w:r>
          </w:p>
        </w:tc>
      </w:tr>
      <w:tr>
        <w:trPr>
          <w:trHeight w:val="262"/>
        </w:trPr>
        <w:tc>
          <w:tcPr>
            <w:tcW w:w="6420" w:type="dxa"/>
            <w:vAlign w:val="bottom"/>
          </w:tcPr>
          <w:p>
            <w:pPr>
              <w:ind w:left="80"/>
              <w:spacing w:after="0"/>
              <w:rPr>
                <w:sz w:val="20"/>
                <w:szCs w:val="20"/>
                <w:color w:val="auto"/>
              </w:rPr>
            </w:pPr>
            <w:r>
              <w:rPr>
                <w:rFonts w:ascii="Arial" w:cs="Arial" w:eastAsia="Arial" w:hAnsi="Arial"/>
                <w:sz w:val="22"/>
                <w:szCs w:val="22"/>
                <w:color w:val="auto"/>
              </w:rPr>
              <w:t>Current portion of long-term debt, net</w:t>
            </w:r>
          </w:p>
        </w:tc>
        <w:tc>
          <w:tcPr>
            <w:tcW w:w="3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5,197</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512</w:t>
            </w:r>
          </w:p>
        </w:tc>
      </w:tr>
      <w:tr>
        <w:trPr>
          <w:trHeight w:val="272"/>
        </w:trPr>
        <w:tc>
          <w:tcPr>
            <w:tcW w:w="6420" w:type="dxa"/>
            <w:vAlign w:val="bottom"/>
            <w:shd w:val="clear" w:color="auto" w:fill="CFF0FC"/>
          </w:tcPr>
          <w:p>
            <w:pPr>
              <w:ind w:left="80"/>
              <w:spacing w:after="0"/>
              <w:rPr>
                <w:sz w:val="20"/>
                <w:szCs w:val="20"/>
                <w:color w:val="auto"/>
              </w:rPr>
            </w:pPr>
            <w:r>
              <w:rPr>
                <w:rFonts w:ascii="Arial" w:cs="Arial" w:eastAsia="Arial" w:hAnsi="Arial"/>
                <w:sz w:val="22"/>
                <w:szCs w:val="22"/>
                <w:color w:val="auto"/>
              </w:rPr>
              <w:t>Term Loan, net of current portion</w:t>
            </w:r>
          </w:p>
        </w:tc>
        <w:tc>
          <w:tcPr>
            <w:tcW w:w="320" w:type="dxa"/>
            <w:vAlign w:val="bottom"/>
            <w:shd w:val="clear" w:color="auto" w:fill="CFF0FC"/>
          </w:tcPr>
          <w:p>
            <w:pPr>
              <w:spacing w:after="0"/>
              <w:rPr>
                <w:sz w:val="23"/>
                <w:szCs w:val="23"/>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184,661</w:t>
            </w: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184,175</w:t>
            </w:r>
          </w:p>
        </w:tc>
      </w:tr>
      <w:tr>
        <w:trPr>
          <w:trHeight w:val="268"/>
        </w:trPr>
        <w:tc>
          <w:tcPr>
            <w:tcW w:w="6420" w:type="dxa"/>
            <w:vAlign w:val="bottom"/>
          </w:tcPr>
          <w:p>
            <w:pPr>
              <w:ind w:left="80"/>
              <w:spacing w:after="0"/>
              <w:rPr>
                <w:sz w:val="20"/>
                <w:szCs w:val="20"/>
                <w:color w:val="auto"/>
              </w:rPr>
            </w:pPr>
            <w:r>
              <w:rPr>
                <w:rFonts w:ascii="Arial" w:cs="Arial" w:eastAsia="Arial" w:hAnsi="Arial"/>
                <w:sz w:val="22"/>
                <w:szCs w:val="22"/>
                <w:color w:val="auto"/>
              </w:rPr>
              <w:t>Term A Loan</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34,648</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33,395</w:t>
            </w:r>
          </w:p>
        </w:tc>
      </w:tr>
      <w:tr>
        <w:trPr>
          <w:trHeight w:val="272"/>
        </w:trPr>
        <w:tc>
          <w:tcPr>
            <w:tcW w:w="6420" w:type="dxa"/>
            <w:vAlign w:val="bottom"/>
            <w:shd w:val="clear" w:color="auto" w:fill="CFF0FC"/>
          </w:tcPr>
          <w:p>
            <w:pPr>
              <w:ind w:left="80"/>
              <w:spacing w:after="0"/>
              <w:rPr>
                <w:sz w:val="20"/>
                <w:szCs w:val="20"/>
                <w:color w:val="auto"/>
              </w:rPr>
            </w:pPr>
            <w:r>
              <w:rPr>
                <w:rFonts w:ascii="Arial" w:cs="Arial" w:eastAsia="Arial" w:hAnsi="Arial"/>
                <w:sz w:val="22"/>
                <w:szCs w:val="22"/>
                <w:color w:val="auto"/>
              </w:rPr>
              <w:t>Long-term portion of deferred financing costs</w:t>
            </w:r>
          </w:p>
        </w:tc>
        <w:tc>
          <w:tcPr>
            <w:tcW w:w="320" w:type="dxa"/>
            <w:vAlign w:val="bottom"/>
            <w:tcBorders>
              <w:bottom w:val="single" w:sz="8" w:color="auto"/>
            </w:tcBorders>
            <w:shd w:val="clear" w:color="auto" w:fill="CFF0FC"/>
          </w:tcPr>
          <w:p>
            <w:pPr>
              <w:spacing w:after="0"/>
              <w:rPr>
                <w:sz w:val="23"/>
                <w:szCs w:val="23"/>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(837)</w:t>
            </w:r>
          </w:p>
        </w:tc>
        <w:tc>
          <w:tcPr>
            <w:tcW w:w="26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(1,546)</w:t>
            </w:r>
          </w:p>
        </w:tc>
      </w:tr>
      <w:tr>
        <w:trPr>
          <w:trHeight w:val="262"/>
        </w:trPr>
        <w:tc>
          <w:tcPr>
            <w:tcW w:w="6420" w:type="dxa"/>
            <w:vAlign w:val="bottom"/>
            <w:tcBorders>
              <w:bottom w:val="single" w:sz="8" w:color="CFF0FC"/>
            </w:tcBorders>
          </w:tcPr>
          <w:p>
            <w:pPr>
              <w:ind w:left="80"/>
              <w:spacing w:after="0"/>
              <w:rPr>
                <w:sz w:val="20"/>
                <w:szCs w:val="20"/>
                <w:color w:val="auto"/>
              </w:rPr>
            </w:pPr>
            <w:r>
              <w:rPr>
                <w:rFonts w:ascii="Arial" w:cs="Arial" w:eastAsia="Arial" w:hAnsi="Arial"/>
                <w:sz w:val="22"/>
                <w:szCs w:val="22"/>
                <w:color w:val="auto"/>
              </w:rPr>
              <w:t>Long-term debt, net</w:t>
            </w: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218,472</w:t>
            </w:r>
          </w:p>
        </w:tc>
        <w:tc>
          <w:tcPr>
            <w:tcW w:w="2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216,024</w:t>
            </w:r>
          </w:p>
        </w:tc>
      </w:tr>
      <w:tr>
        <w:trPr>
          <w:trHeight w:val="290"/>
        </w:trPr>
        <w:tc>
          <w:tcPr>
            <w:tcW w:w="6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Total debt, net</w:t>
            </w:r>
          </w:p>
        </w:tc>
        <w:tc>
          <w:tcPr>
            <w:tcW w:w="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223,669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216,536</w:t>
            </w: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96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060" w:type="dxa"/>
            <w:vAlign w:val="bottom"/>
            <w:tcBorders>
              <w:top w:val="single" w:sz="8" w:color="CFF0FC"/>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320"/>
        <w:spacing w:after="0" w:line="246" w:lineRule="auto"/>
        <w:rPr>
          <w:sz w:val="20"/>
          <w:szCs w:val="20"/>
          <w:color w:val="auto"/>
        </w:rPr>
      </w:pPr>
      <w:r>
        <w:rPr>
          <w:rFonts w:ascii="Arial" w:cs="Arial" w:eastAsia="Arial" w:hAnsi="Arial"/>
          <w:sz w:val="22"/>
          <w:szCs w:val="22"/>
          <w:color w:val="231F20"/>
        </w:rPr>
        <w:t xml:space="preserve">Deferred financing costs amortization expense for the three months ended March 31, 2021 and 2020 amounted to </w:t>
      </w:r>
      <w:r>
        <w:rPr>
          <w:rFonts w:ascii="Arial" w:cs="Arial" w:eastAsia="Arial" w:hAnsi="Arial"/>
          <w:sz w:val="22"/>
          <w:szCs w:val="22"/>
          <w:color w:val="000000"/>
        </w:rPr>
        <w:t>$0.4 million and $0.3 million</w:t>
      </w:r>
      <w:r>
        <w:rPr>
          <w:rFonts w:ascii="Arial" w:cs="Arial" w:eastAsia="Arial" w:hAnsi="Arial"/>
          <w:sz w:val="22"/>
          <w:szCs w:val="22"/>
          <w:color w:val="231F20"/>
        </w:rPr>
        <w:t>, respectively, and is included in Interest expense, net on the Condensed Consolidated</w:t>
      </w:r>
      <w:r>
        <w:rPr>
          <w:rFonts w:ascii="Arial" w:cs="Arial" w:eastAsia="Arial" w:hAnsi="Arial"/>
          <w:sz w:val="22"/>
          <w:szCs w:val="22"/>
          <w:color w:val="000000"/>
        </w:rPr>
        <w:t xml:space="preserve"> </w:t>
      </w:r>
      <w:r>
        <w:rPr>
          <w:rFonts w:ascii="Arial" w:cs="Arial" w:eastAsia="Arial" w:hAnsi="Arial"/>
          <w:sz w:val="22"/>
          <w:szCs w:val="22"/>
          <w:color w:val="231F20"/>
        </w:rPr>
        <w:t>Statements of Comprehensive Loss.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Revolver and Term Loans</w:t>
      </w:r>
    </w:p>
    <w:p>
      <w:pPr>
        <w:spacing w:after="0" w:line="134"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231F20"/>
        </w:rPr>
        <w:t>HydraFacial has a credit agreement (the “Credit Agreement”) with a bank that is a related party holding less than 5% interest in HydraFacial, which originally provided for $65 million of term loans (the “Term Loans”) and a revolving line of credit (the “Revolver”) of $5.0 million. During August 2018, the Credit Agreement was amended to provide an additional $113.0 million of Term Loans and to increase the capacity under the Revolver to $15.0 million. During August 2019, HydraFacial further amended the Credit Agreement to provide an additional $10.0 million of Term Loans.</w:t>
      </w:r>
    </w:p>
    <w:p>
      <w:pPr>
        <w:spacing w:after="0" w:line="104" w:lineRule="exact"/>
        <w:rPr>
          <w:sz w:val="20"/>
          <w:szCs w:val="20"/>
          <w:color w:val="auto"/>
        </w:rPr>
      </w:pPr>
    </w:p>
    <w:p>
      <w:pPr>
        <w:ind w:right="380"/>
        <w:spacing w:after="0" w:line="257" w:lineRule="auto"/>
        <w:rPr>
          <w:sz w:val="20"/>
          <w:szCs w:val="20"/>
          <w:color w:val="auto"/>
        </w:rPr>
      </w:pPr>
      <w:r>
        <w:rPr>
          <w:rFonts w:ascii="Arial" w:cs="Arial" w:eastAsia="Arial" w:hAnsi="Arial"/>
          <w:sz w:val="21"/>
          <w:szCs w:val="21"/>
          <w:color w:val="231F20"/>
        </w:rPr>
        <w:t>Borrowings under the Credit Agreement bear interest at a Base Rate plus an Applicable Margin (“Base Rate Loan”) or a specified London Inter-Bank Offering Rate (LIBOR) plus an Applicable Margin. (“LIBOR Loan”). There was no interest on the Revolver in 2020, as there is no outstanding balance as of December 31, 2020. Interest is due on Base Rate Loans in arrears on the first day of each calendar month, and on the last day of the applicable interest period for LIBOR Loans. Principal on the Term Loan is due in installments of approximately $0.5 million at the end of each calendar quarter and the remaining principal is due upon maturity. The Credit Agreement matures on August 24, 2022, at which time the outstanding balances under the Revolver and Term Loans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21"/>
          <w:szCs w:val="21"/>
          <w:color w:val="231F20"/>
        </w:rPr>
        <w:t>As of March 31, 2021 and December 31, 2020, there was an outstanding balance o</w:t>
      </w:r>
      <w:r>
        <w:rPr>
          <w:rFonts w:ascii="Arial" w:cs="Arial" w:eastAsia="Arial" w:hAnsi="Arial"/>
          <w:sz w:val="21"/>
          <w:szCs w:val="21"/>
          <w:color w:val="000000"/>
        </w:rPr>
        <w:t>f $186.4 milli</w:t>
      </w:r>
      <w:r>
        <w:rPr>
          <w:rFonts w:ascii="Arial" w:cs="Arial" w:eastAsia="Arial" w:hAnsi="Arial"/>
          <w:sz w:val="21"/>
          <w:szCs w:val="21"/>
          <w:color w:val="231F20"/>
        </w:rPr>
        <w:t>on and $</w:t>
      </w:r>
      <w:r>
        <w:rPr>
          <w:rFonts w:ascii="Arial" w:cs="Arial" w:eastAsia="Arial" w:hAnsi="Arial"/>
          <w:sz w:val="21"/>
          <w:szCs w:val="21"/>
          <w:color w:val="000000"/>
        </w:rPr>
        <w:t>185.9</w:t>
      </w:r>
      <w:r>
        <w:rPr>
          <w:rFonts w:ascii="Arial" w:cs="Arial" w:eastAsia="Arial" w:hAnsi="Arial"/>
          <w:sz w:val="21"/>
          <w:szCs w:val="21"/>
          <w:color w:val="231F20"/>
        </w:rPr>
        <w:t xml:space="preserve"> million on the term loan, respectively. As of March 31, 2021, there was </w:t>
      </w:r>
      <w:r>
        <w:rPr>
          <w:rFonts w:ascii="Arial" w:cs="Arial" w:eastAsia="Arial" w:hAnsi="Arial"/>
          <w:sz w:val="21"/>
          <w:szCs w:val="21"/>
          <w:color w:val="000000"/>
        </w:rPr>
        <w:t>$5.0 million</w:t>
      </w:r>
      <w:r>
        <w:rPr>
          <w:rFonts w:ascii="Arial" w:cs="Arial" w:eastAsia="Arial" w:hAnsi="Arial"/>
          <w:sz w:val="21"/>
          <w:szCs w:val="21"/>
          <w:color w:val="231F20"/>
        </w:rPr>
        <w:t xml:space="preserve"> outstanding on the Revolver and as of December 31, 2020, there was no outstanding balance on the Revolver. As of March 31, 2021 and December 31, 2020, available borrowing capacity under the Revolver was </w:t>
      </w:r>
      <w:r>
        <w:rPr>
          <w:rFonts w:ascii="Arial" w:cs="Arial" w:eastAsia="Arial" w:hAnsi="Arial"/>
          <w:sz w:val="21"/>
          <w:szCs w:val="21"/>
          <w:color w:val="000000"/>
        </w:rPr>
        <w:t>$10.0 million and $15.0 million, respectively. Commitment</w:t>
      </w:r>
      <w:r>
        <w:rPr>
          <w:rFonts w:ascii="Arial" w:cs="Arial" w:eastAsia="Arial" w:hAnsi="Arial"/>
          <w:sz w:val="21"/>
          <w:szCs w:val="21"/>
          <w:color w:val="231F20"/>
        </w:rPr>
        <w:t xml:space="preserve"> </w:t>
      </w:r>
      <w:r>
        <w:rPr>
          <w:rFonts w:ascii="Arial" w:cs="Arial" w:eastAsia="Arial" w:hAnsi="Arial"/>
          <w:sz w:val="21"/>
          <w:szCs w:val="21"/>
          <w:color w:val="000000"/>
        </w:rPr>
        <w:t xml:space="preserve">fees on the revolving line of credit undrawn initial committed amount of $5.0 million is 1.50% per annum. The interest rate on the Revolver under the Credit Agreement was 8.75% </w:t>
      </w:r>
      <w:r>
        <w:rPr>
          <w:rFonts w:ascii="Arial" w:cs="Arial" w:eastAsia="Arial" w:hAnsi="Arial"/>
          <w:sz w:val="21"/>
          <w:szCs w:val="21"/>
          <w:color w:val="231F20"/>
        </w:rPr>
        <w:t>for the three months ended March 31, 2021.</w:t>
      </w:r>
    </w:p>
    <w:p>
      <w:pPr>
        <w:spacing w:after="0" w:line="89" w:lineRule="exact"/>
        <w:rPr>
          <w:sz w:val="20"/>
          <w:szCs w:val="20"/>
          <w:color w:val="auto"/>
        </w:rPr>
      </w:pPr>
    </w:p>
    <w:p>
      <w:pPr>
        <w:ind w:right="520"/>
        <w:spacing w:after="0" w:line="254" w:lineRule="auto"/>
        <w:rPr>
          <w:sz w:val="20"/>
          <w:szCs w:val="20"/>
          <w:color w:val="auto"/>
        </w:rPr>
      </w:pPr>
      <w:r>
        <w:rPr>
          <w:rFonts w:ascii="Arial" w:cs="Arial" w:eastAsia="Arial" w:hAnsi="Arial"/>
          <w:sz w:val="21"/>
          <w:szCs w:val="21"/>
          <w:color w:val="231F20"/>
        </w:rPr>
        <w:t>On April 10, 2020, the Credit Agreement was amended to include a “PIK” interest component of 2% that accrues on the outstanding balances of the Term Loan and the Revolver. Additionally, HydraFacial is required to pay an early prepayment fee of 2.00% of the amount prepaid or repaid on the Term Loan prior to April 10, 2021, and</w:t>
      </w:r>
    </w:p>
    <w:p>
      <w:pPr>
        <w:spacing w:after="0" w:line="3"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color w:val="231F20"/>
        </w:rPr>
        <w:t xml:space="preserve">1.00% if prepaid between April 11, 2021 and April 10, 2022. The interest rates on the Term Loan borrowings under the Credit Agreement including PIK was </w:t>
      </w:r>
      <w:r>
        <w:rPr>
          <w:rFonts w:ascii="Arial" w:cs="Arial" w:eastAsia="Arial" w:hAnsi="Arial"/>
          <w:sz w:val="22"/>
          <w:szCs w:val="22"/>
          <w:color w:val="000000"/>
        </w:rPr>
        <w:t>8.75%</w:t>
      </w:r>
      <w:r>
        <w:rPr>
          <w:rFonts w:ascii="Arial" w:cs="Arial" w:eastAsia="Arial" w:hAnsi="Arial"/>
          <w:sz w:val="22"/>
          <w:szCs w:val="22"/>
          <w:color w:val="231F20"/>
        </w:rPr>
        <w:t xml:space="preserve"> for the three months ended March 31, 2021.</w:t>
      </w:r>
    </w:p>
    <w:p>
      <w:pPr>
        <w:spacing w:after="0" w:line="96" w:lineRule="exact"/>
        <w:rPr>
          <w:sz w:val="20"/>
          <w:szCs w:val="20"/>
          <w:color w:val="auto"/>
        </w:rPr>
      </w:pPr>
    </w:p>
    <w:p>
      <w:pPr>
        <w:ind w:right="320"/>
        <w:spacing w:after="0" w:line="257" w:lineRule="auto"/>
        <w:rPr>
          <w:sz w:val="20"/>
          <w:szCs w:val="20"/>
          <w:color w:val="auto"/>
        </w:rPr>
      </w:pPr>
      <w:r>
        <w:rPr>
          <w:rFonts w:ascii="Arial" w:cs="Arial" w:eastAsia="Arial" w:hAnsi="Arial"/>
          <w:sz w:val="21"/>
          <w:szCs w:val="21"/>
          <w:color w:val="231F20"/>
        </w:rPr>
        <w:t>HydraFacial’s initial Credit Agreement is collateralized by all assets of HydraFacial. The Term Loan and the Revolver contain customary covenants that restrict the ability of HydraFacial and its consolidated subsidiaries to, among other things, incur additional indebtedness, sell certain assets, guarantee obligations of third parties, pay cash dividends except to HydraFacial’s subsidiary or direct parent or make certain other distributions, and undergo a merger or consolidation or certain other transactions without the lenders’ consent. The Credit Agreement is also subject to certain financial covenants, requiring HydraFacial to maintain compliance with certain leverage ratios. HydraFacial was in compliance with its financial covenants as of March 31, 2021 and December 31, 2020.</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231F20"/>
        </w:rPr>
        <w:t>Term A Loan</w:t>
      </w:r>
    </w:p>
    <w:p>
      <w:pPr>
        <w:spacing w:after="0" w:line="134"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231F20"/>
        </w:rPr>
        <w:t xml:space="preserve">On April 10, 2020, HydraFacial entered into a second credit agreement with related parties to provide for term loan borrowings of $30.0 million (“Term A Loan”). Borrowings accrue interest at a rate of 15.0% and the agreement matures on August 24, 2023. Accrued interest is due quarterly which will be paid by increasing the amount of principal outstanding under the Term A Loan (“PIK Interest”). The PIK Interest shall be payable in cash upon maturity or acceleration of the Term A Loan in the event of default or change in control. The outstanding principal and interest on the Term A Loan is payable upon maturity. Term Loan A accrued </w:t>
      </w:r>
      <w:r>
        <w:rPr>
          <w:rFonts w:ascii="Arial" w:cs="Arial" w:eastAsia="Arial" w:hAnsi="Arial"/>
          <w:sz w:val="22"/>
          <w:szCs w:val="22"/>
          <w:color w:val="000000"/>
        </w:rPr>
        <w:t>$1.3 million in PIK interest for the three months</w:t>
      </w:r>
      <w:r>
        <w:rPr>
          <w:rFonts w:ascii="Arial" w:cs="Arial" w:eastAsia="Arial" w:hAnsi="Arial"/>
          <w:sz w:val="22"/>
          <w:szCs w:val="22"/>
          <w:color w:val="231F20"/>
        </w:rPr>
        <w:t xml:space="preserve"> </w:t>
      </w:r>
      <w:r>
        <w:rPr>
          <w:rFonts w:ascii="Arial" w:cs="Arial" w:eastAsia="Arial" w:hAnsi="Arial"/>
          <w:sz w:val="22"/>
          <w:szCs w:val="22"/>
          <w:color w:val="000000"/>
        </w:rPr>
        <w:t>ended March 31, 2021.</w:t>
      </w:r>
    </w:p>
    <w:p>
      <w:pPr>
        <w:spacing w:after="0" w:line="103"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231F20"/>
        </w:rPr>
        <w:t>HydraFacial is required to pay an early prepayment fee of 2.00% of the amount of the Term A Loan prepaid or repaid prior to April 10, 2021, and 1.00% if prepaid between April 11, 2021 and April 10, 2022. Similar to the HydraFacial existing credit agreement, the Term A Loan is also subject to certain customary financial covenants and restrictions including to maintain quarterly consolidated profitability and debt-service ratios. These financial covenants are less restrictive than those of the initial Credit Agreement. The Term A loan is collateralized by all assets of HydraFacial and is subordinated to HydraFacial’s existing first lien borrowings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Subsequent to March 31, 2021, in connection with the consummation of the Business Combination, all outstanding debt was repaid.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8 – Income Taxes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231F20"/>
        </w:rPr>
        <w:t>The income tax benefit for the three months ended March 31, 2021 and 2020 is $</w:t>
      </w:r>
      <w:r>
        <w:rPr>
          <w:rFonts w:ascii="Arial" w:cs="Arial" w:eastAsia="Arial" w:hAnsi="Arial"/>
          <w:sz w:val="21"/>
          <w:szCs w:val="21"/>
          <w:color w:val="000000"/>
        </w:rPr>
        <w:t>0.3 million and $2.6 million,</w:t>
      </w:r>
      <w:r>
        <w:rPr>
          <w:rFonts w:ascii="Arial" w:cs="Arial" w:eastAsia="Arial" w:hAnsi="Arial"/>
          <w:sz w:val="21"/>
          <w:szCs w:val="21"/>
          <w:color w:val="231F20"/>
        </w:rPr>
        <w:t xml:space="preserve"> </w:t>
      </w:r>
      <w:r>
        <w:rPr>
          <w:rFonts w:ascii="Arial" w:cs="Arial" w:eastAsia="Arial" w:hAnsi="Arial"/>
          <w:sz w:val="21"/>
          <w:szCs w:val="21"/>
          <w:color w:val="000000"/>
        </w:rPr>
        <w:t xml:space="preserve">respectively. The effective tax rate for the three months ended March 31, 2021 is 8.55%, which is lower than the federal statutory rate of 21.0% primarily due to the i </w:t>
      </w:r>
      <w:r>
        <w:rPr>
          <w:rFonts w:ascii="Arial" w:cs="Arial" w:eastAsia="Arial" w:hAnsi="Arial"/>
          <w:sz w:val="21"/>
          <w:szCs w:val="21"/>
          <w:color w:val="231F20"/>
        </w:rPr>
        <w:t>ncrease in valuation allowance and non-deductible expenses. The</w:t>
      </w:r>
      <w:r>
        <w:rPr>
          <w:rFonts w:ascii="Arial" w:cs="Arial" w:eastAsia="Arial" w:hAnsi="Arial"/>
          <w:sz w:val="21"/>
          <w:szCs w:val="21"/>
          <w:color w:val="000000"/>
        </w:rPr>
        <w:t xml:space="preserve"> </w:t>
      </w:r>
      <w:r>
        <w:rPr>
          <w:rFonts w:ascii="Arial" w:cs="Arial" w:eastAsia="Arial" w:hAnsi="Arial"/>
          <w:sz w:val="21"/>
          <w:szCs w:val="21"/>
          <w:color w:val="231F20"/>
        </w:rPr>
        <w:t>effective tax rate for the three months ended March 31, 2020 is 22.38%, which is greater than the federal statutory rate of 21.0% primarily due to the benefit for state taxes, partially offset by an increase in valuation allowance.</w:t>
      </w:r>
    </w:p>
    <w:p>
      <w:pPr>
        <w:spacing w:after="0" w:line="88"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231F20"/>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88"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231F20"/>
        </w:rPr>
        <w:t>Additionally, the Company follows an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$0.1 million for the three months ended March 31, 2021. The Company did not have any gross unrecognized tax benefits for the three months ended March 31, 2020.</w:t>
      </w:r>
    </w:p>
    <w:p>
      <w:pPr>
        <w:spacing w:after="0" w:line="105"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color w:val="231F20"/>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(“QIP”).</w:t>
      </w:r>
    </w:p>
    <w:p>
      <w:pPr>
        <w:spacing w:after="0" w:line="89" w:lineRule="exact"/>
        <w:rPr>
          <w:sz w:val="20"/>
          <w:szCs w:val="20"/>
          <w:color w:val="auto"/>
        </w:rPr>
      </w:pPr>
    </w:p>
    <w:p>
      <w:pPr>
        <w:ind w:right="360"/>
        <w:spacing w:after="0" w:line="246" w:lineRule="auto"/>
        <w:rPr>
          <w:sz w:val="20"/>
          <w:szCs w:val="20"/>
          <w:color w:val="auto"/>
        </w:rPr>
      </w:pPr>
      <w:r>
        <w:rPr>
          <w:rFonts w:ascii="Arial" w:cs="Arial" w:eastAsia="Arial" w:hAnsi="Arial"/>
          <w:sz w:val="22"/>
          <w:szCs w:val="22"/>
          <w:color w:val="231F20"/>
        </w:rPr>
        <w:t xml:space="preserve">HydraFacial believes it will be able to obtain federal tax refunds by carrying back its net operating loss for the year ended December 31, 2020. </w:t>
      </w:r>
      <w:r>
        <w:rPr>
          <w:rFonts w:ascii="Arial" w:cs="Arial" w:eastAsia="Arial" w:hAnsi="Arial"/>
          <w:sz w:val="22"/>
          <w:szCs w:val="22"/>
          <w:color w:val="000000"/>
        </w:rPr>
        <w:t>HydraFacial estimates the net operating loss carryback will result in a federal refund</w:t>
      </w:r>
      <w:r>
        <w:rPr>
          <w:rFonts w:ascii="Arial" w:cs="Arial" w:eastAsia="Arial" w:hAnsi="Arial"/>
          <w:sz w:val="22"/>
          <w:szCs w:val="22"/>
          <w:color w:val="231F20"/>
        </w:rPr>
        <w:t xml:space="preserve"> </w:t>
      </w:r>
      <w:r>
        <w:rPr>
          <w:rFonts w:ascii="Arial" w:cs="Arial" w:eastAsia="Arial" w:hAnsi="Arial"/>
          <w:sz w:val="22"/>
          <w:szCs w:val="22"/>
          <w:color w:val="000000"/>
        </w:rPr>
        <w:t>of approximately $4.5 million.</w:t>
      </w:r>
    </w:p>
    <w:p>
      <w:pPr>
        <w:spacing w:after="0" w:line="100" w:lineRule="exact"/>
        <w:rPr>
          <w:sz w:val="20"/>
          <w:szCs w:val="20"/>
          <w:color w:val="auto"/>
        </w:rPr>
      </w:pPr>
    </w:p>
    <w:p>
      <w:pPr>
        <w:jc w:val="both"/>
        <w:ind w:right="460"/>
        <w:spacing w:after="0" w:line="263" w:lineRule="auto"/>
        <w:rPr>
          <w:sz w:val="20"/>
          <w:szCs w:val="20"/>
          <w:color w:val="auto"/>
        </w:rPr>
      </w:pPr>
      <w:r>
        <w:rPr>
          <w:rFonts w:ascii="Arial" w:cs="Arial" w:eastAsia="Arial" w:hAnsi="Arial"/>
          <w:sz w:val="21"/>
          <w:szCs w:val="21"/>
          <w:color w:val="231F20"/>
        </w:rPr>
        <w:t>On December 27, 2020, the United States enacted the Consolidated Appropriations Act which extended many of the benefits of the CARES Act that were scheduled to expire. The Company does not expect a material impact of Consolidated Appropriations Act on its Condensed Consolidated Financial Statements and related disclosures.</w:t>
      </w:r>
    </w:p>
    <w:p>
      <w:pPr>
        <w:spacing w:after="0" w:line="84" w:lineRule="exact"/>
        <w:rPr>
          <w:sz w:val="20"/>
          <w:szCs w:val="20"/>
          <w:color w:val="auto"/>
        </w:rPr>
      </w:pPr>
    </w:p>
    <w:p>
      <w:pPr>
        <w:ind w:right="460"/>
        <w:spacing w:after="0" w:line="245" w:lineRule="auto"/>
        <w:rPr>
          <w:sz w:val="20"/>
          <w:szCs w:val="20"/>
          <w:color w:val="auto"/>
        </w:rPr>
      </w:pPr>
      <w:r>
        <w:rPr>
          <w:rFonts w:ascii="Arial" w:cs="Arial" w:eastAsia="Arial" w:hAnsi="Arial"/>
          <w:sz w:val="22"/>
          <w:szCs w:val="22"/>
          <w:color w:val="231F20"/>
        </w:rPr>
        <w:t>On March 11, 2021 the United States enacted the American Rescue Plan Act of 2021 (“American Rescue Plan”). The American Rescue Plan includes various income and payroll tax measures. The Company does not expect a material impact of the American Rescue Plan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231F20"/>
        </w:rPr>
        <w:t>In June 29, 2020, the State of California passed Assembly Bill 85 which suspends the California net operating loss deduction for the 2020-2022 tax years and the R&amp;D credit usage for the same period (for credit usages in excess of $5.0 million). These suspensions were considered in preparation of the year ended December 31, 2020 and three months ended March 31, 2021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9 – Employee Benefit Plan</w:t>
      </w:r>
    </w:p>
    <w:p>
      <w:pPr>
        <w:spacing w:after="0" w:line="138" w:lineRule="exact"/>
        <w:rPr>
          <w:sz w:val="20"/>
          <w:szCs w:val="20"/>
          <w:color w:val="auto"/>
        </w:rPr>
      </w:pPr>
    </w:p>
    <w:p>
      <w:pPr>
        <w:jc w:val="both"/>
        <w:ind w:right="460"/>
        <w:spacing w:after="0" w:line="263" w:lineRule="auto"/>
        <w:rPr>
          <w:sz w:val="20"/>
          <w:szCs w:val="20"/>
          <w:color w:val="auto"/>
        </w:rPr>
      </w:pPr>
      <w:r>
        <w:rPr>
          <w:rFonts w:ascii="Arial" w:cs="Arial" w:eastAsia="Arial" w:hAnsi="Arial"/>
          <w:sz w:val="21"/>
          <w:szCs w:val="21"/>
          <w:color w:val="231F20"/>
        </w:rPr>
        <w:t xml:space="preserve">HydraFacial sponsors a defined contribution 401(k) and profit sharing plan that all regular employees are eligible to participate in after one year of service. The Plan is administered by a third-party administrator. Contributions to the plans were </w:t>
      </w:r>
      <w:r>
        <w:rPr>
          <w:rFonts w:ascii="Arial" w:cs="Arial" w:eastAsia="Arial" w:hAnsi="Arial"/>
          <w:sz w:val="21"/>
          <w:szCs w:val="21"/>
          <w:color w:val="000000"/>
        </w:rPr>
        <w:t>$0.2 million and $0.3 million</w:t>
      </w:r>
      <w:r>
        <w:rPr>
          <w:rFonts w:ascii="Arial" w:cs="Arial" w:eastAsia="Arial" w:hAnsi="Arial"/>
          <w:sz w:val="21"/>
          <w:szCs w:val="21"/>
          <w:color w:val="231F20"/>
        </w:rPr>
        <w:t xml:space="preserve"> for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10 – Equity-Based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2016 Equity Incentive Award Plan</w:t>
      </w:r>
    </w:p>
    <w:p>
      <w:pPr>
        <w:spacing w:after="0" w:line="120" w:lineRule="exact"/>
        <w:rPr>
          <w:sz w:val="20"/>
          <w:szCs w:val="20"/>
          <w:color w:val="auto"/>
        </w:rPr>
      </w:pPr>
    </w:p>
    <w:p>
      <w:pPr>
        <w:ind w:right="900"/>
        <w:spacing w:after="0" w:line="245" w:lineRule="auto"/>
        <w:rPr>
          <w:sz w:val="20"/>
          <w:szCs w:val="20"/>
          <w:color w:val="auto"/>
        </w:rPr>
      </w:pPr>
      <w:r>
        <w:rPr>
          <w:rFonts w:ascii="Arial" w:cs="Arial" w:eastAsia="Arial" w:hAnsi="Arial"/>
          <w:sz w:val="22"/>
          <w:szCs w:val="22"/>
          <w:color w:val="231F20"/>
        </w:rPr>
        <w:t xml:space="preserve">HydraFacial had approximately 1,509 time vested stock options and 5,082 performance based stock options outstanding as of </w:t>
      </w:r>
      <w:r>
        <w:rPr>
          <w:rFonts w:ascii="Arial" w:cs="Arial" w:eastAsia="Arial" w:hAnsi="Arial"/>
          <w:sz w:val="22"/>
          <w:szCs w:val="22"/>
          <w:color w:val="000000"/>
        </w:rPr>
        <w:t>December 31, 2019</w:t>
      </w:r>
      <w:r>
        <w:rPr>
          <w:rFonts w:ascii="Arial" w:cs="Arial" w:eastAsia="Arial" w:hAnsi="Arial"/>
          <w:sz w:val="22"/>
          <w:szCs w:val="22"/>
          <w:color w:val="231F20"/>
        </w:rPr>
        <w:t xml:space="preserve"> under its 2016 Equity Incentive Award Plan (the “2016 Plan”). These awards were subsequently canceled by HydraFacial during 2020 and replaced with new incentive units of LCP Holdco.</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Incentive Units</w:t>
      </w:r>
    </w:p>
    <w:p>
      <w:pPr>
        <w:spacing w:after="0" w:line="134" w:lineRule="exact"/>
        <w:rPr>
          <w:sz w:val="20"/>
          <w:szCs w:val="20"/>
          <w:color w:val="auto"/>
        </w:rPr>
      </w:pPr>
    </w:p>
    <w:p>
      <w:pPr>
        <w:ind w:right="360"/>
        <w:spacing w:after="0" w:line="244" w:lineRule="auto"/>
        <w:rPr>
          <w:sz w:val="20"/>
          <w:szCs w:val="20"/>
          <w:color w:val="auto"/>
        </w:rPr>
      </w:pPr>
      <w:r>
        <w:rPr>
          <w:rFonts w:ascii="Arial" w:cs="Arial" w:eastAsia="Arial" w:hAnsi="Arial"/>
          <w:sz w:val="22"/>
          <w:szCs w:val="22"/>
          <w:color w:val="231F20"/>
        </w:rPr>
        <w:t>During May 2020, HydraFacial canceled 1,295 of the time vested stock options and 4,440 of the performance-based stock options outstanding under the 2016 Plan (“Option Awards”) and replaced these awards with 1,295 of new time vested incentive units (“Time Vesting Units”) and 4,440 of performance based incentive units (“Performance Vesting Units”) of LCP Holdco (the “Incentive Units”) for certain members of management pursuant to the LCP Holdco LLC Agreement. All of the Time Vesting Units immediately vest upon a qualified sale that constitutes a change of control which includes a reverse recapitalization. The performance condition related to the Performance Vesting Units is based upon the amount of proceeds received in connection with a qualified sale related to a liquidity event, which can include a reverse recapitalization.</w:t>
      </w:r>
    </w:p>
    <w:p>
      <w:pPr>
        <w:spacing w:after="0" w:line="238" w:lineRule="exact"/>
        <w:rPr>
          <w:sz w:val="20"/>
          <w:szCs w:val="20"/>
          <w:color w:val="auto"/>
        </w:rPr>
      </w:pPr>
    </w:p>
    <w:p>
      <w:pPr>
        <w:ind w:right="1020"/>
        <w:spacing w:after="0" w:line="249" w:lineRule="auto"/>
        <w:rPr>
          <w:sz w:val="20"/>
          <w:szCs w:val="20"/>
          <w:color w:val="auto"/>
        </w:rPr>
      </w:pPr>
      <w:r>
        <w:rPr>
          <w:rFonts w:ascii="Arial" w:cs="Arial" w:eastAsia="Arial" w:hAnsi="Arial"/>
          <w:sz w:val="22"/>
          <w:szCs w:val="22"/>
          <w:color w:val="231F20"/>
        </w:rPr>
        <w:t xml:space="preserve">As of March 31, 2021, there were </w:t>
      </w:r>
      <w:r>
        <w:rPr>
          <w:rFonts w:ascii="Arial" w:cs="Arial" w:eastAsia="Arial" w:hAnsi="Arial"/>
          <w:sz w:val="22"/>
          <w:szCs w:val="22"/>
          <w:color w:val="000000"/>
        </w:rPr>
        <w:t>318 Time Vesting Units and 4,033</w:t>
      </w:r>
      <w:r>
        <w:rPr>
          <w:rFonts w:ascii="Arial" w:cs="Arial" w:eastAsia="Arial" w:hAnsi="Arial"/>
          <w:sz w:val="22"/>
          <w:szCs w:val="22"/>
          <w:color w:val="231F20"/>
        </w:rPr>
        <w:t xml:space="preserve"> Performance Vesting Units issued and outstanding at LCP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i w:val="1"/>
          <w:iCs w:val="1"/>
          <w:color w:val="231F20"/>
        </w:rPr>
        <w:t>Stock-based Compensation Expense</w:t>
      </w:r>
    </w:p>
    <w:p>
      <w:pPr>
        <w:spacing w:after="0" w:line="120" w:lineRule="exact"/>
        <w:rPr>
          <w:sz w:val="20"/>
          <w:szCs w:val="20"/>
          <w:color w:val="auto"/>
        </w:rPr>
      </w:pPr>
    </w:p>
    <w:p>
      <w:pPr>
        <w:ind w:right="420"/>
        <w:spacing w:after="0" w:line="244" w:lineRule="auto"/>
        <w:rPr>
          <w:sz w:val="20"/>
          <w:szCs w:val="20"/>
          <w:color w:val="auto"/>
        </w:rPr>
      </w:pPr>
      <w:r>
        <w:rPr>
          <w:rFonts w:ascii="Arial" w:cs="Arial" w:eastAsia="Arial" w:hAnsi="Arial"/>
          <w:sz w:val="22"/>
          <w:szCs w:val="22"/>
          <w:color w:val="231F20"/>
        </w:rPr>
        <w:t>Stock-based compensation expense for the Incentive Units is recorded by HydraFacial as it has been determined that the economic interest holder, LCP Holdco, has made a capital contribution to HydraFacial, who will make stock-based payments to its employees in exchange for services rendered. The total net stock-based compensation is attributable to the granting of, and the remaining requisite service periods of, Option Awards and Incentive Units.</w:t>
      </w:r>
    </w:p>
    <w:p>
      <w:pPr>
        <w:spacing w:after="0" w:line="105" w:lineRule="exact"/>
        <w:rPr>
          <w:sz w:val="20"/>
          <w:szCs w:val="20"/>
          <w:color w:val="auto"/>
        </w:rPr>
      </w:pPr>
    </w:p>
    <w:p>
      <w:pPr>
        <w:ind w:right="820"/>
        <w:spacing w:after="0" w:line="249" w:lineRule="auto"/>
        <w:rPr>
          <w:sz w:val="20"/>
          <w:szCs w:val="20"/>
          <w:color w:val="auto"/>
        </w:rPr>
      </w:pPr>
      <w:r>
        <w:rPr>
          <w:rFonts w:ascii="Arial" w:cs="Arial" w:eastAsia="Arial" w:hAnsi="Arial"/>
          <w:sz w:val="22"/>
          <w:szCs w:val="22"/>
          <w:color w:val="231F20"/>
        </w:rPr>
        <w:t xml:space="preserve">Compensation expense attributable to stock-based compensation was </w:t>
      </w:r>
      <w:r>
        <w:rPr>
          <w:rFonts w:ascii="Arial" w:cs="Arial" w:eastAsia="Arial" w:hAnsi="Arial"/>
          <w:sz w:val="22"/>
          <w:szCs w:val="22"/>
          <w:color w:val="000000"/>
        </w:rPr>
        <w:t>immaterial</w:t>
      </w:r>
      <w:r>
        <w:rPr>
          <w:rFonts w:ascii="Arial" w:cs="Arial" w:eastAsia="Arial" w:hAnsi="Arial"/>
          <w:sz w:val="22"/>
          <w:szCs w:val="22"/>
          <w:color w:val="231F20"/>
        </w:rPr>
        <w:t xml:space="preserve"> for the three months ended March 31, 2021 and 2020, respectively.</w:t>
      </w:r>
    </w:p>
    <w:p>
      <w:pPr>
        <w:spacing w:after="0" w:line="96" w:lineRule="exact"/>
        <w:rPr>
          <w:sz w:val="20"/>
          <w:szCs w:val="20"/>
          <w:color w:val="auto"/>
        </w:rPr>
      </w:pPr>
    </w:p>
    <w:p>
      <w:pPr>
        <w:ind w:right="400"/>
        <w:spacing w:after="0" w:line="244" w:lineRule="auto"/>
        <w:rPr>
          <w:sz w:val="20"/>
          <w:szCs w:val="20"/>
          <w:color w:val="auto"/>
        </w:rPr>
      </w:pPr>
      <w:r>
        <w:rPr>
          <w:rFonts w:ascii="Arial" w:cs="Arial" w:eastAsia="Arial" w:hAnsi="Arial"/>
          <w:sz w:val="22"/>
          <w:szCs w:val="22"/>
          <w:color w:val="231F20"/>
        </w:rPr>
        <w:t xml:space="preserve">HydraFacial estimates the fair value of the Incentive Units using a Monte Carlo simulation model. Stock-based compensation expense is recognized for the Time Vesting Units as service is provided, and stock-based compensation expense is recognized for the Performance Vesting units that are expected to vest upon the achievement of the performance condition. A change in control event is not deemed probable until consummated. As of March 31, 2021, achievement of the performance condition was not probable. Total unrecognized compensation related to unvested Time Vesting Units as of March 31, 2021 was approximately </w:t>
      </w:r>
      <w:r>
        <w:rPr>
          <w:rFonts w:ascii="Arial" w:cs="Arial" w:eastAsia="Arial" w:hAnsi="Arial"/>
          <w:sz w:val="22"/>
          <w:szCs w:val="22"/>
          <w:color w:val="000000"/>
        </w:rPr>
        <w:t>$0.3 million, and</w:t>
      </w:r>
      <w:r>
        <w:rPr>
          <w:rFonts w:ascii="Arial" w:cs="Arial" w:eastAsia="Arial" w:hAnsi="Arial"/>
          <w:sz w:val="22"/>
          <w:szCs w:val="22"/>
          <w:color w:val="231F20"/>
        </w:rPr>
        <w:t xml:space="preserve"> </w:t>
      </w:r>
      <w:r>
        <w:rPr>
          <w:rFonts w:ascii="Arial" w:cs="Arial" w:eastAsia="Arial" w:hAnsi="Arial"/>
          <w:sz w:val="22"/>
          <w:szCs w:val="22"/>
          <w:color w:val="000000"/>
        </w:rPr>
        <w:t xml:space="preserve">the total unrecognized compensation related to Performance Vesting Units was $1.1 </w:t>
      </w:r>
      <w:r>
        <w:rPr>
          <w:rFonts w:ascii="Arial" w:cs="Arial" w:eastAsia="Arial" w:hAnsi="Arial"/>
          <w:sz w:val="22"/>
          <w:szCs w:val="22"/>
          <w:color w:val="231F20"/>
        </w:rPr>
        <w:t>million.</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11 – Commitments and Contingencies</w:t>
      </w:r>
    </w:p>
    <w:p>
      <w:pPr>
        <w:spacing w:after="0" w:line="125"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b w:val="1"/>
          <w:bCs w:val="1"/>
          <w:color w:val="231F20"/>
        </w:rPr>
        <w:t xml:space="preserve">Litigation </w:t>
      </w:r>
      <w:r>
        <w:rPr>
          <w:rFonts w:ascii="Arial" w:cs="Arial" w:eastAsia="Arial" w:hAnsi="Arial"/>
          <w:sz w:val="22"/>
          <w:szCs w:val="22"/>
          <w:color w:val="231F20"/>
        </w:rPr>
        <w:t>– From time to time HydraFacial is involved in claims, legal actions and governmental proceedings</w:t>
      </w:r>
      <w:r>
        <w:rPr>
          <w:rFonts w:ascii="Arial" w:cs="Arial" w:eastAsia="Arial" w:hAnsi="Arial"/>
          <w:sz w:val="22"/>
          <w:szCs w:val="22"/>
          <w:b w:val="1"/>
          <w:bCs w:val="1"/>
          <w:color w:val="231F20"/>
        </w:rPr>
        <w:t xml:space="preserve"> </w:t>
      </w:r>
      <w:r>
        <w:rPr>
          <w:rFonts w:ascii="Arial" w:cs="Arial" w:eastAsia="Arial" w:hAnsi="Arial"/>
          <w:sz w:val="22"/>
          <w:szCs w:val="22"/>
          <w:color w:val="231F20"/>
        </w:rPr>
        <w:t>that arise from its business operations. As of March 31, 2021 and December 31, 2020, HydraFacial was not party to any legal proceedings or threatened legal proceedings, the adverse outcome of which, individually or in the aggregate, it believes would have a material adverse effect on its business, financial condition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12 – Concentrations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231F20"/>
        </w:rPr>
        <w:t>Purchases from major suppliers amount to as follows for the periods indicated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00" w:type="dxa"/>
            <w:vAlign w:val="bottom"/>
          </w:tcPr>
          <w:p>
            <w:pPr>
              <w:spacing w:after="0"/>
              <w:rPr>
                <w:sz w:val="24"/>
                <w:szCs w:val="24"/>
                <w:color w:val="auto"/>
              </w:rPr>
            </w:pPr>
          </w:p>
        </w:tc>
        <w:tc>
          <w:tcPr>
            <w:tcW w:w="616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22"/>
                <w:szCs w:val="22"/>
                <w:b w:val="1"/>
                <w:bCs w:val="1"/>
                <w:color w:val="auto"/>
              </w:rPr>
              <w:t>Three Months Ended March 31, 2021</w:t>
            </w:r>
          </w:p>
        </w:tc>
        <w:tc>
          <w:tcPr>
            <w:tcW w:w="38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CFF0FC"/>
            </w:tcBorders>
          </w:tcPr>
          <w:p>
            <w:pPr>
              <w:spacing w:after="0"/>
              <w:rPr>
                <w:sz w:val="22"/>
                <w:szCs w:val="22"/>
                <w:color w:val="auto"/>
              </w:rPr>
            </w:pPr>
          </w:p>
        </w:tc>
        <w:tc>
          <w:tcPr>
            <w:tcW w:w="24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Amount</w:t>
            </w: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24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 of Total Purchases</w:t>
            </w:r>
          </w:p>
        </w:tc>
        <w:tc>
          <w:tcPr>
            <w:tcW w:w="380" w:type="dxa"/>
            <w:vAlign w:val="bottom"/>
            <w:tcBorders>
              <w:bottom w:val="single" w:sz="8" w:color="auto"/>
            </w:tcBorders>
          </w:tcPr>
          <w:p>
            <w:pPr>
              <w:spacing w:after="0"/>
              <w:rPr>
                <w:sz w:val="22"/>
                <w:szCs w:val="22"/>
                <w:color w:val="auto"/>
              </w:rPr>
            </w:pPr>
          </w:p>
        </w:tc>
      </w:tr>
      <w:tr>
        <w:trPr>
          <w:trHeight w:val="263"/>
        </w:trPr>
        <w:tc>
          <w:tcPr>
            <w:tcW w:w="47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Supplier A</w:t>
            </w:r>
          </w:p>
        </w:tc>
        <w:tc>
          <w:tcPr>
            <w:tcW w:w="2400" w:type="dxa"/>
            <w:vAlign w:val="bottom"/>
            <w:shd w:val="clear" w:color="auto" w:fill="CFF0FC"/>
          </w:tcPr>
          <w:p>
            <w:pPr>
              <w:jc w:val="right"/>
              <w:ind w:right="2112"/>
              <w:spacing w:after="0"/>
              <w:rPr>
                <w:sz w:val="20"/>
                <w:szCs w:val="20"/>
                <w:color w:val="auto"/>
              </w:rPr>
            </w:pPr>
            <w:r>
              <w:rPr>
                <w:rFonts w:ascii="Arial" w:cs="Arial" w:eastAsia="Arial" w:hAnsi="Arial"/>
                <w:sz w:val="22"/>
                <w:szCs w:val="2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1,803</w:t>
            </w:r>
          </w:p>
        </w:tc>
        <w:tc>
          <w:tcPr>
            <w:tcW w:w="360" w:type="dxa"/>
            <w:vAlign w:val="bottom"/>
            <w:shd w:val="clear" w:color="auto" w:fill="CFF0FC"/>
          </w:tcPr>
          <w:p>
            <w:pPr>
              <w:spacing w:after="0"/>
              <w:rPr>
                <w:sz w:val="22"/>
                <w:szCs w:val="22"/>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28.3</w:t>
            </w:r>
          </w:p>
        </w:tc>
        <w:tc>
          <w:tcPr>
            <w:tcW w:w="380" w:type="dxa"/>
            <w:vAlign w:val="bottom"/>
            <w:shd w:val="clear" w:color="auto" w:fill="CFF0FC"/>
          </w:tcPr>
          <w:p>
            <w:pPr>
              <w:jc w:val="right"/>
              <w:ind w:right="12"/>
              <w:spacing w:after="0"/>
              <w:rPr>
                <w:sz w:val="20"/>
                <w:szCs w:val="20"/>
                <w:color w:val="auto"/>
              </w:rPr>
            </w:pPr>
            <w:r>
              <w:rPr>
                <w:rFonts w:ascii="Arial" w:cs="Arial" w:eastAsia="Arial" w:hAnsi="Arial"/>
                <w:sz w:val="22"/>
                <w:szCs w:val="22"/>
                <w:color w:val="auto"/>
              </w:rPr>
              <w:t>%</w:t>
            </w:r>
          </w:p>
        </w:tc>
      </w:tr>
      <w:tr>
        <w:trPr>
          <w:trHeight w:val="268"/>
        </w:trPr>
        <w:tc>
          <w:tcPr>
            <w:tcW w:w="4700" w:type="dxa"/>
            <w:vAlign w:val="bottom"/>
          </w:tcPr>
          <w:p>
            <w:pPr>
              <w:ind w:left="80"/>
              <w:spacing w:after="0"/>
              <w:rPr>
                <w:sz w:val="20"/>
                <w:szCs w:val="20"/>
                <w:color w:val="auto"/>
              </w:rPr>
            </w:pPr>
            <w:r>
              <w:rPr>
                <w:rFonts w:ascii="Arial" w:cs="Arial" w:eastAsia="Arial" w:hAnsi="Arial"/>
                <w:sz w:val="22"/>
                <w:szCs w:val="22"/>
                <w:color w:val="auto"/>
              </w:rPr>
              <w:t>Supplier B</w:t>
            </w:r>
          </w:p>
        </w:tc>
        <w:tc>
          <w:tcPr>
            <w:tcW w:w="2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1,119</w:t>
            </w:r>
          </w:p>
        </w:tc>
        <w:tc>
          <w:tcPr>
            <w:tcW w:w="36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17.6</w:t>
            </w:r>
          </w:p>
        </w:tc>
        <w:tc>
          <w:tcPr>
            <w:tcW w:w="380" w:type="dxa"/>
            <w:vAlign w:val="bottom"/>
          </w:tcPr>
          <w:p>
            <w:pPr>
              <w:spacing w:after="0"/>
              <w:rPr>
                <w:sz w:val="23"/>
                <w:szCs w:val="23"/>
                <w:color w:val="auto"/>
              </w:rPr>
            </w:pPr>
          </w:p>
        </w:tc>
      </w:tr>
      <w:tr>
        <w:trPr>
          <w:trHeight w:val="270"/>
        </w:trPr>
        <w:tc>
          <w:tcPr>
            <w:tcW w:w="47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Supplier C</w:t>
            </w:r>
          </w:p>
        </w:tc>
        <w:tc>
          <w:tcPr>
            <w:tcW w:w="240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681</w:t>
            </w:r>
          </w:p>
        </w:tc>
        <w:tc>
          <w:tcPr>
            <w:tcW w:w="360" w:type="dxa"/>
            <w:vAlign w:val="bottom"/>
            <w:shd w:val="clear" w:color="auto" w:fill="CFF0FC"/>
          </w:tcPr>
          <w:p>
            <w:pPr>
              <w:spacing w:after="0"/>
              <w:rPr>
                <w:sz w:val="23"/>
                <w:szCs w:val="23"/>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10.7</w:t>
            </w:r>
          </w:p>
        </w:tc>
        <w:tc>
          <w:tcPr>
            <w:tcW w:w="380" w:type="dxa"/>
            <w:vAlign w:val="bottom"/>
            <w:tcBorders>
              <w:bottom w:val="single" w:sz="8" w:color="auto"/>
            </w:tcBorders>
            <w:shd w:val="clear" w:color="auto" w:fill="CFF0FC"/>
          </w:tcPr>
          <w:p>
            <w:pPr>
              <w:spacing w:after="0"/>
              <w:rPr>
                <w:sz w:val="23"/>
                <w:szCs w:val="23"/>
                <w:color w:val="auto"/>
              </w:rPr>
            </w:pPr>
          </w:p>
        </w:tc>
      </w:tr>
      <w:tr>
        <w:trPr>
          <w:trHeight w:val="265"/>
        </w:trPr>
        <w:tc>
          <w:tcPr>
            <w:tcW w:w="4700" w:type="dxa"/>
            <w:vAlign w:val="bottom"/>
          </w:tcPr>
          <w:p>
            <w:pPr>
              <w:ind w:left="80"/>
              <w:spacing w:after="0"/>
              <w:rPr>
                <w:sz w:val="20"/>
                <w:szCs w:val="20"/>
                <w:color w:val="auto"/>
              </w:rPr>
            </w:pPr>
            <w:r>
              <w:rPr>
                <w:rFonts w:ascii="Arial" w:cs="Arial" w:eastAsia="Arial" w:hAnsi="Arial"/>
                <w:sz w:val="22"/>
                <w:szCs w:val="22"/>
                <w:color w:val="auto"/>
              </w:rPr>
              <w:t>Total</w:t>
            </w:r>
          </w:p>
        </w:tc>
        <w:tc>
          <w:tcPr>
            <w:tcW w:w="2400" w:type="dxa"/>
            <w:vAlign w:val="bottom"/>
            <w:tcBorders>
              <w:bottom w:val="single" w:sz="8" w:color="auto"/>
            </w:tcBorders>
          </w:tcPr>
          <w:p>
            <w:pPr>
              <w:jc w:val="right"/>
              <w:ind w:right="21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3,603</w:t>
            </w:r>
          </w:p>
        </w:tc>
        <w:tc>
          <w:tcPr>
            <w:tcW w:w="360" w:type="dxa"/>
            <w:vAlign w:val="bottom"/>
          </w:tcPr>
          <w:p>
            <w:pPr>
              <w:spacing w:after="0"/>
              <w:rPr>
                <w:sz w:val="23"/>
                <w:szCs w:val="23"/>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56.6</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r>
      <w:tr>
        <w:trPr>
          <w:trHeight w:val="20"/>
        </w:trPr>
        <w:tc>
          <w:tcPr>
            <w:tcW w:w="47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231F20"/>
        </w:rPr>
        <w:t xml:space="preserve">Included in Accounts payable at March 31, 2021, </w:t>
      </w:r>
      <w:r>
        <w:rPr>
          <w:rFonts w:ascii="Arial" w:cs="Arial" w:eastAsia="Arial" w:hAnsi="Arial"/>
          <w:sz w:val="22"/>
          <w:szCs w:val="22"/>
          <w:color w:val="000000"/>
        </w:rPr>
        <w:t>was $1.4</w:t>
      </w:r>
      <w:r>
        <w:rPr>
          <w:rFonts w:ascii="Arial" w:cs="Arial" w:eastAsia="Arial" w:hAnsi="Arial"/>
          <w:sz w:val="22"/>
          <w:szCs w:val="22"/>
          <w:color w:val="231F20"/>
        </w:rPr>
        <w:t xml:space="preserve"> million payable to these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34" w:right="339" w:bottom="1440" w:gutter="0" w:footer="0" w:header="0"/>
        </w:sectPr>
      </w:pPr>
    </w:p>
    <w:bookmarkStart w:id="23" w:name="page24"/>
    <w:bookmarkEnd w:id="23"/>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231F20"/>
        </w:rPr>
        <w:t>Purchases from major suppliers amount to as follows for the periods indicated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00" w:type="dxa"/>
            <w:vAlign w:val="bottom"/>
          </w:tcPr>
          <w:p>
            <w:pPr>
              <w:spacing w:after="0"/>
              <w:rPr>
                <w:sz w:val="24"/>
                <w:szCs w:val="24"/>
                <w:color w:val="auto"/>
              </w:rPr>
            </w:pPr>
          </w:p>
        </w:tc>
        <w:tc>
          <w:tcPr>
            <w:tcW w:w="616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22"/>
                <w:szCs w:val="22"/>
                <w:b w:val="1"/>
                <w:bCs w:val="1"/>
                <w:color w:val="auto"/>
              </w:rPr>
              <w:t>Three Months Ended March 31, 2020</w:t>
            </w:r>
          </w:p>
        </w:tc>
        <w:tc>
          <w:tcPr>
            <w:tcW w:w="38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CFF0FC"/>
            </w:tcBorders>
          </w:tcPr>
          <w:p>
            <w:pPr>
              <w:spacing w:after="0"/>
              <w:rPr>
                <w:sz w:val="22"/>
                <w:szCs w:val="22"/>
                <w:color w:val="auto"/>
              </w:rPr>
            </w:pPr>
          </w:p>
        </w:tc>
        <w:tc>
          <w:tcPr>
            <w:tcW w:w="24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Amount</w:t>
            </w: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24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 of Total Purchases</w:t>
            </w:r>
          </w:p>
        </w:tc>
        <w:tc>
          <w:tcPr>
            <w:tcW w:w="380" w:type="dxa"/>
            <w:vAlign w:val="bottom"/>
            <w:tcBorders>
              <w:bottom w:val="single" w:sz="8" w:color="auto"/>
            </w:tcBorders>
          </w:tcPr>
          <w:p>
            <w:pPr>
              <w:spacing w:after="0"/>
              <w:rPr>
                <w:sz w:val="22"/>
                <w:szCs w:val="22"/>
                <w:color w:val="auto"/>
              </w:rPr>
            </w:pPr>
          </w:p>
        </w:tc>
      </w:tr>
      <w:tr>
        <w:trPr>
          <w:trHeight w:val="263"/>
        </w:trPr>
        <w:tc>
          <w:tcPr>
            <w:tcW w:w="47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Supplier A</w:t>
            </w:r>
          </w:p>
        </w:tc>
        <w:tc>
          <w:tcPr>
            <w:tcW w:w="2400" w:type="dxa"/>
            <w:vAlign w:val="bottom"/>
            <w:shd w:val="clear" w:color="auto" w:fill="CFF0FC"/>
          </w:tcPr>
          <w:p>
            <w:pPr>
              <w:jc w:val="right"/>
              <w:ind w:right="2112"/>
              <w:spacing w:after="0"/>
              <w:rPr>
                <w:sz w:val="20"/>
                <w:szCs w:val="20"/>
                <w:color w:val="auto"/>
              </w:rPr>
            </w:pPr>
            <w:r>
              <w:rPr>
                <w:rFonts w:ascii="Arial" w:cs="Arial" w:eastAsia="Arial" w:hAnsi="Arial"/>
                <w:sz w:val="22"/>
                <w:szCs w:val="2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2"/>
                <w:szCs w:val="22"/>
                <w:color w:val="auto"/>
              </w:rPr>
              <w:t>2,275</w:t>
            </w:r>
          </w:p>
        </w:tc>
        <w:tc>
          <w:tcPr>
            <w:tcW w:w="360" w:type="dxa"/>
            <w:vAlign w:val="bottom"/>
            <w:shd w:val="clear" w:color="auto" w:fill="CFF0FC"/>
          </w:tcPr>
          <w:p>
            <w:pPr>
              <w:spacing w:after="0"/>
              <w:rPr>
                <w:sz w:val="22"/>
                <w:szCs w:val="22"/>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22.4</w:t>
            </w:r>
          </w:p>
        </w:tc>
        <w:tc>
          <w:tcPr>
            <w:tcW w:w="380" w:type="dxa"/>
            <w:vAlign w:val="bottom"/>
            <w:shd w:val="clear" w:color="auto" w:fill="CFF0FC"/>
          </w:tcPr>
          <w:p>
            <w:pPr>
              <w:jc w:val="right"/>
              <w:ind w:right="12"/>
              <w:spacing w:after="0"/>
              <w:rPr>
                <w:sz w:val="20"/>
                <w:szCs w:val="20"/>
                <w:color w:val="auto"/>
              </w:rPr>
            </w:pPr>
            <w:r>
              <w:rPr>
                <w:rFonts w:ascii="Arial" w:cs="Arial" w:eastAsia="Arial" w:hAnsi="Arial"/>
                <w:sz w:val="22"/>
                <w:szCs w:val="22"/>
                <w:color w:val="auto"/>
              </w:rPr>
              <w:t>%</w:t>
            </w:r>
          </w:p>
        </w:tc>
      </w:tr>
      <w:tr>
        <w:trPr>
          <w:trHeight w:val="268"/>
        </w:trPr>
        <w:tc>
          <w:tcPr>
            <w:tcW w:w="4700" w:type="dxa"/>
            <w:vAlign w:val="bottom"/>
          </w:tcPr>
          <w:p>
            <w:pPr>
              <w:ind w:left="80"/>
              <w:spacing w:after="0"/>
              <w:rPr>
                <w:sz w:val="20"/>
                <w:szCs w:val="20"/>
                <w:color w:val="auto"/>
              </w:rPr>
            </w:pPr>
            <w:r>
              <w:rPr>
                <w:rFonts w:ascii="Arial" w:cs="Arial" w:eastAsia="Arial" w:hAnsi="Arial"/>
                <w:sz w:val="22"/>
                <w:szCs w:val="22"/>
                <w:color w:val="auto"/>
              </w:rPr>
              <w:t>Supplier B</w:t>
            </w:r>
          </w:p>
        </w:tc>
        <w:tc>
          <w:tcPr>
            <w:tcW w:w="2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1,152</w:t>
            </w:r>
          </w:p>
        </w:tc>
        <w:tc>
          <w:tcPr>
            <w:tcW w:w="36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11.4</w:t>
            </w:r>
          </w:p>
        </w:tc>
        <w:tc>
          <w:tcPr>
            <w:tcW w:w="380" w:type="dxa"/>
            <w:vAlign w:val="bottom"/>
          </w:tcPr>
          <w:p>
            <w:pPr>
              <w:spacing w:after="0"/>
              <w:rPr>
                <w:sz w:val="23"/>
                <w:szCs w:val="23"/>
                <w:color w:val="auto"/>
              </w:rPr>
            </w:pPr>
          </w:p>
        </w:tc>
      </w:tr>
      <w:tr>
        <w:trPr>
          <w:trHeight w:val="270"/>
        </w:trPr>
        <w:tc>
          <w:tcPr>
            <w:tcW w:w="47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Supplier C</w:t>
            </w:r>
          </w:p>
        </w:tc>
        <w:tc>
          <w:tcPr>
            <w:tcW w:w="240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1,025</w:t>
            </w:r>
          </w:p>
        </w:tc>
        <w:tc>
          <w:tcPr>
            <w:tcW w:w="360" w:type="dxa"/>
            <w:vAlign w:val="bottom"/>
            <w:shd w:val="clear" w:color="auto" w:fill="CFF0FC"/>
          </w:tcPr>
          <w:p>
            <w:pPr>
              <w:spacing w:after="0"/>
              <w:rPr>
                <w:sz w:val="23"/>
                <w:szCs w:val="23"/>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10.1</w:t>
            </w:r>
          </w:p>
        </w:tc>
        <w:tc>
          <w:tcPr>
            <w:tcW w:w="380" w:type="dxa"/>
            <w:vAlign w:val="bottom"/>
            <w:tcBorders>
              <w:bottom w:val="single" w:sz="8" w:color="auto"/>
            </w:tcBorders>
            <w:shd w:val="clear" w:color="auto" w:fill="CFF0FC"/>
          </w:tcPr>
          <w:p>
            <w:pPr>
              <w:spacing w:after="0"/>
              <w:rPr>
                <w:sz w:val="23"/>
                <w:szCs w:val="23"/>
                <w:color w:val="auto"/>
              </w:rPr>
            </w:pPr>
          </w:p>
        </w:tc>
      </w:tr>
      <w:tr>
        <w:trPr>
          <w:trHeight w:val="265"/>
        </w:trPr>
        <w:tc>
          <w:tcPr>
            <w:tcW w:w="4700" w:type="dxa"/>
            <w:vAlign w:val="bottom"/>
          </w:tcPr>
          <w:p>
            <w:pPr>
              <w:ind w:left="80"/>
              <w:spacing w:after="0"/>
              <w:rPr>
                <w:sz w:val="20"/>
                <w:szCs w:val="20"/>
                <w:color w:val="auto"/>
              </w:rPr>
            </w:pPr>
            <w:r>
              <w:rPr>
                <w:rFonts w:ascii="Arial" w:cs="Arial" w:eastAsia="Arial" w:hAnsi="Arial"/>
                <w:sz w:val="22"/>
                <w:szCs w:val="22"/>
                <w:color w:val="auto"/>
              </w:rPr>
              <w:t>Total</w:t>
            </w:r>
          </w:p>
        </w:tc>
        <w:tc>
          <w:tcPr>
            <w:tcW w:w="2400" w:type="dxa"/>
            <w:vAlign w:val="bottom"/>
            <w:tcBorders>
              <w:bottom w:val="single" w:sz="8" w:color="auto"/>
            </w:tcBorders>
          </w:tcPr>
          <w:p>
            <w:pPr>
              <w:jc w:val="right"/>
              <w:ind w:right="211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4,452</w:t>
            </w:r>
          </w:p>
        </w:tc>
        <w:tc>
          <w:tcPr>
            <w:tcW w:w="360" w:type="dxa"/>
            <w:vAlign w:val="bottom"/>
          </w:tcPr>
          <w:p>
            <w:pPr>
              <w:spacing w:after="0"/>
              <w:rPr>
                <w:sz w:val="23"/>
                <w:szCs w:val="23"/>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43.9</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r>
      <w:tr>
        <w:trPr>
          <w:trHeight w:val="21"/>
        </w:trPr>
        <w:tc>
          <w:tcPr>
            <w:tcW w:w="47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31F20"/>
        </w:rPr>
        <w:t>Included in Accounts payable as of December 31, 2020 was $</w:t>
      </w:r>
      <w:r>
        <w:rPr>
          <w:rFonts w:ascii="Arial" w:cs="Arial" w:eastAsia="Arial" w:hAnsi="Arial"/>
          <w:sz w:val="22"/>
          <w:szCs w:val="22"/>
          <w:color w:val="000000"/>
        </w:rPr>
        <w:t>1.0</w:t>
      </w:r>
      <w:r>
        <w:rPr>
          <w:rFonts w:ascii="Arial" w:cs="Arial" w:eastAsia="Arial" w:hAnsi="Arial"/>
          <w:sz w:val="22"/>
          <w:szCs w:val="22"/>
          <w:color w:val="231F20"/>
        </w:rPr>
        <w:t xml:space="preserve"> million payable to these vendors.</w:t>
      </w:r>
    </w:p>
    <w:p>
      <w:pPr>
        <w:spacing w:after="0" w:line="112" w:lineRule="exact"/>
        <w:rPr>
          <w:sz w:val="20"/>
          <w:szCs w:val="20"/>
          <w:color w:val="auto"/>
        </w:rPr>
      </w:pPr>
    </w:p>
    <w:p>
      <w:pPr>
        <w:ind w:right="1500"/>
        <w:spacing w:after="0" w:line="249" w:lineRule="auto"/>
        <w:rPr>
          <w:sz w:val="20"/>
          <w:szCs w:val="20"/>
          <w:color w:val="auto"/>
        </w:rPr>
      </w:pPr>
      <w:r>
        <w:rPr>
          <w:rFonts w:ascii="Arial" w:cs="Arial" w:eastAsia="Arial" w:hAnsi="Arial"/>
          <w:sz w:val="22"/>
          <w:szCs w:val="22"/>
          <w:color w:val="231F20"/>
        </w:rPr>
        <w:t xml:space="preserve">As of March 31, 2021, HydraFacial had </w:t>
      </w:r>
      <w:r>
        <w:rPr>
          <w:rFonts w:ascii="Arial" w:cs="Arial" w:eastAsia="Arial" w:hAnsi="Arial"/>
          <w:sz w:val="22"/>
          <w:szCs w:val="22"/>
          <w:color w:val="000000"/>
        </w:rPr>
        <w:t>no</w:t>
      </w:r>
      <w:r>
        <w:rPr>
          <w:rFonts w:ascii="Arial" w:cs="Arial" w:eastAsia="Arial" w:hAnsi="Arial"/>
          <w:sz w:val="22"/>
          <w:szCs w:val="22"/>
          <w:color w:val="231F20"/>
        </w:rPr>
        <w:t xml:space="preserve"> customers that accounted for 10% or more of the Accounts receivable balance.</w:t>
      </w:r>
    </w:p>
    <w:p>
      <w:pPr>
        <w:spacing w:after="0" w:line="96" w:lineRule="exact"/>
        <w:rPr>
          <w:sz w:val="20"/>
          <w:szCs w:val="20"/>
          <w:color w:val="auto"/>
        </w:rPr>
      </w:pPr>
    </w:p>
    <w:p>
      <w:pPr>
        <w:ind w:right="920"/>
        <w:spacing w:after="0" w:line="272" w:lineRule="auto"/>
        <w:rPr>
          <w:sz w:val="20"/>
          <w:szCs w:val="20"/>
          <w:color w:val="auto"/>
        </w:rPr>
      </w:pPr>
      <w:r>
        <w:rPr>
          <w:rFonts w:ascii="Arial" w:cs="Arial" w:eastAsia="Arial" w:hAnsi="Arial"/>
          <w:sz w:val="21"/>
          <w:szCs w:val="21"/>
          <w:color w:val="231F20"/>
        </w:rPr>
        <w:t>As of December 31, 2020, HydraFacial had one customer that accounted for 10% or more of the Accounts receivable balance. This customer accounted for 10.5%, or $1.9 million, of the Accounts receivable balance.</w:t>
      </w:r>
    </w:p>
    <w:p>
      <w:pPr>
        <w:spacing w:after="0" w:line="209" w:lineRule="exact"/>
        <w:rPr>
          <w:sz w:val="20"/>
          <w:szCs w:val="20"/>
          <w:color w:val="auto"/>
        </w:rPr>
      </w:pPr>
    </w:p>
    <w:p>
      <w:pPr>
        <w:ind w:right="1240"/>
        <w:spacing w:after="0" w:line="249" w:lineRule="auto"/>
        <w:rPr>
          <w:sz w:val="20"/>
          <w:szCs w:val="20"/>
          <w:color w:val="auto"/>
        </w:rPr>
      </w:pPr>
      <w:r>
        <w:rPr>
          <w:rFonts w:ascii="Arial" w:cs="Arial" w:eastAsia="Arial" w:hAnsi="Arial"/>
          <w:sz w:val="22"/>
          <w:szCs w:val="22"/>
          <w:color w:val="231F20"/>
        </w:rPr>
        <w:t>No single customer accounted for 10% or more of consolidated Net sales during the three months ended March 31, 2021 and 2020.</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13 – Related-Party Transactions</w:t>
      </w:r>
    </w:p>
    <w:p>
      <w:pPr>
        <w:spacing w:after="0" w:line="111" w:lineRule="exact"/>
        <w:rPr>
          <w:sz w:val="20"/>
          <w:szCs w:val="20"/>
          <w:color w:val="auto"/>
        </w:rPr>
      </w:pPr>
    </w:p>
    <w:p>
      <w:pPr>
        <w:ind w:right="640"/>
        <w:spacing w:after="0" w:line="244" w:lineRule="auto"/>
        <w:rPr>
          <w:sz w:val="20"/>
          <w:szCs w:val="20"/>
          <w:color w:val="auto"/>
        </w:rPr>
      </w:pPr>
      <w:r>
        <w:rPr>
          <w:rFonts w:ascii="Arial" w:cs="Arial" w:eastAsia="Arial" w:hAnsi="Arial"/>
          <w:sz w:val="22"/>
          <w:szCs w:val="22"/>
          <w:color w:val="231F20"/>
        </w:rPr>
        <w:t>HydraFacial entered into management service agreements with two related parties, who are the Parent’s owners, to provide financial and management advisory services to HydraFacial. Both management services agreements provide for a quarterly monitoring fee in an amount equal to the product of the (a) the greater of (x) $0.1 million and (y) 1.25% of HydraFacial’s EBITDA for the twelve-month period ending on the last calendar day of the immediately preceding applicable calendar quarter, multiplied by (b) the pro rata proportion as defined in the agreement.</w:t>
      </w:r>
    </w:p>
    <w:p>
      <w:pPr>
        <w:spacing w:after="0" w:line="104" w:lineRule="exact"/>
        <w:rPr>
          <w:sz w:val="20"/>
          <w:szCs w:val="20"/>
          <w:color w:val="auto"/>
        </w:rPr>
      </w:pPr>
    </w:p>
    <w:p>
      <w:pPr>
        <w:ind w:right="440"/>
        <w:spacing w:after="0" w:line="245" w:lineRule="auto"/>
        <w:rPr>
          <w:sz w:val="20"/>
          <w:szCs w:val="20"/>
          <w:color w:val="auto"/>
        </w:rPr>
      </w:pPr>
      <w:r>
        <w:rPr>
          <w:rFonts w:ascii="Arial" w:cs="Arial" w:eastAsia="Arial" w:hAnsi="Arial"/>
          <w:sz w:val="22"/>
          <w:szCs w:val="22"/>
          <w:color w:val="231F20"/>
        </w:rPr>
        <w:t>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1% and 2% of the related transaction amount.</w:t>
      </w:r>
    </w:p>
    <w:p>
      <w:pPr>
        <w:spacing w:after="0" w:line="101" w:lineRule="exact"/>
        <w:rPr>
          <w:sz w:val="20"/>
          <w:szCs w:val="20"/>
          <w:color w:val="auto"/>
        </w:rPr>
      </w:pPr>
    </w:p>
    <w:p>
      <w:pPr>
        <w:ind w:right="500"/>
        <w:spacing w:after="0" w:line="244" w:lineRule="auto"/>
        <w:rPr>
          <w:sz w:val="20"/>
          <w:szCs w:val="20"/>
          <w:color w:val="auto"/>
        </w:rPr>
      </w:pPr>
      <w:r>
        <w:rPr>
          <w:rFonts w:ascii="Arial" w:cs="Arial" w:eastAsia="Arial" w:hAnsi="Arial"/>
          <w:sz w:val="22"/>
          <w:szCs w:val="22"/>
          <w:color w:val="231F20"/>
        </w:rPr>
        <w:t>Hydr</w:t>
      </w:r>
      <w:r>
        <w:rPr>
          <w:rFonts w:ascii="Arial" w:cs="Arial" w:eastAsia="Arial" w:hAnsi="Arial"/>
          <w:sz w:val="22"/>
          <w:szCs w:val="22"/>
          <w:color w:val="000000"/>
        </w:rPr>
        <w:t>aFacial recorded approximately $0.1 million and $0.5 million of charges related to management services</w:t>
      </w:r>
      <w:r>
        <w:rPr>
          <w:rFonts w:ascii="Arial" w:cs="Arial" w:eastAsia="Arial" w:hAnsi="Arial"/>
          <w:sz w:val="22"/>
          <w:szCs w:val="22"/>
          <w:color w:val="231F20"/>
        </w:rPr>
        <w:t xml:space="preserve"> </w:t>
      </w:r>
      <w:r>
        <w:rPr>
          <w:rFonts w:ascii="Arial" w:cs="Arial" w:eastAsia="Arial" w:hAnsi="Arial"/>
          <w:sz w:val="22"/>
          <w:szCs w:val="22"/>
          <w:color w:val="000000"/>
        </w:rPr>
        <w:t xml:space="preserve">fees for the three months ended March 31, 2021 and 2020, respectively. </w:t>
      </w:r>
      <w:r>
        <w:rPr>
          <w:rFonts w:ascii="Arial" w:cs="Arial" w:eastAsia="Arial" w:hAnsi="Arial"/>
          <w:sz w:val="22"/>
          <w:szCs w:val="22"/>
          <w:color w:val="231F20"/>
        </w:rPr>
        <w:t>These amounts are included in General</w:t>
      </w:r>
      <w:r>
        <w:rPr>
          <w:rFonts w:ascii="Arial" w:cs="Arial" w:eastAsia="Arial" w:hAnsi="Arial"/>
          <w:sz w:val="22"/>
          <w:szCs w:val="22"/>
          <w:color w:val="000000"/>
        </w:rPr>
        <w:t xml:space="preserve"> </w:t>
      </w:r>
      <w:r>
        <w:rPr>
          <w:rFonts w:ascii="Arial" w:cs="Arial" w:eastAsia="Arial" w:hAnsi="Arial"/>
          <w:sz w:val="22"/>
          <w:szCs w:val="22"/>
          <w:color w:val="231F20"/>
        </w:rPr>
        <w:t xml:space="preserve">and administrative expenses on the Condensed Consolidated Statements of Comprehensive Loss. </w:t>
      </w:r>
      <w:r>
        <w:rPr>
          <w:rFonts w:ascii="Arial" w:cs="Arial" w:eastAsia="Arial" w:hAnsi="Arial"/>
          <w:sz w:val="22"/>
          <w:szCs w:val="22"/>
          <w:color w:val="000000"/>
        </w:rPr>
        <w:t>There were</w:t>
      </w:r>
      <w:r>
        <w:rPr>
          <w:rFonts w:ascii="Arial" w:cs="Arial" w:eastAsia="Arial" w:hAnsi="Arial"/>
          <w:sz w:val="22"/>
          <w:szCs w:val="22"/>
          <w:color w:val="231F20"/>
        </w:rPr>
        <w:t xml:space="preserve"> </w:t>
      </w:r>
      <w:r>
        <w:rPr>
          <w:rFonts w:ascii="Arial" w:cs="Arial" w:eastAsia="Arial" w:hAnsi="Arial"/>
          <w:sz w:val="22"/>
          <w:szCs w:val="22"/>
          <w:color w:val="000000"/>
        </w:rPr>
        <w:t>$1.9 million and $0.5 m</w:t>
      </w:r>
      <w:r>
        <w:rPr>
          <w:rFonts w:ascii="Arial" w:cs="Arial" w:eastAsia="Arial" w:hAnsi="Arial"/>
          <w:sz w:val="22"/>
          <w:szCs w:val="22"/>
          <w:color w:val="231F20"/>
        </w:rPr>
        <w:t>illion due to these related parties at March 31, 2021 and 2020 included in Accounts</w:t>
      </w:r>
      <w:r>
        <w:rPr>
          <w:rFonts w:ascii="Arial" w:cs="Arial" w:eastAsia="Arial" w:hAnsi="Arial"/>
          <w:sz w:val="22"/>
          <w:szCs w:val="22"/>
          <w:color w:val="000000"/>
        </w:rPr>
        <w:t xml:space="preserve"> </w:t>
      </w:r>
      <w:r>
        <w:rPr>
          <w:rFonts w:ascii="Arial" w:cs="Arial" w:eastAsia="Arial" w:hAnsi="Arial"/>
          <w:sz w:val="22"/>
          <w:szCs w:val="22"/>
          <w:color w:val="231F20"/>
        </w:rPr>
        <w:t>payable on the Condensed Consolidated Balance Sheets.</w:t>
      </w:r>
    </w:p>
    <w:p>
      <w:pPr>
        <w:spacing w:after="0" w:line="105" w:lineRule="exact"/>
        <w:rPr>
          <w:sz w:val="20"/>
          <w:szCs w:val="20"/>
          <w:color w:val="auto"/>
        </w:rPr>
      </w:pPr>
    </w:p>
    <w:p>
      <w:pPr>
        <w:ind w:right="900"/>
        <w:spacing w:after="0" w:line="246" w:lineRule="auto"/>
        <w:rPr>
          <w:sz w:val="20"/>
          <w:szCs w:val="20"/>
          <w:color w:val="auto"/>
        </w:rPr>
      </w:pPr>
      <w:r>
        <w:rPr>
          <w:rFonts w:ascii="Arial" w:cs="Arial" w:eastAsia="Arial" w:hAnsi="Arial"/>
          <w:sz w:val="22"/>
          <w:szCs w:val="22"/>
          <w:color w:val="231F20"/>
        </w:rPr>
        <w:t>HydraFacial leases its office in Signal Hill, California, from an entity owned by minority stockholders of HydraFacial who are no longer active employees. Lease expense under this lea</w:t>
      </w:r>
      <w:r>
        <w:rPr>
          <w:rFonts w:ascii="Arial" w:cs="Arial" w:eastAsia="Arial" w:hAnsi="Arial"/>
          <w:sz w:val="22"/>
          <w:szCs w:val="22"/>
          <w:color w:val="000000"/>
        </w:rPr>
        <w:t>se was $0.1 million and $0.1</w:t>
      </w:r>
      <w:r>
        <w:rPr>
          <w:rFonts w:ascii="Arial" w:cs="Arial" w:eastAsia="Arial" w:hAnsi="Arial"/>
          <w:sz w:val="22"/>
          <w:szCs w:val="22"/>
          <w:color w:val="231F20"/>
        </w:rPr>
        <w:t xml:space="preserve">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7" w:lineRule="exact"/>
        <w:rPr>
          <w:sz w:val="20"/>
          <w:szCs w:val="20"/>
          <w:color w:val="auto"/>
        </w:rPr>
      </w:pPr>
    </w:p>
    <w:p>
      <w:pPr>
        <w:ind w:right="400"/>
        <w:spacing w:after="0" w:line="244" w:lineRule="auto"/>
        <w:rPr>
          <w:sz w:val="20"/>
          <w:szCs w:val="20"/>
          <w:color w:val="auto"/>
        </w:rPr>
      </w:pPr>
      <w:r>
        <w:rPr>
          <w:rFonts w:ascii="Arial" w:cs="Arial" w:eastAsia="Arial" w:hAnsi="Arial"/>
          <w:sz w:val="22"/>
          <w:szCs w:val="22"/>
          <w:color w:val="231F20"/>
        </w:rPr>
        <w:t xml:space="preserve">HydraFacial issued shares to a key member of management in exchange for a note receivable with a $0.6 million face value. Interest on the note accrues at a rate of 8% and matures in December 2022. Interest receivable is presented as a component of Other assets on the Condensed Consolidated Balance Sheets. As there is no intent for the issuer to pay the note within a reasonably short period of time, HydraFacial has presented the note as a deduction of stockholders’ deficit. The outstanding note receivable from stockholder was $0.5 million as of both March 31, 2021 and December 31, 2020. </w:t>
      </w:r>
      <w:r>
        <w:rPr>
          <w:rFonts w:ascii="Arial" w:cs="Arial" w:eastAsia="Arial" w:hAnsi="Arial"/>
          <w:sz w:val="22"/>
          <w:szCs w:val="22"/>
          <w:color w:val="000000"/>
        </w:rPr>
        <w:t>Subsequent to March 31, 2021, with the consummation of the Business</w:t>
      </w:r>
      <w:r>
        <w:rPr>
          <w:rFonts w:ascii="Arial" w:cs="Arial" w:eastAsia="Arial" w:hAnsi="Arial"/>
          <w:sz w:val="22"/>
          <w:szCs w:val="22"/>
          <w:color w:val="231F20"/>
        </w:rPr>
        <w:t xml:space="preserve"> </w:t>
      </w:r>
      <w:r>
        <w:rPr>
          <w:rFonts w:ascii="Arial" w:cs="Arial" w:eastAsia="Arial" w:hAnsi="Arial"/>
          <w:sz w:val="22"/>
          <w:szCs w:val="22"/>
          <w:color w:val="000000"/>
        </w:rPr>
        <w:t xml:space="preserve">Combination, the outstanding note receivable amount was </w:t>
      </w:r>
      <w:r>
        <w:rPr>
          <w:rFonts w:ascii="Arial" w:cs="Arial" w:eastAsia="Arial" w:hAnsi="Arial"/>
          <w:sz w:val="22"/>
          <w:szCs w:val="22"/>
          <w:color w:val="231F20"/>
        </w:rPr>
        <w:t>settled</w:t>
      </w:r>
      <w:r>
        <w:rPr>
          <w:rFonts w:ascii="Arial" w:cs="Arial" w:eastAsia="Arial" w:hAnsi="Arial"/>
          <w:sz w:val="22"/>
          <w:szCs w:val="22"/>
          <w:color w:val="000000"/>
        </w:rPr>
        <w:t>.</w:t>
      </w:r>
    </w:p>
    <w:p>
      <w:pPr>
        <w:spacing w:after="0" w:line="144"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231F20"/>
        </w:rPr>
        <w:t xml:space="preserve">On April 10, 2020, the Company’s existing Credit Agreement with a bank that is also a related party was amended to include a “PIK” interest component of 2% that accrues on the outstanding balances of the Term Loan and Revolver. Additionally, the Company is required to pay an early prepayment fee of 2.00% of the amount prepaid or repaid on the Term Loan prior to April 10, 2021, and 1.00% if prepaid between April 11, 2021 and April 10, 2022. As of March 31, 2021, the amount due to a related party was </w:t>
      </w:r>
      <w:r>
        <w:rPr>
          <w:rFonts w:ascii="Arial" w:cs="Arial" w:eastAsia="Arial" w:hAnsi="Arial"/>
          <w:sz w:val="22"/>
          <w:szCs w:val="22"/>
          <w:color w:val="000000"/>
        </w:rPr>
        <w:t>$191.4 million</w:t>
      </w:r>
      <w:r>
        <w:rPr>
          <w:rFonts w:ascii="Arial" w:cs="Arial" w:eastAsia="Arial" w:hAnsi="Arial"/>
          <w:sz w:val="22"/>
          <w:szCs w:val="22"/>
          <w:color w:val="231F20"/>
        </w:rPr>
        <w:t xml:space="preserve"> in connection with the Term Loan and Revolver. See Note </w:t>
      </w:r>
      <w:r>
        <w:rPr>
          <w:rFonts w:ascii="Arial" w:cs="Arial" w:eastAsia="Arial" w:hAnsi="Arial"/>
          <w:sz w:val="22"/>
          <w:szCs w:val="22"/>
          <w:color w:val="000000"/>
        </w:rPr>
        <w:t>7</w:t>
      </w:r>
      <w:r>
        <w:rPr>
          <w:rFonts w:ascii="Arial" w:cs="Arial" w:eastAsia="Arial" w:hAnsi="Arial"/>
          <w:sz w:val="22"/>
          <w:szCs w:val="22"/>
          <w:color w:val="231F20"/>
        </w:rPr>
        <w:t xml:space="preserve"> for additional information on the Term Loans.</w:t>
      </w:r>
    </w:p>
    <w:p>
      <w:pPr>
        <w:spacing w:after="0" w:line="104" w:lineRule="exact"/>
        <w:rPr>
          <w:sz w:val="20"/>
          <w:szCs w:val="20"/>
          <w:color w:val="auto"/>
        </w:rPr>
      </w:pPr>
    </w:p>
    <w:p>
      <w:pPr>
        <w:ind w:right="760"/>
        <w:spacing w:after="0" w:line="243" w:lineRule="auto"/>
        <w:rPr>
          <w:sz w:val="20"/>
          <w:szCs w:val="20"/>
          <w:color w:val="auto"/>
        </w:rPr>
      </w:pPr>
      <w:r>
        <w:rPr>
          <w:rFonts w:ascii="Arial" w:cs="Arial" w:eastAsia="Arial" w:hAnsi="Arial"/>
          <w:sz w:val="22"/>
          <w:szCs w:val="22"/>
          <w:color w:val="231F20"/>
        </w:rPr>
        <w:t xml:space="preserve">On April 10, 2020, HydraFacial also entered into a second credit facility with a related party to provide for borrowings </w:t>
      </w:r>
      <w:r>
        <w:rPr>
          <w:rFonts w:ascii="Arial" w:cs="Arial" w:eastAsia="Arial" w:hAnsi="Arial"/>
          <w:sz w:val="22"/>
          <w:szCs w:val="22"/>
          <w:color w:val="000000"/>
        </w:rPr>
        <w:t>of $30.0 million under the Term A Loan. As of March 31, 2021, the amount due to the related party</w:t>
      </w:r>
      <w:r>
        <w:rPr>
          <w:rFonts w:ascii="Arial" w:cs="Arial" w:eastAsia="Arial" w:hAnsi="Arial"/>
          <w:sz w:val="22"/>
          <w:szCs w:val="22"/>
          <w:color w:val="231F20"/>
        </w:rPr>
        <w:t xml:space="preserve"> </w:t>
      </w:r>
      <w:r>
        <w:rPr>
          <w:rFonts w:ascii="Arial" w:cs="Arial" w:eastAsia="Arial" w:hAnsi="Arial"/>
          <w:sz w:val="22"/>
          <w:szCs w:val="22"/>
          <w:color w:val="000000"/>
        </w:rPr>
        <w:t xml:space="preserve">was $34.6 million </w:t>
      </w:r>
      <w:r>
        <w:rPr>
          <w:rFonts w:ascii="Arial" w:cs="Arial" w:eastAsia="Arial" w:hAnsi="Arial"/>
          <w:sz w:val="22"/>
          <w:szCs w:val="22"/>
          <w:color w:val="231F20"/>
        </w:rPr>
        <w:t>in connection with the Term A Loan and related PIK Interest. See Note 7 for additional</w:t>
      </w:r>
      <w:r>
        <w:rPr>
          <w:rFonts w:ascii="Arial" w:cs="Arial" w:eastAsia="Arial" w:hAnsi="Arial"/>
          <w:sz w:val="22"/>
          <w:szCs w:val="22"/>
          <w:color w:val="000000"/>
        </w:rPr>
        <w:t xml:space="preserve"> </w:t>
      </w:r>
      <w:r>
        <w:rPr>
          <w:rFonts w:ascii="Arial" w:cs="Arial" w:eastAsia="Arial" w:hAnsi="Arial"/>
          <w:sz w:val="22"/>
          <w:szCs w:val="22"/>
          <w:color w:val="231F20"/>
        </w:rPr>
        <w:t>information on the Term A Loan.</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231F20"/>
        </w:rPr>
        <w:t>HydraFacial sells to a customer that is owned directly or indirectly by a key member of management. Sales for this related party and the outstanding accounts receivable balance are as follows for the periods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right"/>
              <w:ind w:right="1352"/>
              <w:spacing w:after="0"/>
              <w:rPr>
                <w:sz w:val="20"/>
                <w:szCs w:val="20"/>
                <w:color w:val="auto"/>
              </w:rPr>
            </w:pPr>
            <w:r>
              <w:rPr>
                <w:rFonts w:ascii="Arial" w:cs="Arial" w:eastAsia="Arial" w:hAnsi="Arial"/>
                <w:sz w:val="22"/>
                <w:szCs w:val="22"/>
                <w:b w:val="1"/>
                <w:bCs w:val="1"/>
                <w:color w:val="auto"/>
              </w:rPr>
              <w:t>Three Months Ended</w:t>
            </w:r>
          </w:p>
        </w:tc>
      </w:tr>
      <w:tr>
        <w:trPr>
          <w:trHeight w:val="264"/>
        </w:trPr>
        <w:tc>
          <w:tcPr>
            <w:tcW w:w="6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2"/>
          </w:tcPr>
          <w:p>
            <w:pPr>
              <w:ind w:left="100"/>
              <w:spacing w:after="0"/>
              <w:rPr>
                <w:sz w:val="20"/>
                <w:szCs w:val="20"/>
                <w:color w:val="auto"/>
              </w:rPr>
            </w:pPr>
            <w:r>
              <w:rPr>
                <w:rFonts w:ascii="Arial" w:cs="Arial" w:eastAsia="Arial" w:hAnsi="Arial"/>
                <w:sz w:val="22"/>
                <w:szCs w:val="22"/>
                <w:b w:val="1"/>
                <w:bCs w:val="1"/>
                <w:color w:val="auto"/>
              </w:rPr>
              <w:t>March 31, 2021</w:t>
            </w:r>
          </w:p>
        </w:tc>
        <w:tc>
          <w:tcPr>
            <w:tcW w:w="280" w:type="dxa"/>
            <w:vAlign w:val="bottom"/>
          </w:tcPr>
          <w:p>
            <w:pPr>
              <w:spacing w:after="0"/>
              <w:rPr>
                <w:sz w:val="22"/>
                <w:szCs w:val="22"/>
                <w:color w:val="auto"/>
              </w:rPr>
            </w:pPr>
          </w:p>
        </w:tc>
        <w:tc>
          <w:tcPr>
            <w:tcW w:w="2040" w:type="dxa"/>
            <w:vAlign w:val="bottom"/>
          </w:tcPr>
          <w:p>
            <w:pPr>
              <w:jc w:val="right"/>
              <w:ind w:right="292"/>
              <w:spacing w:after="0"/>
              <w:rPr>
                <w:sz w:val="20"/>
                <w:szCs w:val="20"/>
                <w:color w:val="auto"/>
              </w:rPr>
            </w:pPr>
            <w:r>
              <w:rPr>
                <w:rFonts w:ascii="Arial" w:cs="Arial" w:eastAsia="Arial" w:hAnsi="Arial"/>
                <w:sz w:val="22"/>
                <w:szCs w:val="22"/>
                <w:b w:val="1"/>
                <w:bCs w:val="1"/>
                <w:color w:val="auto"/>
              </w:rPr>
              <w:t>March 31, 2020</w:t>
            </w:r>
          </w:p>
        </w:tc>
      </w:tr>
      <w:tr>
        <w:trPr>
          <w:trHeight w:val="264"/>
        </w:trPr>
        <w:tc>
          <w:tcPr>
            <w:tcW w:w="616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Sales to related party</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100</w:t>
            </w:r>
          </w:p>
        </w:tc>
        <w:tc>
          <w:tcPr>
            <w:tcW w:w="44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96</w:t>
            </w:r>
          </w:p>
        </w:tc>
      </w:tr>
      <w:tr>
        <w:trPr>
          <w:trHeight w:val="267"/>
        </w:trPr>
        <w:tc>
          <w:tcPr>
            <w:tcW w:w="6160" w:type="dxa"/>
            <w:vAlign w:val="bottom"/>
          </w:tcPr>
          <w:p>
            <w:pPr>
              <w:ind w:left="80"/>
              <w:spacing w:after="0"/>
              <w:rPr>
                <w:sz w:val="20"/>
                <w:szCs w:val="20"/>
                <w:color w:val="auto"/>
              </w:rPr>
            </w:pPr>
            <w:r>
              <w:rPr>
                <w:rFonts w:ascii="Arial" w:cs="Arial" w:eastAsia="Arial" w:hAnsi="Arial"/>
                <w:sz w:val="22"/>
                <w:szCs w:val="22"/>
                <w:color w:val="auto"/>
              </w:rPr>
              <w:t>Accounts receivable</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322</w:t>
            </w:r>
          </w:p>
        </w:tc>
        <w:tc>
          <w:tcPr>
            <w:tcW w:w="4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color w:val="231F20"/>
        </w:rPr>
        <w:t>– Stockholders’ Deficit</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Common Stock</w:t>
      </w:r>
    </w:p>
    <w:p>
      <w:pPr>
        <w:spacing w:after="0" w:line="97" w:lineRule="exact"/>
        <w:rPr>
          <w:sz w:val="20"/>
          <w:szCs w:val="20"/>
          <w:color w:val="auto"/>
        </w:rPr>
      </w:pPr>
    </w:p>
    <w:p>
      <w:pPr>
        <w:ind w:right="580"/>
        <w:spacing w:after="0" w:line="244" w:lineRule="auto"/>
        <w:rPr>
          <w:sz w:val="20"/>
          <w:szCs w:val="20"/>
          <w:color w:val="auto"/>
        </w:rPr>
      </w:pPr>
      <w:r>
        <w:rPr>
          <w:rFonts w:ascii="Arial" w:cs="Arial" w:eastAsia="Arial" w:hAnsi="Arial"/>
          <w:sz w:val="22"/>
          <w:szCs w:val="22"/>
          <w:color w:val="231F20"/>
        </w:rPr>
        <w:t xml:space="preserve">In October 2016, HydraFacial implemented a single class common stock structure by authorizing 60,000 shares of common stock in connection with the formation of LCP Edge Intermediate, Inc. As of March 31, 2021 and December 31, 2020, there </w:t>
      </w:r>
      <w:r>
        <w:rPr>
          <w:rFonts w:ascii="Arial" w:cs="Arial" w:eastAsia="Arial" w:hAnsi="Arial"/>
          <w:sz w:val="22"/>
          <w:szCs w:val="22"/>
          <w:color w:val="000000"/>
        </w:rPr>
        <w:t>was 54,358</w:t>
      </w:r>
      <w:r>
        <w:rPr>
          <w:rFonts w:ascii="Arial" w:cs="Arial" w:eastAsia="Arial" w:hAnsi="Arial"/>
          <w:sz w:val="22"/>
          <w:szCs w:val="22"/>
          <w:color w:val="231F20"/>
        </w:rPr>
        <w:t xml:space="preserve"> Common Stock shares issued and outstanding. The Common Stock is entitled to one vote per share and all shares are outstanding. HydraFacial has not declared or paid any dividends with respect to its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-357505</wp:posOffset>
            </wp:positionV>
            <wp:extent cx="38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231F20"/>
        </w:rPr>
        <w:t>Preferred Stock</w:t>
      </w:r>
    </w:p>
    <w:p>
      <w:pPr>
        <w:spacing w:after="0" w:line="138"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231F20"/>
        </w:rPr>
        <w:t xml:space="preserve">Effective October 2016, the Board of Directors authorized the issuance of preferred stock, with a par value of $0.01 per share. As of March 31, 2021 and December 31, 2020, </w:t>
      </w:r>
      <w:r>
        <w:rPr>
          <w:rFonts w:ascii="Arial" w:cs="Arial" w:eastAsia="Arial" w:hAnsi="Arial"/>
          <w:sz w:val="22"/>
          <w:szCs w:val="22"/>
          <w:color w:val="000000"/>
        </w:rPr>
        <w:t>there were 1,500 shares of preferred stock authorized and</w:t>
      </w:r>
      <w:r>
        <w:rPr>
          <w:rFonts w:ascii="Arial" w:cs="Arial" w:eastAsia="Arial" w:hAnsi="Arial"/>
          <w:sz w:val="22"/>
          <w:szCs w:val="22"/>
          <w:color w:val="231F20"/>
        </w:rPr>
        <w:t xml:space="preserve"> </w:t>
      </w:r>
      <w:r>
        <w:rPr>
          <w:rFonts w:ascii="Arial" w:cs="Arial" w:eastAsia="Arial" w:hAnsi="Arial"/>
          <w:sz w:val="22"/>
          <w:szCs w:val="22"/>
          <w:color w:val="000000"/>
        </w:rPr>
        <w:t xml:space="preserve">931 shares of preferred stock outstanding designated </w:t>
      </w:r>
      <w:r>
        <w:rPr>
          <w:rFonts w:ascii="Arial" w:cs="Arial" w:eastAsia="Arial" w:hAnsi="Arial"/>
          <w:sz w:val="22"/>
          <w:szCs w:val="22"/>
          <w:color w:val="231F20"/>
        </w:rPr>
        <w:t>as non-voting Class A Preferred Stock. The Class A Preferred</w:t>
      </w:r>
      <w:r>
        <w:rPr>
          <w:rFonts w:ascii="Arial" w:cs="Arial" w:eastAsia="Arial" w:hAnsi="Arial"/>
          <w:sz w:val="22"/>
          <w:szCs w:val="22"/>
          <w:color w:val="000000"/>
        </w:rPr>
        <w:t xml:space="preserve"> </w:t>
      </w:r>
      <w:r>
        <w:rPr>
          <w:rFonts w:ascii="Arial" w:cs="Arial" w:eastAsia="Arial" w:hAnsi="Arial"/>
          <w:sz w:val="22"/>
          <w:szCs w:val="22"/>
          <w:color w:val="231F20"/>
        </w:rPr>
        <w:t>Stock shares are entitled to receive 8% per annum dividends based on the per share liquidation value of the preferred stock, calculated daily and compounded quarterly.</w:t>
      </w:r>
    </w:p>
    <w:p>
      <w:pPr>
        <w:spacing w:after="0" w:line="105" w:lineRule="exact"/>
        <w:rPr>
          <w:sz w:val="20"/>
          <w:szCs w:val="20"/>
          <w:color w:val="auto"/>
        </w:rPr>
      </w:pPr>
    </w:p>
    <w:p>
      <w:pPr>
        <w:ind w:right="480"/>
        <w:spacing w:after="0" w:line="257" w:lineRule="auto"/>
        <w:rPr>
          <w:sz w:val="20"/>
          <w:szCs w:val="20"/>
          <w:color w:val="auto"/>
        </w:rPr>
      </w:pPr>
      <w:r>
        <w:rPr>
          <w:rFonts w:ascii="Arial" w:cs="Arial" w:eastAsia="Arial" w:hAnsi="Arial"/>
          <w:sz w:val="21"/>
          <w:szCs w:val="21"/>
          <w:color w:val="231F20"/>
        </w:rPr>
        <w:t>HydraFacial’s governing documents do not provide for redemption of, conversion of, or participation in dividends paid on Class A common stock by the Class A Preferred Stock. However, the cumulative dividends must be paid on the preferred stock prior to paying dividends on the common stock. The Class A Preferred Stock is not callable and is not subject to any sinking fund or other mandatory redemption. On August 24, 2018, HydraFacial paid $13.7 million in 8% cumulative dividends earned through the date of payment, and modified the terms of the Class A Preferred Stock to pay a distribution of $85.0 million on the $100,000 per share liquidation value, for a total distribution of $98.7 million. As a result of the distribution, the aggregate liquidation preference was reduced to $8.5 million, on which 8% cumulative dividends are earned. Otherwise, HydraFacial has not declared or paid any dividends, or authorized or made any distributions upon or with respect to its Class A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15 - Segment Reporting</w:t>
      </w:r>
    </w:p>
    <w:p>
      <w:pPr>
        <w:spacing w:after="0" w:line="151" w:lineRule="exact"/>
        <w:rPr>
          <w:sz w:val="20"/>
          <w:szCs w:val="20"/>
          <w:color w:val="auto"/>
        </w:rPr>
      </w:pPr>
    </w:p>
    <w:p>
      <w:pPr>
        <w:ind w:right="440"/>
        <w:spacing w:after="0" w:line="245" w:lineRule="auto"/>
        <w:rPr>
          <w:sz w:val="20"/>
          <w:szCs w:val="20"/>
          <w:color w:val="auto"/>
        </w:rPr>
      </w:pPr>
      <w:r>
        <w:rPr>
          <w:rFonts w:ascii="Arial" w:cs="Arial" w:eastAsia="Arial" w:hAnsi="Arial"/>
          <w:sz w:val="22"/>
          <w:szCs w:val="22"/>
          <w:color w:val="231F20"/>
        </w:rPr>
        <w:t>HydraFacial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231F20"/>
        </w:rPr>
        <w:t>Net sales by geographic region were as follows for the periods indicated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22"/>
                <w:szCs w:val="22"/>
                <w:b w:val="1"/>
                <w:bCs w:val="1"/>
                <w:color w:val="auto"/>
              </w:rPr>
              <w:t>Three Months Ended</w:t>
            </w:r>
          </w:p>
        </w:tc>
      </w:tr>
      <w:tr>
        <w:trPr>
          <w:trHeight w:val="264"/>
        </w:trPr>
        <w:tc>
          <w:tcPr>
            <w:tcW w:w="6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gridSpan w:val="2"/>
          </w:tcPr>
          <w:p>
            <w:pPr>
              <w:ind w:left="100"/>
              <w:spacing w:after="0"/>
              <w:rPr>
                <w:sz w:val="20"/>
                <w:szCs w:val="20"/>
                <w:color w:val="auto"/>
              </w:rPr>
            </w:pPr>
            <w:r>
              <w:rPr>
                <w:rFonts w:ascii="Arial" w:cs="Arial" w:eastAsia="Arial" w:hAnsi="Arial"/>
                <w:sz w:val="22"/>
                <w:szCs w:val="22"/>
                <w:b w:val="1"/>
                <w:bCs w:val="1"/>
                <w:color w:val="auto"/>
              </w:rPr>
              <w:t>March 31, 2021</w:t>
            </w:r>
          </w:p>
        </w:tc>
        <w:tc>
          <w:tcPr>
            <w:tcW w:w="260" w:type="dxa"/>
            <w:vAlign w:val="bottom"/>
          </w:tcPr>
          <w:p>
            <w:pPr>
              <w:spacing w:after="0"/>
              <w:rPr>
                <w:sz w:val="22"/>
                <w:szCs w:val="22"/>
                <w:color w:val="auto"/>
              </w:rPr>
            </w:pPr>
          </w:p>
        </w:tc>
        <w:tc>
          <w:tcPr>
            <w:tcW w:w="1920" w:type="dxa"/>
            <w:vAlign w:val="bottom"/>
          </w:tcPr>
          <w:p>
            <w:pPr>
              <w:jc w:val="right"/>
              <w:ind w:right="212"/>
              <w:spacing w:after="0"/>
              <w:rPr>
                <w:sz w:val="20"/>
                <w:szCs w:val="20"/>
                <w:color w:val="auto"/>
              </w:rPr>
            </w:pPr>
            <w:r>
              <w:rPr>
                <w:rFonts w:ascii="Arial" w:cs="Arial" w:eastAsia="Arial" w:hAnsi="Arial"/>
                <w:sz w:val="22"/>
                <w:szCs w:val="22"/>
                <w:b w:val="1"/>
                <w:bCs w:val="1"/>
                <w:color w:val="auto"/>
              </w:rPr>
              <w:t>March 31, 2020</w:t>
            </w:r>
          </w:p>
        </w:tc>
      </w:tr>
      <w:tr>
        <w:trPr>
          <w:trHeight w:val="264"/>
        </w:trPr>
        <w:tc>
          <w:tcPr>
            <w:tcW w:w="648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Americas</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31,280</w:t>
            </w:r>
          </w:p>
        </w:tc>
        <w:tc>
          <w:tcPr>
            <w:tcW w:w="26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23,913</w:t>
            </w:r>
          </w:p>
        </w:tc>
      </w:tr>
      <w:tr>
        <w:trPr>
          <w:trHeight w:val="268"/>
        </w:trPr>
        <w:tc>
          <w:tcPr>
            <w:tcW w:w="6480" w:type="dxa"/>
            <w:vAlign w:val="bottom"/>
          </w:tcPr>
          <w:p>
            <w:pPr>
              <w:ind w:left="80"/>
              <w:spacing w:after="0"/>
              <w:rPr>
                <w:sz w:val="20"/>
                <w:szCs w:val="20"/>
                <w:color w:val="auto"/>
              </w:rPr>
            </w:pPr>
            <w:r>
              <w:rPr>
                <w:rFonts w:ascii="Arial" w:cs="Arial" w:eastAsia="Arial" w:hAnsi="Arial"/>
                <w:sz w:val="22"/>
                <w:szCs w:val="22"/>
                <w:color w:val="auto"/>
              </w:rPr>
              <w:t>EMEA</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2"/>
                <w:szCs w:val="22"/>
                <w:color w:val="auto"/>
              </w:rPr>
              <w:t>7,471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2"/>
                <w:szCs w:val="22"/>
                <w:color w:val="auto"/>
              </w:rPr>
              <w:t>6,888</w:t>
            </w:r>
          </w:p>
        </w:tc>
      </w:tr>
      <w:tr>
        <w:trPr>
          <w:trHeight w:val="270"/>
        </w:trPr>
        <w:tc>
          <w:tcPr>
            <w:tcW w:w="6480" w:type="dxa"/>
            <w:vAlign w:val="bottom"/>
            <w:shd w:val="clear" w:color="auto" w:fill="CFF0FC"/>
          </w:tcPr>
          <w:p>
            <w:pPr>
              <w:ind w:left="80"/>
              <w:spacing w:after="0"/>
              <w:rPr>
                <w:sz w:val="20"/>
                <w:szCs w:val="20"/>
                <w:color w:val="auto"/>
              </w:rPr>
            </w:pPr>
            <w:r>
              <w:rPr>
                <w:rFonts w:ascii="Arial" w:cs="Arial" w:eastAsia="Arial" w:hAnsi="Arial"/>
                <w:sz w:val="22"/>
                <w:szCs w:val="22"/>
                <w:color w:val="auto"/>
              </w:rPr>
              <w:t>Asia Pacific</w:t>
            </w:r>
          </w:p>
        </w:tc>
        <w:tc>
          <w:tcPr>
            <w:tcW w:w="300" w:type="dxa"/>
            <w:vAlign w:val="bottom"/>
            <w:tcBorders>
              <w:bottom w:val="single" w:sz="8" w:color="auto"/>
            </w:tcBorders>
            <w:shd w:val="clear" w:color="auto" w:fill="CFF0FC"/>
          </w:tcPr>
          <w:p>
            <w:pPr>
              <w:spacing w:after="0"/>
              <w:rPr>
                <w:sz w:val="23"/>
                <w:szCs w:val="23"/>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8,791</w:t>
            </w:r>
          </w:p>
        </w:tc>
        <w:tc>
          <w:tcPr>
            <w:tcW w:w="26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1,735</w:t>
            </w:r>
          </w:p>
        </w:tc>
      </w:tr>
      <w:tr>
        <w:trPr>
          <w:trHeight w:val="265"/>
        </w:trPr>
        <w:tc>
          <w:tcPr>
            <w:tcW w:w="6480" w:type="dxa"/>
            <w:vAlign w:val="bottom"/>
          </w:tcPr>
          <w:p>
            <w:pPr>
              <w:ind w:left="80"/>
              <w:spacing w:after="0"/>
              <w:rPr>
                <w:sz w:val="20"/>
                <w:szCs w:val="20"/>
                <w:color w:val="auto"/>
              </w:rPr>
            </w:pPr>
            <w:r>
              <w:rPr>
                <w:rFonts w:ascii="Arial" w:cs="Arial" w:eastAsia="Arial" w:hAnsi="Arial"/>
                <w:sz w:val="22"/>
                <w:szCs w:val="22"/>
                <w:color w:val="auto"/>
              </w:rPr>
              <w:t>Total net sales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47,542</w:t>
            </w:r>
          </w:p>
        </w:tc>
        <w:tc>
          <w:tcPr>
            <w:tcW w:w="26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32,536</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20"/>
        <w:spacing w:after="0" w:line="249" w:lineRule="auto"/>
        <w:rPr>
          <w:sz w:val="20"/>
          <w:szCs w:val="20"/>
          <w:color w:val="auto"/>
        </w:rPr>
      </w:pPr>
      <w:r>
        <w:rPr>
          <w:rFonts w:ascii="Arial" w:cs="Arial" w:eastAsia="Arial" w:hAnsi="Arial"/>
          <w:sz w:val="22"/>
          <w:szCs w:val="22"/>
          <w:color w:val="231F20"/>
        </w:rPr>
        <w:t>As of March 31, 2021 and December 31, 2020, substantially all of HydraFacial’s property and equipment, net was held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30"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231F20"/>
        </w:rPr>
        <w:t>Note 16 – Net Loss Attributable to Common Shareholders</w:t>
      </w:r>
    </w:p>
    <w:p>
      <w:pPr>
        <w:spacing w:after="0" w:line="138" w:lineRule="exact"/>
        <w:rPr>
          <w:sz w:val="20"/>
          <w:szCs w:val="20"/>
          <w:color w:val="auto"/>
        </w:rPr>
      </w:pPr>
    </w:p>
    <w:p>
      <w:pPr>
        <w:ind w:right="360"/>
        <w:spacing w:after="0" w:line="244" w:lineRule="auto"/>
        <w:rPr>
          <w:sz w:val="20"/>
          <w:szCs w:val="20"/>
          <w:color w:val="auto"/>
        </w:rPr>
      </w:pPr>
      <w:r>
        <w:rPr>
          <w:rFonts w:ascii="Arial" w:cs="Arial" w:eastAsia="Arial" w:hAnsi="Arial"/>
          <w:sz w:val="22"/>
          <w:szCs w:val="22"/>
          <w:color w:val="231F20"/>
        </w:rPr>
        <w:t>Net loss attributable to common stockholders is computed by deducting both the dividend distributions declared in the period on preferred stock and the dividends accumulated for the period on cumulative preferred stock from net income (“Basic EPS”). Diluted net loss per share (“Diluted EPS”) is computed by dividing net loss attributable to common stockholders by the total of the weighted-average common stock outstanding shares outstanding during the period.</w:t>
      </w:r>
    </w:p>
    <w:p>
      <w:pPr>
        <w:spacing w:after="0" w:line="105" w:lineRule="exact"/>
        <w:rPr>
          <w:sz w:val="20"/>
          <w:szCs w:val="20"/>
          <w:color w:val="auto"/>
        </w:rPr>
      </w:pPr>
    </w:p>
    <w:p>
      <w:pPr>
        <w:jc w:val="both"/>
        <w:ind w:right="1160"/>
        <w:spacing w:after="0" w:line="272" w:lineRule="auto"/>
        <w:rPr>
          <w:sz w:val="20"/>
          <w:szCs w:val="20"/>
          <w:color w:val="auto"/>
        </w:rPr>
      </w:pPr>
      <w:r>
        <w:rPr>
          <w:rFonts w:ascii="Arial" w:cs="Arial" w:eastAsia="Arial" w:hAnsi="Arial"/>
          <w:sz w:val="21"/>
          <w:szCs w:val="21"/>
          <w:color w:val="231F20"/>
        </w:rPr>
        <w:t>Diluted EPS for the three months ended March 31, 2020 exclude the dilutive effect of stock option shares because their inclusion would be anti-dilutive for all periods. All stock options were cancelled during 2020.</w:t>
      </w:r>
    </w:p>
    <w:p>
      <w:pPr>
        <w:spacing w:after="0" w:line="74" w:lineRule="exact"/>
        <w:rPr>
          <w:sz w:val="20"/>
          <w:szCs w:val="20"/>
          <w:color w:val="auto"/>
        </w:rPr>
      </w:pPr>
    </w:p>
    <w:p>
      <w:pPr>
        <w:ind w:right="420"/>
        <w:spacing w:after="0" w:line="244" w:lineRule="auto"/>
        <w:rPr>
          <w:sz w:val="20"/>
          <w:szCs w:val="20"/>
          <w:color w:val="auto"/>
        </w:rPr>
      </w:pPr>
      <w:r>
        <w:rPr>
          <w:rFonts w:ascii="Arial" w:cs="Arial" w:eastAsia="Arial" w:hAnsi="Arial"/>
          <w:sz w:val="22"/>
          <w:szCs w:val="22"/>
          <w:color w:val="231F20"/>
        </w:rPr>
        <w:t>The following table sets forth the calculation of both basic and diluted net loss per share as follows for the periods indicated (in thousands, except share and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22"/>
                <w:szCs w:val="22"/>
                <w:b w:val="1"/>
                <w:bCs w:val="1"/>
                <w:color w:val="auto"/>
              </w:rPr>
              <w:t>Three Months Ended</w:t>
            </w: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2"/>
          </w:tcPr>
          <w:p>
            <w:pPr>
              <w:ind w:left="60"/>
              <w:spacing w:after="0"/>
              <w:rPr>
                <w:sz w:val="20"/>
                <w:szCs w:val="20"/>
                <w:color w:val="auto"/>
              </w:rPr>
            </w:pPr>
            <w:r>
              <w:rPr>
                <w:rFonts w:ascii="Arial" w:cs="Arial" w:eastAsia="Arial" w:hAnsi="Arial"/>
                <w:sz w:val="22"/>
                <w:szCs w:val="22"/>
                <w:b w:val="1"/>
                <w:bCs w:val="1"/>
                <w:color w:val="auto"/>
              </w:rPr>
              <w:t>March 31, 2021</w:t>
            </w:r>
          </w:p>
        </w:tc>
        <w:tc>
          <w:tcPr>
            <w:tcW w:w="240" w:type="dxa"/>
            <w:vAlign w:val="bottom"/>
          </w:tcPr>
          <w:p>
            <w:pPr>
              <w:spacing w:after="0"/>
              <w:rPr>
                <w:sz w:val="22"/>
                <w:szCs w:val="22"/>
                <w:color w:val="auto"/>
              </w:rPr>
            </w:pPr>
          </w:p>
        </w:tc>
        <w:tc>
          <w:tcPr>
            <w:tcW w:w="1900" w:type="dxa"/>
            <w:vAlign w:val="bottom"/>
          </w:tcPr>
          <w:p>
            <w:pPr>
              <w:jc w:val="right"/>
              <w:ind w:right="192"/>
              <w:spacing w:after="0"/>
              <w:rPr>
                <w:sz w:val="20"/>
                <w:szCs w:val="20"/>
                <w:color w:val="auto"/>
              </w:rPr>
            </w:pPr>
            <w:r>
              <w:rPr>
                <w:rFonts w:ascii="Arial" w:cs="Arial" w:eastAsia="Arial" w:hAnsi="Arial"/>
                <w:sz w:val="22"/>
                <w:szCs w:val="22"/>
                <w:b w:val="1"/>
                <w:bCs w:val="1"/>
                <w:color w:val="auto"/>
              </w:rPr>
              <w:t>March 31, 2020</w:t>
            </w:r>
          </w:p>
        </w:tc>
      </w:tr>
      <w:tr>
        <w:trPr>
          <w:trHeight w:val="263"/>
        </w:trPr>
        <w:tc>
          <w:tcPr>
            <w:tcW w:w="640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Basic and Diluted Net loss per share:</w:t>
            </w:r>
          </w:p>
        </w:tc>
        <w:tc>
          <w:tcPr>
            <w:tcW w:w="240" w:type="dxa"/>
            <w:vAlign w:val="bottom"/>
            <w:tcBorders>
              <w:top w:val="single" w:sz="8" w:color="auto"/>
            </w:tcBorders>
            <w:shd w:val="clear" w:color="auto" w:fill="CFF0FC"/>
          </w:tcPr>
          <w:p>
            <w:pPr>
              <w:spacing w:after="0"/>
              <w:rPr>
                <w:sz w:val="22"/>
                <w:szCs w:val="22"/>
                <w:color w:val="auto"/>
              </w:rPr>
            </w:pPr>
          </w:p>
        </w:tc>
        <w:tc>
          <w:tcPr>
            <w:tcW w:w="190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CFF0FC"/>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900" w:type="dxa"/>
            <w:vAlign w:val="bottom"/>
            <w:tcBorders>
              <w:top w:val="single" w:sz="8" w:color="auto"/>
            </w:tcBorders>
            <w:shd w:val="clear" w:color="auto" w:fill="CFF0FC"/>
          </w:tcPr>
          <w:p>
            <w:pPr>
              <w:spacing w:after="0"/>
              <w:rPr>
                <w:sz w:val="22"/>
                <w:szCs w:val="22"/>
                <w:color w:val="auto"/>
              </w:rPr>
            </w:pPr>
          </w:p>
        </w:tc>
      </w:tr>
      <w:tr>
        <w:trPr>
          <w:trHeight w:val="268"/>
        </w:trPr>
        <w:tc>
          <w:tcPr>
            <w:tcW w:w="6400" w:type="dxa"/>
            <w:vAlign w:val="bottom"/>
          </w:tcPr>
          <w:p>
            <w:pPr>
              <w:ind w:left="80"/>
              <w:spacing w:after="0"/>
              <w:rPr>
                <w:sz w:val="20"/>
                <w:szCs w:val="20"/>
                <w:color w:val="auto"/>
              </w:rPr>
            </w:pPr>
            <w:r>
              <w:rPr>
                <w:rFonts w:ascii="Arial" w:cs="Arial" w:eastAsia="Arial" w:hAnsi="Arial"/>
                <w:sz w:val="22"/>
                <w:szCs w:val="22"/>
                <w:color w:val="auto"/>
              </w:rPr>
              <w:t>Net loss</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(3,274)</w:t>
            </w: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(9,070)</w:t>
            </w:r>
          </w:p>
        </w:tc>
      </w:tr>
      <w:tr>
        <w:trPr>
          <w:trHeight w:val="270"/>
        </w:trPr>
        <w:tc>
          <w:tcPr>
            <w:tcW w:w="6400" w:type="dxa"/>
            <w:vAlign w:val="bottom"/>
            <w:shd w:val="clear" w:color="auto" w:fill="CFF0FC"/>
          </w:tcPr>
          <w:p>
            <w:pPr>
              <w:ind w:left="80"/>
              <w:spacing w:after="0"/>
              <w:rPr>
                <w:sz w:val="20"/>
                <w:szCs w:val="20"/>
                <w:color w:val="auto"/>
              </w:rPr>
            </w:pPr>
            <w:r>
              <w:rPr>
                <w:rFonts w:ascii="Arial" w:cs="Arial" w:eastAsia="Arial" w:hAnsi="Arial"/>
                <w:sz w:val="22"/>
                <w:szCs w:val="22"/>
                <w:color w:val="auto"/>
              </w:rPr>
              <w:t>Less: Cumulative preferred dividends</w:t>
            </w:r>
          </w:p>
        </w:tc>
        <w:tc>
          <w:tcPr>
            <w:tcW w:w="240" w:type="dxa"/>
            <w:vAlign w:val="bottom"/>
            <w:tcBorders>
              <w:bottom w:val="single" w:sz="8" w:color="auto"/>
            </w:tcBorders>
            <w:shd w:val="clear" w:color="auto" w:fill="CFF0FC"/>
          </w:tcPr>
          <w:p>
            <w:pPr>
              <w:spacing w:after="0"/>
              <w:rPr>
                <w:sz w:val="23"/>
                <w:szCs w:val="2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(201)</w:t>
            </w:r>
          </w:p>
        </w:tc>
        <w:tc>
          <w:tcPr>
            <w:tcW w:w="26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(188)</w:t>
            </w:r>
          </w:p>
        </w:tc>
      </w:tr>
      <w:tr>
        <w:trPr>
          <w:trHeight w:val="265"/>
        </w:trPr>
        <w:tc>
          <w:tcPr>
            <w:tcW w:w="6400" w:type="dxa"/>
            <w:vAlign w:val="bottom"/>
          </w:tcPr>
          <w:p>
            <w:pPr>
              <w:ind w:left="80"/>
              <w:spacing w:after="0"/>
              <w:rPr>
                <w:sz w:val="20"/>
                <w:szCs w:val="20"/>
                <w:color w:val="auto"/>
              </w:rPr>
            </w:pPr>
            <w:r>
              <w:rPr>
                <w:rFonts w:ascii="Arial" w:cs="Arial" w:eastAsia="Arial" w:hAnsi="Arial"/>
                <w:sz w:val="22"/>
                <w:szCs w:val="22"/>
                <w:color w:val="auto"/>
              </w:rPr>
              <w:t>Net loss attributable to common shareholders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(3,475)</w:t>
            </w:r>
          </w:p>
        </w:tc>
        <w:tc>
          <w:tcPr>
            <w:tcW w:w="2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(9,258)</w:t>
            </w:r>
          </w:p>
        </w:tc>
      </w:tr>
      <w:tr>
        <w:trPr>
          <w:trHeight w:val="20"/>
        </w:trPr>
        <w:tc>
          <w:tcPr>
            <w:tcW w:w="64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Shares used in computation:</w:t>
            </w:r>
          </w:p>
        </w:tc>
        <w:tc>
          <w:tcPr>
            <w:tcW w:w="240" w:type="dxa"/>
            <w:vAlign w:val="bottom"/>
            <w:shd w:val="clear" w:color="auto" w:fill="CFF0FC"/>
          </w:tcPr>
          <w:p>
            <w:pPr>
              <w:spacing w:after="0"/>
              <w:rPr>
                <w:sz w:val="22"/>
                <w:szCs w:val="22"/>
                <w:color w:val="auto"/>
              </w:rPr>
            </w:pPr>
          </w:p>
        </w:tc>
        <w:tc>
          <w:tcPr>
            <w:tcW w:w="1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900" w:type="dxa"/>
            <w:vAlign w:val="bottom"/>
            <w:shd w:val="clear" w:color="auto" w:fill="CFF0FC"/>
          </w:tcPr>
          <w:p>
            <w:pPr>
              <w:spacing w:after="0"/>
              <w:rPr>
                <w:sz w:val="22"/>
                <w:szCs w:val="22"/>
                <w:color w:val="auto"/>
              </w:rPr>
            </w:pPr>
          </w:p>
        </w:tc>
      </w:tr>
      <w:tr>
        <w:trPr>
          <w:trHeight w:val="268"/>
        </w:trPr>
        <w:tc>
          <w:tcPr>
            <w:tcW w:w="6400" w:type="dxa"/>
            <w:vAlign w:val="bottom"/>
            <w:tcBorders>
              <w:bottom w:val="single" w:sz="8" w:color="CFF0FC"/>
            </w:tcBorders>
          </w:tcPr>
          <w:p>
            <w:pPr>
              <w:ind w:left="80"/>
              <w:spacing w:after="0"/>
              <w:rPr>
                <w:sz w:val="20"/>
                <w:szCs w:val="20"/>
                <w:color w:val="auto"/>
              </w:rPr>
            </w:pPr>
            <w:r>
              <w:rPr>
                <w:rFonts w:ascii="Arial" w:cs="Arial" w:eastAsia="Arial" w:hAnsi="Arial"/>
                <w:sz w:val="22"/>
                <w:szCs w:val="22"/>
                <w:color w:val="auto"/>
              </w:rPr>
              <w:t>Weighted-average common shares outstanding</w:t>
            </w: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54,358</w:t>
            </w:r>
          </w:p>
        </w:tc>
        <w:tc>
          <w:tcPr>
            <w:tcW w:w="26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49,205</w:t>
            </w:r>
          </w:p>
        </w:tc>
      </w:tr>
      <w:tr>
        <w:trPr>
          <w:trHeight w:val="290"/>
        </w:trPr>
        <w:tc>
          <w:tcPr>
            <w:tcW w:w="64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2"/>
                <w:szCs w:val="22"/>
                <w:color w:val="auto"/>
              </w:rPr>
              <w:t>Basic and Diluted Net loss per share:</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(63.92)</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(188.17)</w:t>
            </w: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90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900" w:type="dxa"/>
            <w:vAlign w:val="bottom"/>
            <w:tcBorders>
              <w:top w:val="single" w:sz="8" w:color="CFF0FC"/>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22"/>
          <w:szCs w:val="22"/>
          <w:color w:val="231F20"/>
        </w:rPr>
        <w:t>The following potentially dilutive shares were not included in the calculation of diluted shares outstanding as the effect would have been anti-dilutive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900" w:type="dxa"/>
            <w:vAlign w:val="bottom"/>
          </w:tcPr>
          <w:p>
            <w:pPr>
              <w:spacing w:after="0"/>
              <w:rPr>
                <w:sz w:val="24"/>
                <w:szCs w:val="24"/>
                <w:color w:val="auto"/>
              </w:rPr>
            </w:pPr>
          </w:p>
        </w:tc>
        <w:tc>
          <w:tcPr>
            <w:tcW w:w="4340" w:type="dxa"/>
            <w:vAlign w:val="bottom"/>
            <w:tcBorders>
              <w:bottom w:val="single" w:sz="8" w:color="auto"/>
            </w:tcBorders>
            <w:gridSpan w:val="3"/>
          </w:tcPr>
          <w:p>
            <w:pPr>
              <w:jc w:val="right"/>
              <w:ind w:right="992"/>
              <w:spacing w:after="0"/>
              <w:rPr>
                <w:sz w:val="20"/>
                <w:szCs w:val="20"/>
                <w:color w:val="auto"/>
              </w:rPr>
            </w:pPr>
            <w:r>
              <w:rPr>
                <w:rFonts w:ascii="Arial" w:cs="Arial" w:eastAsia="Arial" w:hAnsi="Arial"/>
                <w:sz w:val="22"/>
                <w:szCs w:val="22"/>
                <w:b w:val="1"/>
                <w:bCs w:val="1"/>
                <w:color w:val="auto"/>
              </w:rPr>
              <w:t>Three Months Ended</w:t>
            </w:r>
          </w:p>
        </w:tc>
      </w:tr>
      <w:tr>
        <w:trPr>
          <w:trHeight w:val="264"/>
        </w:trPr>
        <w:tc>
          <w:tcPr>
            <w:tcW w:w="6900" w:type="dxa"/>
            <w:vAlign w:val="bottom"/>
            <w:tcBorders>
              <w:bottom w:val="single" w:sz="8" w:color="CFF0FC"/>
            </w:tcBorders>
          </w:tcPr>
          <w:p>
            <w:pPr>
              <w:spacing w:after="0"/>
              <w:rPr>
                <w:sz w:val="22"/>
                <w:szCs w:val="22"/>
                <w:color w:val="auto"/>
              </w:rPr>
            </w:pPr>
          </w:p>
        </w:tc>
        <w:tc>
          <w:tcPr>
            <w:tcW w:w="2040" w:type="dxa"/>
            <w:vAlign w:val="bottom"/>
            <w:tcBorders>
              <w:bottom w:val="single" w:sz="8" w:color="auto"/>
            </w:tcBorders>
          </w:tcPr>
          <w:p>
            <w:pPr>
              <w:ind w:left="260"/>
              <w:spacing w:after="0"/>
              <w:rPr>
                <w:sz w:val="20"/>
                <w:szCs w:val="20"/>
                <w:color w:val="auto"/>
              </w:rPr>
            </w:pPr>
            <w:r>
              <w:rPr>
                <w:rFonts w:ascii="Arial" w:cs="Arial" w:eastAsia="Arial" w:hAnsi="Arial"/>
                <w:sz w:val="22"/>
                <w:szCs w:val="22"/>
                <w:b w:val="1"/>
                <w:bCs w:val="1"/>
                <w:color w:val="auto"/>
              </w:rPr>
              <w:t>March 31, 2021</w:t>
            </w:r>
          </w:p>
        </w:tc>
        <w:tc>
          <w:tcPr>
            <w:tcW w:w="260" w:type="dxa"/>
            <w:vAlign w:val="bottom"/>
            <w:tcBorders>
              <w:bottom w:val="single" w:sz="8" w:color="CFF0FC"/>
            </w:tcBorders>
          </w:tcPr>
          <w:p>
            <w:pPr>
              <w:spacing w:after="0"/>
              <w:rPr>
                <w:sz w:val="22"/>
                <w:szCs w:val="22"/>
                <w:color w:val="auto"/>
              </w:rPr>
            </w:pPr>
          </w:p>
        </w:tc>
        <w:tc>
          <w:tcPr>
            <w:tcW w:w="20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rPr>
              <w:t>March 31, 2020</w:t>
            </w:r>
          </w:p>
        </w:tc>
      </w:tr>
      <w:tr>
        <w:trPr>
          <w:trHeight w:val="263"/>
        </w:trPr>
        <w:tc>
          <w:tcPr>
            <w:tcW w:w="6900" w:type="dxa"/>
            <w:vAlign w:val="bottom"/>
            <w:shd w:val="clear" w:color="auto" w:fill="CFF0FC"/>
          </w:tcPr>
          <w:p>
            <w:pPr>
              <w:ind w:left="80"/>
              <w:spacing w:after="0"/>
              <w:rPr>
                <w:sz w:val="20"/>
                <w:szCs w:val="20"/>
                <w:color w:val="auto"/>
              </w:rPr>
            </w:pPr>
            <w:r>
              <w:rPr>
                <w:rFonts w:ascii="Arial" w:cs="Arial" w:eastAsia="Arial" w:hAnsi="Arial"/>
                <w:sz w:val="22"/>
                <w:szCs w:val="22"/>
                <w:color w:val="auto"/>
              </w:rPr>
              <w:t>Stock Options</w:t>
            </w:r>
          </w:p>
        </w:tc>
        <w:tc>
          <w:tcPr>
            <w:tcW w:w="2300" w:type="dxa"/>
            <w:vAlign w:val="bottom"/>
            <w:gridSpan w:val="2"/>
            <w:shd w:val="clear" w:color="auto" w:fill="CFF0FC"/>
          </w:tcPr>
          <w:p>
            <w:pPr>
              <w:ind w:left="1760"/>
              <w:spacing w:after="0"/>
              <w:rPr>
                <w:sz w:val="20"/>
                <w:szCs w:val="20"/>
                <w:color w:val="auto"/>
              </w:rPr>
            </w:pPr>
            <w:r>
              <w:rPr>
                <w:rFonts w:ascii="Arial" w:cs="Arial" w:eastAsia="Arial" w:hAnsi="Arial"/>
                <w:sz w:val="22"/>
                <w:szCs w:val="22"/>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1,509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Note 17 – Subsequent Events</w:t>
      </w:r>
    </w:p>
    <w:p>
      <w:pPr>
        <w:spacing w:after="0" w:line="138" w:lineRule="exact"/>
        <w:rPr>
          <w:sz w:val="20"/>
          <w:szCs w:val="20"/>
          <w:color w:val="auto"/>
        </w:rPr>
      </w:pPr>
    </w:p>
    <w:p>
      <w:pPr>
        <w:ind w:right="1580"/>
        <w:spacing w:after="0" w:line="249" w:lineRule="auto"/>
        <w:rPr>
          <w:sz w:val="20"/>
          <w:szCs w:val="20"/>
          <w:color w:val="auto"/>
        </w:rPr>
      </w:pPr>
      <w:r>
        <w:rPr>
          <w:rFonts w:ascii="Arial" w:cs="Arial" w:eastAsia="Arial" w:hAnsi="Arial"/>
          <w:sz w:val="22"/>
          <w:szCs w:val="22"/>
          <w:color w:val="231F20"/>
        </w:rPr>
        <w:t>HydraFacial has evaluated subsequent events through July 9</w:t>
      </w:r>
      <w:r>
        <w:rPr>
          <w:rFonts w:ascii="Arial" w:cs="Arial" w:eastAsia="Arial" w:hAnsi="Arial"/>
          <w:sz w:val="22"/>
          <w:szCs w:val="22"/>
          <w:color w:val="000000"/>
        </w:rPr>
        <w:t>, 2021</w:t>
      </w:r>
      <w:r>
        <w:rPr>
          <w:rFonts w:ascii="Arial" w:cs="Arial" w:eastAsia="Arial" w:hAnsi="Arial"/>
          <w:sz w:val="22"/>
          <w:szCs w:val="22"/>
          <w:color w:val="231F20"/>
        </w:rPr>
        <w:t>, which is the date the condensed consolidated financial statements were available to be issued.</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Acquisitions</w:t>
      </w:r>
    </w:p>
    <w:p>
      <w:pPr>
        <w:spacing w:after="0" w:line="147" w:lineRule="exact"/>
        <w:rPr>
          <w:sz w:val="20"/>
          <w:szCs w:val="20"/>
          <w:color w:val="auto"/>
        </w:rPr>
      </w:pPr>
    </w:p>
    <w:p>
      <w:pPr>
        <w:ind w:right="880"/>
        <w:spacing w:after="0" w:line="244" w:lineRule="auto"/>
        <w:rPr>
          <w:sz w:val="20"/>
          <w:szCs w:val="20"/>
          <w:color w:val="auto"/>
        </w:rPr>
      </w:pPr>
      <w:r>
        <w:rPr>
          <w:rFonts w:ascii="Arial" w:cs="Arial" w:eastAsia="Arial" w:hAnsi="Arial"/>
          <w:sz w:val="22"/>
          <w:szCs w:val="22"/>
          <w:color w:val="auto"/>
        </w:rPr>
        <w:t>HydraFacial has entered into definitive agreements to acquire four distributors across Latin America, Europe and Asia to sell and distribute the HydraFacial line of products within their respective regions. One distributor acquisition has closed on June 4, 2021 with cash consideration of $5.7 million prior to working capital adjustments plus equity consideration consisting of 110,726 shares of Class A Common Stock of BeautyHealth. The remaining three acquisitions closed on July 1, 2021. Cash consideration expected to be paid in the aggregate, prior to any working capital adjustments, to acquire the three remaining distributors is $23.4 million plus equity consideration consisting of 479,373 shares of Class A Common Stock of BeautyHealth. The equity consideration for all four acquisitions will be issued by August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30" w:right="339" w:bottom="1440" w:gutter="0" w:footer="0" w:header="0"/>
        </w:sectPr>
      </w:pPr>
    </w:p>
    <w:bookmarkStart w:id="27" w:name="page28"/>
    <w:bookmarkEnd w:id="27"/>
    <w:p>
      <w:pPr>
        <w:spacing w:after="0" w:line="34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Merger</w:t>
      </w:r>
    </w:p>
    <w:p>
      <w:pPr>
        <w:spacing w:after="0" w:line="107" w:lineRule="exact"/>
        <w:rPr>
          <w:sz w:val="20"/>
          <w:szCs w:val="20"/>
          <w:color w:val="auto"/>
        </w:rPr>
      </w:pPr>
    </w:p>
    <w:p>
      <w:pPr>
        <w:ind w:right="560"/>
        <w:spacing w:after="0" w:line="245" w:lineRule="auto"/>
        <w:rPr>
          <w:sz w:val="20"/>
          <w:szCs w:val="20"/>
          <w:color w:val="auto"/>
        </w:rPr>
      </w:pPr>
      <w:r>
        <w:rPr>
          <w:rFonts w:ascii="Arial" w:cs="Arial" w:eastAsia="Arial" w:hAnsi="Arial"/>
          <w:sz w:val="22"/>
          <w:szCs w:val="22"/>
          <w:color w:val="auto"/>
        </w:rPr>
        <w:t>On May 4, 2021, HydraFacial consummated the Merger Agreement with Vesper, pursuant to which Vesper acquired, directly or indirectly, 100% of the stock of HydraFacial and its subsidiaries. Upon closing, the surviving entity was renamed The Beauty Health Company and trades on the Nasdaq Capital Market under the ticker symbol “SKIN.”</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 transactions set forth in the Merger Agreement constitute a “Business Combination” as contemplated by Vesper’s Amended &amp; Restated Certificate of Incorporation. Immediately after the completion of the Business Combination, the shareholders of HydraFacial exchanged their interests in HydraFacial for shares of common stock of the surviving entity.</w:t>
      </w:r>
    </w:p>
    <w:p>
      <w:pPr>
        <w:spacing w:after="0" w:line="101" w:lineRule="exact"/>
        <w:rPr>
          <w:sz w:val="20"/>
          <w:szCs w:val="20"/>
          <w:color w:val="auto"/>
        </w:rPr>
      </w:pPr>
    </w:p>
    <w:p>
      <w:pPr>
        <w:ind w:right="300"/>
        <w:spacing w:after="0" w:line="244" w:lineRule="auto"/>
        <w:rPr>
          <w:sz w:val="20"/>
          <w:szCs w:val="20"/>
          <w:color w:val="auto"/>
        </w:rPr>
      </w:pPr>
      <w:r>
        <w:rPr>
          <w:rFonts w:ascii="Arial" w:cs="Arial" w:eastAsia="Arial" w:hAnsi="Arial"/>
          <w:sz w:val="22"/>
          <w:szCs w:val="22"/>
          <w:color w:val="auto"/>
        </w:rPr>
        <w:t>Pursuant to the terms of the Merger Agreement, the aggregate merger consideration paid to the HydraFacial stockholders in connection with the Business Combination was approximately $975.0 million less HydraFacial’s net indebtedness as of the Closing Date, transaction expenses, and net working capital relative to a target. In connection with the transaction, all of HydraFacial’s existing debt under its credit facilities were repaid and the note receivable from its stockholder was settled.</w:t>
      </w:r>
    </w:p>
    <w:p>
      <w:pPr>
        <w:spacing w:after="0" w:line="159" w:lineRule="exact"/>
        <w:rPr>
          <w:sz w:val="20"/>
          <w:szCs w:val="20"/>
          <w:color w:val="auto"/>
        </w:rPr>
      </w:pPr>
    </w:p>
    <w:p>
      <w:pPr>
        <w:ind w:right="300"/>
        <w:spacing w:after="0" w:line="243" w:lineRule="auto"/>
        <w:rPr>
          <w:sz w:val="20"/>
          <w:szCs w:val="20"/>
          <w:color w:val="auto"/>
        </w:rPr>
      </w:pPr>
      <w:r>
        <w:rPr>
          <w:rFonts w:ascii="Arial" w:cs="Arial" w:eastAsia="Arial" w:hAnsi="Arial"/>
          <w:sz w:val="22"/>
          <w:szCs w:val="22"/>
          <w:color w:val="auto"/>
        </w:rPr>
        <w:t>The merger consideration included both cash consideration and consideration in the form of newly issued Class A Common Stock. The aggregate cash consideration paid to the former HydraFacial stockholders at the Closing was approximately $368.0 million, consisting of the Vesper’s cash and cash equivalents as of the closing of the Business Combination including proceeds of $350.0 million from Vesper’s Private Placement of an aggregate of 35,000,000 shares of Class A Common Stock, and approximately $433.0 million of cash available to Vesper from the trust account that held the proceeds from Vesper’s initial public offering (the “Trust Account”)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Vesper, minus $100.0 million. The remainder of the consideration paid to the HydraFacial stockholders consisted of 35,501,743 newly issued shares of Class A Common Stock. The foregoing consideration paid to the HydraFacial stockholders will be further increased by the payment of 7.5 million earn-out shares of Class A Common Stock pursuant to the terms of the Merger Agreement and as a result of the consummation of the distributor acquisitions referenced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ind w:left="9900"/>
        <w:spacing w:after="0"/>
        <w:rPr>
          <w:sz w:val="20"/>
          <w:szCs w:val="20"/>
          <w:color w:val="auto"/>
        </w:rPr>
      </w:pPr>
      <w:r>
        <w:rPr>
          <w:rFonts w:ascii="Arial" w:cs="Arial" w:eastAsia="Arial" w:hAnsi="Arial"/>
          <w:sz w:val="17"/>
          <w:szCs w:val="17"/>
          <w:b w:val="1"/>
          <w:bCs w:val="1"/>
          <w:color w:val="auto"/>
        </w:rPr>
        <w:t>Exhibit 99.7</w:t>
      </w:r>
    </w:p>
    <w:p>
      <w:pPr>
        <w:spacing w:after="0" w:line="129" w:lineRule="exact"/>
        <w:rPr>
          <w:sz w:val="20"/>
          <w:szCs w:val="20"/>
          <w:color w:val="auto"/>
        </w:rPr>
      </w:pPr>
    </w:p>
    <w:p>
      <w:pPr>
        <w:jc w:val="center"/>
        <w:ind w:left="660" w:right="20"/>
        <w:spacing w:after="0" w:line="287" w:lineRule="auto"/>
        <w:rPr>
          <w:sz w:val="20"/>
          <w:szCs w:val="20"/>
          <w:color w:val="auto"/>
        </w:rPr>
      </w:pPr>
      <w:r>
        <w:rPr>
          <w:rFonts w:ascii="Arial" w:cs="Arial" w:eastAsia="Arial" w:hAnsi="Arial"/>
          <w:sz w:val="18"/>
          <w:szCs w:val="18"/>
          <w:b w:val="1"/>
          <w:bCs w:val="1"/>
          <w:color w:val="231F20"/>
        </w:rPr>
        <w:t>MANAGEMENT’S DISCUSSION AND ANALYSIS OF FINANCIAL CONDITION AND RESULTS OF OPERATIONS OF LCP EDGE INTERMEDIATE, INC.</w:t>
      </w:r>
    </w:p>
    <w:p>
      <w:pPr>
        <w:spacing w:after="0" w:line="6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231F20"/>
        </w:rPr>
        <w:t>The following discussion and analysis of LCP Edge Intermediate Inc.’s financial condition and results of operations should be read in conjunction with LCP Edge Intermediate Inc.’s consolidated financial statements and related notes appearing elsewhere in this Current Report on Form 8-K. The following discussion and analysis contains forward-looking statements that involve risks and uncertainties, as well as assumptions that, if they never materialize or prove incorrect, could cause LCP Edge Intermediate Inc.’s results to differ materially from those expressed or implied by such forward-looking statements. Unless the context otherwise requires, references to “HydraFacial”, “we”, “us”, and “our” in this section are intended to mean the business and operations of LCP Edge Intermediate, Inc. and its consolidated subsidiaries.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Overview</w:t>
      </w:r>
    </w:p>
    <w:p>
      <w:pPr>
        <w:spacing w:after="0" w:line="13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Founded in 1997, HydraFacial is a category-creating beauty health company. Its offerings in skin care and scalp health occupy a position at the intersection of medical aesthetics and traditional skin and personal care products. HydraFacial treatments are convenient, affordable, personalized and have demonstrated effectiveness. HydraFacial distributes its products in 87 countries through multiple channels including day spas, hotels, dermatologists, plastic surgeons and beauty retail.</w:t>
      </w:r>
    </w:p>
    <w:p>
      <w:pPr>
        <w:spacing w:after="0" w:line="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231F20"/>
        </w:rPr>
        <w:t>HydraFacial’s business model has two predominant revenue streams: Delivery Systems (as defined below) and Consumables (as defined below). Delivery Systems are purchased up-front. Consumable single- and multi-use serums, tips and boosters or “Consumables” to provide treatments using our Delivery Systems are purchased on a recurring basis. The expansion of the number of Delivery Systems installed increases the foundation for future revenue by creating a larger base to drive consumable sales. We believe that as the installed base grows and Delivery Systems become more productive, recurring revenue will grow to become a larger share of the business.</w:t>
      </w:r>
    </w:p>
    <w:p>
      <w:pPr>
        <w:spacing w:after="0" w:line="10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231F20"/>
        </w:rPr>
        <w:t>HydraFacial has more than tripled Net Sales from $ 48 million for the year ended December 31, 2016 to $</w:t>
      </w:r>
      <w:r>
        <w:rPr>
          <w:rFonts w:ascii="Arial" w:cs="Arial" w:eastAsia="Arial" w:hAnsi="Arial"/>
          <w:sz w:val="18"/>
          <w:szCs w:val="18"/>
          <w:color w:val="000000"/>
        </w:rPr>
        <w:t>166</w:t>
      </w:r>
      <w:r>
        <w:rPr>
          <w:rFonts w:ascii="Arial" w:cs="Arial" w:eastAsia="Arial" w:hAnsi="Arial"/>
          <w:sz w:val="18"/>
          <w:szCs w:val="18"/>
          <w:color w:val="231F20"/>
        </w:rPr>
        <w:t xml:space="preserve"> million for the year ended December 31, 2019, growing its footprint both in the US and internationally. Net sales decreased in 2020 as a result of COVID-19 restrictions, but have rebounded since the onset of the pandemic, as Net sales increased $15.0 million, or 46.1%, for the three months ended March 31, 2021 when compared with the Net sales for the three months ended March 31, 2020. Financial metrics we use to track our goals include revenue growth, adjusted gross profit and Adjusted EBITDA. For a definition of Key Performance Indicators (“</w:t>
      </w:r>
      <w:r>
        <w:rPr>
          <w:rFonts w:ascii="Arial" w:cs="Arial" w:eastAsia="Arial" w:hAnsi="Arial"/>
          <w:sz w:val="18"/>
          <w:szCs w:val="18"/>
          <w:i w:val="1"/>
          <w:iCs w:val="1"/>
          <w:color w:val="231F20"/>
        </w:rPr>
        <w:t>KPIs</w:t>
      </w:r>
      <w:r>
        <w:rPr>
          <w:rFonts w:ascii="Arial" w:cs="Arial" w:eastAsia="Arial" w:hAnsi="Arial"/>
          <w:sz w:val="18"/>
          <w:szCs w:val="18"/>
          <w:color w:val="231F20"/>
        </w:rPr>
        <w:t>”) see the section titled “—Key Operational and Business Metrics”.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of the COVID-19 Pandemic</w:t>
      </w:r>
    </w:p>
    <w:p>
      <w:pPr>
        <w:spacing w:after="0" w:line="13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The COVID-19 pandemic has had, and we expect will continue to have adverse impacts on our business. As government authorities around the world continue to implement significant measures intended to control the spread of the virus and institute restrictions on commercial operations, while at the same time implementing multi-step policies with the goal of re-opening certain markets, we are working to ensure our compliance while also maintaining business continuity for essential operations in our facilities.</w:t>
      </w:r>
    </w:p>
    <w:p>
      <w:pPr>
        <w:spacing w:after="0" w:line="9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231F20"/>
        </w:rPr>
        <w:t>The COVID-19 pandemic caused us to experience several adverse impacts primarily in the first and second quarters of fiscal year 2020, including extended sales cycles to close new orders for our products, delays in shipping and installing orders due to closed facilities and travel limitations and delays and failures in collecting accounts receivable. The rapid development and uncertainty of the impacts of the COVID-19 pandemic precludes any prediction as to the ultimate adverse impact of the COVID-19 pandemic on our business. However, the COVID-19 pandemic, and the measures taken to contain it, present material uncertainty and risk with respect to our performance and financial results. In particular, closure of providers, restrictions on performing personal services, consumer perceptions about the safety of HydraFacial’s services, disruption in the supply chain of raw materials and components, and inefficiencies in the manufacturing of products due to social distancing and hygiene protocols. Disruptions in the capital markets as a result of the COVID-19 pandemic may also adversely affect our business if these impacts continue for a prolonged period and we need additional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00"/>
          </w:cols>
          <w:pgMar w:left="320" w:top="1089" w:right="679" w:bottom="1440" w:gutter="0" w:footer="0" w:header="0"/>
        </w:sectPr>
      </w:pPr>
    </w:p>
    <w:bookmarkStart w:id="29" w:name="page30"/>
    <w:bookmarkEnd w:id="29"/>
    <w:p>
      <w:pPr>
        <w:ind w:right="140" w:firstLine="324"/>
        <w:spacing w:after="0" w:line="251" w:lineRule="auto"/>
        <w:rPr>
          <w:sz w:val="20"/>
          <w:szCs w:val="20"/>
          <w:color w:val="auto"/>
        </w:rPr>
      </w:pPr>
      <w:r>
        <w:rPr>
          <w:rFonts w:ascii="Arial" w:cs="Arial" w:eastAsia="Arial" w:hAnsi="Arial"/>
          <w:sz w:val="18"/>
          <w:szCs w:val="18"/>
          <w:color w:val="231F20"/>
        </w:rPr>
        <w:t>During the year ended December 31, 2020, we took and may continue to take, actions to mitigate the impact of the COVID-19 pandemic on our cash flow and results of operations and financial condition. Starting in April 2020, after the government mandated shutdowns, we experienced a significant decline in sales during the second quarter of 2020 and took certain corrective measures. HydraFacial furloughed a majority of its workforce and went through a restructuring process, which included the write-off of certain product lines, and costs incurred for assistance provided by third-party consultants to assist in managing the downturn. Subsequent to the downturn experienced during the second quarter of 2020, our revenues increased, and we returned to having positive Adjusted EBITDA in the latter half of 2020. This trend continued into the first quarter of 2021. We are currently managing the variable portion of our cost structure to better align with revenue, including external marketing spend, which was significantly reduced during the downturn and during the first quarter of 2021. Additionally, many of our furloughed employees have returned to work.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Business Combination and Public Company Costs</w:t>
      </w:r>
    </w:p>
    <w:p>
      <w:pPr>
        <w:spacing w:after="0" w:line="13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231F20"/>
        </w:rPr>
        <w:t>On May 4, 2021 (the “Closing Date”), HydraFacial consummated the previously announced Business Combination pursuant to that certain Merger Agreement, dated December 8, 2020 (the “Merger Agreement”) with Vesper Healthcare Acquisition Corp. (“Vesper"), pursuant to which Vesper acquired, directly or indirectly, 100% of the stock of HydraFacial and its subsidiaries. Upon closing, the combined entity was renamed the Beauty Health Company (“BeautyHealth”) and trades on the Nasdaq Capital Market under the ticker symbol “SKIN”.</w:t>
      </w:r>
    </w:p>
    <w:p>
      <w:pPr>
        <w:spacing w:after="0" w:line="9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Pursuant to the terms of the Merger Agreement, the aggregate merger consideration paid to the HydraFacial stockholders in connection with the Business Combination was approximately $975.0 million less HydraFacial’s net indebtedness as of the Closing Date, transaction expenses, and net working capital relative to a target. In connection with the transaction, all of HydraFacial’s existing debt under its credit facilities were repaid and the note receivable from its stockholder was settled.</w:t>
      </w:r>
    </w:p>
    <w:p>
      <w:pPr>
        <w:spacing w:after="0" w:line="9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merger consideration included both cash consideration and consideration in the form of newly issued Class A Common Stock.</w:t>
      </w:r>
      <w:r>
        <w:rPr>
          <w:rFonts w:ascii="Arial" w:cs="Arial" w:eastAsia="Arial" w:hAnsi="Arial"/>
          <w:sz w:val="18"/>
          <w:szCs w:val="18"/>
          <w:color w:val="231F20"/>
        </w:rPr>
        <w:t xml:space="preserve"> </w:t>
      </w:r>
      <w:r>
        <w:rPr>
          <w:rFonts w:ascii="Arial" w:cs="Arial" w:eastAsia="Arial" w:hAnsi="Arial"/>
          <w:sz w:val="18"/>
          <w:szCs w:val="18"/>
          <w:color w:val="000000"/>
        </w:rPr>
        <w:t xml:space="preserve">The aggregate cash consideration paid to the former HydraFacial stockholders at the Closing was approximately $368.0 million, consisting of the Vesper’s cash and cash equivalents as of the closing of the Business Combination including proceeds of $350.0 million from Vesper’s Private Placement of an aggregate of 35,000,000 shares of Class A Common Stock, and approximately $433.0 million of cash available to Vesper from the trust account that held the proceeds from Vesper’s initial public offering (the "Trust Account") after giving effect to income and franchise taxes payable in respect of interest income earned in the Trust Account and redemptions that were elected by Vesper’s public stockholders, </w:t>
      </w:r>
      <w:r>
        <w:rPr>
          <w:rFonts w:ascii="Arial" w:cs="Arial" w:eastAsia="Arial" w:hAnsi="Arial"/>
          <w:sz w:val="18"/>
          <w:szCs w:val="18"/>
          <w:i w:val="1"/>
          <w:iCs w:val="1"/>
          <w:color w:val="000000"/>
        </w:rPr>
        <w:t>minus</w:t>
      </w:r>
      <w:r>
        <w:rPr>
          <w:rFonts w:ascii="Arial" w:cs="Arial" w:eastAsia="Arial" w:hAnsi="Arial"/>
          <w:sz w:val="18"/>
          <w:szCs w:val="18"/>
          <w:color w:val="000000"/>
        </w:rPr>
        <w:t xml:space="preserve"> approximately $224.0 million used to repay HydraFacial’s outstanding indebtedness at the Closing, </w:t>
      </w:r>
      <w:r>
        <w:rPr>
          <w:rFonts w:ascii="Arial" w:cs="Arial" w:eastAsia="Arial" w:hAnsi="Arial"/>
          <w:sz w:val="18"/>
          <w:szCs w:val="18"/>
          <w:i w:val="1"/>
          <w:iCs w:val="1"/>
          <w:color w:val="000000"/>
        </w:rPr>
        <w:t>minus</w:t>
      </w:r>
      <w:r>
        <w:rPr>
          <w:rFonts w:ascii="Arial" w:cs="Arial" w:eastAsia="Arial" w:hAnsi="Arial"/>
          <w:sz w:val="18"/>
          <w:szCs w:val="18"/>
          <w:color w:val="000000"/>
        </w:rPr>
        <w:t xml:space="preserve"> approximately $94.0 million of transaction expenses of HydraFacial and Vesper, </w:t>
      </w:r>
      <w:r>
        <w:rPr>
          <w:rFonts w:ascii="Arial" w:cs="Arial" w:eastAsia="Arial" w:hAnsi="Arial"/>
          <w:sz w:val="18"/>
          <w:szCs w:val="18"/>
          <w:i w:val="1"/>
          <w:iCs w:val="1"/>
          <w:color w:val="000000"/>
        </w:rPr>
        <w:t>minus</w:t>
      </w:r>
      <w:r>
        <w:rPr>
          <w:rFonts w:ascii="Arial" w:cs="Arial" w:eastAsia="Arial" w:hAnsi="Arial"/>
          <w:sz w:val="18"/>
          <w:szCs w:val="18"/>
          <w:color w:val="000000"/>
        </w:rPr>
        <w:t xml:space="preserve"> $100.0 million. The remainder of the consideration paid to the HydraFacial stockholders consisted of 35,501,743 newly issued shares of Class A Common Stock. The foregoing consideration paid to the HydraFacial stockholders may be further increased by amounts payable as earn-out shares of Class A Common Stock pursuant to the terms of the Merger Agreement.</w:t>
      </w:r>
    </w:p>
    <w:p>
      <w:pPr>
        <w:spacing w:after="0" w:line="103"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231F20"/>
        </w:rPr>
        <w:t>Notwithstanding the legal form of the Business Combination pursuant to the Merger Agreement, the Business Combination was accounted for as a reverse recapitalization in accordance with GAAP. Under this method of accounting, Vesper was treated as the “acquired” company for financial reporting purposes. This determination was primarily based on the following:</w:t>
      </w:r>
    </w:p>
    <w:p>
      <w:pPr>
        <w:spacing w:after="0" w:line="94" w:lineRule="exact"/>
        <w:rPr>
          <w:sz w:val="20"/>
          <w:szCs w:val="20"/>
          <w:color w:val="auto"/>
        </w:rPr>
      </w:pPr>
    </w:p>
    <w:p>
      <w:pPr>
        <w:ind w:left="660" w:right="640" w:hanging="4"/>
        <w:spacing w:after="0" w:line="261" w:lineRule="auto"/>
        <w:tabs>
          <w:tab w:leader="none" w:pos="1276"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HydraFacial’s existing shareholders were expected to have the largest minority interest of the voting power in the combined entity under the minimum and maximum redemption scenarios;</w:t>
      </w:r>
    </w:p>
    <w:p>
      <w:pPr>
        <w:spacing w:after="0" w:line="35" w:lineRule="exact"/>
        <w:rPr>
          <w:rFonts w:ascii="Arial" w:cs="Arial" w:eastAsia="Arial" w:hAnsi="Arial"/>
          <w:sz w:val="18"/>
          <w:szCs w:val="18"/>
          <w:color w:val="231F20"/>
        </w:rPr>
      </w:pPr>
    </w:p>
    <w:p>
      <w:pPr>
        <w:ind w:left="1280" w:hanging="624"/>
        <w:spacing w:after="0"/>
        <w:tabs>
          <w:tab w:leader="none" w:pos="12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HydraFacial’s operations prior to the acquisition comprise the only ongoing operations of the combined entity;</w:t>
      </w:r>
    </w:p>
    <w:p>
      <w:pPr>
        <w:spacing w:after="0" w:line="63" w:lineRule="exact"/>
        <w:rPr>
          <w:rFonts w:ascii="Arial" w:cs="Arial" w:eastAsia="Arial" w:hAnsi="Arial"/>
          <w:sz w:val="18"/>
          <w:szCs w:val="18"/>
          <w:color w:val="231F20"/>
        </w:rPr>
      </w:pPr>
    </w:p>
    <w:p>
      <w:pPr>
        <w:ind w:left="1280" w:hanging="624"/>
        <w:spacing w:after="0"/>
        <w:tabs>
          <w:tab w:leader="none" w:pos="12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HydraFacial senior management were retained and compose the majority of the senior management of the combined</w:t>
      </w:r>
    </w:p>
    <w:p>
      <w:pPr>
        <w:spacing w:after="0" w:line="9" w:lineRule="exact"/>
        <w:rPr>
          <w:rFonts w:ascii="Arial" w:cs="Arial" w:eastAsia="Arial" w:hAnsi="Arial"/>
          <w:sz w:val="18"/>
          <w:szCs w:val="18"/>
          <w:color w:val="231F20"/>
        </w:rPr>
      </w:pPr>
    </w:p>
    <w:p>
      <w:pPr>
        <w:ind w:left="660"/>
        <w:spacing w:after="0"/>
        <w:rPr>
          <w:rFonts w:ascii="Arial" w:cs="Arial" w:eastAsia="Arial" w:hAnsi="Arial"/>
          <w:sz w:val="18"/>
          <w:szCs w:val="18"/>
          <w:color w:val="231F20"/>
        </w:rPr>
      </w:pPr>
      <w:r>
        <w:rPr>
          <w:rFonts w:ascii="Arial" w:cs="Arial" w:eastAsia="Arial" w:hAnsi="Arial"/>
          <w:sz w:val="18"/>
          <w:szCs w:val="18"/>
          <w:color w:val="231F20"/>
        </w:rPr>
        <w:t>entity;</w:t>
      </w:r>
    </w:p>
    <w:p>
      <w:pPr>
        <w:spacing w:after="0" w:line="63" w:lineRule="exact"/>
        <w:rPr>
          <w:rFonts w:ascii="Arial" w:cs="Arial" w:eastAsia="Arial" w:hAnsi="Arial"/>
          <w:sz w:val="18"/>
          <w:szCs w:val="18"/>
          <w:color w:val="231F20"/>
        </w:rPr>
      </w:pPr>
    </w:p>
    <w:p>
      <w:pPr>
        <w:ind w:left="1280" w:hanging="624"/>
        <w:spacing w:after="0"/>
        <w:tabs>
          <w:tab w:leader="none" w:pos="12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HydraFacial’s relative valuation and results of operations compared to Vesper; and</w:t>
      </w:r>
    </w:p>
    <w:p>
      <w:pPr>
        <w:spacing w:after="0" w:line="63" w:lineRule="exact"/>
        <w:rPr>
          <w:rFonts w:ascii="Arial" w:cs="Arial" w:eastAsia="Arial" w:hAnsi="Arial"/>
          <w:sz w:val="18"/>
          <w:szCs w:val="18"/>
          <w:color w:val="231F20"/>
        </w:rPr>
      </w:pPr>
    </w:p>
    <w:p>
      <w:pPr>
        <w:ind w:left="660" w:right="240" w:hanging="4"/>
        <w:spacing w:after="0" w:line="261" w:lineRule="auto"/>
        <w:tabs>
          <w:tab w:leader="none" w:pos="1276"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pursuant to the Investor Rights Agreement, HydraFacial was given the right to designate certain initial members of the board of directors of the post-combination company immediately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880"/>
          </w:cols>
          <w:pgMar w:left="320" w:top="1111" w:right="699" w:bottom="1440" w:gutter="0" w:footer="0" w:header="0"/>
        </w:sectPr>
      </w:pPr>
    </w:p>
    <w:bookmarkStart w:id="30" w:name="page31"/>
    <w:bookmarkEnd w:id="30"/>
    <w:p>
      <w:pPr>
        <w:ind w:right="160" w:firstLine="324"/>
        <w:spacing w:after="0" w:line="252" w:lineRule="auto"/>
        <w:rPr>
          <w:sz w:val="20"/>
          <w:szCs w:val="20"/>
          <w:color w:val="auto"/>
        </w:rPr>
      </w:pPr>
      <w:r>
        <w:rPr>
          <w:rFonts w:ascii="Arial" w:cs="Arial" w:eastAsia="Arial" w:hAnsi="Arial"/>
          <w:sz w:val="18"/>
          <w:szCs w:val="18"/>
          <w:color w:val="auto"/>
        </w:rPr>
        <w:t xml:space="preserve">Consideration was given to the fact that Vesper paid a purchase price consisting of a combination of cash and equity </w:t>
      </w:r>
      <w:r>
        <w:rPr>
          <w:rFonts w:ascii="Arial" w:cs="Arial" w:eastAsia="Arial" w:hAnsi="Arial"/>
          <w:sz w:val="18"/>
          <w:szCs w:val="18"/>
          <w:color w:val="231F20"/>
        </w:rPr>
        <w:t>consideration</w:t>
      </w:r>
      <w:r>
        <w:rPr>
          <w:rFonts w:ascii="Arial" w:cs="Arial" w:eastAsia="Arial" w:hAnsi="Arial"/>
          <w:sz w:val="18"/>
          <w:szCs w:val="18"/>
          <w:color w:val="auto"/>
        </w:rPr>
        <w:t xml:space="preserve"> and its shareholders would have significant voting power. However, based on the aforementioned factors of management, board representation, largest minority shareholder, and the continuation of the HydraFacial business as well as size it was determined that accounting for the Business Combination as a reverse recapitalization was appropriate. Accordingly, for accounting purposes, the financial statements of the combined entity will represent a continuation of the financial statements of HydraFacial with the acquisition being treated as the equivalent of HydraFacial issuing stock for the net assets of Vesper, accompanied by a recapitalization. The net assets of Vesper were stated at historical cost, with no goodwill or other intangible assets recorded.</w:t>
      </w:r>
    </w:p>
    <w:p>
      <w:pPr>
        <w:spacing w:after="0" w:line="99"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231F20"/>
        </w:rPr>
        <w:t xml:space="preserve">Following </w:t>
      </w:r>
      <w:r>
        <w:rPr>
          <w:rFonts w:ascii="Arial" w:cs="Arial" w:eastAsia="Arial" w:hAnsi="Arial"/>
          <w:sz w:val="18"/>
          <w:szCs w:val="18"/>
          <w:color w:val="000000"/>
        </w:rPr>
        <w:t>the consummation of the Business Combination, we became an SEC-registered and NASDAQ-listed company, which</w:t>
      </w:r>
      <w:r>
        <w:rPr>
          <w:rFonts w:ascii="Arial" w:cs="Arial" w:eastAsia="Arial" w:hAnsi="Arial"/>
          <w:sz w:val="18"/>
          <w:szCs w:val="18"/>
          <w:color w:val="231F20"/>
        </w:rPr>
        <w:t xml:space="preserve"> </w:t>
      </w:r>
      <w:r>
        <w:rPr>
          <w:rFonts w:ascii="Arial" w:cs="Arial" w:eastAsia="Arial" w:hAnsi="Arial"/>
          <w:sz w:val="18"/>
          <w:szCs w:val="18"/>
          <w:color w:val="000000"/>
        </w:rPr>
        <w:t>requires us to hire additional staff and implement procedures and processes to address public company regulatory requirements and customary practices. We have incurred and expect to incur additional annual expenses for, among other things, directors’ and officers’ liability insurance, director fees and additional internal and external accounting, legal and administrative resources and fees.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Factors Affecting Our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Trends</w:t>
      </w:r>
    </w:p>
    <w:p>
      <w:pPr>
        <w:spacing w:after="0" w:line="13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231F20"/>
        </w:rPr>
        <w:t>HydraFacial is a pioneer in the attractive and growing beauty 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Demographics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231F20"/>
        </w:rPr>
        <w:t>HydraFacial benefits from a large, young and diverse customer base and the ability to serve a large percentage of the population given that HydraFacial’s patented technology addresses all skin, regardless of type, age or gender. At the intersection of the medical and consumer retail markets, the large potential customer base should provide significant upside to drive topline growth. HydraFacial over indexes with males, significantly increasing the Total Addressable Market (TAM) compared to peers and the mix of male customers is growing at two times the rate of female customers. HydraFacial customers are young; approximately 50% of HydraFacial customers are Millennials, and approximately 30% of HydraFacial’s beauty retail customers are under the age of 24. As the Millennial and Gen Z consumers age, they appear to be taking skincare more seriously and willing to invest in premium treatments, such as those offered by HydraFacial.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Marketing</w:t>
      </w:r>
    </w:p>
    <w:p>
      <w:pPr>
        <w:spacing w:after="0" w:line="139" w:lineRule="exact"/>
        <w:rPr>
          <w:sz w:val="20"/>
          <w:szCs w:val="20"/>
          <w:color w:val="auto"/>
        </w:rPr>
      </w:pPr>
    </w:p>
    <w:p>
      <w:pPr>
        <w:jc w:val="both"/>
        <w:ind w:right="440" w:firstLine="324"/>
        <w:spacing w:after="0" w:line="291" w:lineRule="auto"/>
        <w:rPr>
          <w:sz w:val="20"/>
          <w:szCs w:val="20"/>
          <w:color w:val="auto"/>
        </w:rPr>
      </w:pPr>
      <w:r>
        <w:rPr>
          <w:rFonts w:ascii="Arial" w:cs="Arial" w:eastAsia="Arial" w:hAnsi="Arial"/>
          <w:sz w:val="17"/>
          <w:szCs w:val="17"/>
          <w:color w:val="231F20"/>
        </w:rPr>
        <w:t>Effective marketing is vital to our ability to drive growth. We plan to further our successful demand- generating activities through educational campaigns that focus on our brand, values, and quality, as well as enhancing our digitally integrated media campaigns.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Innovation</w:t>
      </w:r>
    </w:p>
    <w:p>
      <w:pPr>
        <w:spacing w:after="0" w:line="13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w:t>
      </w:r>
    </w:p>
    <w:p>
      <w:pPr>
        <w:spacing w:after="0" w:line="13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880"/>
          </w:cols>
          <w:pgMar w:left="320" w:top="1111" w:right="6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231F20"/>
        </w:rPr>
        <w:t>Geographic Expansion</w:t>
      </w:r>
    </w:p>
    <w:p>
      <w:pPr>
        <w:spacing w:after="0" w:line="139"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231F20"/>
        </w:rPr>
        <w:t xml:space="preserve">HydraFacial’s recent growth has been driven in part by our international strategy. </w:t>
      </w:r>
      <w:r>
        <w:rPr>
          <w:rFonts w:ascii="Arial" w:cs="Arial" w:eastAsia="Arial" w:hAnsi="Arial"/>
          <w:sz w:val="18"/>
          <w:szCs w:val="18"/>
          <w:color w:val="000000"/>
        </w:rPr>
        <w:t>35.7%</w:t>
      </w:r>
      <w:r>
        <w:rPr>
          <w:rFonts w:ascii="Arial" w:cs="Arial" w:eastAsia="Arial" w:hAnsi="Arial"/>
          <w:sz w:val="18"/>
          <w:szCs w:val="18"/>
          <w:color w:val="231F20"/>
        </w:rPr>
        <w:t xml:space="preserve"> of HydraFacial’s total revenue during the first quarter of fiscal year 2021 came from outside the United States and Canada. Our diverse distribution channels 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Operational and Business Metrics</w:t>
      </w:r>
    </w:p>
    <w:p>
      <w:pPr>
        <w:spacing w:after="0" w:line="139"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231F20"/>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Delivery Systems Net Sales</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80"/>
              <w:spacing w:after="0"/>
              <w:rPr>
                <w:sz w:val="20"/>
                <w:szCs w:val="20"/>
                <w:color w:val="auto"/>
              </w:rPr>
            </w:pPr>
            <w:r>
              <w:rPr>
                <w:rFonts w:ascii="Arial" w:cs="Arial" w:eastAsia="Arial" w:hAnsi="Arial"/>
                <w:sz w:val="18"/>
                <w:szCs w:val="18"/>
                <w:color w:val="auto"/>
              </w:rPr>
              <w:t>Consumables Net Sales</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2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80"/>
              <w:spacing w:after="0"/>
              <w:rPr>
                <w:sz w:val="20"/>
                <w:szCs w:val="20"/>
                <w:color w:val="auto"/>
              </w:rPr>
            </w:pPr>
            <w:r>
              <w:rPr>
                <w:rFonts w:ascii="Arial" w:cs="Arial" w:eastAsia="Arial" w:hAnsi="Arial"/>
                <w:sz w:val="18"/>
                <w:szCs w:val="18"/>
                <w:color w:val="auto"/>
              </w:rPr>
              <w:t>Consolidated Gross Profit</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Consolidated Gross Margin</w:t>
            </w:r>
          </w:p>
        </w:tc>
        <w:tc>
          <w:tcPr>
            <w:tcW w:w="4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4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4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8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Adjusted Gross Profit</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6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80"/>
              <w:spacing w:after="0"/>
              <w:rPr>
                <w:sz w:val="20"/>
                <w:szCs w:val="20"/>
                <w:color w:val="auto"/>
              </w:rPr>
            </w:pPr>
            <w:r>
              <w:rPr>
                <w:rFonts w:ascii="Arial" w:cs="Arial" w:eastAsia="Arial" w:hAnsi="Arial"/>
                <w:sz w:val="18"/>
                <w:szCs w:val="18"/>
                <w:color w:val="auto"/>
              </w:rPr>
              <w:t>Adjusted Gross Margin</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 and Adjusted EBITDA Margin</w:t>
      </w:r>
    </w:p>
    <w:p>
      <w:pPr>
        <w:spacing w:after="0" w:line="13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231F20"/>
        </w:rPr>
        <w:t xml:space="preserve">Adjusted </w:t>
      </w:r>
      <w:r>
        <w:rPr>
          <w:rFonts w:ascii="Arial" w:cs="Arial" w:eastAsia="Arial" w:hAnsi="Arial"/>
          <w:sz w:val="18"/>
          <w:szCs w:val="18"/>
          <w:color w:val="000000"/>
        </w:rPr>
        <w:t>EBITDA and Adjusted EBITDA Margin are key performance measures that our management uses to assess our operating</w:t>
      </w:r>
      <w:r>
        <w:rPr>
          <w:rFonts w:ascii="Arial" w:cs="Arial" w:eastAsia="Arial" w:hAnsi="Arial"/>
          <w:sz w:val="18"/>
          <w:szCs w:val="18"/>
          <w:color w:val="231F20"/>
        </w:rPr>
        <w:t xml:space="preserve"> </w:t>
      </w:r>
      <w:r>
        <w:rPr>
          <w:rFonts w:ascii="Arial" w:cs="Arial" w:eastAsia="Arial" w:hAnsi="Arial"/>
          <w:sz w:val="18"/>
          <w:szCs w:val="18"/>
          <w:color w:val="000000"/>
        </w:rPr>
        <w:t>performance. See the section titled “Non-GAAP Financial Measures—Adjusted EBITDA and Adjusted EBITDA Margin” for information regarding our use of Adjusted EBITDA and a reconciliation of Adjusted EBITDA to net loss.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Gross Profit and Adjusted Gross Margin</w:t>
      </w:r>
    </w:p>
    <w:p>
      <w:pPr>
        <w:spacing w:after="0" w:line="13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use Adjusted Gross Profit and Adjusted Gross Margin to measure our profitability and ability to scale and leverage the costs of</w:t>
      </w:r>
      <w:r>
        <w:rPr>
          <w:rFonts w:ascii="Arial" w:cs="Arial" w:eastAsia="Arial" w:hAnsi="Arial"/>
          <w:sz w:val="18"/>
          <w:szCs w:val="18"/>
          <w:color w:val="231F20"/>
        </w:rPr>
        <w:t xml:space="preserve"> </w:t>
      </w:r>
      <w:r>
        <w:rPr>
          <w:rFonts w:ascii="Arial" w:cs="Arial" w:eastAsia="Arial" w:hAnsi="Arial"/>
          <w:sz w:val="18"/>
          <w:szCs w:val="18"/>
          <w:color w:val="000000"/>
        </w:rPr>
        <w:t>our Delivery Systems and Consumables sales. See the section titled “</w:t>
      </w:r>
      <w:r>
        <w:rPr>
          <w:rFonts w:ascii="Arial" w:cs="Arial" w:eastAsia="Arial" w:hAnsi="Arial"/>
          <w:sz w:val="18"/>
          <w:szCs w:val="18"/>
          <w:i w:val="1"/>
          <w:iCs w:val="1"/>
          <w:color w:val="000000"/>
        </w:rPr>
        <w:t>Non-GAAP Financial Measures—Adjusted Gross Profit and</w:t>
      </w:r>
      <w:r>
        <w:rPr>
          <w:rFonts w:ascii="Arial" w:cs="Arial" w:eastAsia="Arial" w:hAnsi="Arial"/>
          <w:sz w:val="18"/>
          <w:szCs w:val="18"/>
          <w:color w:val="000000"/>
        </w:rPr>
        <w:t xml:space="preserve"> </w:t>
      </w:r>
      <w:r>
        <w:rPr>
          <w:rFonts w:ascii="Arial" w:cs="Arial" w:eastAsia="Arial" w:hAnsi="Arial"/>
          <w:sz w:val="18"/>
          <w:szCs w:val="18"/>
          <w:i w:val="1"/>
          <w:iCs w:val="1"/>
          <w:color w:val="000000"/>
        </w:rPr>
        <w:t>Adjusted Gross Margin</w:t>
      </w:r>
      <w:r>
        <w:rPr>
          <w:rFonts w:ascii="Arial" w:cs="Arial" w:eastAsia="Arial" w:hAnsi="Arial"/>
          <w:sz w:val="18"/>
          <w:szCs w:val="18"/>
          <w:color w:val="000000"/>
        </w:rPr>
        <w:t>” for infor</w:t>
      </w:r>
      <w:r>
        <w:rPr>
          <w:rFonts w:ascii="Arial" w:cs="Arial" w:eastAsia="Arial" w:hAnsi="Arial"/>
          <w:sz w:val="18"/>
          <w:szCs w:val="18"/>
          <w:color w:val="231F20"/>
        </w:rPr>
        <w:t>mation regarding our use of Adjusted Gross Profit and a reconciliation of Adjusted Gross Profit to gross</w:t>
      </w:r>
      <w:r>
        <w:rPr>
          <w:rFonts w:ascii="Arial" w:cs="Arial" w:eastAsia="Arial" w:hAnsi="Arial"/>
          <w:sz w:val="18"/>
          <w:szCs w:val="18"/>
          <w:i w:val="1"/>
          <w:iCs w:val="1"/>
          <w:color w:val="000000"/>
        </w:rPr>
        <w:t xml:space="preserve"> </w:t>
      </w:r>
      <w:r>
        <w:rPr>
          <w:rFonts w:ascii="Arial" w:cs="Arial" w:eastAsia="Arial" w:hAnsi="Arial"/>
          <w:sz w:val="18"/>
          <w:szCs w:val="18"/>
          <w:color w:val="231F20"/>
        </w:rPr>
        <w:t>profit.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Sales</w:t>
      </w:r>
    </w:p>
    <w:p>
      <w:pPr>
        <w:spacing w:after="0" w:line="13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231F20"/>
        </w:rPr>
        <w:t>Net sales consists of the sale of products to retail and wholesale customers through e-commerce and distributor sales. HydraFacial generates revenue through manufacturing and selling HydraFacial and Perk Delivery Systems (“Delivery Systems”). In conjunction with the sale of Delivery Systems, HydraFacial also sells its serum solutions and consumables (collectively “Consumables”).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1089" w:right="6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231F20"/>
        </w:rPr>
        <w:t>Cost of Sales</w:t>
      </w:r>
    </w:p>
    <w:p>
      <w:pPr>
        <w:spacing w:after="0" w:line="13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231F20"/>
        </w:rPr>
        <w:t>HydraFacial’s cost of sales consists of Delivery System and Consumables product costs, including the cost of materials, labor costs, overhead, depreciation and amortization of developed technology, shipping and handling costs, and the costs associated with excess and obsolete inventory. As we launch new products and expand our presence internationally, we expect to incur higher cost of sales as a percentage of sales because we have not yet achieved economies of scale with these items.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1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231F20"/>
        </w:rPr>
        <w:t>Selling and marketing expense consists of personnel-related expenses, sales commissions, travel costs, and advertising expenses incurred in connection with the sale of our products. We intend to continue to invest in our sales and marketing capabilities in the future and expect this expense to increase in absolute dollars in future periods as we release new products, grow our global footprint, and drive consumer demand in the ecosystem. Selling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3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 We expect our research and development expenses to increase in absolute dollars in future periods and vary from period to period as a percentage of total revenue, as HydraFacial plans to continue to innovate and invest in new technologies and to enhance existing technologies to fuel future growth as a category creator.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3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231F20"/>
        </w:rPr>
        <w:t>General and administrative expenses include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9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231F20"/>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we expect to continue to incur additional IT expenses as we scale HydraFacial and enhance our ecommerce, digital and data utilization capabilities. As a result, we expect that our general and administrative expenses will increase in absolute dollars in future periods and vary from period to period as a percentage of revenue.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Expense</w:t>
      </w:r>
    </w:p>
    <w:p>
      <w:pPr>
        <w:spacing w:after="0" w:line="13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231F20"/>
        </w:rPr>
        <w:t>Other expense consists of interest expense and foreign currency transaction gains and losses. Foreign currency transaction gains and losses are generated by settlements of intercompany balances and invoices denominated in currencies other than the reporting currency. We expect Other expense to increase in absolute dollars as HydraFacial grows internationally and obtains more financing to support such growth. Other expense as a percentage of revenue will fluctuate period to period along with interest rates, exchange rates and other factors not related to normal business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 Benefit</w:t>
      </w:r>
    </w:p>
    <w:p>
      <w:pPr>
        <w:spacing w:after="0" w:line="139"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231F20"/>
        </w:rPr>
        <w:t>The provision for income taxes consists primarily of income taxes related to foreign and state jurisdictions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0"/>
          </w:cols>
          <w:pgMar w:left="320" w:top="1089" w:right="6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231F20"/>
        </w:rPr>
        <w:t>Results of Operations</w:t>
      </w:r>
    </w:p>
    <w:p>
      <w:pPr>
        <w:spacing w:after="0" w:line="13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231F20"/>
        </w:rPr>
        <w:t xml:space="preserve">The following tables set forth our consolidated results of operations in dollars and as a percentage of total revenue for the periods presented. The period-to- period comparisons of our historical results are not necessarily indicative of the results that may be expected in the future. The results of operations data for the three months ended March 31, 2021 and 2020 have been derived from the interim consolidated financial statements included elsewhere in this Current Report on </w:t>
      </w:r>
      <w:r>
        <w:rPr>
          <w:rFonts w:ascii="Arial" w:cs="Arial" w:eastAsia="Arial" w:hAnsi="Arial"/>
          <w:sz w:val="18"/>
          <w:szCs w:val="18"/>
          <w:color w:val="000000"/>
        </w:rPr>
        <w:t>Form 8-K</w:t>
      </w:r>
      <w:r>
        <w:rPr>
          <w:rFonts w:ascii="Arial" w:cs="Arial" w:eastAsia="Arial" w:hAnsi="Arial"/>
          <w:sz w:val="18"/>
          <w:szCs w:val="18"/>
          <w:color w:val="231F20"/>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three months ended March 31,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8"/>
          </w:tcPr>
          <w:p>
            <w:pPr>
              <w:jc w:val="right"/>
              <w:ind w:right="340"/>
              <w:spacing w:after="0"/>
              <w:rPr>
                <w:sz w:val="20"/>
                <w:szCs w:val="20"/>
                <w:color w:val="auto"/>
              </w:rPr>
            </w:pPr>
            <w:r>
              <w:rPr>
                <w:rFonts w:ascii="Arial" w:cs="Arial" w:eastAsia="Arial" w:hAnsi="Arial"/>
                <w:sz w:val="18"/>
                <w:szCs w:val="18"/>
                <w:b w:val="1"/>
                <w:bCs w:val="1"/>
                <w:color w:val="auto"/>
              </w:rPr>
              <w:t>Three months ended March 31,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rPr>
              <w:t>% of Net Sales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 of Net Sales</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Consolidated Statements of Comprehensive Loss Data:</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color w:val="auto"/>
              </w:rPr>
              <w:t>Net sales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Cost of sales</w:t>
            </w: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45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Research and development</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color w:val="auto"/>
              </w:rPr>
              <w:t>Income (loss) from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Other expense, net</w:t>
            </w: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4580" w:type="dxa"/>
            <w:vAlign w:val="bottom"/>
          </w:tcPr>
          <w:p>
            <w:pPr>
              <w:ind w:left="80"/>
              <w:spacing w:after="0"/>
              <w:rPr>
                <w:sz w:val="20"/>
                <w:szCs w:val="20"/>
                <w:color w:val="auto"/>
              </w:rPr>
            </w:pPr>
            <w:r>
              <w:rPr>
                <w:rFonts w:ascii="Arial" w:cs="Arial" w:eastAsia="Arial" w:hAnsi="Arial"/>
                <w:sz w:val="18"/>
                <w:szCs w:val="18"/>
                <w:color w:val="auto"/>
              </w:rPr>
              <w:t>Loss before provision for income tax</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Income tax benefit</w:t>
            </w: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3"/>
        </w:trPr>
        <w:tc>
          <w:tcPr>
            <w:tcW w:w="4580" w:type="dxa"/>
            <w:vAlign w:val="bottom"/>
          </w:tcPr>
          <w:p>
            <w:pPr>
              <w:ind w:left="8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i w:val="1"/>
                <w:iCs w:val="1"/>
                <w:color w:val="231F20"/>
              </w:rPr>
              <w:t>Net Sales</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8"/>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right"/>
              <w:ind w:right="9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Delivery Systems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Consumables</w:t>
            </w: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64"/>
        </w:trPr>
        <w:tc>
          <w:tcPr>
            <w:tcW w:w="4580" w:type="dxa"/>
            <w:vAlign w:val="bottom"/>
          </w:tcPr>
          <w:p>
            <w:pPr>
              <w:ind w:left="620"/>
              <w:spacing w:after="0"/>
              <w:rPr>
                <w:sz w:val="20"/>
                <w:szCs w:val="20"/>
                <w:color w:val="auto"/>
              </w:rPr>
            </w:pPr>
            <w:r>
              <w:rPr>
                <w:rFonts w:ascii="Arial" w:cs="Arial" w:eastAsia="Arial" w:hAnsi="Arial"/>
                <w:sz w:val="18"/>
                <w:szCs w:val="18"/>
                <w:color w:val="auto"/>
              </w:rPr>
              <w:t>Total net sales</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47.5</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Percentage of net sales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Delivery Systems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Consumables</w:t>
            </w: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6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231F20"/>
        </w:rPr>
        <w:t>Total net sales for the three months ended March 31, 2021 increased $15.0 million, or 46.2%, compared to the three months ended March 31, 2020. Delivery System sales for the three months ended March 31, 2021 increased $11.5 million, or 81.6%, compared to the three months ended March 31, 2020. Delivery Systems units sold for the three months ended March 31, 2021 increased primarily due to both domestic and international growth as sales productivity improved despite the impact of the COVID-19 pandemic. Similarly, Consumables sales for the three months ended March 31, 2021 increased $3.5 million, or 18.5%, compared to the three months ended March 31, 2020. The increase in Consumables sales was primarily attributable to rebounding sales volume following the COVID-19 pandemic, as domestic and international stay-at-home orders were lifted and commercial operations were allowed to resume with social distancing restrictions during the three months ended March 31, 2021.</w:t>
      </w:r>
    </w:p>
    <w:p>
      <w:pPr>
        <w:sectPr>
          <w:pgSz w:w="11900" w:h="16838" w:orient="portrait"/>
          <w:cols w:equalWidth="0" w:num="1">
            <w:col w:w="10900"/>
          </w:cols>
          <w:pgMar w:left="320" w:top="108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00"/>
          </w:cols>
          <w:pgMar w:left="320" w:top="1089" w:right="67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231F20"/>
              </w:rPr>
              <w:t>Cost of Sales, Gross Profit, and Gross Margin</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4"/>
                <w:szCs w:val="24"/>
                <w:color w:val="auto"/>
              </w:rPr>
            </w:pP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FF0FC"/>
          </w:tcPr>
          <w:p>
            <w:pPr>
              <w:ind w:left="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50" w:lineRule="auto"/>
        <w:rPr>
          <w:sz w:val="20"/>
          <w:szCs w:val="20"/>
          <w:color w:val="auto"/>
        </w:rPr>
      </w:pPr>
      <w:r>
        <w:rPr>
          <w:rFonts w:ascii="Arial" w:cs="Arial" w:eastAsia="Arial" w:hAnsi="Arial"/>
          <w:sz w:val="18"/>
          <w:szCs w:val="18"/>
          <w:color w:val="231F20"/>
        </w:rPr>
        <w:t xml:space="preserve">Cost of sales increased 16.2% driven by increased sales volume and a shift </w:t>
      </w:r>
      <w:r>
        <w:rPr>
          <w:rFonts w:ascii="Arial" w:cs="Arial" w:eastAsia="Arial" w:hAnsi="Arial"/>
          <w:sz w:val="18"/>
          <w:szCs w:val="18"/>
          <w:color w:val="000000"/>
        </w:rPr>
        <w:t>in the product mix to HydraFacial Delivery Systems,</w:t>
      </w:r>
      <w:r>
        <w:rPr>
          <w:rFonts w:ascii="Arial" w:cs="Arial" w:eastAsia="Arial" w:hAnsi="Arial"/>
          <w:sz w:val="18"/>
          <w:szCs w:val="18"/>
          <w:color w:val="231F20"/>
        </w:rPr>
        <w:t xml:space="preserve"> </w:t>
      </w:r>
      <w:r>
        <w:rPr>
          <w:rFonts w:ascii="Arial" w:cs="Arial" w:eastAsia="Arial" w:hAnsi="Arial"/>
          <w:sz w:val="18"/>
          <w:szCs w:val="18"/>
          <w:color w:val="000000"/>
        </w:rPr>
        <w:t>which have higher costs and lower mar</w:t>
      </w:r>
      <w:r>
        <w:rPr>
          <w:rFonts w:ascii="Arial" w:cs="Arial" w:eastAsia="Arial" w:hAnsi="Arial"/>
          <w:sz w:val="18"/>
          <w:szCs w:val="18"/>
          <w:color w:val="231F20"/>
        </w:rPr>
        <w:t>gins. Gross margin increa</w:t>
      </w:r>
      <w:r>
        <w:rPr>
          <w:rFonts w:ascii="Arial" w:cs="Arial" w:eastAsia="Arial" w:hAnsi="Arial"/>
          <w:sz w:val="18"/>
          <w:szCs w:val="18"/>
          <w:color w:val="000000"/>
        </w:rPr>
        <w:t>sed from 58.2% during the three months ended March 31, 2020 to</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66.7% during the three months ended March 31, 2021. The increase in gross margin was primarily driven by an increase of 46.1% in the overall sales volume coupled with lower overhead allocation due to reduced headcount as a result of the COVID-19 pandemic in the three months ended March 31, 2021 compared to that of the prior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0"/>
                <w:szCs w:val="20"/>
                <w:color w:val="auto"/>
              </w:rPr>
            </w:pP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540" w:type="dxa"/>
            <w:vAlign w:val="bottom"/>
          </w:tcPr>
          <w:p>
            <w:pPr>
              <w:ind w:left="80"/>
              <w:spacing w:after="0"/>
              <w:rPr>
                <w:sz w:val="20"/>
                <w:szCs w:val="20"/>
                <w:color w:val="auto"/>
              </w:rPr>
            </w:pPr>
            <w:r>
              <w:rPr>
                <w:rFonts w:ascii="Arial" w:cs="Arial" w:eastAsia="Arial" w:hAnsi="Arial"/>
                <w:sz w:val="18"/>
                <w:szCs w:val="18"/>
                <w:i w:val="1"/>
                <w:iCs w:val="1"/>
                <w:color w:val="auto"/>
              </w:rPr>
              <w:t>As a percentage of total net sales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 xml:space="preserve">Selling and marketing expense for the three months ended March 31, 2021 decreased </w:t>
      </w:r>
      <w:r>
        <w:rPr>
          <w:rFonts w:ascii="Arial" w:cs="Arial" w:eastAsia="Arial" w:hAnsi="Arial"/>
          <w:sz w:val="18"/>
          <w:szCs w:val="18"/>
          <w:color w:val="000000"/>
        </w:rPr>
        <w:t>$0.6 million, or 3.4%, compared to the three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March 31, 2020. The decrease was due to lower marketing spend related to the decision to delay marketing programs until COVID-19 restrictions were lifted and markets reopened, partially offset by an increase in sales commissions and personnel-related expense of $2.9 </w:t>
      </w:r>
      <w:r>
        <w:rPr>
          <w:rFonts w:ascii="Arial" w:cs="Arial" w:eastAsia="Arial" w:hAnsi="Arial"/>
          <w:sz w:val="18"/>
          <w:szCs w:val="18"/>
          <w:color w:val="231F20"/>
        </w:rPr>
        <w:t>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0"/>
                <w:szCs w:val="20"/>
                <w:color w:val="auto"/>
              </w:rPr>
            </w:pP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i w:val="1"/>
                <w:iCs w:val="1"/>
                <w:color w:val="auto"/>
              </w:rPr>
              <w:t>As a percentage of total net sales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231F20"/>
        </w:rPr>
        <w:t>Research and development expense for t</w:t>
      </w:r>
      <w:r>
        <w:rPr>
          <w:rFonts w:ascii="Arial" w:cs="Arial" w:eastAsia="Arial" w:hAnsi="Arial"/>
          <w:sz w:val="18"/>
          <w:szCs w:val="18"/>
          <w:color w:val="000000"/>
        </w:rPr>
        <w:t>he three months ended March 31, 2021 increased $0.1 million, or 7.1%, compared to the</w:t>
      </w:r>
      <w:r>
        <w:rPr>
          <w:rFonts w:ascii="Arial" w:cs="Arial" w:eastAsia="Arial" w:hAnsi="Arial"/>
          <w:sz w:val="18"/>
          <w:szCs w:val="18"/>
          <w:color w:val="231F20"/>
        </w:rPr>
        <w:t xml:space="preserve"> </w:t>
      </w:r>
      <w:r>
        <w:rPr>
          <w:rFonts w:ascii="Arial" w:cs="Arial" w:eastAsia="Arial" w:hAnsi="Arial"/>
          <w:sz w:val="18"/>
          <w:szCs w:val="18"/>
          <w:color w:val="000000"/>
        </w:rPr>
        <w:t xml:space="preserve">three months ended March 31, 2020. The increase was primarily due to increased expenses related to investments in new skincare treatment technologies of $0.8 million, partially offset by reductions in salary and benefits expense of $0.5 million and professional services fees of $0.1 </w:t>
      </w:r>
      <w:r>
        <w:rPr>
          <w:rFonts w:ascii="Arial" w:cs="Arial" w:eastAsia="Arial" w:hAnsi="Arial"/>
          <w:sz w:val="18"/>
          <w:szCs w:val="18"/>
          <w:color w:val="231F20"/>
        </w:rPr>
        <w:t>million due to reductions in headcount and delayed projects related to the COVID-19 pandemic.</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231F20"/>
              </w:rPr>
              <w:t>General and Administrative</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3"/>
                <w:szCs w:val="23"/>
                <w:color w:val="auto"/>
              </w:rPr>
            </w:pP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560" w:type="dxa"/>
            <w:vAlign w:val="bottom"/>
          </w:tcPr>
          <w:p>
            <w:pPr>
              <w:ind w:left="80"/>
              <w:spacing w:after="0"/>
              <w:rPr>
                <w:sz w:val="20"/>
                <w:szCs w:val="20"/>
                <w:color w:val="auto"/>
              </w:rPr>
            </w:pPr>
            <w:r>
              <w:rPr>
                <w:rFonts w:ascii="Arial" w:cs="Arial" w:eastAsia="Arial" w:hAnsi="Arial"/>
                <w:sz w:val="18"/>
                <w:szCs w:val="18"/>
                <w:i w:val="1"/>
                <w:iCs w:val="1"/>
                <w:color w:val="auto"/>
              </w:rPr>
              <w:t>As a percentage of total net sales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General and administrative expense for t</w:t>
      </w:r>
      <w:r>
        <w:rPr>
          <w:rFonts w:ascii="Arial" w:cs="Arial" w:eastAsia="Arial" w:hAnsi="Arial"/>
          <w:sz w:val="18"/>
          <w:szCs w:val="18"/>
          <w:color w:val="000000"/>
        </w:rPr>
        <w:t>he three months ended March 31, 2021 increased $3.6 million, or 50.3%, compared to the</w:t>
      </w:r>
      <w:r>
        <w:rPr>
          <w:rFonts w:ascii="Arial" w:cs="Arial" w:eastAsia="Arial" w:hAnsi="Arial"/>
          <w:sz w:val="18"/>
          <w:szCs w:val="18"/>
          <w:color w:val="231F20"/>
        </w:rPr>
        <w:t xml:space="preserve"> </w:t>
      </w:r>
      <w:r>
        <w:rPr>
          <w:rFonts w:ascii="Arial" w:cs="Arial" w:eastAsia="Arial" w:hAnsi="Arial"/>
          <w:sz w:val="18"/>
          <w:szCs w:val="18"/>
          <w:color w:val="000000"/>
        </w:rPr>
        <w:t>three months ended March 31, 2020. The increase was primarily driven by an increase in personnel-related costs of $2.3 million incurred as we continue to scale, as well as by increases in transaction costs of $0.7 million incurred in connection with the Business Combination and accounting fees of $0.7 million.</w:t>
      </w:r>
    </w:p>
    <w:p>
      <w:pPr>
        <w:sectPr>
          <w:pgSz w:w="11900" w:h="16838" w:orient="portrait"/>
          <w:cols w:equalWidth="0" w:num="1">
            <w:col w:w="10900"/>
          </w:cols>
          <w:pgMar w:left="320" w:top="108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900"/>
          </w:cols>
          <w:pgMar w:left="320" w:top="1089" w:right="67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c>
          <w:tcPr>
            <w:tcW w:w="182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840" w:type="dxa"/>
            <w:vAlign w:val="bottom"/>
            <w:gridSpan w:val="2"/>
          </w:tcPr>
          <w:p>
            <w:pPr>
              <w:ind w:left="80"/>
              <w:spacing w:after="0"/>
              <w:rPr>
                <w:sz w:val="20"/>
                <w:szCs w:val="20"/>
                <w:color w:val="auto"/>
              </w:rPr>
            </w:pPr>
            <w:r>
              <w:rPr>
                <w:rFonts w:ascii="Arial" w:cs="Arial" w:eastAsia="Arial" w:hAnsi="Arial"/>
                <w:sz w:val="18"/>
                <w:szCs w:val="18"/>
                <w:b w:val="1"/>
                <w:bCs w:val="1"/>
                <w:color w:val="auto"/>
              </w:rPr>
              <w:t>(in millions)</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820" w:type="dxa"/>
            <w:vAlign w:val="bottom"/>
            <w:gridSpan w:val="3"/>
          </w:tcPr>
          <w:p>
            <w:pPr>
              <w:ind w:left="26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45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Other expense</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4.3</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4840" w:type="dxa"/>
            <w:vAlign w:val="bottom"/>
            <w:gridSpan w:val="2"/>
          </w:tcPr>
          <w:p>
            <w:pPr>
              <w:ind w:left="80"/>
              <w:spacing w:after="0"/>
              <w:rPr>
                <w:sz w:val="20"/>
                <w:szCs w:val="20"/>
                <w:color w:val="auto"/>
              </w:rPr>
            </w:pPr>
            <w:r>
              <w:rPr>
                <w:rFonts w:ascii="Arial" w:cs="Arial" w:eastAsia="Arial" w:hAnsi="Arial"/>
                <w:sz w:val="18"/>
                <w:szCs w:val="18"/>
                <w:color w:val="auto"/>
              </w:rPr>
              <w:t>Income tax benefit</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r>
    </w:tbl>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231F20"/>
        </w:rPr>
        <w:t xml:space="preserve">Other expense was </w:t>
      </w:r>
      <w:r>
        <w:rPr>
          <w:rFonts w:ascii="Arial" w:cs="Arial" w:eastAsia="Arial" w:hAnsi="Arial"/>
          <w:sz w:val="18"/>
          <w:szCs w:val="18"/>
          <w:color w:val="000000"/>
        </w:rPr>
        <w:t>$6.0 million for the three months ended March 31, 2021 compared to $4.3 million for the 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2020. The increase in other expense, net, was primarily due to an increase of $ 1.5 million in interest expense related to increased borrowings on the term loans and line of credit in 2020 and in the three months ended March 31, 2021 in order to fun</w:t>
      </w:r>
      <w:r>
        <w:rPr>
          <w:rFonts w:ascii="Arial" w:cs="Arial" w:eastAsia="Arial" w:hAnsi="Arial"/>
          <w:sz w:val="18"/>
          <w:szCs w:val="18"/>
          <w:color w:val="231F20"/>
        </w:rPr>
        <w:t>d greater</w:t>
      </w:r>
      <w:r>
        <w:rPr>
          <w:rFonts w:ascii="Arial" w:cs="Arial" w:eastAsia="Arial" w:hAnsi="Arial"/>
          <w:sz w:val="18"/>
          <w:szCs w:val="18"/>
          <w:color w:val="000000"/>
        </w:rPr>
        <w:t xml:space="preserve"> </w:t>
      </w:r>
      <w:r>
        <w:rPr>
          <w:rFonts w:ascii="Arial" w:cs="Arial" w:eastAsia="Arial" w:hAnsi="Arial"/>
          <w:sz w:val="18"/>
          <w:szCs w:val="18"/>
          <w:color w:val="231F20"/>
        </w:rPr>
        <w:t>working capital needs. Income tax benefit decreased for the three months ended March 31, 2021 from the three months ended March 31, 2020 primarily due to a decrease in net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and Capital Resources</w:t>
      </w:r>
    </w:p>
    <w:p>
      <w:pPr>
        <w:spacing w:after="0" w:line="139"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231F20"/>
        </w:rPr>
        <w:t xml:space="preserve">Our operations have been funded primarily through cash flow from operating activities and net proceeds from our revolving facility and term loans. As of March 31, 2021, we had cash and cash equivalents of approximately </w:t>
      </w:r>
      <w:r>
        <w:rPr>
          <w:rFonts w:ascii="Arial" w:cs="Arial" w:eastAsia="Arial" w:hAnsi="Arial"/>
          <w:sz w:val="18"/>
          <w:szCs w:val="18"/>
          <w:color w:val="000000"/>
        </w:rPr>
        <w:t>$14.1 m</w:t>
      </w:r>
      <w:r>
        <w:rPr>
          <w:rFonts w:ascii="Arial" w:cs="Arial" w:eastAsia="Arial" w:hAnsi="Arial"/>
          <w:sz w:val="18"/>
          <w:szCs w:val="18"/>
          <w:color w:val="231F20"/>
        </w:rPr>
        <w:t>illion.</w:t>
      </w:r>
    </w:p>
    <w:p>
      <w:pPr>
        <w:spacing w:after="0" w:line="9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231F20"/>
        </w:rPr>
        <w:t xml:space="preserve">We believe our existing cash and cash equivalent balances (including the cash consideration received from the consummation of the Business Combination), cash flow from operations and future amounts available for borrowing under an anticipated revolving facility will be sufficient to meet our working capital and capital expenditure needs for at least the next </w:t>
      </w:r>
      <w:r>
        <w:rPr>
          <w:rFonts w:ascii="Arial" w:cs="Arial" w:eastAsia="Arial" w:hAnsi="Arial"/>
          <w:sz w:val="18"/>
          <w:szCs w:val="18"/>
          <w:color w:val="000000"/>
        </w:rPr>
        <w:t>12</w:t>
      </w:r>
      <w:r>
        <w:rPr>
          <w:rFonts w:ascii="Arial" w:cs="Arial" w:eastAsia="Arial" w:hAnsi="Arial"/>
          <w:sz w:val="18"/>
          <w:szCs w:val="18"/>
          <w:color w:val="231F20"/>
        </w:rPr>
        <w:t xml:space="preserve"> months. Our future capital requirements may vary materially from those currently planned and will depend on many factors, including our rate of revenue growth, the timing and amount of spending on research and development, growth in sales and marketing activities, the timing of new product launches, timing and investments needed for international expansion, expansion, potential acquisitions and overall economic conditions. We expect capital expenditures of up to $15.0 million for the year ended December 31, 2021. We anticipate using cash from the Business Combination and cash generated through the normal course of operations to fund these items.</w:t>
      </w:r>
    </w:p>
    <w:p>
      <w:pPr>
        <w:spacing w:after="0" w:line="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231F20"/>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9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231F20"/>
        </w:rPr>
        <w:t xml:space="preserve">See Note 7 to our consolidated financial statements included elsewhere in this Current Report on </w:t>
      </w:r>
      <w:r>
        <w:rPr>
          <w:rFonts w:ascii="Arial" w:cs="Arial" w:eastAsia="Arial" w:hAnsi="Arial"/>
          <w:sz w:val="18"/>
          <w:szCs w:val="18"/>
          <w:color w:val="000000"/>
        </w:rPr>
        <w:t>Form 8-K</w:t>
      </w:r>
      <w:r>
        <w:rPr>
          <w:rFonts w:ascii="Arial" w:cs="Arial" w:eastAsia="Arial" w:hAnsi="Arial"/>
          <w:sz w:val="18"/>
          <w:szCs w:val="18"/>
          <w:color w:val="231F20"/>
        </w:rPr>
        <w:t xml:space="preserve"> for more information on our indebtedness prior to the consummation of the Business Combination. Subsequent to March 31, 2021, as part of the Business Combination, during May 2021 we repaid our indebtedness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320" w:top="1089" w:right="6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r>
              <w:rPr>
                <w:rFonts w:ascii="Arial" w:cs="Arial" w:eastAsia="Arial" w:hAnsi="Arial"/>
                <w:sz w:val="18"/>
                <w:szCs w:val="18"/>
                <w:b w:val="1"/>
                <w:bCs w:val="1"/>
                <w:color w:val="231F20"/>
              </w:rPr>
              <w:t>Cash Flow Summary</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Non-cash adjustments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Changes in working capital</w:t>
            </w: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420" w:type="dxa"/>
            <w:vAlign w:val="bottom"/>
          </w:tcPr>
          <w:p>
            <w:pPr>
              <w:ind w:left="80"/>
              <w:spacing w:after="0"/>
              <w:rPr>
                <w:sz w:val="20"/>
                <w:szCs w:val="20"/>
                <w:color w:val="auto"/>
              </w:rPr>
            </w:pPr>
            <w:r>
              <w:rPr>
                <w:rFonts w:ascii="Arial" w:cs="Arial" w:eastAsia="Arial" w:hAnsi="Arial"/>
                <w:sz w:val="18"/>
                <w:szCs w:val="18"/>
                <w:color w:val="auto"/>
              </w:rPr>
              <w:t>Net cash flows from (used in) operating activities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cash flows used in investing activities</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7420" w:type="dxa"/>
            <w:vAlign w:val="bottom"/>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3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231F20"/>
        </w:rPr>
        <w:t>Net cash from operating activities of $</w:t>
      </w:r>
      <w:r>
        <w:rPr>
          <w:rFonts w:ascii="Arial" w:cs="Arial" w:eastAsia="Arial" w:hAnsi="Arial"/>
          <w:sz w:val="18"/>
          <w:szCs w:val="18"/>
          <w:color w:val="000000"/>
        </w:rPr>
        <w:t>1.3</w:t>
      </w:r>
      <w:r>
        <w:rPr>
          <w:rFonts w:ascii="Arial" w:cs="Arial" w:eastAsia="Arial" w:hAnsi="Arial"/>
          <w:sz w:val="18"/>
          <w:szCs w:val="18"/>
          <w:color w:val="231F20"/>
        </w:rPr>
        <w:t xml:space="preserve"> million for the three months ended March 31, 2021 was primarily due to non-cash adjustments of $5.5 million, offset by a net loss of $3.3 million and a decrease in the net change in working capital of $0.9 million. The non-cash adjustments are primarily related to depreciation and amortization expense of $3.6 million and payment-in-kind interest of $2.2 million. This was offset by net changes in working capital, driven by an increase in receivables of $8.5 million, offset by an increase of $5.0 million and $3.1 million in accrued payroll and other expenses and accounts payable, respectively, to support overall business growth.</w:t>
      </w:r>
    </w:p>
    <w:p>
      <w:pPr>
        <w:spacing w:after="0" w:line="10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231F20"/>
        </w:rPr>
        <w:t>Net cash used in operating activities of $ 5.1 million for the three months ended March 31, 2020 was primarily due to the net loss of $9.1 million. The net loss was partially offset by non-cash adjustments of $ 7.1 million and a decrease in the net change in working capital of $3.1 million. The non-cash adjustments primarily related to depreciation and amortization expense of $ 3.5 million. The change in net operating assets and liabilities was primarily due to an increase of income taxes receivable and inventory of $3.4 million and $ 3.1 million, respectively, and a decrease in accounts receivable, prepaid expenses, and income taxes payable of $5.2 million, $1.2 million and $2.3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39" w:lineRule="exact"/>
        <w:rPr>
          <w:sz w:val="20"/>
          <w:szCs w:val="20"/>
          <w:color w:val="auto"/>
        </w:rPr>
      </w:pPr>
    </w:p>
    <w:p>
      <w:pPr>
        <w:ind w:right="880" w:firstLine="324"/>
        <w:spacing w:after="0" w:line="261" w:lineRule="auto"/>
        <w:rPr>
          <w:sz w:val="20"/>
          <w:szCs w:val="20"/>
          <w:color w:val="auto"/>
        </w:rPr>
      </w:pPr>
      <w:r>
        <w:rPr>
          <w:rFonts w:ascii="Arial" w:cs="Arial" w:eastAsia="Arial" w:hAnsi="Arial"/>
          <w:sz w:val="18"/>
          <w:szCs w:val="18"/>
          <w:color w:val="231F20"/>
        </w:rPr>
        <w:t xml:space="preserve">Cash used in investing activities for the three months ended March 31, 2021 of </w:t>
      </w:r>
      <w:r>
        <w:rPr>
          <w:rFonts w:ascii="Arial" w:cs="Arial" w:eastAsia="Arial" w:hAnsi="Arial"/>
          <w:sz w:val="18"/>
          <w:szCs w:val="18"/>
          <w:color w:val="000000"/>
        </w:rPr>
        <w:t>$1.0 million was primarily related to capital</w:t>
      </w:r>
      <w:r>
        <w:rPr>
          <w:rFonts w:ascii="Arial" w:cs="Arial" w:eastAsia="Arial" w:hAnsi="Arial"/>
          <w:sz w:val="18"/>
          <w:szCs w:val="18"/>
          <w:color w:val="231F20"/>
        </w:rPr>
        <w:t xml:space="preserve"> </w:t>
      </w:r>
      <w:r>
        <w:rPr>
          <w:rFonts w:ascii="Arial" w:cs="Arial" w:eastAsia="Arial" w:hAnsi="Arial"/>
          <w:sz w:val="18"/>
          <w:szCs w:val="18"/>
          <w:color w:val="000000"/>
        </w:rPr>
        <w:t>expenditures for property and equipment of $0.8 million</w:t>
      </w:r>
      <w:r>
        <w:rPr>
          <w:rFonts w:ascii="Arial" w:cs="Arial" w:eastAsia="Arial" w:hAnsi="Arial"/>
          <w:sz w:val="18"/>
          <w:szCs w:val="18"/>
          <w:color w:val="231F20"/>
        </w:rPr>
        <w:t>.</w:t>
      </w:r>
    </w:p>
    <w:p>
      <w:pPr>
        <w:spacing w:after="0" w:line="90" w:lineRule="exact"/>
        <w:rPr>
          <w:sz w:val="20"/>
          <w:szCs w:val="20"/>
          <w:color w:val="auto"/>
        </w:rPr>
      </w:pPr>
    </w:p>
    <w:p>
      <w:pPr>
        <w:ind w:right="880" w:firstLine="324"/>
        <w:spacing w:after="0" w:line="261" w:lineRule="auto"/>
        <w:rPr>
          <w:sz w:val="20"/>
          <w:szCs w:val="20"/>
          <w:color w:val="auto"/>
        </w:rPr>
      </w:pPr>
      <w:r>
        <w:rPr>
          <w:rFonts w:ascii="Arial" w:cs="Arial" w:eastAsia="Arial" w:hAnsi="Arial"/>
          <w:sz w:val="18"/>
          <w:szCs w:val="18"/>
          <w:color w:val="231F20"/>
        </w:rPr>
        <w:t>Cash used in investing activities for the three months ended M</w:t>
      </w:r>
      <w:r>
        <w:rPr>
          <w:rFonts w:ascii="Arial" w:cs="Arial" w:eastAsia="Arial" w:hAnsi="Arial"/>
          <w:sz w:val="18"/>
          <w:szCs w:val="18"/>
          <w:color w:val="000000"/>
        </w:rPr>
        <w:t>arch 31, 2020 of $2.2 million was primarily related to capital</w:t>
      </w:r>
      <w:r>
        <w:rPr>
          <w:rFonts w:ascii="Arial" w:cs="Arial" w:eastAsia="Arial" w:hAnsi="Arial"/>
          <w:sz w:val="18"/>
          <w:szCs w:val="18"/>
          <w:color w:val="231F20"/>
        </w:rPr>
        <w:t xml:space="preserve"> </w:t>
      </w:r>
      <w:r>
        <w:rPr>
          <w:rFonts w:ascii="Arial" w:cs="Arial" w:eastAsia="Arial" w:hAnsi="Arial"/>
          <w:sz w:val="18"/>
          <w:szCs w:val="18"/>
          <w:color w:val="000000"/>
        </w:rPr>
        <w:t>expenditures for property and equipment of $2.1 million</w:t>
      </w:r>
      <w:r>
        <w:rPr>
          <w:rFonts w:ascii="Arial" w:cs="Arial" w:eastAsia="Arial" w:hAnsi="Arial"/>
          <w:sz w:val="18"/>
          <w:szCs w:val="18"/>
          <w:color w:val="231F20"/>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3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231F20"/>
        </w:rPr>
        <w:t xml:space="preserve">Net cash from financing activities of </w:t>
      </w:r>
      <w:r>
        <w:rPr>
          <w:rFonts w:ascii="Arial" w:cs="Arial" w:eastAsia="Arial" w:hAnsi="Arial"/>
          <w:sz w:val="18"/>
          <w:szCs w:val="18"/>
          <w:color w:val="000000"/>
        </w:rPr>
        <w:t>$4.4 million for the three months ended March 31, 2021 was primarily related to proceeds from</w:t>
      </w:r>
      <w:r>
        <w:rPr>
          <w:rFonts w:ascii="Arial" w:cs="Arial" w:eastAsia="Arial" w:hAnsi="Arial"/>
          <w:sz w:val="18"/>
          <w:szCs w:val="18"/>
          <w:color w:val="231F20"/>
        </w:rPr>
        <w:t xml:space="preserve"> </w:t>
      </w:r>
      <w:r>
        <w:rPr>
          <w:rFonts w:ascii="Arial" w:cs="Arial" w:eastAsia="Arial" w:hAnsi="Arial"/>
          <w:sz w:val="18"/>
          <w:szCs w:val="18"/>
          <w:color w:val="000000"/>
        </w:rPr>
        <w:t>borrowings under the revolving credit facility of $5.0 million, offset by $0.6 m</w:t>
      </w:r>
      <w:r>
        <w:rPr>
          <w:rFonts w:ascii="Arial" w:cs="Arial" w:eastAsia="Arial" w:hAnsi="Arial"/>
          <w:sz w:val="18"/>
          <w:szCs w:val="18"/>
          <w:color w:val="231F20"/>
        </w:rPr>
        <w:t>illion in debt repayments and transaction costs.</w:t>
      </w:r>
    </w:p>
    <w:p>
      <w:pPr>
        <w:spacing w:after="0" w:line="90"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231F20"/>
        </w:rPr>
        <w:t>Net cash from financing activities o</w:t>
      </w:r>
      <w:r>
        <w:rPr>
          <w:rFonts w:ascii="Arial" w:cs="Arial" w:eastAsia="Arial" w:hAnsi="Arial"/>
          <w:sz w:val="18"/>
          <w:szCs w:val="18"/>
          <w:color w:val="000000"/>
        </w:rPr>
        <w:t>f $6.1 million for the three months ended March 2020 was primarily related to proceeds from the</w:t>
      </w:r>
      <w:r>
        <w:rPr>
          <w:rFonts w:ascii="Arial" w:cs="Arial" w:eastAsia="Arial" w:hAnsi="Arial"/>
          <w:sz w:val="18"/>
          <w:szCs w:val="18"/>
          <w:color w:val="231F20"/>
        </w:rPr>
        <w:t xml:space="preserve"> </w:t>
      </w:r>
      <w:r>
        <w:rPr>
          <w:rFonts w:ascii="Arial" w:cs="Arial" w:eastAsia="Arial" w:hAnsi="Arial"/>
          <w:sz w:val="18"/>
          <w:szCs w:val="18"/>
          <w:color w:val="000000"/>
        </w:rPr>
        <w:t>revolving facility of $6.5 million, offset by debt repayments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00"/>
          </w:cols>
          <w:pgMar w:left="320" w:top="1089" w:right="6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Arial" w:cs="Arial" w:eastAsia="Arial" w:hAnsi="Arial"/>
                <w:sz w:val="18"/>
                <w:szCs w:val="18"/>
                <w:b w:val="1"/>
                <w:bCs w:val="1"/>
                <w:color w:val="231F20"/>
              </w:rPr>
              <w:t>Contractual Obligations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20" w:type="dxa"/>
            <w:vAlign w:val="bottom"/>
            <w:gridSpan w:val="7"/>
          </w:tcPr>
          <w:p>
            <w:pPr>
              <w:ind w:left="340"/>
              <w:spacing w:after="0"/>
              <w:rPr>
                <w:sz w:val="20"/>
                <w:szCs w:val="20"/>
                <w:color w:val="auto"/>
              </w:rPr>
            </w:pPr>
            <w:r>
              <w:rPr>
                <w:rFonts w:ascii="Arial" w:cs="Arial" w:eastAsia="Arial" w:hAnsi="Arial"/>
                <w:sz w:val="18"/>
                <w:szCs w:val="18"/>
                <w:color w:val="231F20"/>
              </w:rPr>
              <w:t>As of March 31, 2021, our contractual obligations were as follows: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5"/>
          </w:tcPr>
          <w:p>
            <w:pPr>
              <w:ind w:left="90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Less than 1</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39"/>
        </w:trPr>
        <w:tc>
          <w:tcPr>
            <w:tcW w:w="3180" w:type="dxa"/>
            <w:vAlign w:val="bottom"/>
          </w:tcPr>
          <w:p>
            <w:pPr>
              <w:ind w:left="8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year</w:t>
            </w: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3-5 years</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7"/>
        </w:trPr>
        <w:tc>
          <w:tcPr>
            <w:tcW w:w="31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Contractual obligations: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Term loan borrowings*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219.3</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gridSpan w:val="3"/>
            <w:shd w:val="clear" w:color="auto" w:fill="CFF0FC"/>
          </w:tcPr>
          <w:p>
            <w:pPr>
              <w:ind w:left="8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ind w:left="80"/>
              <w:spacing w:after="0"/>
              <w:rPr>
                <w:sz w:val="20"/>
                <w:szCs w:val="20"/>
                <w:color w:val="auto"/>
              </w:rPr>
            </w:pPr>
            <w:r>
              <w:rPr>
                <w:rFonts w:ascii="Arial" w:cs="Arial" w:eastAsia="Arial" w:hAnsi="Arial"/>
                <w:sz w:val="18"/>
                <w:szCs w:val="18"/>
                <w:color w:val="auto"/>
              </w:rPr>
              <w:t>Estimated interest obligations**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ind w:left="80"/>
              <w:spacing w:after="0"/>
              <w:rPr>
                <w:sz w:val="20"/>
                <w:szCs w:val="20"/>
                <w:color w:val="auto"/>
              </w:rPr>
            </w:pPr>
            <w:r>
              <w:rPr>
                <w:rFonts w:ascii="Arial" w:cs="Arial" w:eastAsia="Arial" w:hAnsi="Arial"/>
                <w:sz w:val="18"/>
                <w:szCs w:val="18"/>
                <w:color w:val="auto"/>
              </w:rPr>
              <w:t>Salesforce commitments****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All term loan borrowings were repaid in connection with the Business Combination. Amounts include principal and PIK interest.</w:t>
      </w:r>
    </w:p>
    <w:p>
      <w:pPr>
        <w:spacing w:after="0" w:line="117" w:lineRule="exact"/>
        <w:rPr>
          <w:sz w:val="20"/>
          <w:szCs w:val="20"/>
          <w:color w:val="auto"/>
        </w:rPr>
      </w:pPr>
    </w:p>
    <w:p>
      <w:pPr>
        <w:jc w:val="both"/>
        <w:ind w:right="220" w:firstLine="8"/>
        <w:spacing w:after="0" w:line="291" w:lineRule="auto"/>
        <w:tabs>
          <w:tab w:leader="none" w:pos="387"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The interest obligations are estimated using the Company’s effective rate as of March 31, 2021, less the fixed PIK interest rate of 2% and outstanding principal on the Term Loan as of March 31, 2021. Subsequent to March 31, 2021, the PIK interest was paid in full.</w:t>
      </w:r>
    </w:p>
    <w:p>
      <w:pPr>
        <w:spacing w:after="0" w:line="65" w:lineRule="exact"/>
        <w:rPr>
          <w:rFonts w:ascii="Arial" w:cs="Arial" w:eastAsia="Arial" w:hAnsi="Arial"/>
          <w:sz w:val="17"/>
          <w:szCs w:val="17"/>
          <w:color w:val="231F20"/>
        </w:rPr>
      </w:pPr>
    </w:p>
    <w:p>
      <w:pPr>
        <w:ind w:left="460" w:hanging="452"/>
        <w:spacing w:after="0"/>
        <w:tabs>
          <w:tab w:leader="none" w:pos="4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Amounts include payments for related party and non-related party leases.</w:t>
      </w:r>
    </w:p>
    <w:p>
      <w:pPr>
        <w:spacing w:after="0" w:line="117" w:lineRule="exact"/>
        <w:rPr>
          <w:rFonts w:ascii="Arial" w:cs="Arial" w:eastAsia="Arial" w:hAnsi="Arial"/>
          <w:sz w:val="18"/>
          <w:szCs w:val="18"/>
          <w:color w:val="231F20"/>
        </w:rPr>
      </w:pPr>
    </w:p>
    <w:p>
      <w:pPr>
        <w:ind w:left="520" w:hanging="512"/>
        <w:spacing w:after="0"/>
        <w:tabs>
          <w:tab w:leader="none" w:pos="5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Amounts include payments for software license agreements.</w:t>
      </w:r>
    </w:p>
    <w:p>
      <w:pPr>
        <w:spacing w:after="0" w:line="11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231F20"/>
        </w:rPr>
        <w:t>For the three months ended March 31, 2021, there have been no material changes to our significant contractual obligations as previously disclosed in the proxy statement related to the Business Combination. As stated above, as part of the Business Combination, we repaid our indebtedness in full.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Off-Balance Sheet Arrangements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did not have any off-balance sheet arrangements as of March 31,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 Recognition</w:t>
      </w:r>
    </w:p>
    <w:p>
      <w:pPr>
        <w:spacing w:after="0" w:line="13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We elected to adopt the new revenue recognition standard using the full retrospective method as of January 1, 2019. The adoption of the new standard did not have a significant effect on earnings or on the timing of our transactions and, therefore, the effect of applying the new guidance was not material. As such, there were no adjustments to the prior periods. In accordance with ASU 2014-09, we determine the amount of revenue to be recognized through application of the following steps:</w:t>
      </w:r>
    </w:p>
    <w:p>
      <w:pPr>
        <w:spacing w:after="0" w:line="96"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Identify the customer contract;</w:t>
      </w:r>
    </w:p>
    <w:p>
      <w:pPr>
        <w:spacing w:after="0" w:line="63" w:lineRule="exact"/>
        <w:rPr>
          <w:rFonts w:ascii="Arial" w:cs="Arial" w:eastAsia="Arial" w:hAnsi="Arial"/>
          <w:sz w:val="18"/>
          <w:szCs w:val="18"/>
          <w:color w:val="231F20"/>
        </w:rPr>
      </w:pPr>
    </w:p>
    <w:p>
      <w:pPr>
        <w:ind w:left="620" w:hanging="612"/>
        <w:spacing w:after="0"/>
        <w:tabs>
          <w:tab w:leader="none" w:pos="6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63" w:lineRule="exact"/>
        <w:rPr>
          <w:rFonts w:ascii="Arial" w:cs="Arial" w:eastAsia="Arial" w:hAnsi="Arial"/>
          <w:sz w:val="18"/>
          <w:szCs w:val="18"/>
          <w:color w:val="231F20"/>
        </w:rPr>
      </w:pPr>
    </w:p>
    <w:p>
      <w:pPr>
        <w:ind w:left="620" w:hanging="612"/>
        <w:spacing w:after="0"/>
        <w:tabs>
          <w:tab w:leader="none" w:pos="6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63" w:lineRule="exact"/>
        <w:rPr>
          <w:rFonts w:ascii="Arial" w:cs="Arial" w:eastAsia="Arial" w:hAnsi="Arial"/>
          <w:sz w:val="18"/>
          <w:szCs w:val="18"/>
          <w:color w:val="231F20"/>
        </w:rPr>
      </w:pPr>
    </w:p>
    <w:p>
      <w:pPr>
        <w:ind w:left="620" w:hanging="612"/>
        <w:spacing w:after="0"/>
        <w:tabs>
          <w:tab w:leader="none" w:pos="6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Allocate the transaction price to the performance obligations in the contract; and</w:t>
      </w:r>
    </w:p>
    <w:p>
      <w:pPr>
        <w:spacing w:after="0" w:line="63" w:lineRule="exact"/>
        <w:rPr>
          <w:rFonts w:ascii="Arial" w:cs="Arial" w:eastAsia="Arial" w:hAnsi="Arial"/>
          <w:sz w:val="18"/>
          <w:szCs w:val="18"/>
          <w:color w:val="231F20"/>
        </w:rPr>
      </w:pPr>
    </w:p>
    <w:p>
      <w:pPr>
        <w:ind w:left="620" w:hanging="612"/>
        <w:spacing w:after="0"/>
        <w:tabs>
          <w:tab w:leader="none" w:pos="6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00"/>
          </w:cols>
          <w:pgMar w:left="320" w:top="1089" w:right="6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231F20"/>
        </w:rPr>
        <w:t>Stock-Based Compensation</w:t>
      </w:r>
    </w:p>
    <w:p>
      <w:pPr>
        <w:spacing w:after="0" w:line="121"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231F20"/>
        </w:rPr>
        <w:t>During 2020, LCP granted incentive units (the “</w:t>
      </w:r>
      <w:r>
        <w:rPr>
          <w:rFonts w:ascii="Arial" w:cs="Arial" w:eastAsia="Arial" w:hAnsi="Arial"/>
          <w:sz w:val="18"/>
          <w:szCs w:val="18"/>
          <w:i w:val="1"/>
          <w:iCs w:val="1"/>
          <w:color w:val="231F20"/>
        </w:rPr>
        <w:t>Incentive Units</w:t>
      </w:r>
      <w:r>
        <w:rPr>
          <w:rFonts w:ascii="Arial" w:cs="Arial" w:eastAsia="Arial" w:hAnsi="Arial"/>
          <w:sz w:val="18"/>
          <w:szCs w:val="18"/>
          <w:color w:val="231F20"/>
        </w:rPr>
        <w:t>”) for certain members of our management pursuant to the LCP limited liability company agreement (the “</w:t>
      </w:r>
      <w:r>
        <w:rPr>
          <w:rFonts w:ascii="Arial" w:cs="Arial" w:eastAsia="Arial" w:hAnsi="Arial"/>
          <w:sz w:val="18"/>
          <w:szCs w:val="18"/>
          <w:i w:val="1"/>
          <w:iCs w:val="1"/>
          <w:color w:val="231F20"/>
        </w:rPr>
        <w:t>LCP LLC Agreement</w:t>
      </w:r>
      <w:r>
        <w:rPr>
          <w:rFonts w:ascii="Arial" w:cs="Arial" w:eastAsia="Arial" w:hAnsi="Arial"/>
          <w:sz w:val="18"/>
          <w:szCs w:val="18"/>
          <w:color w:val="231F20"/>
        </w:rPr>
        <w:t>”). The Incentive Units were intended to constitute profits interests and were granted for purposes of enabling such individuals to participate in our long-term growth and financial success and were issued in exchange for services to be performed. All of the Incentive Units immediately vest upon a Qualified Sale that constitutes a Change of Control (each as defined in the LCP LLC Agreement). We record share-based compensation expense for the Incentive Units as it has been determined that the economic interest holder, LCP, has made a capital contribution to us and we will make share-based payments to our employees in exchange for services rendered. We measure share-based compensation costs at the respective grant dates, based on the fair value of the award and recognizes the expenses on a straight-line basis over the requisite service period.</w:t>
      </w:r>
    </w:p>
    <w:p>
      <w:pPr>
        <w:spacing w:after="0" w:line="95" w:lineRule="exact"/>
        <w:rPr>
          <w:sz w:val="20"/>
          <w:szCs w:val="20"/>
          <w:color w:val="auto"/>
        </w:rPr>
      </w:pPr>
    </w:p>
    <w:p>
      <w:pPr>
        <w:ind w:right="460" w:firstLine="324"/>
        <w:spacing w:after="0" w:line="254" w:lineRule="auto"/>
        <w:rPr>
          <w:sz w:val="20"/>
          <w:szCs w:val="20"/>
          <w:color w:val="auto"/>
        </w:rPr>
      </w:pPr>
      <w:r>
        <w:rPr>
          <w:rFonts w:ascii="Arial" w:cs="Arial" w:eastAsia="Arial" w:hAnsi="Arial"/>
          <w:sz w:val="18"/>
          <w:szCs w:val="18"/>
          <w:color w:val="231F20"/>
        </w:rPr>
        <w:t>We estimate the fair value of the Incentive Units using a Monte Carlo simulation model. The Monte Carlo simulation model is dependent on the estimated fair value of the equity of LCP, which is a significant estimate. We determine the estimated fair value of our equity, with the assistance of a third-party valuation firm, as of the grant date of the Inventive Units using a combination of discounted cash flows, a public company guideline approach, and based on comparable observable acquisitions.</w:t>
      </w:r>
    </w:p>
    <w:p>
      <w:pPr>
        <w:spacing w:after="0" w:line="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For units that vest upon the achievement of a performance condition and market condition (“</w:t>
      </w:r>
      <w:r>
        <w:rPr>
          <w:rFonts w:ascii="Arial" w:cs="Arial" w:eastAsia="Arial" w:hAnsi="Arial"/>
          <w:sz w:val="18"/>
          <w:szCs w:val="18"/>
          <w:i w:val="1"/>
          <w:iCs w:val="1"/>
          <w:color w:val="231F20"/>
        </w:rPr>
        <w:t>Performance Vesting Units”</w:t>
      </w:r>
      <w:r>
        <w:rPr>
          <w:rFonts w:ascii="Arial" w:cs="Arial" w:eastAsia="Arial" w:hAnsi="Arial"/>
          <w:sz w:val="18"/>
          <w:szCs w:val="18"/>
          <w:color w:val="231F20"/>
        </w:rPr>
        <w:t xml:space="preserve">), stock-based compensation expense is recognized upon the achievement of the performance condition. The Performance Vesting Units vest based on the achievement of certain financial performance targets upon the consummation of a Qualified Sale of HydraFacial in connection with a Change of Control (each as defined in the LCP LLC Agreement). The awards are also subject to the grantee being continuously employed by HydraFacial through the vesting date. A change in control event is not deemed probable until consummated. As of March 31, 2021, achievement of the performance condition was not probable. Forfeitures are recognized as incurred. Due to the consummation of the Business Combination, the performance condition was achieved and the Performance Vesting Units vested. See Note 10 to our consolidated financial statements included elsewhere in this Current Report on </w:t>
      </w:r>
      <w:r>
        <w:rPr>
          <w:rFonts w:ascii="Arial" w:cs="Arial" w:eastAsia="Arial" w:hAnsi="Arial"/>
          <w:sz w:val="18"/>
          <w:szCs w:val="18"/>
          <w:color w:val="000000"/>
        </w:rPr>
        <w:t>Form 8-K</w:t>
      </w:r>
      <w:r>
        <w:rPr>
          <w:rFonts w:ascii="Arial" w:cs="Arial" w:eastAsia="Arial" w:hAnsi="Arial"/>
          <w:sz w:val="18"/>
          <w:szCs w:val="18"/>
          <w:color w:val="231F20"/>
        </w:rPr>
        <w:t xml:space="preserve"> 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Goodwill</w:t>
      </w:r>
    </w:p>
    <w:p>
      <w:pPr>
        <w:spacing w:after="0" w:line="139" w:lineRule="exact"/>
        <w:rPr>
          <w:sz w:val="20"/>
          <w:szCs w:val="20"/>
          <w:color w:val="auto"/>
        </w:rPr>
      </w:pPr>
    </w:p>
    <w:p>
      <w:pPr>
        <w:ind w:right="400" w:firstLine="324"/>
        <w:spacing w:after="0" w:line="253" w:lineRule="auto"/>
        <w:rPr>
          <w:sz w:val="20"/>
          <w:szCs w:val="20"/>
          <w:color w:val="auto"/>
        </w:rPr>
      </w:pPr>
      <w:r>
        <w:rPr>
          <w:rFonts w:ascii="Arial" w:cs="Arial" w:eastAsia="Arial" w:hAnsi="Arial"/>
          <w:sz w:val="18"/>
          <w:szCs w:val="18"/>
          <w:color w:val="231F20"/>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We have one reporting unit and management evaluates the carrying value of HydraFacial’s goodwill annually at the end of its fiscal year or whenever events or changes in circumstances indicate that an impairment may exist.</w:t>
      </w:r>
    </w:p>
    <w:p>
      <w:pPr>
        <w:spacing w:after="0" w:line="97" w:lineRule="exact"/>
        <w:rPr>
          <w:sz w:val="20"/>
          <w:szCs w:val="20"/>
          <w:color w:val="auto"/>
        </w:rPr>
      </w:pPr>
    </w:p>
    <w:p>
      <w:pPr>
        <w:ind w:right="320" w:firstLine="324"/>
        <w:spacing w:after="0" w:line="252" w:lineRule="auto"/>
        <w:rPr>
          <w:sz w:val="20"/>
          <w:szCs w:val="20"/>
          <w:color w:val="auto"/>
        </w:rPr>
      </w:pPr>
      <w:r>
        <w:rPr>
          <w:rFonts w:ascii="Arial" w:cs="Arial" w:eastAsia="Arial" w:hAnsi="Arial"/>
          <w:sz w:val="18"/>
          <w:szCs w:val="18"/>
          <w:color w:val="231F20"/>
        </w:rPr>
        <w:t>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our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conclude that it is more likely than not that the fair value of a reporting unit is less than its carrying amount, we are required to perform a quantitative impairment test.</w:t>
      </w:r>
    </w:p>
    <w:p>
      <w:pPr>
        <w:spacing w:after="0" w:line="100"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231F20"/>
        </w:rPr>
        <w:t>Quantitative impairment testing for goodwill is based upon the fair value of a reporting unit as compared to its carrying value. Under a quantitative impairment test, we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20" w:top="1089" w:right="379" w:bottom="1440" w:gutter="0" w:footer="0" w:header="0"/>
        </w:sectPr>
      </w:pPr>
    </w:p>
    <w:bookmarkStart w:id="39" w:name="page40"/>
    <w:bookmarkEnd w:id="39"/>
    <w:p>
      <w:pPr>
        <w:ind w:firstLine="324"/>
        <w:spacing w:after="0" w:line="254" w:lineRule="auto"/>
        <w:rPr>
          <w:sz w:val="20"/>
          <w:szCs w:val="20"/>
          <w:color w:val="auto"/>
        </w:rPr>
      </w:pPr>
      <w:r>
        <w:rPr>
          <w:rFonts w:ascii="Arial" w:cs="Arial" w:eastAsia="Arial" w:hAnsi="Arial"/>
          <w:sz w:val="18"/>
          <w:szCs w:val="18"/>
          <w:color w:val="231F20"/>
        </w:rPr>
        <w:t>Testing goodwill for impairment requires us to estimate fair values of reporting units using significant estimates and assumptions. The assumptions made will impact the outcome and ultimate results of the testing. We will use industry accepted valuation models and set criteria that are reviewed and approved by various levels of management and, in certain instances, we will engage independent third-party valuation specialists for advice.</w:t>
      </w:r>
    </w:p>
    <w:p>
      <w:pPr>
        <w:spacing w:after="0" w:line="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231F20"/>
        </w:rPr>
        <w:t>The key estimates and factors used in the valuation models would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9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231F20"/>
        </w:rPr>
        <w:t>We performed a qualitative assessment as of December 31, 2020, based on which we determined that there is no indication of goodwill impairment. During the second quarter of 2020, our business was substantially impacted by the COVID-19 pandemic, which subsequently recovered and returned to having positive Adjusted EBITDA during the 3rd quarter of 2020. We evaluated our goodwill for impairment during the second quarter of 2020, and as a result of that assessment, concluded that our goodwill was not impaired.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Intangible Assets</w:t>
      </w:r>
    </w:p>
    <w:p>
      <w:pPr>
        <w:spacing w:after="0" w:line="13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231F20"/>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Inventories</w:t>
      </w:r>
    </w:p>
    <w:p>
      <w:pPr>
        <w:spacing w:after="0" w:line="13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231F20"/>
        </w:rPr>
        <w:t>Inventories are stated at the lower of cost (determined by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Income Taxes</w:t>
      </w:r>
    </w:p>
    <w:p>
      <w:pPr>
        <w:spacing w:after="0" w:line="13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231F20"/>
        </w:rPr>
        <w:t>We use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00"/>
          </w:cols>
          <w:pgMar w:left="320" w:top="1111" w:right="679" w:bottom="1440" w:gutter="0" w:footer="0" w:header="0"/>
        </w:sectPr>
      </w:pPr>
    </w:p>
    <w:bookmarkStart w:id="40" w:name="page41"/>
    <w:bookmarkEnd w:id="40"/>
    <w:p>
      <w:pPr>
        <w:ind w:right="20" w:firstLine="324"/>
        <w:spacing w:after="0" w:line="252" w:lineRule="auto"/>
        <w:rPr>
          <w:sz w:val="20"/>
          <w:szCs w:val="20"/>
          <w:color w:val="auto"/>
        </w:rPr>
      </w:pPr>
      <w:r>
        <w:rPr>
          <w:rFonts w:ascii="Arial" w:cs="Arial" w:eastAsia="Arial" w:hAnsi="Arial"/>
          <w:sz w:val="18"/>
          <w:szCs w:val="18"/>
          <w:color w:val="231F20"/>
        </w:rPr>
        <w:t>Valuation allowances are established when necessary to reduce deferred tax assets to an amount that, in the opinion of management, is more likely than not to be realized. Significant judgement is required to determine if a valuation allowance is needed. As of December 31, 2020, HydraFacial had incurred cumulative pre-tax losses, and as a result, does not rely on its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 During the year ended December 31, 2020, and due to the pre-tax loss recorded, we began to accrue for a valuation allowance for the portion of deferred income tax assets that will not be realized through the reversal of taxable temporary differences.</w:t>
      </w:r>
    </w:p>
    <w:p>
      <w:pPr>
        <w:spacing w:after="0" w:line="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231F20"/>
        </w:rPr>
        <w:t>Our policy for accounting for uncertainty in income taxes requires the evaluation of tax positions taken or expected to be taken in the course of the preparation of tax returns to determine whether the tax positions are “more-likely-than -not”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97" w:lineRule="exact"/>
        <w:rPr>
          <w:sz w:val="20"/>
          <w:szCs w:val="20"/>
          <w:color w:val="auto"/>
        </w:rPr>
      </w:pPr>
    </w:p>
    <w:p>
      <w:pPr>
        <w:ind w:right="1800" w:firstLine="324"/>
        <w:spacing w:after="0" w:line="375" w:lineRule="auto"/>
        <w:rPr>
          <w:sz w:val="20"/>
          <w:szCs w:val="20"/>
          <w:color w:val="auto"/>
        </w:rPr>
      </w:pPr>
      <w:r>
        <w:rPr>
          <w:rFonts w:ascii="Arial" w:cs="Arial" w:eastAsia="Arial" w:hAnsi="Arial"/>
          <w:sz w:val="18"/>
          <w:szCs w:val="18"/>
          <w:color w:val="231F20"/>
        </w:rPr>
        <w:t xml:space="preserve">We recognized interest accrued and penalties related to unrecognized tax benefits in our income tax expense. </w:t>
      </w:r>
      <w:r>
        <w:rPr>
          <w:rFonts w:ascii="Arial" w:cs="Arial" w:eastAsia="Arial" w:hAnsi="Arial"/>
          <w:sz w:val="18"/>
          <w:szCs w:val="18"/>
          <w:b w:val="1"/>
          <w:bCs w:val="1"/>
          <w:color w:val="231F20"/>
        </w:rPr>
        <w:t>Recent Accounting Pronouncements</w:t>
      </w:r>
    </w:p>
    <w:p>
      <w:pPr>
        <w:spacing w:after="0" w:line="1"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231F20"/>
        </w:rPr>
        <w:t xml:space="preserve">See Note 2 of the notes to our consolidated financial statements in the section titled “—Recently Issued Accounting Pronouncements” in our Note 2 to our consolidated financial statements included elsewhere in this Current Report on </w:t>
      </w:r>
      <w:r>
        <w:rPr>
          <w:rFonts w:ascii="Arial" w:cs="Arial" w:eastAsia="Arial" w:hAnsi="Arial"/>
          <w:sz w:val="18"/>
          <w:szCs w:val="18"/>
          <w:color w:val="000000"/>
        </w:rPr>
        <w:t>Form 8-K</w:t>
      </w:r>
      <w:r>
        <w:rPr>
          <w:rFonts w:ascii="Arial" w:cs="Arial" w:eastAsia="Arial" w:hAnsi="Arial"/>
          <w:sz w:val="18"/>
          <w:szCs w:val="18"/>
          <w:color w:val="231F20"/>
        </w:rPr>
        <w:t xml:space="preserve"> for a discussion about new accounting pronouncements adopted and not yet adopted.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3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231F20"/>
        </w:rPr>
        <w:t xml:space="preserve">We had cash and cash equivalents of approximately </w:t>
      </w:r>
      <w:r>
        <w:rPr>
          <w:rFonts w:ascii="Arial" w:cs="Arial" w:eastAsia="Arial" w:hAnsi="Arial"/>
          <w:sz w:val="18"/>
          <w:szCs w:val="18"/>
          <w:color w:val="000000"/>
        </w:rPr>
        <w:t>$14.1 million as of March 31, 2021. We do not enter into investments for trading</w:t>
      </w:r>
      <w:r>
        <w:rPr>
          <w:rFonts w:ascii="Arial" w:cs="Arial" w:eastAsia="Arial" w:hAnsi="Arial"/>
          <w:sz w:val="18"/>
          <w:szCs w:val="18"/>
          <w:color w:val="231F20"/>
        </w:rPr>
        <w:t xml:space="preserve"> </w:t>
      </w:r>
      <w:r>
        <w:rPr>
          <w:rFonts w:ascii="Arial" w:cs="Arial" w:eastAsia="Arial" w:hAnsi="Arial"/>
          <w:sz w:val="18"/>
          <w:szCs w:val="18"/>
          <w:color w:val="000000"/>
        </w:rPr>
        <w:t>or speculative purposes. We have not been exposed, nor do we anticipate being exposed to material risks due to changes in interest rates. Subsequent to March 31, 2021, we repaid our indebtedness in full.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231F20"/>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9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231F20"/>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As of March 31, 2021, the effect of a hypothetical 10% change in foreign currency exchange rates would not have had a material impact to our consolidated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Inflation Risk</w:t>
      </w:r>
    </w:p>
    <w:p>
      <w:pPr>
        <w:spacing w:after="0" w:line="139"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231F20"/>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80"/>
          </w:cols>
          <w:pgMar w:left="320" w:top="1111" w:right="6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231F20"/>
        </w:rPr>
        <w:t>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231F20"/>
        </w:rPr>
        <w:t>A company’s internal control over financial reporting is a process designed by, or under the supervision of, that company’s principal executive and principal financial officers, or persons performing similar functions, and influenced by that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99"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231F20"/>
        </w:rPr>
        <w:t>In connection with the audit of our combined financial statements as of and for the years ended December 31, 2020 and 2019, we identified certain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231F20"/>
        </w:rPr>
        <w:t>These material weaknesses are related to our general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including required disclosures and complex accounting matters, on a timely basis.</w:t>
      </w:r>
    </w:p>
    <w:p>
      <w:pPr>
        <w:spacing w:after="0" w:line="96"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231F20"/>
        </w:rPr>
        <w:t>We have begun the process of, and we are focused on, designing and implementing effective internal controls measures to improve our internal control over financial reporting and remediate the material weaknesses. Our efforts include a number of actions:</w:t>
      </w:r>
    </w:p>
    <w:p>
      <w:pPr>
        <w:spacing w:after="0" w:line="90" w:lineRule="exact"/>
        <w:rPr>
          <w:sz w:val="20"/>
          <w:szCs w:val="20"/>
          <w:color w:val="auto"/>
        </w:rPr>
      </w:pPr>
    </w:p>
    <w:p>
      <w:pPr>
        <w:ind w:right="60" w:firstLine="8"/>
        <w:spacing w:after="0" w:line="256" w:lineRule="auto"/>
        <w:tabs>
          <w:tab w:leader="none" w:pos="616"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93" w:lineRule="exact"/>
        <w:rPr>
          <w:rFonts w:ascii="Arial" w:cs="Arial" w:eastAsia="Arial" w:hAnsi="Arial"/>
          <w:sz w:val="18"/>
          <w:szCs w:val="18"/>
          <w:color w:val="231F20"/>
        </w:rPr>
      </w:pPr>
    </w:p>
    <w:p>
      <w:pPr>
        <w:ind w:right="420" w:firstLine="8"/>
        <w:spacing w:after="0" w:line="261" w:lineRule="auto"/>
        <w:tabs>
          <w:tab w:leader="none" w:pos="616"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We are actively recruiting additional personnel, in addition to engaging and utilizing third party consultants and specialists to supplement our internal resources and segregate key functions within our business processes, if appropriate.</w:t>
      </w:r>
    </w:p>
    <w:p>
      <w:pPr>
        <w:spacing w:after="0" w:line="89" w:lineRule="exact"/>
        <w:rPr>
          <w:rFonts w:ascii="Arial" w:cs="Arial" w:eastAsia="Arial" w:hAnsi="Arial"/>
          <w:sz w:val="18"/>
          <w:szCs w:val="18"/>
          <w:color w:val="231F20"/>
        </w:rPr>
      </w:pPr>
    </w:p>
    <w:p>
      <w:pPr>
        <w:ind w:right="480" w:firstLine="8"/>
        <w:spacing w:after="0" w:line="261" w:lineRule="auto"/>
        <w:tabs>
          <w:tab w:leader="none" w:pos="616"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We are designing and implementing information technology and application controls in our financially significant systems to address our relative information processing objectives.</w:t>
      </w:r>
    </w:p>
    <w:p>
      <w:pPr>
        <w:spacing w:after="0" w:line="89" w:lineRule="exact"/>
        <w:rPr>
          <w:rFonts w:ascii="Arial" w:cs="Arial" w:eastAsia="Arial" w:hAnsi="Arial"/>
          <w:sz w:val="18"/>
          <w:szCs w:val="18"/>
          <w:color w:val="231F20"/>
        </w:rPr>
      </w:pPr>
    </w:p>
    <w:p>
      <w:pPr>
        <w:ind w:left="620" w:hanging="612"/>
        <w:spacing w:after="0"/>
        <w:tabs>
          <w:tab w:leader="none" w:pos="6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We are developing a comprehensive risk assessment process and a plan to respond to those risks.</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31F20"/>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13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In addition to HydraFacial’s results determined in accordance with accounting principles generally accepted in the United States of America (GAAP), management utilizes certain non-GAAP performance measures, Adjusted EBITDA, Adjusted EBITDA Margin, Adjusted Gross Profit, and Adjusted Gross Margin, for purposes of evaluating HydraFacial’s ongoing operations and for internal planning and forecasting purposes. HydraFacial believes that these non-GAAP operating measures, when reviewed collectively with HydraFacial’s GAAP financial information, provide useful supplemental information to investors in assessing HydraFacial’s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880"/>
          </w:cols>
          <w:pgMar w:left="320" w:top="1089" w:right="6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Adjusted EBITDA and Adjusted EBITDA Margin</w:t>
      </w:r>
    </w:p>
    <w:p>
      <w:pPr>
        <w:spacing w:after="0" w:line="13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231F20"/>
        </w:rPr>
        <w:t>Adjusted EBITDA and Adjusted EBITDA Margin are key performance measures that HydraFacial’s management uses to assess its operating performance. Because Adjusted EBITDA and Adjusted EBITDA Margin facilitates internal comparisons of HydraFacial’s historical operating performance on a more consistent basis, HydraFacial uses these measures for business planning purposes.</w:t>
      </w:r>
    </w:p>
    <w:p>
      <w:pPr>
        <w:spacing w:after="0" w:line="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231F20"/>
        </w:rPr>
        <w:t>HydraFacial also believes this information will be useful for investors to facilitate comparisons of its operating performance and better identify trends in its business. HydraFacial expects Adjusted EBITDA Margin to increase over the long-term as it continues to scale its business and achieve greater leverage in its operating expenses.</w:t>
      </w:r>
    </w:p>
    <w:p>
      <w:pPr>
        <w:spacing w:after="0" w:line="9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231F20"/>
        </w:rPr>
        <w:t>HydraFacial calculates Adjusted EBITDA as net income (loss) adjusted to exclude: other (income), net; interest expense; provision (benefit) for income taxes; depreciation and amortization expense; stock-based compensation expense; and one-time or non-recurring items such as transaction costs (including the costs incurred in the Business Combination), non-recurring legal fees associated with certain actions to defend its intellectual property, manufacturing and freight costs related to inefficiencies due to capacity constraints prior to moving into its new warehouse and assembly facility in December 2019, restructuring costs associated with COVID-19, Management Fees incurred from its private equity owners; and Foreign Currency (gain) loss.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following table reconciles HydraFacial’s net income (loss) to Adjusted EBITDA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Unaudited (in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Adjusted to exclude the following:</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Foreign currency loss, net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Management fees (1)</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COVID-19 related costs (2)</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Transaction related costs (3)</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Other non-recurring and one-time fees (4)</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0"/>
        </w:trPr>
        <w:tc>
          <w:tcPr>
            <w:tcW w:w="7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2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tabs>
          <w:tab w:leader="none" w:pos="27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Represents quarterly management fees paid to the majority shareholder of HydraFacial based on a pre- determined formula. Upon consummation of Business Combination, these fees will no longer be paid. Because these fees will not have an ongoing impact, they have been excluded from the calculation of Adjusted EBITDA.</w:t>
      </w:r>
    </w:p>
    <w:p>
      <w:pPr>
        <w:spacing w:after="0" w:line="94" w:lineRule="exact"/>
        <w:rPr>
          <w:rFonts w:ascii="Arial" w:cs="Arial" w:eastAsia="Arial" w:hAnsi="Arial"/>
          <w:sz w:val="18"/>
          <w:szCs w:val="18"/>
          <w:color w:val="231F20"/>
        </w:rPr>
      </w:pPr>
    </w:p>
    <w:p>
      <w:pPr>
        <w:ind w:right="400" w:firstLine="8"/>
        <w:spacing w:after="0" w:line="246" w:lineRule="auto"/>
        <w:tabs>
          <w:tab w:leader="none" w:pos="27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Such costs represent COVID-19 related restructuring cost including write-off of expired consumables, discontinued product lines, human capital and cash management consultant fees in relation to COVID-19 restructuring.</w:t>
      </w:r>
    </w:p>
    <w:p>
      <w:pPr>
        <w:spacing w:after="0" w:line="88" w:lineRule="exact"/>
        <w:rPr>
          <w:rFonts w:ascii="Arial" w:cs="Arial" w:eastAsia="Arial" w:hAnsi="Arial"/>
          <w:sz w:val="18"/>
          <w:szCs w:val="18"/>
          <w:color w:val="231F20"/>
        </w:rPr>
      </w:pPr>
    </w:p>
    <w:p>
      <w:pPr>
        <w:ind w:right="140" w:firstLine="8"/>
        <w:spacing w:after="0" w:line="246" w:lineRule="auto"/>
        <w:tabs>
          <w:tab w:leader="none" w:pos="27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Such amounts represent direct costs incurred with the Business Combination and to prepare HydraFacial to be marketed for sale by HydraFacial’s shareholders in previous periods. These costs do not have a continuing impact.</w:t>
      </w:r>
    </w:p>
    <w:p>
      <w:pPr>
        <w:spacing w:after="0" w:line="88" w:lineRule="exact"/>
        <w:rPr>
          <w:rFonts w:ascii="Arial" w:cs="Arial" w:eastAsia="Arial" w:hAnsi="Arial"/>
          <w:sz w:val="18"/>
          <w:szCs w:val="18"/>
          <w:color w:val="231F20"/>
        </w:rPr>
      </w:pPr>
    </w:p>
    <w:p>
      <w:pPr>
        <w:ind w:right="260" w:firstLine="8"/>
        <w:spacing w:after="0" w:line="246" w:lineRule="auto"/>
        <w:tabs>
          <w:tab w:leader="none" w:pos="27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Such costs primarily represent personnel costs associated with restructuring of HydraFacial’s salesforce and costs associated with former warehouse and assembly facility during the transition period offset by a legal settlement received in favor of HydraFacial.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00"/>
          </w:cols>
          <w:pgMar w:left="320" w:top="1089" w:right="6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231F20"/>
        </w:rPr>
        <w:t>Adjusted Gross Profit and Adjusted Gross Margin</w:t>
      </w:r>
    </w:p>
    <w:p>
      <w:pPr>
        <w:spacing w:after="0" w:line="13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231F20"/>
        </w:rPr>
        <w:t>HydraFacial uses Adjusted Gross Profit and Adjusted Gross Margin to measure its profitability and ability to scale and leverage the costs of its Delivery Systems (as defined below) and Consumables sales (as defined below). The continued growth of HydraFacial’s Delivery Systems installed will allow it to improve its Adjusted Gross Margin, as additional Delivery System units sold will increase our recurring Consumables revenue, which has higher margins.</w:t>
      </w:r>
    </w:p>
    <w:p>
      <w:pPr>
        <w:spacing w:after="0" w:line="9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231F20"/>
        </w:rPr>
        <w:t>HydraFacial uses Gross Profit and Gross Margin to measure its profitability and ability to scale and leverage the costs of its Delivery Systems and Consumables sales. HydraFacial believes Adjusted Gross Profit and Adjusted Gross Margin are useful measures to HydraFacial and to its investors to assist in evaluating its operating performance because it provides consistency and direct comparability with HydraFacial’s past financial performance and between fiscal periods, as the metric eliminates the effects of amortization and depreciation,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HydraFacial expects its Adjusted Gross Margin to fluctuate over time depending on the factors described above.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following table reconciles gross profit to Adjusted Gross Profit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47,542</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32,536</w:t>
            </w: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15,802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31,740</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0"/>
        </w:trPr>
        <w:tc>
          <w:tcPr>
            <w:tcW w:w="7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20" w:type="dxa"/>
            <w:vAlign w:val="bottom"/>
          </w:tcPr>
          <w:p>
            <w:pPr>
              <w:ind w:left="8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Adjusted to exclude the following:</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Adjusted gross profit</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34,331</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0" w:type="dxa"/>
            <w:vAlign w:val="bottom"/>
          </w:tcPr>
          <w:p>
            <w:pPr>
              <w:spacing w:after="0"/>
              <w:rPr>
                <w:sz w:val="1"/>
                <w:szCs w:val="1"/>
                <w:color w:val="auto"/>
              </w:rPr>
            </w:pPr>
          </w:p>
        </w:tc>
      </w:tr>
      <w:tr>
        <w:trPr>
          <w:trHeight w:val="264"/>
        </w:trPr>
        <w:tc>
          <w:tcPr>
            <w:tcW w:w="7420" w:type="dxa"/>
            <w:vAlign w:val="bottom"/>
          </w:tcPr>
          <w:p>
            <w:pPr>
              <w:ind w:left="80"/>
              <w:spacing w:after="0"/>
              <w:rPr>
                <w:sz w:val="20"/>
                <w:szCs w:val="20"/>
                <w:color w:val="auto"/>
              </w:rPr>
            </w:pPr>
            <w:r>
              <w:rPr>
                <w:rFonts w:ascii="Arial" w:cs="Arial" w:eastAsia="Arial" w:hAnsi="Arial"/>
                <w:sz w:val="18"/>
                <w:szCs w:val="18"/>
                <w:color w:val="auto"/>
              </w:rPr>
              <w:t>Adjusted gross margin</w:t>
            </w:r>
          </w:p>
        </w:tc>
        <w:tc>
          <w:tcPr>
            <w:tcW w:w="2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00"/>
          </w:cols>
          <w:pgMar w:left="320" w:top="1089" w:right="679" w:bottom="1440" w:gutter="0" w:footer="0" w:header="0"/>
        </w:sectPr>
      </w:pPr>
    </w:p>
    <w:bookmarkStart w:id="44" w:name="page45"/>
    <w:bookmarkEnd w:id="44"/>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 PRO FORMA CONDENSED COMBINED 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231F20"/>
        </w:rPr>
        <w:t>Defined terms included below have the same meaning as terms defined and included elsewhere in this Current Report on Form 8-K.</w:t>
      </w:r>
    </w:p>
    <w:p>
      <w:pPr>
        <w:spacing w:after="0" w:line="117" w:lineRule="exact"/>
        <w:rPr>
          <w:sz w:val="20"/>
          <w:szCs w:val="20"/>
          <w:color w:val="auto"/>
        </w:rPr>
      </w:pPr>
    </w:p>
    <w:p>
      <w:pPr>
        <w:ind w:right="80" w:firstLine="360"/>
        <w:spacing w:after="0" w:line="299" w:lineRule="auto"/>
        <w:rPr>
          <w:sz w:val="20"/>
          <w:szCs w:val="20"/>
          <w:color w:val="auto"/>
        </w:rPr>
      </w:pPr>
      <w:r>
        <w:rPr>
          <w:rFonts w:ascii="Arial" w:cs="Arial" w:eastAsia="Arial" w:hAnsi="Arial"/>
          <w:sz w:val="16"/>
          <w:szCs w:val="16"/>
          <w:color w:val="231F20"/>
        </w:rPr>
        <w:t xml:space="preserve">On </w:t>
      </w:r>
      <w:r>
        <w:rPr>
          <w:rFonts w:ascii="Arial" w:cs="Arial" w:eastAsia="Arial" w:hAnsi="Arial"/>
          <w:sz w:val="16"/>
          <w:szCs w:val="16"/>
          <w:color w:val="000000"/>
        </w:rPr>
        <w:t>May 4, 2021 (the “Closing Date”), the Company consummated the previously announced Business Combination pursuant to that certain Merger</w:t>
      </w:r>
      <w:r>
        <w:rPr>
          <w:rFonts w:ascii="Arial" w:cs="Arial" w:eastAsia="Arial" w:hAnsi="Arial"/>
          <w:sz w:val="16"/>
          <w:szCs w:val="16"/>
          <w:color w:val="231F20"/>
        </w:rPr>
        <w:t xml:space="preserve"> </w:t>
      </w:r>
      <w:r>
        <w:rPr>
          <w:rFonts w:ascii="Arial" w:cs="Arial" w:eastAsia="Arial" w:hAnsi="Arial"/>
          <w:sz w:val="16"/>
          <w:szCs w:val="16"/>
          <w:color w:val="000000"/>
        </w:rPr>
        <w:t>Agreement, dated December 8, 2020, by and among Vesper, Hydrate Merger Sub I, Inc. (“Merger Sub I”), Hydrate Merger Sub II, LLC (“Merger Sub II”), LCP Edge Intermediate, Inc., the indirect parent of Edge Systems LLC d/b/a The HydraFacial Company (“HydraFacial”), and LCP Edge Holdco, LLC</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(“LCP,” and, in its capacity as the stockholders’ representative, the “Stockholders’ Representative”). On the Closing Date, Merger Sub I merged with and into HydraFacial, with HydraFacial continuing as the surviving corporation (the “First Merger”), and immediately following the First Merger and as part of the same overall transaction as the First Merger, HydraFacial merged with and into Merger Sub II, with Merger Sub II continuing as the surviving entity (the “Second Merger” and, together with the First Merger, the “Mergers”).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the registrant changed its name from “Vesper Healthcare Acquisition Corp.” to “The Beauty Health Company.”</w:t>
      </w:r>
    </w:p>
    <w:p>
      <w:pPr>
        <w:spacing w:after="0" w:line="205" w:lineRule="exact"/>
        <w:rPr>
          <w:sz w:val="20"/>
          <w:szCs w:val="20"/>
          <w:color w:val="auto"/>
        </w:rPr>
      </w:pPr>
    </w:p>
    <w:p>
      <w:pPr>
        <w:ind w:right="60" w:firstLine="360"/>
        <w:spacing w:after="0" w:line="235" w:lineRule="auto"/>
        <w:rPr>
          <w:sz w:val="20"/>
          <w:szCs w:val="20"/>
          <w:color w:val="auto"/>
        </w:rPr>
      </w:pPr>
      <w:r>
        <w:rPr>
          <w:rFonts w:ascii="Arial" w:cs="Arial" w:eastAsia="Arial" w:hAnsi="Arial"/>
          <w:sz w:val="17"/>
          <w:szCs w:val="17"/>
          <w:color w:val="auto"/>
        </w:rPr>
        <w:t>Pursuant to the terms of the Merger Agreement, the aggregate merger consideration paid to the HydraFacial stockholders in connection with the Business Combination was approximately $975.0 million less HydraFacial’s net indebtedness as of the Closing Date, and subject to further adjustments for transaction expenses, and net working capital relative to a target. The merger consideration included both cash consideration and consideration in the form of newly issued shares of the Company’s Class A Stock Common Stock (“Class A Stock”). The aggregate cash consideration paid to the HydraFacial Stockholders at the Closing was approximately $368.0 million, consisting of the Vesper’s cash and cash equivalents as of the closing of the Business Combination (including proceeds of $350.0 million from the Vesper’s private placement of an aggregate of 35,000,000 shares of Class A Stock (the “Private Placement”), and approximately $433.0 million of cash available to Vesper from the trust account that held the proceeds from Vesper’s initial public offering (the “Trust Account”)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the Company, minus $100.0 million. The remainder of the consideration paid to the HydraFacial stockholders consisted of 35,501,743 newly issued shares of Class A Stock. The foregoing consideration paid to the HydraFacial stockholders will be further increased by amounts payable as earn-out consideration consisting shares of Class A Stock pursuant to the terms of the Merger Agreement.</w:t>
      </w:r>
    </w:p>
    <w:p>
      <w:pPr>
        <w:spacing w:after="0" w:line="212" w:lineRule="exact"/>
        <w:rPr>
          <w:sz w:val="20"/>
          <w:szCs w:val="20"/>
          <w:color w:val="auto"/>
        </w:rPr>
      </w:pPr>
    </w:p>
    <w:p>
      <w:pPr>
        <w:ind w:right="60" w:firstLine="360"/>
        <w:spacing w:after="0" w:line="258" w:lineRule="auto"/>
        <w:rPr>
          <w:sz w:val="20"/>
          <w:szCs w:val="20"/>
          <w:color w:val="auto"/>
        </w:rPr>
      </w:pPr>
      <w:r>
        <w:rPr>
          <w:rFonts w:ascii="Arial" w:cs="Arial" w:eastAsia="Arial" w:hAnsi="Arial"/>
          <w:sz w:val="16"/>
          <w:szCs w:val="16"/>
          <w:color w:val="231F20"/>
        </w:rPr>
        <w:t>Under the terms of the transaction, HydraFacial retained $100.0 million of cash towards its balance sheet, and the Company and HydraFacial incurred approximately $95.0 million of transaction expenses in the aggregate, inclusive of $16.1 million of deferred offering costs incurred by the Company in connection with its initial public offering. In addition to the consideration paid at the closing of the Business Combination, the former stockholders of HydraFacial are entitled to receive earn-out consideration consisting of 7.5 million shares of Class A Common Stock from the Company (the “Earn-out Shares”) as a result of the Company’s completion in June and July 2021 of the acquisition of certain target businesses identified by HydraFacial as contemplated by the Merger Agreement. The 7.5 million Earn-out Shares are expected to be issued on or before August 1, 2021.</w:t>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231F20"/>
        </w:rPr>
        <w:t>Basis of Pro Forma Presentation</w:t>
      </w:r>
    </w:p>
    <w:p>
      <w:pPr>
        <w:spacing w:after="0" w:line="135" w:lineRule="exact"/>
        <w:rPr>
          <w:sz w:val="20"/>
          <w:szCs w:val="20"/>
          <w:color w:val="auto"/>
        </w:rPr>
      </w:pPr>
    </w:p>
    <w:p>
      <w:pPr>
        <w:jc w:val="both"/>
        <w:ind w:right="140" w:firstLine="360"/>
        <w:spacing w:after="0" w:line="311" w:lineRule="auto"/>
        <w:rPr>
          <w:sz w:val="20"/>
          <w:szCs w:val="20"/>
          <w:color w:val="auto"/>
        </w:rPr>
      </w:pPr>
      <w:r>
        <w:rPr>
          <w:rFonts w:ascii="Arial" w:cs="Arial" w:eastAsia="Arial" w:hAnsi="Arial"/>
          <w:sz w:val="16"/>
          <w:szCs w:val="16"/>
          <w:color w:val="231F20"/>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to the combined historical financial information of HydraFacial and the Company depict the accounting for the Business Combination.</w:t>
      </w:r>
    </w:p>
    <w:p>
      <w:pPr>
        <w:spacing w:after="0" w:line="176"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color w:val="231F20"/>
        </w:rPr>
        <w:t>The adjustments in the unaudited pro forma condensed combined financial information have been identified and presented to provide relevant information necessary for an accurate understanding of the combined entity upon consummation of the Business Combination.</w:t>
      </w:r>
    </w:p>
    <w:p>
      <w:pPr>
        <w:spacing w:after="0" w:line="173" w:lineRule="exact"/>
        <w:rPr>
          <w:sz w:val="20"/>
          <w:szCs w:val="20"/>
          <w:color w:val="auto"/>
        </w:rPr>
      </w:pPr>
    </w:p>
    <w:p>
      <w:pPr>
        <w:ind w:right="440" w:firstLine="360"/>
        <w:spacing w:after="0" w:line="263" w:lineRule="auto"/>
        <w:rPr>
          <w:sz w:val="20"/>
          <w:szCs w:val="20"/>
          <w:color w:val="auto"/>
        </w:rPr>
      </w:pPr>
      <w:r>
        <w:rPr>
          <w:rFonts w:ascii="Arial" w:cs="Arial" w:eastAsia="Arial" w:hAnsi="Arial"/>
          <w:sz w:val="18"/>
          <w:szCs w:val="18"/>
          <w:color w:val="231F20"/>
        </w:rPr>
        <w:t>The pro forma adjustments have been prepared as if the Business Combination had been consummated on March 31, 2021 in the case of the unaudited pro forma condensed combined balance sheet and on January 1, 2020, the beginning of the earliest period presented in the unaudited pro forma condensed combined statement of operations.</w:t>
      </w:r>
    </w:p>
    <w:p>
      <w:pPr>
        <w:spacing w:after="0" w:line="211"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231F20"/>
        </w:rPr>
        <w:t>The pro forma adjustments represent management’s estimates based on information available as of the date of this Current Report on Form 8-K and are subject to change as additional information becomes available and additional analyses are performed. Management considers this basis of presentation to be reasonable under the circumstances.</w:t>
      </w:r>
    </w:p>
    <w:p>
      <w:pPr>
        <w:spacing w:after="0" w:line="211" w:lineRule="exact"/>
        <w:rPr>
          <w:sz w:val="20"/>
          <w:szCs w:val="20"/>
          <w:color w:val="auto"/>
        </w:rPr>
      </w:pPr>
    </w:p>
    <w:p>
      <w:pPr>
        <w:ind w:right="120" w:firstLine="360"/>
        <w:spacing w:after="0" w:line="275" w:lineRule="auto"/>
        <w:rPr>
          <w:sz w:val="20"/>
          <w:szCs w:val="20"/>
          <w:color w:val="auto"/>
        </w:rPr>
      </w:pPr>
      <w:r>
        <w:rPr>
          <w:rFonts w:ascii="Arial" w:cs="Arial" w:eastAsia="Arial" w:hAnsi="Arial"/>
          <w:sz w:val="17"/>
          <w:szCs w:val="17"/>
          <w:color w:val="231F20"/>
        </w:rPr>
        <w:t>The post-combination company approved a new incentive award plan (the “2021 Plan”), which became effective upon consummation of the Business Combination and expects to enter into new equity awards with its employees pursuant to the 2021 Plan. The terms of these new equity awards to employees have not been finalized and remain subject to change. Accordingly, no effect has been given to the unaudited pro forma condensed combined financial information for the new or current awards. No pro forma adjustments were recorded for historical stock-based compensation expense associated with the units that vested upon closing of the Business Combination as the amounts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-452755</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231F20"/>
        </w:rPr>
        <w:t>The Earn-out Shares are recognized as a liability in the unaudited pro forma condensed combined balance sheet and the preliminary fair value of the liability has been determined using the most reliable information available as the achievement of the maximum contingent consideration amount is reasonably certain. This liability will be settled with up to a maximum of 7.5 million Earn-out Shares and future changes in the fair value of the liability will be recognized in earnings prior to the issuance of the Earn-out Shares.</w:t>
      </w:r>
    </w:p>
    <w:p>
      <w:pPr>
        <w:spacing w:after="0" w:line="214" w:lineRule="exact"/>
        <w:rPr>
          <w:sz w:val="20"/>
          <w:szCs w:val="20"/>
          <w:color w:val="auto"/>
        </w:rPr>
      </w:pPr>
    </w:p>
    <w:p>
      <w:pPr>
        <w:ind w:right="120" w:firstLine="360"/>
        <w:spacing w:after="0" w:line="269" w:lineRule="auto"/>
        <w:rPr>
          <w:sz w:val="20"/>
          <w:szCs w:val="20"/>
          <w:color w:val="auto"/>
        </w:rPr>
      </w:pPr>
      <w:r>
        <w:rPr>
          <w:rFonts w:ascii="Arial" w:cs="Arial" w:eastAsia="Arial" w:hAnsi="Arial"/>
          <w:sz w:val="17"/>
          <w:szCs w:val="17"/>
          <w:color w:val="231F20"/>
        </w:rPr>
        <w:t>The unaudited pro forma condensed combined balance sheet as of March 31, 2021 combines the unaudited condensed balance sheet of the Company as of March 31, 2021 with the unaudited condensed consolidated balance sheet of HydraFacial on a pro forma basis as of March 31, 2021, giving effect to the Business Combination and related transactions, summarized below, as if they had been consummated on that date. The unaudited pro forma condensed combined statement of operations for the year ended December 31, 2020 combines the condensed statement of operations of the Company for the period from July 8, 2020 (inception) through December 31, 2020 with the condensed consolidated statement of operations of HydraFacial for the year ended December 31, 2020. The unaudited pro forma condensed combined statement of operations for the three months ended March 31, 2021 combines the unaudited condensed statement of operations of the Company for the three months ended March 31, 2021 with the unaudited condensed consolidated statement of operations of HydraFacial for the three months ended March 31, 2021. The unaudited pro forma condensed combined statements of operations presented give effect to the Business Combination and related transactions, summarized below, as if they had been consummated on January 1, 2020, the earliest period presented:</w:t>
      </w:r>
    </w:p>
    <w:p>
      <w:pPr>
        <w:spacing w:after="0" w:line="91" w:lineRule="exact"/>
        <w:rPr>
          <w:sz w:val="20"/>
          <w:szCs w:val="20"/>
          <w:color w:val="auto"/>
        </w:rPr>
      </w:pPr>
    </w:p>
    <w:p>
      <w:pPr>
        <w:ind w:left="880" w:right="260" w:hanging="368"/>
        <w:spacing w:after="0" w:line="342" w:lineRule="auto"/>
        <w:tabs>
          <w:tab w:leader="none" w:pos="88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the merger of Merger Sub I, a wholly-owned subsidiary of Merger Sub II, with and into HydraFacial, followed by a subsequent merger of HydraFacial into Merger Sub II, a wholly-owned subsidiary of the Company, with Merger Sub II being the surviving company;</w:t>
      </w:r>
    </w:p>
    <w:p>
      <w:pPr>
        <w:sectPr>
          <w:pgSz w:w="11900" w:h="16838" w:orient="portrait"/>
          <w:cols w:equalWidth="0" w:num="1">
            <w:col w:w="11040"/>
          </w:cols>
          <w:pgMar w:left="320" w:top="1417" w:right="539" w:bottom="1440" w:gutter="0" w:footer="0" w:header="0"/>
        </w:sectPr>
      </w:pPr>
    </w:p>
    <w:bookmarkStart w:id="46" w:name="page47"/>
    <w:bookmarkEnd w:id="46"/>
    <w:p>
      <w:pPr>
        <w:spacing w:after="0" w:line="90" w:lineRule="exact"/>
        <w:rPr>
          <w:sz w:val="20"/>
          <w:szCs w:val="20"/>
          <w:color w:val="auto"/>
        </w:rPr>
      </w:pPr>
    </w:p>
    <w:p>
      <w:pPr>
        <w:ind w:left="880" w:right="720" w:hanging="368"/>
        <w:spacing w:after="0" w:line="277" w:lineRule="auto"/>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payment of cash consideration to HydraFacial shareholders and repayment of HydraFacial indebtedness in connection with the Business Combination;</w:t>
      </w:r>
    </w:p>
    <w:p>
      <w:pPr>
        <w:spacing w:after="0" w:line="62" w:lineRule="exact"/>
        <w:rPr>
          <w:rFonts w:ascii="Arial" w:cs="Arial" w:eastAsia="Arial" w:hAnsi="Arial"/>
          <w:sz w:val="18"/>
          <w:szCs w:val="18"/>
          <w:color w:val="231F20"/>
        </w:rPr>
      </w:pPr>
    </w:p>
    <w:p>
      <w:pPr>
        <w:ind w:left="880" w:right="660" w:hanging="368"/>
        <w:spacing w:after="0" w:line="342" w:lineRule="auto"/>
        <w:tabs>
          <w:tab w:leader="none" w:pos="88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the redemption of 2,672,690 shares of Class A Stock of the Company from the Company’s public shareholders who elected to have their shares redeemed in connection with the Business Combination for an aggregate redemption price of $26.7 million;</w:t>
      </w:r>
    </w:p>
    <w:p>
      <w:pPr>
        <w:spacing w:after="0" w:line="15" w:lineRule="exact"/>
        <w:rPr>
          <w:rFonts w:ascii="Arial" w:cs="Arial" w:eastAsia="Arial" w:hAnsi="Arial"/>
          <w:sz w:val="16"/>
          <w:szCs w:val="16"/>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consummation of the Private Placement;</w:t>
      </w:r>
    </w:p>
    <w:p>
      <w:pPr>
        <w:spacing w:after="0" w:line="130"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acceleration and vesting of HydraFacial incentive units in connection with the Business Combination;</w:t>
      </w:r>
    </w:p>
    <w:p>
      <w:pPr>
        <w:spacing w:after="0" w:line="117"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issuance of 70,501,743 shares of Class A Stock;</w:t>
      </w:r>
    </w:p>
    <w:p>
      <w:pPr>
        <w:spacing w:after="0" w:line="130" w:lineRule="exact"/>
        <w:rPr>
          <w:rFonts w:ascii="Arial" w:cs="Arial" w:eastAsia="Arial" w:hAnsi="Arial"/>
          <w:sz w:val="18"/>
          <w:szCs w:val="18"/>
          <w:color w:val="231F20"/>
        </w:rPr>
      </w:pPr>
    </w:p>
    <w:p>
      <w:pPr>
        <w:ind w:left="880" w:right="820" w:hanging="368"/>
        <w:spacing w:after="0" w:line="277" w:lineRule="auto"/>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conversion of each outstanding share of Class B Stock immediately prior to the closing of the Business Combination into one share of Class A Stock;</w:t>
      </w:r>
    </w:p>
    <w:p>
      <w:pPr>
        <w:spacing w:after="0" w:line="62"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settlement of a note receivable due from the HydraFacial Stockholders;</w:t>
      </w:r>
    </w:p>
    <w:p>
      <w:pPr>
        <w:spacing w:after="0" w:line="117"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recognition of the Earn-out Shares liability;</w:t>
      </w:r>
    </w:p>
    <w:p>
      <w:pPr>
        <w:spacing w:after="0" w:line="117"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payment of transaction costs incurred by both the Company and HydraFacial; and</w:t>
      </w:r>
    </w:p>
    <w:p>
      <w:pPr>
        <w:spacing w:after="0" w:line="130" w:lineRule="exact"/>
        <w:rPr>
          <w:rFonts w:ascii="Arial" w:cs="Arial" w:eastAsia="Arial" w:hAnsi="Arial"/>
          <w:sz w:val="18"/>
          <w:szCs w:val="18"/>
          <w:color w:val="231F20"/>
        </w:rPr>
      </w:pPr>
    </w:p>
    <w:p>
      <w:pPr>
        <w:ind w:left="880" w:hanging="368"/>
        <w:spacing w:after="0"/>
        <w:tabs>
          <w:tab w:leader="none" w:pos="88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the payment of deferred legal fees, underwriting commissions and other costs incurred in connection with the Business Combination.</w:t>
      </w:r>
    </w:p>
    <w:p>
      <w:pPr>
        <w:spacing w:after="0" w:line="264"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color w:val="231F20"/>
        </w:rPr>
        <w:t>The unaudited condensed combined pro forma financial information was derived from and should be read in conjunction with the following historical financial statements and the accompanying notes, prepared in accordance with GAAP, which are included elsewhere in this Current Report on Form 8-K:</w:t>
      </w:r>
    </w:p>
    <w:p>
      <w:pPr>
        <w:spacing w:after="0" w:line="76" w:lineRule="exact"/>
        <w:rPr>
          <w:sz w:val="20"/>
          <w:szCs w:val="20"/>
          <w:color w:val="auto"/>
        </w:rPr>
      </w:pPr>
    </w:p>
    <w:p>
      <w:pPr>
        <w:ind w:left="880" w:right="1260" w:hanging="368"/>
        <w:spacing w:after="0" w:line="308" w:lineRule="auto"/>
        <w:tabs>
          <w:tab w:leader="none" w:pos="88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the historical audited financial statements for the period from July 8, 2020 (inception) through December 31, 2020, and the historical interim financial statements as of and for three months ended March 31, 2021 of the Company; and</w:t>
      </w:r>
    </w:p>
    <w:p>
      <w:pPr>
        <w:spacing w:after="0" w:line="38" w:lineRule="exact"/>
        <w:rPr>
          <w:rFonts w:ascii="Arial" w:cs="Arial" w:eastAsia="Arial" w:hAnsi="Arial"/>
          <w:sz w:val="17"/>
          <w:szCs w:val="17"/>
          <w:color w:val="231F20"/>
        </w:rPr>
      </w:pPr>
    </w:p>
    <w:p>
      <w:pPr>
        <w:ind w:left="880" w:right="360" w:hanging="368"/>
        <w:spacing w:after="0" w:line="277" w:lineRule="auto"/>
        <w:tabs>
          <w:tab w:leader="none" w:pos="8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historical audited financial statements for the year ended December 31, 2020 and the unaudited consolidated financial statements of HydraFacial as of and for the three months ended March 31, 2021.</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231F20"/>
        </w:rPr>
        <w:t>The Business Combination has been accounted for as a reverse recapitalization in accordance with GAAP. Under this method of accounting,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Company is treated as the “acquired” company for financial reporting purposes. This determination was primarily based on the following:</w:t>
      </w:r>
    </w:p>
    <w:p>
      <w:pPr>
        <w:spacing w:after="0" w:line="116" w:lineRule="exact"/>
        <w:rPr>
          <w:sz w:val="20"/>
          <w:szCs w:val="20"/>
          <w:color w:val="auto"/>
        </w:rPr>
      </w:pPr>
    </w:p>
    <w:p>
      <w:pPr>
        <w:ind w:left="880" w:right="420" w:hanging="368"/>
        <w:spacing w:after="0" w:line="277" w:lineRule="auto"/>
        <w:tabs>
          <w:tab w:leader="none" w:pos="8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HydraFacial Stockholders considered in the aggregate have the largest minority interest of the voting power in the combined entity after taking into account actual redemptions;</w:t>
      </w:r>
    </w:p>
    <w:p>
      <w:pPr>
        <w:spacing w:after="0" w:line="89" w:lineRule="exact"/>
        <w:rPr>
          <w:rFonts w:ascii="Arial" w:cs="Arial" w:eastAsia="Arial" w:hAnsi="Arial"/>
          <w:sz w:val="18"/>
          <w:szCs w:val="18"/>
          <w:color w:val="231F20"/>
        </w:rPr>
      </w:pPr>
    </w:p>
    <w:p>
      <w:pPr>
        <w:ind w:left="880" w:hanging="368"/>
        <w:spacing w:after="0"/>
        <w:tabs>
          <w:tab w:leader="none" w:pos="8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operations of HydraFacial prior to the acquisition comprise the only ongoing operations of the post-combination company;</w:t>
      </w:r>
    </w:p>
    <w:p>
      <w:pPr>
        <w:spacing w:after="0" w:line="130" w:lineRule="exact"/>
        <w:rPr>
          <w:rFonts w:ascii="Arial" w:cs="Arial" w:eastAsia="Arial" w:hAnsi="Arial"/>
          <w:sz w:val="18"/>
          <w:szCs w:val="18"/>
          <w:color w:val="231F20"/>
        </w:rPr>
      </w:pPr>
    </w:p>
    <w:p>
      <w:pPr>
        <w:ind w:left="880" w:hanging="368"/>
        <w:spacing w:after="0"/>
        <w:tabs>
          <w:tab w:leader="none" w:pos="8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senior management of HydraFacial comprises the senior management of the post-combination company;</w:t>
      </w:r>
    </w:p>
    <w:p>
      <w:pPr>
        <w:spacing w:after="0" w:line="144" w:lineRule="exact"/>
        <w:rPr>
          <w:rFonts w:ascii="Arial" w:cs="Arial" w:eastAsia="Arial" w:hAnsi="Arial"/>
          <w:sz w:val="18"/>
          <w:szCs w:val="18"/>
          <w:color w:val="231F20"/>
        </w:rPr>
      </w:pPr>
    </w:p>
    <w:p>
      <w:pPr>
        <w:ind w:left="880" w:hanging="368"/>
        <w:spacing w:after="0"/>
        <w:tabs>
          <w:tab w:leader="none" w:pos="8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relative size and valuation of HydraFacial compared to the Company; and</w:t>
      </w:r>
    </w:p>
    <w:p>
      <w:pPr>
        <w:spacing w:after="0" w:line="144" w:lineRule="exact"/>
        <w:rPr>
          <w:rFonts w:ascii="Arial" w:cs="Arial" w:eastAsia="Arial" w:hAnsi="Arial"/>
          <w:sz w:val="18"/>
          <w:szCs w:val="18"/>
          <w:color w:val="231F20"/>
        </w:rPr>
      </w:pPr>
    </w:p>
    <w:p>
      <w:pPr>
        <w:ind w:left="880" w:right="60" w:hanging="368"/>
        <w:spacing w:after="0" w:line="277" w:lineRule="auto"/>
        <w:tabs>
          <w:tab w:leader="none" w:pos="8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pursuant to the Investor Rights Agreement, HydraFacial was given the right to designate certain initial members of the board of directors of the post-combination company immediately after giving effect to the transactions.</w:t>
      </w:r>
    </w:p>
    <w:p>
      <w:pPr>
        <w:spacing w:after="0" w:line="62"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231F20"/>
        </w:rPr>
        <w:t>Consideration was given to the fact that the Company paid a purchase price consisting of a combination of cash and equity consideration and its shareholders may have a significant amount of voting power, should the Company’s public stockholders be considered in the aggregate. However, based on the aforementioned factors of management, board representation, largest minority shareholder as noted above, and the continuation of the</w:t>
      </w:r>
    </w:p>
    <w:p>
      <w:pPr>
        <w:sectPr>
          <w:pgSz w:w="11900" w:h="16838" w:orient="portrait"/>
          <w:cols w:equalWidth="0" w:num="1">
            <w:col w:w="10980"/>
          </w:cols>
          <w:pgMar w:left="320" w:top="1440" w:right="59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231F20"/>
        </w:rPr>
        <w:t>HydraFacial business as well as size it was determined that accounting for the Business Combination as a reverse recapitalization was appropriate.</w:t>
      </w:r>
    </w:p>
    <w:p>
      <w:pPr>
        <w:spacing w:after="0" w:line="183" w:lineRule="exact"/>
        <w:rPr>
          <w:sz w:val="20"/>
          <w:szCs w:val="20"/>
          <w:color w:val="auto"/>
        </w:rPr>
      </w:pPr>
    </w:p>
    <w:p>
      <w:pPr>
        <w:ind w:right="360" w:firstLine="360"/>
        <w:spacing w:after="0" w:line="311" w:lineRule="auto"/>
        <w:rPr>
          <w:sz w:val="20"/>
          <w:szCs w:val="20"/>
          <w:color w:val="auto"/>
        </w:rPr>
      </w:pPr>
      <w:r>
        <w:rPr>
          <w:rFonts w:ascii="Arial" w:cs="Arial" w:eastAsia="Arial" w:hAnsi="Arial"/>
          <w:sz w:val="16"/>
          <w:szCs w:val="16"/>
          <w:color w:val="231F20"/>
        </w:rPr>
        <w:t>Accordingly, for accounting purposes, the financial statements of the post-combination company will represent a continuation of the financial statements of HydraFacial with the acquisition being treated as the equivalent of HydraFacial issuing stock for the net assets of the Company, accompanied by a recapitalization. The net assets of the Company will be stated at historical cost, with no goodwill or other intangible assets recorded.</w:t>
      </w:r>
    </w:p>
    <w:p>
      <w:pPr>
        <w:spacing w:after="0" w:line="176" w:lineRule="exact"/>
        <w:rPr>
          <w:sz w:val="20"/>
          <w:szCs w:val="20"/>
          <w:color w:val="auto"/>
        </w:rPr>
      </w:pPr>
    </w:p>
    <w:p>
      <w:pPr>
        <w:ind w:right="440" w:firstLine="360"/>
        <w:spacing w:after="0" w:line="314" w:lineRule="auto"/>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following summarizes the pro forma shares of common stock outstanding after giving effect to the redemption of 2,672,690 shares for $26.7</w:t>
      </w:r>
      <w:r>
        <w:rPr>
          <w:rFonts w:ascii="Arial" w:cs="Arial" w:eastAsia="Arial" w:hAnsi="Arial"/>
          <w:sz w:val="16"/>
          <w:szCs w:val="16"/>
          <w:color w:val="231F20"/>
        </w:rPr>
        <w:t xml:space="preserve"> </w:t>
      </w:r>
      <w:r>
        <w:rPr>
          <w:rFonts w:ascii="Arial" w:cs="Arial" w:eastAsia="Arial" w:hAnsi="Arial"/>
          <w:sz w:val="16"/>
          <w:szCs w:val="16"/>
          <w:color w:val="000000"/>
        </w:rPr>
        <w:t>million. The table excludes the potential dilutive effect of the warrants and excludes the Earn-out Shares as such shares have not yet been issued: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Shareholder</w:t>
            </w: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No. of Shares</w:t>
            </w:r>
          </w:p>
        </w:tc>
        <w:tc>
          <w:tcPr>
            <w:tcW w:w="2140" w:type="dxa"/>
            <w:vAlign w:val="bottom"/>
          </w:tcPr>
          <w:p>
            <w:pPr>
              <w:ind w:left="520"/>
              <w:spacing w:after="0"/>
              <w:rPr>
                <w:sz w:val="20"/>
                <w:szCs w:val="20"/>
                <w:color w:val="auto"/>
              </w:rPr>
            </w:pPr>
            <w:r>
              <w:rPr>
                <w:rFonts w:ascii="Arial" w:cs="Arial" w:eastAsia="Arial" w:hAnsi="Arial"/>
                <w:sz w:val="18"/>
                <w:szCs w:val="18"/>
                <w:b w:val="1"/>
                <w:bCs w:val="1"/>
                <w:color w:val="auto"/>
              </w:rPr>
              <w:t>% Ownership</w:t>
            </w:r>
          </w:p>
        </w:tc>
        <w:tc>
          <w:tcPr>
            <w:tcW w:w="0" w:type="dxa"/>
            <w:vAlign w:val="bottom"/>
          </w:tcPr>
          <w:p>
            <w:pPr>
              <w:spacing w:after="0"/>
              <w:rPr>
                <w:sz w:val="1"/>
                <w:szCs w:val="1"/>
                <w:color w:val="auto"/>
              </w:rPr>
            </w:pPr>
          </w:p>
        </w:tc>
      </w:tr>
      <w:tr>
        <w:trPr>
          <w:trHeight w:val="27"/>
        </w:trPr>
        <w:tc>
          <w:tcPr>
            <w:tcW w:w="7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Vesper's public stockholders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43,327,310</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34.57%</w:t>
            </w:r>
          </w:p>
        </w:tc>
        <w:tc>
          <w:tcPr>
            <w:tcW w:w="0" w:type="dxa"/>
            <w:vAlign w:val="bottom"/>
          </w:tcPr>
          <w:p>
            <w:pPr>
              <w:spacing w:after="0"/>
              <w:rPr>
                <w:sz w:val="1"/>
                <w:szCs w:val="1"/>
                <w:color w:val="auto"/>
              </w:rPr>
            </w:pPr>
          </w:p>
        </w:tc>
      </w:tr>
      <w:tr>
        <w:trPr>
          <w:trHeight w:val="243"/>
        </w:trPr>
        <w:tc>
          <w:tcPr>
            <w:tcW w:w="7380" w:type="dxa"/>
            <w:vAlign w:val="bottom"/>
            <w:gridSpan w:val="2"/>
          </w:tcPr>
          <w:p>
            <w:pPr>
              <w:ind w:left="80"/>
              <w:spacing w:after="0"/>
              <w:rPr>
                <w:sz w:val="20"/>
                <w:szCs w:val="20"/>
                <w:color w:val="auto"/>
              </w:rPr>
            </w:pPr>
            <w:r>
              <w:rPr>
                <w:rFonts w:ascii="Arial" w:cs="Arial" w:eastAsia="Arial" w:hAnsi="Arial"/>
                <w:sz w:val="18"/>
                <w:szCs w:val="18"/>
                <w:color w:val="auto"/>
              </w:rPr>
              <w:t>Vesper Sponsor shares</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11,500,000</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9.17%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HydraFacial owners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35,501,743</w:t>
            </w: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28.33%</w:t>
            </w:r>
          </w:p>
        </w:tc>
        <w:tc>
          <w:tcPr>
            <w:tcW w:w="0" w:type="dxa"/>
            <w:vAlign w:val="bottom"/>
          </w:tcPr>
          <w:p>
            <w:pPr>
              <w:spacing w:after="0"/>
              <w:rPr>
                <w:sz w:val="1"/>
                <w:szCs w:val="1"/>
                <w:color w:val="auto"/>
              </w:rPr>
            </w:pPr>
          </w:p>
        </w:tc>
      </w:tr>
      <w:tr>
        <w:trPr>
          <w:trHeight w:val="243"/>
        </w:trPr>
        <w:tc>
          <w:tcPr>
            <w:tcW w:w="7380" w:type="dxa"/>
            <w:vAlign w:val="bottom"/>
            <w:gridSpan w:val="2"/>
          </w:tcPr>
          <w:p>
            <w:pPr>
              <w:ind w:left="80"/>
              <w:spacing w:after="0"/>
              <w:rPr>
                <w:sz w:val="20"/>
                <w:szCs w:val="20"/>
                <w:color w:val="auto"/>
              </w:rPr>
            </w:pPr>
            <w:r>
              <w:rPr>
                <w:rFonts w:ascii="Arial" w:cs="Arial" w:eastAsia="Arial" w:hAnsi="Arial"/>
                <w:sz w:val="18"/>
                <w:szCs w:val="18"/>
                <w:color w:val="auto"/>
              </w:rPr>
              <w:t>PIPE investors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35,000,000</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27.93%</w:t>
            </w:r>
          </w:p>
        </w:tc>
        <w:tc>
          <w:tcPr>
            <w:tcW w:w="0" w:type="dxa"/>
            <w:vAlign w:val="bottom"/>
          </w:tcPr>
          <w:p>
            <w:pPr>
              <w:spacing w:after="0"/>
              <w:rPr>
                <w:sz w:val="1"/>
                <w:szCs w:val="1"/>
                <w:color w:val="auto"/>
              </w:rPr>
            </w:pPr>
          </w:p>
        </w:tc>
      </w:tr>
      <w:tr>
        <w:trPr>
          <w:trHeight w:val="27"/>
        </w:trPr>
        <w:tc>
          <w:tcPr>
            <w:tcW w:w="7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Pro Forma weighted average shares</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125,329,053</w:t>
            </w:r>
          </w:p>
        </w:tc>
        <w:tc>
          <w:tcPr>
            <w:tcW w:w="220" w:type="dxa"/>
            <w:vAlign w:val="bottom"/>
            <w:shd w:val="clear" w:color="auto" w:fill="CCEEFF"/>
          </w:tcPr>
          <w:p>
            <w:pPr>
              <w:spacing w:after="0"/>
              <w:rPr>
                <w:sz w:val="18"/>
                <w:szCs w:val="18"/>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54"/>
        </w:trPr>
        <w:tc>
          <w:tcPr>
            <w:tcW w:w="7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outstanding – basic and diluted</w:t>
            </w: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360"/>
        <w:spacing w:after="0" w:line="271" w:lineRule="auto"/>
        <w:rPr>
          <w:sz w:val="20"/>
          <w:szCs w:val="20"/>
          <w:color w:val="auto"/>
        </w:rPr>
      </w:pPr>
      <w:r>
        <w:rPr>
          <w:rFonts w:ascii="Arial" w:cs="Arial" w:eastAsia="Arial" w:hAnsi="Arial"/>
          <w:sz w:val="17"/>
          <w:szCs w:val="17"/>
          <w:color w:val="231F20"/>
        </w:rPr>
        <w:t>The unaudited pro forma condensed combined financial information is for illustrative purposes only. The unaudited condensed combined pro forma adjustments reflecting the consummation of the Business Combination and related transactions are based on certain estimates and assumptions. These estimates and assumptions are based on information available as of the dates of these unaudited pro forma condensed combined financial statements and may be revised as additional information becomes available. Therefore, it is likely that the actual adjustments will differ from the pro forma adjustments, and it is possible the difference may be material. You should not rely on the unaudited pro forma condensed combined financial information as being indicative of the historical results that would have been achieved had the companies always been combined or the future results that the combined entity will experience. The Company and HydraFacial have not had any historical relationship prior to the transactions. Accordingly, no pro forma adjustments were required to eliminate activities between the companies.</w:t>
      </w:r>
    </w:p>
    <w:p>
      <w:pPr>
        <w:spacing w:after="0" w:line="205" w:lineRule="exact"/>
        <w:rPr>
          <w:sz w:val="20"/>
          <w:szCs w:val="20"/>
          <w:color w:val="auto"/>
        </w:rPr>
      </w:pPr>
    </w:p>
    <w:p>
      <w:pPr>
        <w:ind w:right="360" w:firstLine="360"/>
        <w:spacing w:after="0" w:line="311" w:lineRule="auto"/>
        <w:rPr>
          <w:sz w:val="20"/>
          <w:szCs w:val="20"/>
          <w:color w:val="auto"/>
        </w:rPr>
      </w:pPr>
      <w:r>
        <w:rPr>
          <w:rFonts w:ascii="Arial" w:cs="Arial" w:eastAsia="Arial" w:hAnsi="Arial"/>
          <w:sz w:val="16"/>
          <w:szCs w:val="16"/>
          <w:color w:val="231F20"/>
        </w:rPr>
        <w:t>The unaudited condensed combined pro forma financial information should also be read together with “</w:t>
      </w:r>
      <w:r>
        <w:rPr>
          <w:rFonts w:ascii="Arial" w:cs="Arial" w:eastAsia="Arial" w:hAnsi="Arial"/>
          <w:sz w:val="16"/>
          <w:szCs w:val="16"/>
          <w:i w:val="1"/>
          <w:iCs w:val="1"/>
          <w:color w:val="231F20"/>
        </w:rPr>
        <w:t>Management’s Discussion and Analysis of</w:t>
      </w:r>
      <w:r>
        <w:rPr>
          <w:rFonts w:ascii="Arial" w:cs="Arial" w:eastAsia="Arial" w:hAnsi="Arial"/>
          <w:sz w:val="16"/>
          <w:szCs w:val="16"/>
          <w:color w:val="231F20"/>
        </w:rPr>
        <w:t xml:space="preserve"> </w:t>
      </w:r>
      <w:r>
        <w:rPr>
          <w:rFonts w:ascii="Arial" w:cs="Arial" w:eastAsia="Arial" w:hAnsi="Arial"/>
          <w:sz w:val="16"/>
          <w:szCs w:val="16"/>
          <w:i w:val="1"/>
          <w:iCs w:val="1"/>
          <w:color w:val="231F20"/>
        </w:rPr>
        <w:t>Financial Condition and Results of Operations of the Company</w:t>
      </w:r>
      <w:r>
        <w:rPr>
          <w:rFonts w:ascii="Arial" w:cs="Arial" w:eastAsia="Arial" w:hAnsi="Arial"/>
          <w:sz w:val="16"/>
          <w:szCs w:val="16"/>
          <w:color w:val="231F20"/>
        </w:rPr>
        <w:t>” and “</w:t>
      </w:r>
      <w:r>
        <w:rPr>
          <w:rFonts w:ascii="Arial" w:cs="Arial" w:eastAsia="Arial" w:hAnsi="Arial"/>
          <w:sz w:val="16"/>
          <w:szCs w:val="16"/>
          <w:i w:val="1"/>
          <w:iCs w:val="1"/>
          <w:color w:val="231F20"/>
        </w:rPr>
        <w:t>Management’s Discussion and Analysis of Financial Condition and Results of Operations of LCP Edge Intermediate Inc.</w:t>
      </w:r>
      <w:r>
        <w:rPr>
          <w:rFonts w:ascii="Arial" w:cs="Arial" w:eastAsia="Arial" w:hAnsi="Arial"/>
          <w:sz w:val="16"/>
          <w:szCs w:val="16"/>
          <w:color w:val="231F20"/>
        </w:rPr>
        <w:t>,” and other financial information included elsewhere in this Current Report on Form 8-K.</w:t>
      </w:r>
    </w:p>
    <w:p>
      <w:pPr>
        <w:sectPr>
          <w:pgSz w:w="11900" w:h="16838" w:orient="portrait"/>
          <w:cols w:equalWidth="0" w:num="1">
            <w:col w:w="11240"/>
          </w:cols>
          <w:pgMar w:left="320" w:top="14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231F20"/>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of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Vesper</w:t>
            </w:r>
          </w:p>
        </w:tc>
        <w:tc>
          <w:tcPr>
            <w:tcW w:w="18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HydraFacial</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(Historical)</w:t>
            </w:r>
          </w:p>
        </w:tc>
        <w:tc>
          <w:tcPr>
            <w:tcW w:w="180" w:type="dxa"/>
            <w:vAlign w:val="bottom"/>
          </w:tcPr>
          <w:p>
            <w:pPr>
              <w:spacing w:after="0"/>
              <w:rPr>
                <w:sz w:val="16"/>
                <w:szCs w:val="16"/>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(Historical)</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Pro Forma Adjustments</w:t>
            </w:r>
          </w:p>
        </w:tc>
        <w:tc>
          <w:tcPr>
            <w:tcW w:w="6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Pro Forma Combined</w:t>
            </w:r>
          </w:p>
        </w:tc>
      </w:tr>
      <w:tr>
        <w:trPr>
          <w:trHeight w:val="26"/>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0"/>
        </w:trPr>
        <w:tc>
          <w:tcPr>
            <w:tcW w:w="466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14,115</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460,184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114,668</w:t>
            </w:r>
          </w:p>
        </w:tc>
      </w:tr>
      <w:tr>
        <w:trPr>
          <w:trHeight w:val="191"/>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(365,658)</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(b), (l)</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(78,361)</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(16,100)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(26,738)</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(226,081)</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(j)</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(m)</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Accounts receivable, net of allowances for doubtful accounts</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27,014</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27,014</w:t>
            </w:r>
          </w:p>
        </w:tc>
      </w:tr>
      <w:tr>
        <w:trPr>
          <w:trHeight w:val="190"/>
        </w:trPr>
        <w:tc>
          <w:tcPr>
            <w:tcW w:w="4660" w:type="dxa"/>
            <w:vAlign w:val="bottom"/>
          </w:tcPr>
          <w:p>
            <w:pPr>
              <w:ind w:left="40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596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4,195</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4,791</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Income tax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4,394</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4,394</w:t>
            </w:r>
          </w:p>
        </w:tc>
      </w:tr>
      <w:tr>
        <w:trPr>
          <w:trHeight w:val="190"/>
        </w:trPr>
        <w:tc>
          <w:tcPr>
            <w:tcW w:w="4660" w:type="dxa"/>
            <w:vAlign w:val="bottom"/>
          </w:tcPr>
          <w:p>
            <w:pPr>
              <w:ind w:left="40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21,770</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21,770</w:t>
            </w:r>
          </w:p>
        </w:tc>
      </w:tr>
      <w:tr>
        <w:trPr>
          <w:trHeight w:val="26"/>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71,488</w:t>
            </w: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97,800</w:t>
            </w:r>
          </w:p>
        </w:tc>
        <w:tc>
          <w:tcPr>
            <w:tcW w:w="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172,637</w:t>
            </w:r>
          </w:p>
        </w:tc>
      </w:tr>
      <w:tr>
        <w:trPr>
          <w:trHeight w:val="190"/>
        </w:trPr>
        <w:tc>
          <w:tcPr>
            <w:tcW w:w="466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8,146</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8,146</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Intangible assets, net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50,254</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50,254</w:t>
            </w:r>
          </w:p>
        </w:tc>
      </w:tr>
      <w:tr>
        <w:trPr>
          <w:trHeight w:val="190"/>
        </w:trPr>
        <w:tc>
          <w:tcPr>
            <w:tcW w:w="4660" w:type="dxa"/>
            <w:vAlign w:val="bottom"/>
          </w:tcPr>
          <w:p>
            <w:pPr>
              <w:ind w:left="8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98,535</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98,535</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Deferred tax assets</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6,142</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6,142</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Cash and securities held in Trust Account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460,184</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(460,184)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660" w:type="dxa"/>
            <w:vAlign w:val="bottom"/>
          </w:tcPr>
          <w:p>
            <w:pPr>
              <w:ind w:left="6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463,533</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234,789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(362,384)</w:t>
            </w:r>
          </w:p>
        </w:tc>
        <w:tc>
          <w:tcPr>
            <w:tcW w:w="66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335,938</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22,415</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20,455</w:t>
            </w:r>
          </w:p>
        </w:tc>
      </w:tr>
      <w:tr>
        <w:trPr>
          <w:trHeight w:val="191"/>
        </w:trPr>
        <w:tc>
          <w:tcPr>
            <w:tcW w:w="4660" w:type="dxa"/>
            <w:vAlign w:val="bottom"/>
          </w:tcPr>
          <w:p>
            <w:pPr>
              <w:ind w:left="500"/>
              <w:spacing w:after="0"/>
              <w:rPr>
                <w:sz w:val="20"/>
                <w:szCs w:val="20"/>
                <w:color w:val="auto"/>
              </w:rPr>
            </w:pPr>
            <w:r>
              <w:rPr>
                <w:rFonts w:ascii="Arial" w:cs="Arial" w:eastAsia="Arial" w:hAnsi="Arial"/>
                <w:sz w:val="14"/>
                <w:szCs w:val="14"/>
                <w:color w:val="auto"/>
              </w:rPr>
              <w:t>Accrued payroll related expenses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14,177</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14,177</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2,860</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3,662</w:t>
            </w:r>
          </w:p>
        </w:tc>
      </w:tr>
      <w:tr>
        <w:trPr>
          <w:trHeight w:val="190"/>
        </w:trPr>
        <w:tc>
          <w:tcPr>
            <w:tcW w:w="4660" w:type="dxa"/>
            <w:vAlign w:val="bottom"/>
          </w:tcPr>
          <w:p>
            <w:pPr>
              <w:ind w:left="500"/>
              <w:spacing w:after="0"/>
              <w:rPr>
                <w:sz w:val="20"/>
                <w:szCs w:val="20"/>
                <w:color w:val="auto"/>
              </w:rPr>
            </w:pPr>
            <w:r>
              <w:rPr>
                <w:rFonts w:ascii="Arial" w:cs="Arial" w:eastAsia="Arial" w:hAnsi="Arial"/>
                <w:sz w:val="14"/>
                <w:szCs w:val="14"/>
                <w:color w:val="auto"/>
              </w:rPr>
              <w:t>Accrued offering costs</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Advances from related party</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ind w:left="500"/>
              <w:spacing w:after="0"/>
              <w:rPr>
                <w:sz w:val="20"/>
                <w:szCs w:val="20"/>
                <w:color w:val="auto"/>
              </w:rPr>
            </w:pPr>
            <w:r>
              <w:rPr>
                <w:rFonts w:ascii="Arial" w:cs="Arial" w:eastAsia="Arial" w:hAnsi="Arial"/>
                <w:sz w:val="14"/>
                <w:szCs w:val="14"/>
                <w:color w:val="auto"/>
              </w:rPr>
              <w:t>Promissory note - related party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5,197</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(j)</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660" w:type="dxa"/>
            <w:vAlign w:val="bottom"/>
          </w:tcPr>
          <w:p>
            <w:pPr>
              <w:ind w:left="500"/>
              <w:spacing w:after="0"/>
              <w:rPr>
                <w:sz w:val="20"/>
                <w:szCs w:val="20"/>
                <w:color w:val="auto"/>
              </w:rPr>
            </w:pPr>
            <w:r>
              <w:rPr>
                <w:rFonts w:ascii="Arial" w:cs="Arial" w:eastAsia="Arial" w:hAnsi="Arial"/>
                <w:sz w:val="14"/>
                <w:szCs w:val="14"/>
                <w:color w:val="auto"/>
              </w:rPr>
              <w:t>Earn-out Shares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97,875</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97,875</w:t>
            </w:r>
          </w:p>
        </w:tc>
      </w:tr>
      <w:tr>
        <w:trPr>
          <w:trHeight w:val="25"/>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44,649</w:t>
            </w: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90,718</w:t>
            </w:r>
          </w:p>
        </w:tc>
        <w:tc>
          <w:tcPr>
            <w:tcW w:w="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136,181</w:t>
            </w:r>
          </w:p>
        </w:tc>
      </w:tr>
      <w:tr>
        <w:trPr>
          <w:trHeight w:val="245"/>
        </w:trPr>
        <w:tc>
          <w:tcPr>
            <w:tcW w:w="466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1,773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1,773</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Long-term debt due to related parties,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218,472</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(218,472)</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(j)</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5"/>
        </w:trPr>
        <w:tc>
          <w:tcPr>
            <w:tcW w:w="4660" w:type="dxa"/>
            <w:vAlign w:val="bottom"/>
          </w:tcPr>
          <w:p>
            <w:pPr>
              <w:ind w:left="80"/>
              <w:spacing w:after="0"/>
              <w:rPr>
                <w:sz w:val="20"/>
                <w:szCs w:val="20"/>
                <w:color w:val="auto"/>
              </w:rPr>
            </w:pPr>
            <w:r>
              <w:rPr>
                <w:rFonts w:ascii="Arial" w:cs="Arial" w:eastAsia="Arial" w:hAnsi="Arial"/>
                <w:sz w:val="14"/>
                <w:szCs w:val="14"/>
                <w:color w:val="auto"/>
              </w:rPr>
              <w:t>Deferred income taxes, net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3,100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3,100</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Derivative liability - Private Placement Warrants</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19,600</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19,600</w:t>
            </w:r>
          </w:p>
        </w:tc>
      </w:tr>
      <w:tr>
        <w:trPr>
          <w:trHeight w:val="190"/>
        </w:trPr>
        <w:tc>
          <w:tcPr>
            <w:tcW w:w="4660" w:type="dxa"/>
            <w:vAlign w:val="bottom"/>
          </w:tcPr>
          <w:p>
            <w:pPr>
              <w:ind w:left="80"/>
              <w:spacing w:after="0"/>
              <w:rPr>
                <w:sz w:val="20"/>
                <w:szCs w:val="20"/>
                <w:color w:val="auto"/>
              </w:rPr>
            </w:pPr>
            <w:r>
              <w:rPr>
                <w:rFonts w:ascii="Arial" w:cs="Arial" w:eastAsia="Arial" w:hAnsi="Arial"/>
                <w:sz w:val="14"/>
                <w:szCs w:val="14"/>
                <w:color w:val="auto"/>
              </w:rPr>
              <w:t>Derivative liability - Public Warrants</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31,893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31,893</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Deferred underwriting fee payable</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16,100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(16,100)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(d)</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4660" w:type="dxa"/>
            <w:vAlign w:val="bottom"/>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68,407</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267,994</w:t>
            </w: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(143,854)</w:t>
            </w:r>
          </w:p>
        </w:tc>
        <w:tc>
          <w:tcPr>
            <w:tcW w:w="6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192,547</w:t>
            </w:r>
          </w:p>
        </w:tc>
      </w:tr>
      <w:tr>
        <w:trPr>
          <w:trHeight w:val="25"/>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Commitments</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Class A common stock subject to possible redemption</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460,037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(460,037)</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(f) , (g)</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(k)</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Preferred stock</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(k)</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Class A common stock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(g)</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660" w:type="dxa"/>
            <w:vAlign w:val="bottom"/>
          </w:tcPr>
          <w:p>
            <w:pPr>
              <w:ind w:left="80"/>
              <w:spacing w:after="0"/>
              <w:rPr>
                <w:sz w:val="20"/>
                <w:szCs w:val="20"/>
                <w:color w:val="auto"/>
              </w:rPr>
            </w:pPr>
            <w:r>
              <w:rPr>
                <w:rFonts w:ascii="Arial" w:cs="Arial" w:eastAsia="Arial" w:hAnsi="Arial"/>
                <w:sz w:val="14"/>
                <w:szCs w:val="14"/>
                <w:color w:val="auto"/>
              </w:rPr>
              <w:t>Class B common stock</w:t>
            </w: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1">
            <w:col w:w="11240"/>
          </w:cols>
          <w:pgMar w:left="320" w:top="837"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Additional paid-in-capital</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13,990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(355,111)</w:t>
            </w:r>
          </w:p>
        </w:tc>
        <w:tc>
          <w:tcPr>
            <w:tcW w:w="1180" w:type="dxa"/>
            <w:vAlign w:val="bottom"/>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w w:val="98"/>
              </w:rPr>
              <w:t>(b), (k)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221,317</w:t>
            </w:r>
          </w:p>
        </w:tc>
      </w:t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(48,188)</w:t>
            </w:r>
          </w:p>
        </w:tc>
        <w:tc>
          <w:tcPr>
            <w:tcW w:w="118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349,997</w:t>
            </w:r>
          </w:p>
        </w:tc>
        <w:tc>
          <w:tcPr>
            <w:tcW w:w="1180" w:type="dxa"/>
            <w:vAlign w:val="bottom"/>
            <w:tcBorders>
              <w:bottom w:val="single" w:sz="8" w:color="CCEEFF"/>
            </w:tcBorders>
            <w:gridSpan w:val="2"/>
            <w:shd w:val="clear" w:color="auto" w:fill="CCEEFF"/>
          </w:tcPr>
          <w:p>
            <w:pPr>
              <w:jc w:val="center"/>
              <w:ind w:right="428"/>
              <w:spacing w:after="0"/>
              <w:rPr>
                <w:sz w:val="20"/>
                <w:szCs w:val="20"/>
                <w:color w:val="auto"/>
              </w:rPr>
            </w:pPr>
            <w:r>
              <w:rPr>
                <w:rFonts w:ascii="Arial" w:cs="Arial" w:eastAsia="Arial" w:hAnsi="Arial"/>
                <w:sz w:val="14"/>
                <w:szCs w:val="14"/>
                <w:b w:val="1"/>
                <w:bCs w:val="1"/>
                <w:color w:val="auto"/>
                <w:w w:val="93"/>
              </w:rPr>
              <w: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433,291</w:t>
            </w: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(g)</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(68,016)</w:t>
            </w:r>
          </w:p>
        </w:tc>
        <w:tc>
          <w:tcPr>
            <w:tcW w:w="1180" w:type="dxa"/>
            <w:vAlign w:val="bottom"/>
            <w:tcBorders>
              <w:bottom w:val="single" w:sz="8" w:color="CCEEFF"/>
            </w:tcBorders>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rPr>
              <w:t>(h)</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(1,410)</w:t>
            </w: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(i)</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180" w:type="dxa"/>
            <w:vAlign w:val="bottom"/>
            <w:tcBorders>
              <w:bottom w:val="single" w:sz="8" w:color="CCEEFF"/>
            </w:tcBorders>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rPr>
              <w:t>(l)</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(97,875)</w:t>
            </w: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(n)</w:t>
            </w:r>
          </w:p>
        </w:tc>
        <w:tc>
          <w:tcPr>
            <w:tcW w:w="94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Note receivable from stockholder</w:t>
            </w: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180" w:type="dxa"/>
            <w:vAlign w:val="bottom"/>
            <w:tcBorders>
              <w:bottom w:val="single" w:sz="8" w:color="CCEEFF"/>
            </w:tcBorders>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rPr>
              <w:t>(m)</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ind w:left="80"/>
              <w:spacing w:after="0"/>
              <w:rPr>
                <w:sz w:val="20"/>
                <w:szCs w:val="20"/>
                <w:color w:val="auto"/>
              </w:rPr>
            </w:pPr>
            <w:r>
              <w:rPr>
                <w:rFonts w:ascii="Arial" w:cs="Arial" w:eastAsia="Arial" w:hAnsi="Arial"/>
                <w:sz w:val="14"/>
                <w:szCs w:val="14"/>
                <w:color w:val="auto"/>
              </w:rPr>
              <w:t>Accumulated other comprehensive income</w:t>
            </w: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(68,016)</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(46,878)</w:t>
            </w: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(28,214)</w:t>
            </w:r>
          </w:p>
        </w:tc>
        <w:tc>
          <w:tcPr>
            <w:tcW w:w="1180" w:type="dxa"/>
            <w:vAlign w:val="bottom"/>
            <w:tcBorders>
              <w:bottom w:val="single" w:sz="8" w:color="CCEEFF"/>
            </w:tcBorders>
            <w:gridSpan w:val="2"/>
            <w:shd w:val="clear" w:color="auto" w:fill="CCEEFF"/>
          </w:tcPr>
          <w:p>
            <w:pPr>
              <w:jc w:val="center"/>
              <w:ind w:right="428"/>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(78,177)</w:t>
            </w:r>
          </w:p>
        </w:tc>
      </w:tr>
      <w:tr>
        <w:trPr>
          <w:trHeight w:val="191"/>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68,016</w:t>
            </w: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(h)</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180" w:type="dxa"/>
            <w:vAlign w:val="bottom"/>
            <w:tcBorders>
              <w:bottom w:val="single" w:sz="8" w:color="CCEEFF"/>
            </w:tcBorders>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rPr>
              <w:t>(i)</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(2,083)</w:t>
            </w: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(l)</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180" w:type="dxa"/>
            <w:vAlign w:val="bottom"/>
            <w:tcBorders>
              <w:bottom w:val="single" w:sz="8" w:color="CCEEFF"/>
            </w:tcBorders>
            <w:gridSpan w:val="2"/>
            <w:shd w:val="clear" w:color="auto" w:fill="CCEEFF"/>
          </w:tcPr>
          <w:p>
            <w:pPr>
              <w:jc w:val="center"/>
              <w:ind w:right="448"/>
              <w:spacing w:after="0"/>
              <w:rPr>
                <w:sz w:val="20"/>
                <w:szCs w:val="20"/>
                <w:color w:val="auto"/>
              </w:rPr>
            </w:pPr>
            <w:r>
              <w:rPr>
                <w:rFonts w:ascii="Arial" w:cs="Arial" w:eastAsia="Arial" w:hAnsi="Arial"/>
                <w:sz w:val="14"/>
                <w:szCs w:val="14"/>
                <w:b w:val="1"/>
                <w:bCs w:val="1"/>
                <w:color w:val="auto"/>
              </w:rPr>
              <w:t>(j)</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4660" w:type="dxa"/>
            <w:vAlign w:val="bottom"/>
          </w:tcPr>
          <w:p>
            <w:pPr>
              <w:ind w:left="720"/>
              <w:spacing w:after="0"/>
              <w:rPr>
                <w:sz w:val="20"/>
                <w:szCs w:val="20"/>
                <w:color w:val="auto"/>
              </w:rPr>
            </w:pPr>
            <w:r>
              <w:rPr>
                <w:rFonts w:ascii="Arial" w:cs="Arial" w:eastAsia="Arial" w:hAnsi="Arial"/>
                <w:sz w:val="14"/>
                <w:szCs w:val="14"/>
                <w:b w:val="1"/>
                <w:bCs w:val="1"/>
                <w:color w:val="auto"/>
              </w:rPr>
              <w:t>Total stockholders' equity (deficit)</w:t>
            </w:r>
          </w:p>
        </w:tc>
        <w:tc>
          <w:tcPr>
            <w:tcW w:w="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(64,911)</w:t>
            </w:r>
          </w:p>
        </w:tc>
        <w:tc>
          <w:tcPr>
            <w:tcW w:w="300" w:type="dxa"/>
            <w:vAlign w:val="bottom"/>
          </w:tcPr>
          <w:p>
            <w:pPr>
              <w:spacing w:after="0"/>
              <w:rPr>
                <w:sz w:val="16"/>
                <w:szCs w:val="16"/>
                <w:color w:val="auto"/>
              </w:rPr>
            </w:pPr>
          </w:p>
        </w:tc>
        <w:tc>
          <w:tcPr>
            <w:tcW w:w="3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(33,205)</w:t>
            </w:r>
          </w:p>
        </w:tc>
        <w:tc>
          <w:tcPr>
            <w:tcW w:w="300" w:type="dxa"/>
            <w:vAlign w:val="bottom"/>
          </w:tcPr>
          <w:p>
            <w:pPr>
              <w:spacing w:after="0"/>
              <w:rPr>
                <w:sz w:val="16"/>
                <w:szCs w:val="16"/>
                <w:color w:val="auto"/>
              </w:rPr>
            </w:pPr>
          </w:p>
        </w:tc>
        <w:tc>
          <w:tcPr>
            <w:tcW w:w="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241,507</w:t>
            </w:r>
          </w:p>
        </w:tc>
        <w:tc>
          <w:tcPr>
            <w:tcW w:w="660" w:type="dxa"/>
            <w:vAlign w:val="bottom"/>
          </w:tcPr>
          <w:p>
            <w:pPr>
              <w:spacing w:after="0"/>
              <w:rPr>
                <w:sz w:val="16"/>
                <w:szCs w:val="16"/>
                <w:color w:val="auto"/>
              </w:rPr>
            </w:pPr>
          </w:p>
        </w:tc>
        <w:tc>
          <w:tcPr>
            <w:tcW w:w="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143,391</w:t>
            </w:r>
          </w:p>
        </w:tc>
      </w:tr>
      <w:tr>
        <w:trPr>
          <w:trHeight w:val="26"/>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66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 and stockholders' equity</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463,533</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234,789</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(362,384)</w:t>
            </w: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335,938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1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231F20"/>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For the 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share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HydraFacial</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2"/>
              </w:rPr>
              <w:t>Vesper (Historical)</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(Historical)</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26"/>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rPr>
              <w:t>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47,542</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47,542</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15,802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15,802</w:t>
            </w:r>
          </w:p>
        </w:tc>
        <w:tc>
          <w:tcPr>
            <w:tcW w:w="0" w:type="dxa"/>
            <w:vAlign w:val="bottom"/>
          </w:tcPr>
          <w:p>
            <w:pPr>
              <w:spacing w:after="0"/>
              <w:rPr>
                <w:sz w:val="1"/>
                <w:szCs w:val="1"/>
                <w:color w:val="auto"/>
              </w:rPr>
            </w:pPr>
          </w:p>
        </w:tc>
      </w:tr>
      <w:tr>
        <w:trPr>
          <w:trHeight w:val="190"/>
        </w:trPr>
        <w:tc>
          <w:tcPr>
            <w:tcW w:w="4320" w:type="dxa"/>
            <w:vAlign w:val="bottom"/>
          </w:tcPr>
          <w:p>
            <w:pPr>
              <w:ind w:left="88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31,740</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rPr>
              <w:t>Formation and operating costs</w:t>
            </w: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10,811</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10,121</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Selling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17,095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17,095</w:t>
            </w:r>
          </w:p>
        </w:tc>
        <w:tc>
          <w:tcPr>
            <w:tcW w:w="0" w:type="dxa"/>
            <w:vAlign w:val="bottom"/>
          </w:tcPr>
          <w:p>
            <w:pPr>
              <w:spacing w:after="0"/>
              <w:rPr>
                <w:sz w:val="1"/>
                <w:szCs w:val="1"/>
                <w:color w:val="auto"/>
              </w:rPr>
            </w:pPr>
          </w:p>
        </w:tc>
      </w:tr>
      <w:tr>
        <w:trPr>
          <w:trHeight w:val="244"/>
        </w:trPr>
        <w:tc>
          <w:tcPr>
            <w:tcW w:w="4320" w:type="dxa"/>
            <w:vAlign w:val="bottom"/>
          </w:tcPr>
          <w:p>
            <w:pPr>
              <w:ind w:left="460"/>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1,452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6"/>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Total operating expense</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29,358</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29,270</w:t>
            </w:r>
          </w:p>
        </w:tc>
        <w:tc>
          <w:tcPr>
            <w:tcW w:w="0" w:type="dxa"/>
            <w:vAlign w:val="bottom"/>
          </w:tcPr>
          <w:p>
            <w:pPr>
              <w:spacing w:after="0"/>
              <w:rPr>
                <w:sz w:val="1"/>
                <w:szCs w:val="1"/>
                <w:color w:val="auto"/>
              </w:rPr>
            </w:pPr>
          </w:p>
        </w:tc>
      </w:tr>
      <w:tr>
        <w:trPr>
          <w:trHeight w:val="184"/>
        </w:trPr>
        <w:tc>
          <w:tcPr>
            <w:tcW w:w="4320" w:type="dxa"/>
            <w:vAlign w:val="bottom"/>
          </w:tcPr>
          <w:p>
            <w:pPr>
              <w:ind w:left="80"/>
              <w:spacing w:after="0"/>
              <w:rPr>
                <w:sz w:val="20"/>
                <w:szCs w:val="20"/>
                <w:color w:val="auto"/>
              </w:rPr>
            </w:pPr>
            <w:r>
              <w:rPr>
                <w:rFonts w:ascii="Arial" w:cs="Arial" w:eastAsia="Arial" w:hAnsi="Arial"/>
                <w:sz w:val="14"/>
                <w:szCs w:val="14"/>
                <w:b w:val="1"/>
                <w:bCs w:val="1"/>
                <w:color w:val="auto"/>
              </w:rPr>
              <w:t>Income (loss) from operations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(602)</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2,382</w:t>
            </w: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690</w:t>
            </w:r>
          </w:p>
        </w:tc>
        <w:tc>
          <w:tcPr>
            <w:tcW w:w="4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w w:val="93"/>
              </w:rPr>
              <w:t>Interest earned on marketable securities held in the Trust Account</w:t>
            </w: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Change in fair value - Private Placement Warrants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rPr>
              <w:t>Change in fair value - Public Warrants</w:t>
            </w: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(8,740)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(8,740)</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8"/>
              </w:rPr>
              <w:t>Unrealized gain on marketable securities held in Trust Account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(b)</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rPr>
              <w:t>Change in fair value of warrant liability</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5,699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0"/>
        </w:trPr>
        <w:tc>
          <w:tcPr>
            <w:tcW w:w="4320" w:type="dxa"/>
            <w:vAlign w:val="bottom"/>
          </w:tcPr>
          <w:p>
            <w:pPr>
              <w:ind w:left="460"/>
              <w:spacing w:after="0"/>
              <w:rPr>
                <w:sz w:val="20"/>
                <w:szCs w:val="20"/>
                <w:color w:val="auto"/>
              </w:rPr>
            </w:pPr>
            <w:r>
              <w:rPr>
                <w:rFonts w:ascii="Arial" w:cs="Arial" w:eastAsia="Arial" w:hAnsi="Arial"/>
                <w:sz w:val="14"/>
                <w:szCs w:val="14"/>
                <w:color w:val="auto"/>
              </w:rPr>
              <w:t>Other expense (income)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Foreign currency gain, net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256</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4"/>
        </w:trPr>
        <w:tc>
          <w:tcPr>
            <w:tcW w:w="4320" w:type="dxa"/>
            <w:vAlign w:val="bottom"/>
          </w:tcPr>
          <w:p>
            <w:pPr>
              <w:ind w:left="880"/>
              <w:spacing w:after="0"/>
              <w:rPr>
                <w:sz w:val="20"/>
                <w:szCs w:val="20"/>
                <w:color w:val="auto"/>
              </w:rPr>
            </w:pPr>
            <w:r>
              <w:rPr>
                <w:rFonts w:ascii="Arial" w:cs="Arial" w:eastAsia="Arial" w:hAnsi="Arial"/>
                <w:sz w:val="14"/>
                <w:szCs w:val="14"/>
                <w:color w:val="auto"/>
              </w:rPr>
              <w:t>Total other expense (income)</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(14,239)</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5,962</w:t>
            </w: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(5,660)</w:t>
            </w:r>
          </w:p>
        </w:tc>
        <w:tc>
          <w:tcPr>
            <w:tcW w:w="4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(13,937)</w:t>
            </w:r>
          </w:p>
        </w:tc>
        <w:tc>
          <w:tcPr>
            <w:tcW w:w="0" w:type="dxa"/>
            <w:vAlign w:val="bottom"/>
          </w:tcPr>
          <w:p>
            <w:pPr>
              <w:spacing w:after="0"/>
              <w:rPr>
                <w:sz w:val="1"/>
                <w:szCs w:val="1"/>
                <w:color w:val="auto"/>
              </w:rPr>
            </w:pPr>
          </w:p>
        </w:tc>
      </w:tr>
      <w:tr>
        <w:trPr>
          <w:trHeight w:val="25"/>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Income (loss) before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13,637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(3,580)</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6,350</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16,407</w:t>
            </w:r>
          </w:p>
        </w:tc>
        <w:tc>
          <w:tcPr>
            <w:tcW w:w="0" w:type="dxa"/>
            <w:vAlign w:val="bottom"/>
          </w:tcPr>
          <w:p>
            <w:pPr>
              <w:spacing w:after="0"/>
              <w:rPr>
                <w:sz w:val="1"/>
                <w:szCs w:val="1"/>
                <w:color w:val="auto"/>
              </w:rPr>
            </w:pPr>
          </w:p>
        </w:tc>
      </w:tr>
      <w:tr>
        <w:trPr>
          <w:trHeight w:val="191"/>
        </w:trPr>
        <w:tc>
          <w:tcPr>
            <w:tcW w:w="4320" w:type="dxa"/>
            <w:vAlign w:val="bottom"/>
          </w:tcPr>
          <w:p>
            <w:pPr>
              <w:ind w:left="460"/>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(306)</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1,415</w:t>
            </w: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(h)</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5"/>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13,637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4,935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Net income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88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(63.93)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(63.93)</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w:t>
            </w:r>
          </w:p>
        </w:tc>
        <w:tc>
          <w:tcPr>
            <w:tcW w:w="3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11,500,000</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54,358</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113,774,695</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(f)</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125,329,053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tcPr>
          <w:p>
            <w:pPr>
              <w:ind w:left="8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11,500,000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54,358</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124,204,453</w:t>
            </w: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(g)</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135,758,811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231F20"/>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share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8"/>
              </w:rPr>
              <w:t>Vesper (Historical as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HydraFacial</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Restated)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w w:val="95"/>
              </w:rPr>
              <w:t>(Historical)</w:t>
            </w:r>
          </w:p>
        </w:tc>
        <w:tc>
          <w:tcPr>
            <w:tcW w:w="3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Pro Forma Adjustments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4"/>
              </w:rPr>
              <w:t>Pro Forma Combined</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460"/>
              <w:spacing w:after="0"/>
              <w:rPr>
                <w:sz w:val="20"/>
                <w:szCs w:val="20"/>
                <w:color w:val="auto"/>
              </w:rPr>
            </w:pPr>
            <w:r>
              <w:rPr>
                <w:rFonts w:ascii="Arial" w:cs="Arial" w:eastAsia="Arial" w:hAnsi="Arial"/>
                <w:sz w:val="14"/>
                <w:szCs w:val="14"/>
                <w:color w:val="auto"/>
              </w:rPr>
              <w:t>Net sales</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119,092</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520"/>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119,092</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51,893</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51,977</w:t>
            </w:r>
          </w:p>
        </w:tc>
        <w:tc>
          <w:tcPr>
            <w:tcW w:w="0" w:type="dxa"/>
            <w:vAlign w:val="bottom"/>
          </w:tcPr>
          <w:p>
            <w:pPr>
              <w:spacing w:after="0"/>
              <w:rPr>
                <w:sz w:val="1"/>
                <w:szCs w:val="1"/>
                <w:color w:val="auto"/>
              </w:rPr>
            </w:pPr>
          </w:p>
        </w:tc>
      </w:tr>
      <w:tr>
        <w:trPr>
          <w:trHeight w:val="190"/>
        </w:trPr>
        <w:tc>
          <w:tcPr>
            <w:tcW w:w="3900" w:type="dxa"/>
            <w:vAlign w:val="bottom"/>
          </w:tcPr>
          <w:p>
            <w:pPr>
              <w:ind w:left="840"/>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67,199</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67,115</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460"/>
              <w:spacing w:after="0"/>
              <w:rPr>
                <w:sz w:val="20"/>
                <w:szCs w:val="20"/>
                <w:color w:val="auto"/>
              </w:rPr>
            </w:pPr>
            <w:r>
              <w:rPr>
                <w:rFonts w:ascii="Arial" w:cs="Arial" w:eastAsia="Arial" w:hAnsi="Arial"/>
                <w:sz w:val="14"/>
                <w:szCs w:val="14"/>
                <w:color w:val="auto"/>
              </w:rPr>
              <w:t>Formation and operating costs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1,210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30,649</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28,214</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(b)</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59,923</w:t>
            </w: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1,060</w:t>
            </w:r>
          </w:p>
        </w:tc>
        <w:tc>
          <w:tcPr>
            <w:tcW w:w="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50,323</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50,588</w:t>
            </w:r>
          </w:p>
        </w:tc>
        <w:tc>
          <w:tcPr>
            <w:tcW w:w="0" w:type="dxa"/>
            <w:vAlign w:val="bottom"/>
          </w:tcPr>
          <w:p>
            <w:pPr>
              <w:spacing w:after="0"/>
              <w:rPr>
                <w:sz w:val="1"/>
                <w:szCs w:val="1"/>
                <w:color w:val="auto"/>
              </w:rPr>
            </w:pPr>
          </w:p>
        </w:tc>
      </w:tr>
      <w:tr>
        <w:trPr>
          <w:trHeight w:val="244"/>
        </w:trPr>
        <w:tc>
          <w:tcPr>
            <w:tcW w:w="3900" w:type="dxa"/>
            <w:vAlign w:val="bottom"/>
          </w:tcPr>
          <w:p>
            <w:pPr>
              <w:ind w:left="46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3,409</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3,409</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Total operating expense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1,210</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84,381</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29,539</w:t>
            </w:r>
          </w:p>
        </w:tc>
        <w:tc>
          <w:tcPr>
            <w:tcW w:w="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115,130</w:t>
            </w:r>
          </w:p>
        </w:tc>
        <w:tc>
          <w:tcPr>
            <w:tcW w:w="0" w:type="dxa"/>
            <w:vAlign w:val="bottom"/>
          </w:tcPr>
          <w:p>
            <w:pPr>
              <w:spacing w:after="0"/>
              <w:rPr>
                <w:sz w:val="1"/>
                <w:szCs w:val="1"/>
                <w:color w:val="auto"/>
              </w:rPr>
            </w:pPr>
          </w:p>
        </w:tc>
      </w:tr>
      <w:tr>
        <w:trPr>
          <w:trHeight w:val="184"/>
        </w:trPr>
        <w:tc>
          <w:tcPr>
            <w:tcW w:w="3900" w:type="dxa"/>
            <w:vAlign w:val="bottom"/>
          </w:tcPr>
          <w:p>
            <w:pPr>
              <w:ind w:left="80"/>
              <w:spacing w:after="0"/>
              <w:rPr>
                <w:sz w:val="20"/>
                <w:szCs w:val="20"/>
                <w:color w:val="auto"/>
              </w:rPr>
            </w:pPr>
            <w:r>
              <w:rPr>
                <w:rFonts w:ascii="Arial" w:cs="Arial" w:eastAsia="Arial" w:hAnsi="Arial"/>
                <w:sz w:val="14"/>
                <w:szCs w:val="14"/>
                <w:b w:val="1"/>
                <w:bCs w:val="1"/>
                <w:color w:val="auto"/>
              </w:rPr>
              <w:t>Loss from operations</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(1,210)</w:t>
            </w: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(17,182)</w:t>
            </w: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(29,623)</w:t>
            </w: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(48,015)</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460"/>
              <w:spacing w:after="0"/>
              <w:rPr>
                <w:sz w:val="20"/>
                <w:szCs w:val="20"/>
                <w:color w:val="auto"/>
              </w:rPr>
            </w:pPr>
            <w:r>
              <w:rPr>
                <w:rFonts w:ascii="Arial" w:cs="Arial" w:eastAsia="Arial" w:hAnsi="Arial"/>
                <w:sz w:val="14"/>
                <w:szCs w:val="14"/>
                <w:color w:val="auto"/>
                <w:w w:val="96"/>
              </w:rPr>
              <w:t>Interest earned on marketable securities held in the Trust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460"/>
              <w:spacing w:after="0"/>
              <w:rPr>
                <w:sz w:val="20"/>
                <w:szCs w:val="20"/>
                <w:color w:val="auto"/>
              </w:rPr>
            </w:pPr>
            <w:r>
              <w:rPr>
                <w:rFonts w:ascii="Arial" w:cs="Arial" w:eastAsia="Arial" w:hAnsi="Arial"/>
                <w:sz w:val="14"/>
                <w:szCs w:val="14"/>
                <w:color w:val="auto"/>
              </w:rPr>
              <w:t>Account</w:t>
            </w: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w:t>
            </w: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Change in fair value - Private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14,093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14,093</w:t>
            </w:r>
          </w:p>
        </w:tc>
        <w:tc>
          <w:tcPr>
            <w:tcW w:w="0" w:type="dxa"/>
            <w:vAlign w:val="bottom"/>
          </w:tcPr>
          <w:p>
            <w:pPr>
              <w:spacing w:after="0"/>
              <w:rPr>
                <w:sz w:val="1"/>
                <w:szCs w:val="1"/>
                <w:color w:val="auto"/>
              </w:rPr>
            </w:pPr>
          </w:p>
        </w:tc>
      </w:tr>
      <w:tr>
        <w:trPr>
          <w:trHeight w:val="191"/>
        </w:trPr>
        <w:tc>
          <w:tcPr>
            <w:tcW w:w="3900" w:type="dxa"/>
            <w:vAlign w:val="bottom"/>
          </w:tcPr>
          <w:p>
            <w:pPr>
              <w:ind w:left="460"/>
              <w:spacing w:after="0"/>
              <w:rPr>
                <w:sz w:val="20"/>
                <w:szCs w:val="20"/>
                <w:color w:val="auto"/>
              </w:rPr>
            </w:pPr>
            <w:r>
              <w:rPr>
                <w:rFonts w:ascii="Arial" w:cs="Arial" w:eastAsia="Arial" w:hAnsi="Arial"/>
                <w:sz w:val="14"/>
                <w:szCs w:val="14"/>
                <w:color w:val="auto"/>
              </w:rPr>
              <w:t>Change in fair value - Public Warrants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22,693</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22,693</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Unrealized gain on marketable securities held in Trust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(f)</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900" w:type="dxa"/>
            <w:vAlign w:val="bottom"/>
          </w:tcPr>
          <w:p>
            <w:pPr>
              <w:ind w:left="460"/>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21,275</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(21,382)</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(c)</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2,014</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Foreign currency gain, net</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3900" w:type="dxa"/>
            <w:vAlign w:val="bottom"/>
          </w:tcPr>
          <w:p>
            <w:pPr>
              <w:ind w:left="840"/>
              <w:spacing w:after="0"/>
              <w:rPr>
                <w:sz w:val="20"/>
                <w:szCs w:val="20"/>
                <w:color w:val="auto"/>
              </w:rPr>
            </w:pPr>
            <w:r>
              <w:rPr>
                <w:rFonts w:ascii="Arial" w:cs="Arial" w:eastAsia="Arial" w:hAnsi="Arial"/>
                <w:sz w:val="14"/>
                <w:szCs w:val="14"/>
                <w:color w:val="auto"/>
              </w:rPr>
              <w:t>Total other expense</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37,704</w:t>
            </w: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21,301</w:t>
            </w: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(16,858)</w:t>
            </w: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42,147</w:t>
            </w:r>
          </w:p>
        </w:tc>
        <w:tc>
          <w:tcPr>
            <w:tcW w:w="0" w:type="dxa"/>
            <w:vAlign w:val="bottom"/>
          </w:tcPr>
          <w:p>
            <w:pPr>
              <w:spacing w:after="0"/>
              <w:rPr>
                <w:sz w:val="1"/>
                <w:szCs w:val="1"/>
                <w:color w:val="auto"/>
              </w:rPr>
            </w:pPr>
          </w:p>
        </w:tc>
      </w:tr>
      <w:tr>
        <w:trPr>
          <w:trHeight w:val="25"/>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Loss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(38,914)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(38,483)</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(12,765)</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(90,162)</w:t>
            </w:r>
          </w:p>
        </w:tc>
        <w:tc>
          <w:tcPr>
            <w:tcW w:w="0" w:type="dxa"/>
            <w:vAlign w:val="bottom"/>
          </w:tcPr>
          <w:p>
            <w:pPr>
              <w:spacing w:after="0"/>
              <w:rPr>
                <w:sz w:val="1"/>
                <w:szCs w:val="1"/>
                <w:color w:val="auto"/>
              </w:rPr>
            </w:pPr>
          </w:p>
        </w:tc>
      </w:tr>
      <w:tr>
        <w:trPr>
          <w:trHeight w:val="191"/>
        </w:trPr>
        <w:tc>
          <w:tcPr>
            <w:tcW w:w="3900" w:type="dxa"/>
            <w:vAlign w:val="bottom"/>
          </w:tcPr>
          <w:p>
            <w:pPr>
              <w:ind w:left="460"/>
              <w:spacing w:after="0"/>
              <w:rPr>
                <w:sz w:val="20"/>
                <w:szCs w:val="20"/>
                <w:color w:val="auto"/>
              </w:rPr>
            </w:pPr>
            <w:r>
              <w:rPr>
                <w:rFonts w:ascii="Arial" w:cs="Arial" w:eastAsia="Arial" w:hAnsi="Arial"/>
                <w:sz w:val="14"/>
                <w:szCs w:val="14"/>
                <w:color w:val="auto"/>
              </w:rPr>
              <w:t>Income tax provision (benefit)</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(9,308)</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(3,191)</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(i)</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(12,499)</w:t>
            </w:r>
          </w:p>
        </w:tc>
        <w:tc>
          <w:tcPr>
            <w:tcW w:w="0" w:type="dxa"/>
            <w:vAlign w:val="bottom"/>
          </w:tcPr>
          <w:p>
            <w:pPr>
              <w:spacing w:after="0"/>
              <w:rPr>
                <w:sz w:val="1"/>
                <w:szCs w:val="1"/>
                <w:color w:val="auto"/>
              </w:rPr>
            </w:pPr>
          </w:p>
        </w:tc>
      </w:tr>
      <w:tr>
        <w:trPr>
          <w:trHeight w:val="25"/>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loss</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(38,914)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(29,175)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(9,574)</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w w:val="76"/>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(77,663)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Net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840"/>
              <w:spacing w:after="0"/>
              <w:rPr>
                <w:sz w:val="20"/>
                <w:szCs w:val="20"/>
                <w:color w:val="auto"/>
              </w:rPr>
            </w:pPr>
            <w:r>
              <w:rPr>
                <w:rFonts w:ascii="Arial" w:cs="Arial" w:eastAsia="Arial" w:hAnsi="Arial"/>
                <w:sz w:val="14"/>
                <w:szCs w:val="14"/>
                <w:color w:val="auto"/>
              </w:rPr>
              <w:t>Basic and diluted</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(569.87)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gridSpan w:val="2"/>
          </w:tcPr>
          <w:p>
            <w:pPr>
              <w:ind w:left="140"/>
              <w:spacing w:after="0" w:line="216" w:lineRule="exact"/>
              <w:rPr>
                <w:sz w:val="20"/>
                <w:szCs w:val="20"/>
                <w:color w:val="auto"/>
              </w:rPr>
            </w:pPr>
            <w:r>
              <w:rPr>
                <w:rFonts w:ascii="Arial" w:cs="Arial" w:eastAsia="Arial" w:hAnsi="Arial"/>
                <w:sz w:val="13"/>
                <w:szCs w:val="13"/>
                <w:b w:val="1"/>
                <w:bCs w:val="1"/>
                <w:color w:val="auto"/>
              </w:rPr>
              <w:t xml:space="preserve">(g)   </w:t>
            </w:r>
            <w:r>
              <w:rPr>
                <w:rFonts w:ascii="Arial" w:cs="Arial" w:eastAsia="Arial" w:hAnsi="Arial"/>
                <w:sz w:val="25"/>
                <w:szCs w:val="25"/>
                <w:b w:val="1"/>
                <w:bCs w:val="1"/>
                <w:color w:val="auto"/>
                <w:vertAlign w:val="superscript"/>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460"/>
              <w:spacing w:after="0"/>
              <w:rPr>
                <w:sz w:val="20"/>
                <w:szCs w:val="20"/>
                <w:color w:val="auto"/>
              </w:rPr>
            </w:pPr>
            <w:r>
              <w:rPr>
                <w:rFonts w:ascii="Arial" w:cs="Arial" w:eastAsia="Arial" w:hAnsi="Arial"/>
                <w:sz w:val="14"/>
                <w:szCs w:val="14"/>
                <w:b w:val="1"/>
                <w:bCs w:val="1"/>
                <w:color w:val="auto"/>
              </w:rPr>
              <w:t>Weighted average shares outstanding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9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Basic and diluted</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13,388,418</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52,494</w:t>
            </w: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111,888,141</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(h)</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125,329,053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37"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231F20"/>
        </w:rPr>
        <w:t>NOTES TO UNAUDITED PRO FORMA CONDENSED COMBINED FINANCIAL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 Description of Business Combinations</w:t>
      </w:r>
    </w:p>
    <w:p>
      <w:pPr>
        <w:spacing w:after="0" w:line="12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On May 4, 2021, the Company consummated the previously announced Business Combination pursuant to that certain Merger Agreement, dated December 8, 2020, with Merger Sub I, Merger Sub II, LCP Edge Intermediate, Inc., the indirect parent of Edge Systems LLC d/b/a The HydraFacial Company, and LCP Edge Holdco, LLC. On the Closing Date, Merger Sub I merged with and into HydraFacial, with HydraFacial continuing as the First Merger, and immediately following the First Merger and as part of the same overall transaction as the First Merger, HydraFacial merged with and into Merger Sub II, with Merger Sub II continuing as the surviving entity, which is a wholly owned subsidiary of the Company.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the registrant changed its name from “Vesper Healthcare Acquisition Corp.” to “The Beauty Health Company.”</w:t>
      </w:r>
    </w:p>
    <w:p>
      <w:pPr>
        <w:spacing w:after="0" w:line="73"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Pursuant to the terms of the Merger Agreement, the aggregate merger consideration paid to the HydraFacial stockholders in connection with the Business Combination was approximately $975.0 million less HydraFacial’s net indebtedness as of the Closing Date, and subject to further adjustments for transaction expenses, and net working capital relative to a target. The merger consideration included both cash consideration and consideration in the form of newly issued shares of the Company’s Class A Stock. The aggregate cash consideration paid to the HydraFacial Stockholders at the Closing was approximately $368.0 million, consisting of the Vesper’s cash and cash equivalents as of the closing of the Business Combination (including proceeds of $350.0 million from the Vesper’s Private Placement of an aggregate of 35,000,000 shares of Class A Stock, and approximately $433.0 million of cash available to Vesper from the trust account that held the proceeds from Vesper’s initial public offering)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the Company, minus $100.0 million. The remainder of the consideration paid to the HydraFacial stockholders consisted of 35,501,743 newly issued shares of Class A Stock. The foregoing consideration paid to the HydraFacial stockholders will be further increased by amounts payable as earn-out consideration consisting of shares of Class A Stock pursuant to the terms of the Merger Agreement.</w:t>
      </w:r>
    </w:p>
    <w:p>
      <w:pPr>
        <w:spacing w:after="0" w:line="46" w:lineRule="exact"/>
        <w:rPr>
          <w:sz w:val="20"/>
          <w:szCs w:val="20"/>
          <w:color w:val="auto"/>
        </w:rPr>
      </w:pPr>
    </w:p>
    <w:p>
      <w:pPr>
        <w:ind w:right="20" w:firstLine="360"/>
        <w:spacing w:after="0"/>
        <w:rPr>
          <w:sz w:val="20"/>
          <w:szCs w:val="20"/>
          <w:color w:val="auto"/>
        </w:rPr>
      </w:pPr>
      <w:r>
        <w:rPr>
          <w:rFonts w:ascii="Arial" w:cs="Arial" w:eastAsia="Arial" w:hAnsi="Arial"/>
          <w:sz w:val="17"/>
          <w:szCs w:val="17"/>
          <w:color w:val="auto"/>
        </w:rPr>
        <w:t>Under the terms of the transaction, HydraFacial retained $100.0 million of cash towards its balance sheet, and the Company and HydraFacial incurred approximately $95.0 million of transaction expenses in the aggregate, inclusive of $16.1 million of deferred offering costs incurred by the Company in connection with its initial public offering. In addition to the consideration paid at the closing of the Business Combination, the former stockholders of HydraFacial are entitled to receive earn-out consideration consisting of 7.5 million shares of Class A Common Stock from the Company as a result of the Company’s completion in June and July 2021 of the acquisition of certain target businesses identified by HydraFacial as contemplated by the Merger Agreement. The 7.5 million Earn-out Shares are expected to be issued on or before August 1,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2 - Basis of Presentation</w:t>
      </w:r>
    </w:p>
    <w:p>
      <w:pPr>
        <w:spacing w:after="0" w:line="256"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to the combined historical financial information of HydraFacial and the Company depict the accounting for the Business Combination.</w:t>
      </w:r>
    </w:p>
    <w:p>
      <w:pPr>
        <w:spacing w:after="0" w:line="176" w:lineRule="exact"/>
        <w:rPr>
          <w:sz w:val="20"/>
          <w:szCs w:val="20"/>
          <w:color w:val="auto"/>
        </w:rPr>
      </w:pPr>
    </w:p>
    <w:p>
      <w:pPr>
        <w:ind w:right="600" w:firstLine="360"/>
        <w:spacing w:after="0" w:line="308" w:lineRule="auto"/>
        <w:rPr>
          <w:sz w:val="20"/>
          <w:szCs w:val="20"/>
          <w:color w:val="auto"/>
        </w:rPr>
      </w:pPr>
      <w:r>
        <w:rPr>
          <w:rFonts w:ascii="Arial" w:cs="Arial" w:eastAsia="Arial" w:hAnsi="Arial"/>
          <w:sz w:val="17"/>
          <w:szCs w:val="17"/>
          <w:color w:val="auto"/>
        </w:rPr>
        <w:t>The adjustments in the unaudited pro forma condensed combined financial information have been identified and presented to provide relevant information necessary for an accurate understanding of the combined entity upon consummation of the Business Combination.</w:t>
      </w:r>
    </w:p>
    <w:p>
      <w:pPr>
        <w:spacing w:after="0" w:line="173"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pro forma adjustments have been prepared as if the Business Combination had been consummated on March 31, 2021 in the case of the unaudited pro forma condensed combined balance sheet and on January 1, 2020, the beginning of the earliest period presented in the unaudited pro forma condensed combined statement of operations.</w:t>
      </w:r>
    </w:p>
    <w:p>
      <w:pPr>
        <w:spacing w:after="0" w:line="211"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The pro forma adjustments represent management’s estimates based on information available as of the date of this Current Report on Form 8-K and are subject to change as additional information becomes available and additional analyses are performed. Management considers this basis of presentation to be reasonable under the circumstances.</w:t>
      </w:r>
    </w:p>
    <w:p>
      <w:pPr>
        <w:spacing w:after="0" w:line="21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post-combination company approved a new incentive award plan (the “2021 Plan”), which became effective upon consummation of the Business Combination and expects to enter into new equity awards with its employees pursuant to the 2021 Plan. The terms of these new equity awards to employees have not been finalized and remain subject to change. Accordingly, no effect has been given to the unaudited pro forma condensed combined financial information for the new or current awards. No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-309245</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00"/>
          </w:cols>
          <w:pgMar w:left="320" w:top="837" w:right="37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adjustments were recorded for historical stock-based compensation expense associated with the units that vested upon closing of the Business Combination as the amounts were immaterial.</w:t>
      </w:r>
    </w:p>
    <w:p>
      <w:pPr>
        <w:spacing w:after="0" w:line="19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Earn-out Shares are recognized as a liability in the unaudited pro forma condensed combined balance sheet, and the preliminary fair value of the liability has been determined using the most reliable information available as the achievement of the maximum contingent consideration amount is reasonably certain. This liability will be settled with up to a maximum of 7.5 million Earn-out Shares and future changes in the fair value of the liability will be recognized in earnings prior to the issuance of the Earn-out Shares.</w:t>
      </w:r>
    </w:p>
    <w:p>
      <w:pPr>
        <w:sectPr>
          <w:pgSz w:w="11900" w:h="16838" w:orient="portrait"/>
          <w:cols w:equalWidth="0" w:num="1">
            <w:col w:w="11200"/>
          </w:cols>
          <w:pgMar w:left="320" w:top="773"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231F20"/>
        </w:rPr>
        <w:t>Note 3 - Pro Forma Balance Sheet Adjustments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unaudited pro forma condensed combined balance sheet as of March 31, 2021 reflects the following adjustments:</w:t>
      </w:r>
    </w:p>
    <w:p>
      <w:pPr>
        <w:spacing w:after="0" w:line="117" w:lineRule="exact"/>
        <w:rPr>
          <w:sz w:val="20"/>
          <w:szCs w:val="20"/>
          <w:color w:val="auto"/>
        </w:rPr>
      </w:pPr>
    </w:p>
    <w:p>
      <w:pPr>
        <w:ind w:right="60" w:firstLine="368"/>
        <w:spacing w:after="0" w:line="277" w:lineRule="auto"/>
        <w:tabs>
          <w:tab w:leader="none" w:pos="6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release of $460.2 million of restricted investments and cash held in the Trust Account upon consummation of the Business Combination to fund the closing of the Business Combination.</w:t>
      </w:r>
    </w:p>
    <w:p>
      <w:pPr>
        <w:spacing w:after="0" w:line="62" w:lineRule="exact"/>
        <w:rPr>
          <w:rFonts w:ascii="Arial" w:cs="Arial" w:eastAsia="Arial" w:hAnsi="Arial"/>
          <w:sz w:val="18"/>
          <w:szCs w:val="18"/>
          <w:color w:val="231F20"/>
        </w:rPr>
      </w:pPr>
    </w:p>
    <w:p>
      <w:pPr>
        <w:ind w:right="540" w:firstLine="368"/>
        <w:spacing w:after="0" w:line="277" w:lineRule="auto"/>
        <w:tabs>
          <w:tab w:leader="none" w:pos="637"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cash consideration paid to existing HydraFacial preferred and common stock shareholders upon closing of the Business Combination.</w:t>
      </w:r>
    </w:p>
    <w:p>
      <w:pPr>
        <w:spacing w:after="0" w:line="62" w:lineRule="exact"/>
        <w:rPr>
          <w:rFonts w:ascii="Arial" w:cs="Arial" w:eastAsia="Arial" w:hAnsi="Arial"/>
          <w:sz w:val="18"/>
          <w:szCs w:val="18"/>
          <w:color w:val="231F20"/>
        </w:rPr>
      </w:pPr>
    </w:p>
    <w:p>
      <w:pPr>
        <w:ind w:right="40" w:firstLine="368"/>
        <w:spacing w:after="0" w:line="255" w:lineRule="auto"/>
        <w:tabs>
          <w:tab w:leader="none" w:pos="6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cash used to pay the estimated direct and incremental transaction costs incurred by Vesper and HydraFacial of $94.5 million, including advisory, banking, printing, legal, management services and accounting fees that are expensed as a part of the Business Combination and equity issuance costs that are offset to additional paid-in capital, including $16.1 million of deferred offering costs associated with Vesper’s initial public offering. Additional costs of $28.2 million not yet recognized in the historical HydraFacial statement of comprehensive loss were expensed through accumulated deficit, and $2.0 million of accrued transaction costs previously expensed were deemed settled, with the rest offset to additional paid in capital.</w:t>
      </w:r>
    </w:p>
    <w:p>
      <w:pPr>
        <w:spacing w:after="0" w:line="84" w:lineRule="exact"/>
        <w:rPr>
          <w:rFonts w:ascii="Arial" w:cs="Arial" w:eastAsia="Arial" w:hAnsi="Arial"/>
          <w:sz w:val="18"/>
          <w:szCs w:val="18"/>
          <w:color w:val="231F20"/>
        </w:rPr>
      </w:pPr>
    </w:p>
    <w:p>
      <w:pPr>
        <w:ind w:right="140" w:firstLine="368"/>
        <w:spacing w:after="0" w:line="277" w:lineRule="auto"/>
        <w:tabs>
          <w:tab w:leader="none" w:pos="637"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payment of $16.1 million of deferred underwriting fees incurred as part of the Vesper’s IPO that are committed to be paid upon the consummation of a business combination.</w:t>
      </w:r>
    </w:p>
    <w:p>
      <w:pPr>
        <w:spacing w:after="0" w:line="62" w:lineRule="exact"/>
        <w:rPr>
          <w:rFonts w:ascii="Arial" w:cs="Arial" w:eastAsia="Arial" w:hAnsi="Arial"/>
          <w:sz w:val="18"/>
          <w:szCs w:val="18"/>
          <w:color w:val="231F20"/>
        </w:rPr>
      </w:pPr>
    </w:p>
    <w:p>
      <w:pPr>
        <w:ind w:right="320" w:firstLine="368"/>
        <w:spacing w:after="0" w:line="277" w:lineRule="auto"/>
        <w:tabs>
          <w:tab w:leader="none" w:pos="6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issuance of the Private Placement financing to certain investors of 35.0 million shares of Class A Stock pursuant to the Subscription Agreement at a price of $10.00 per share.</w:t>
      </w:r>
    </w:p>
    <w:p>
      <w:pPr>
        <w:spacing w:after="0" w:line="62" w:lineRule="exact"/>
        <w:rPr>
          <w:rFonts w:ascii="Arial" w:cs="Arial" w:eastAsia="Arial" w:hAnsi="Arial"/>
          <w:sz w:val="18"/>
          <w:szCs w:val="18"/>
          <w:color w:val="231F20"/>
        </w:rPr>
      </w:pPr>
    </w:p>
    <w:p>
      <w:pPr>
        <w:ind w:left="660" w:hanging="292"/>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elimination of Class A Stock paid out to redeeming shareholders.</w:t>
      </w:r>
    </w:p>
    <w:p>
      <w:pPr>
        <w:spacing w:after="0" w:line="117" w:lineRule="exact"/>
        <w:rPr>
          <w:rFonts w:ascii="Arial" w:cs="Arial" w:eastAsia="Arial" w:hAnsi="Arial"/>
          <w:sz w:val="18"/>
          <w:szCs w:val="18"/>
          <w:color w:val="231F20"/>
        </w:rPr>
      </w:pPr>
    </w:p>
    <w:p>
      <w:pPr>
        <w:ind w:right="120" w:firstLine="368"/>
        <w:spacing w:after="0" w:line="342" w:lineRule="auto"/>
        <w:tabs>
          <w:tab w:leader="none" w:pos="637"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Represents the conversion of Common Stock into non-redeemable Class A common stock of the post-combination company, resulting in the recognition of additional paid-in capital and issuance of equity to existing HydraFacial shareholders as a result of the Business Combination.</w:t>
      </w:r>
    </w:p>
    <w:p>
      <w:pPr>
        <w:spacing w:after="0" w:line="15" w:lineRule="exact"/>
        <w:rPr>
          <w:rFonts w:ascii="Arial" w:cs="Arial" w:eastAsia="Arial" w:hAnsi="Arial"/>
          <w:sz w:val="16"/>
          <w:szCs w:val="16"/>
          <w:color w:val="231F20"/>
        </w:rPr>
      </w:pPr>
    </w:p>
    <w:p>
      <w:pPr>
        <w:ind w:left="640" w:hanging="272"/>
        <w:spacing w:after="0"/>
        <w:tabs>
          <w:tab w:leader="none" w:pos="6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elimination of Vesper’s historical retained earnings, resulting in the recognition of additional paid-in capital.</w:t>
      </w:r>
    </w:p>
    <w:p>
      <w:pPr>
        <w:spacing w:after="0" w:line="117" w:lineRule="exact"/>
        <w:rPr>
          <w:rFonts w:ascii="Arial" w:cs="Arial" w:eastAsia="Arial" w:hAnsi="Arial"/>
          <w:sz w:val="18"/>
          <w:szCs w:val="18"/>
          <w:color w:val="231F20"/>
        </w:rPr>
      </w:pPr>
    </w:p>
    <w:p>
      <w:pPr>
        <w:ind w:right="720" w:firstLine="368"/>
        <w:spacing w:after="0" w:line="277" w:lineRule="auto"/>
        <w:tabs>
          <w:tab w:leader="none" w:pos="638"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expense associated with the acceleration vesting of HydraFacial’s incentive units in connection with the Business Combination.</w:t>
      </w:r>
    </w:p>
    <w:p>
      <w:pPr>
        <w:spacing w:after="0" w:line="62" w:lineRule="exact"/>
        <w:rPr>
          <w:rFonts w:ascii="Arial" w:cs="Arial" w:eastAsia="Arial" w:hAnsi="Arial"/>
          <w:sz w:val="18"/>
          <w:szCs w:val="18"/>
          <w:color w:val="231F20"/>
        </w:rPr>
      </w:pPr>
    </w:p>
    <w:p>
      <w:pPr>
        <w:ind w:right="60" w:firstLine="368"/>
        <w:spacing w:after="0" w:line="277" w:lineRule="auto"/>
        <w:tabs>
          <w:tab w:leader="none" w:pos="638"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repayment of all of HydraFacial’s outstanding indebtedness and the related payment in-kind interest and the elimination of unamortized deferred financing costs.</w:t>
      </w:r>
    </w:p>
    <w:p>
      <w:pPr>
        <w:spacing w:after="0" w:line="62" w:lineRule="exact"/>
        <w:rPr>
          <w:rFonts w:ascii="Arial" w:cs="Arial" w:eastAsia="Arial" w:hAnsi="Arial"/>
          <w:sz w:val="18"/>
          <w:szCs w:val="18"/>
          <w:color w:val="231F20"/>
        </w:rPr>
      </w:pPr>
    </w:p>
    <w:p>
      <w:pPr>
        <w:ind w:left="640" w:hanging="272"/>
        <w:spacing w:after="0"/>
        <w:tabs>
          <w:tab w:leader="none" w:pos="6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elimination of HydraFacial’s historical equity from the balance sheet.</w:t>
      </w:r>
    </w:p>
    <w:p>
      <w:pPr>
        <w:spacing w:after="0" w:line="117" w:lineRule="exact"/>
        <w:rPr>
          <w:rFonts w:ascii="Arial" w:cs="Arial" w:eastAsia="Arial" w:hAnsi="Arial"/>
          <w:sz w:val="18"/>
          <w:szCs w:val="18"/>
          <w:color w:val="231F20"/>
        </w:rPr>
      </w:pPr>
    </w:p>
    <w:p>
      <w:pPr>
        <w:ind w:right="480" w:firstLine="368"/>
        <w:spacing w:after="0" w:line="277" w:lineRule="auto"/>
        <w:tabs>
          <w:tab w:leader="none" w:pos="638"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payment of $2.1 million of cumulative preferred stock dividends as well as $8.5 million of aggregate preferred stock liquidation value of HydraFacial preferred stock in connection with the Business Combination.</w:t>
      </w:r>
    </w:p>
    <w:p>
      <w:pPr>
        <w:spacing w:after="0" w:line="62" w:lineRule="exact"/>
        <w:rPr>
          <w:rFonts w:ascii="Arial" w:cs="Arial" w:eastAsia="Arial" w:hAnsi="Arial"/>
          <w:sz w:val="18"/>
          <w:szCs w:val="18"/>
          <w:color w:val="231F20"/>
        </w:rPr>
      </w:pPr>
    </w:p>
    <w:p>
      <w:pPr>
        <w:ind w:firstLine="368"/>
        <w:spacing w:after="0" w:line="277" w:lineRule="auto"/>
        <w:tabs>
          <w:tab w:leader="none" w:pos="647"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Represents the settlement of a note receivable due to HydraFacial from a stockholder for $0.5 million, which was due upon consummation of the Business Combination.</w:t>
      </w:r>
    </w:p>
    <w:p>
      <w:pPr>
        <w:spacing w:after="0" w:line="62" w:lineRule="exact"/>
        <w:rPr>
          <w:rFonts w:ascii="Arial" w:cs="Arial" w:eastAsia="Arial" w:hAnsi="Arial"/>
          <w:sz w:val="18"/>
          <w:szCs w:val="18"/>
          <w:color w:val="231F20"/>
        </w:rPr>
      </w:pPr>
    </w:p>
    <w:p>
      <w:pPr>
        <w:ind w:left="20" w:right="360" w:firstLine="356"/>
        <w:spacing w:after="0" w:line="342" w:lineRule="auto"/>
        <w:tabs>
          <w:tab w:leader="none" w:pos="657"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Represents the estimated fair value of the Earn-out Shares liability measured as of the date of the consummation of the Business Combination that will be settled in shares of Class A Stock. Any future changes in the fair value of the liability will be recognized in earnings.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 Pro Forma Statement of Operations Adjustments for the Three Months Ended March 31, 2021</w:t>
      </w:r>
    </w:p>
    <w:p>
      <w:pPr>
        <w:spacing w:after="0" w:line="256" w:lineRule="exact"/>
        <w:rPr>
          <w:sz w:val="20"/>
          <w:szCs w:val="20"/>
          <w:color w:val="auto"/>
        </w:rPr>
      </w:pPr>
    </w:p>
    <w:p>
      <w:pPr>
        <w:ind w:right="40" w:firstLine="368"/>
        <w:spacing w:after="0" w:line="277" w:lineRule="auto"/>
        <w:tabs>
          <w:tab w:leader="none" w:pos="64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Represents the removal of additional transaction costs of $0.7 million in the statement of operations for the three months ended March 31, 2021. Transaction costs are reflected as if incurred on January 1, 2020,</w:t>
      </w:r>
    </w:p>
    <w:p>
      <w:pPr>
        <w:sectPr>
          <w:pgSz w:w="11900" w:h="16838" w:orient="portrait"/>
          <w:cols w:equalWidth="0" w:num="1">
            <w:col w:w="10620"/>
          </w:cols>
          <w:pgMar w:left="320" w:top="1417" w:right="959" w:bottom="1440" w:gutter="0" w:footer="0" w:header="0"/>
        </w:sectPr>
      </w:pPr>
    </w:p>
    <w:bookmarkStart w:id="55" w:name="page56"/>
    <w:bookmarkEnd w:id="55"/>
    <w:p>
      <w:pPr>
        <w:ind w:right="260"/>
        <w:spacing w:after="0" w:line="277" w:lineRule="auto"/>
        <w:rPr>
          <w:sz w:val="20"/>
          <w:szCs w:val="20"/>
          <w:color w:val="auto"/>
        </w:rPr>
      </w:pPr>
      <w:r>
        <w:rPr>
          <w:rFonts w:ascii="Arial" w:cs="Arial" w:eastAsia="Arial" w:hAnsi="Arial"/>
          <w:sz w:val="18"/>
          <w:szCs w:val="18"/>
          <w:color w:val="231F20"/>
        </w:rPr>
        <w:t>the date the Business Combination occurred for the purposes of the unaudited pro forma condensed combined statements of operations. This is a non-recurring item.</w:t>
      </w:r>
    </w:p>
    <w:p>
      <w:pPr>
        <w:spacing w:after="0" w:line="62" w:lineRule="exact"/>
        <w:rPr>
          <w:sz w:val="20"/>
          <w:szCs w:val="20"/>
          <w:color w:val="auto"/>
        </w:rPr>
      </w:pPr>
    </w:p>
    <w:p>
      <w:pPr>
        <w:ind w:left="660" w:hanging="284"/>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elimination of the interest income and unrealized gains on the marketable securities held in the Trust Account.</w:t>
      </w:r>
    </w:p>
    <w:p>
      <w:pPr>
        <w:spacing w:after="0" w:line="117" w:lineRule="exact"/>
        <w:rPr>
          <w:rFonts w:ascii="Arial" w:cs="Arial" w:eastAsia="Arial" w:hAnsi="Arial"/>
          <w:sz w:val="18"/>
          <w:szCs w:val="18"/>
          <w:color w:val="231F20"/>
        </w:rPr>
      </w:pPr>
    </w:p>
    <w:p>
      <w:pPr>
        <w:ind w:left="20" w:right="320" w:firstLine="356"/>
        <w:spacing w:after="0" w:line="277" w:lineRule="auto"/>
        <w:tabs>
          <w:tab w:leader="none" w:pos="647"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Represents the removal of interest expense and deferred financing cost amortization related to HydraFacial’s outstanding indebtedness, which was paid repaid in connection with Business</w:t>
      </w:r>
    </w:p>
    <w:p>
      <w:pPr>
        <w:spacing w:after="0" w:line="62" w:lineRule="exact"/>
        <w:rPr>
          <w:rFonts w:ascii="Arial" w:cs="Arial" w:eastAsia="Arial" w:hAnsi="Arial"/>
          <w:sz w:val="18"/>
          <w:szCs w:val="18"/>
          <w:color w:val="auto"/>
        </w:rPr>
      </w:pPr>
    </w:p>
    <w:p>
      <w:pPr>
        <w:ind w:firstLine="368"/>
        <w:spacing w:after="0" w:line="277" w:lineRule="auto"/>
        <w:tabs>
          <w:tab w:leader="none" w:pos="637"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basic loss per share as a result of the pro forma adjustments for the three months ended March 31, 2021. See the table below for the basic and diluted income per share calculation.</w:t>
      </w:r>
    </w:p>
    <w:p>
      <w:pPr>
        <w:spacing w:after="0" w:line="62" w:lineRule="exact"/>
        <w:rPr>
          <w:rFonts w:ascii="Arial" w:cs="Arial" w:eastAsia="Arial" w:hAnsi="Arial"/>
          <w:sz w:val="18"/>
          <w:szCs w:val="18"/>
          <w:color w:val="231F20"/>
        </w:rPr>
      </w:pPr>
    </w:p>
    <w:p>
      <w:pPr>
        <w:ind w:right="340" w:firstLine="368"/>
        <w:spacing w:after="0" w:line="277" w:lineRule="auto"/>
        <w:tabs>
          <w:tab w:leader="none" w:pos="6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diluted loss per share as a result of the pro forma adjustments for the three months ended March 31, 2021. See the table below for the basic and diluted income per share calculation.</w:t>
      </w:r>
    </w:p>
    <w:p>
      <w:pPr>
        <w:spacing w:after="0" w:line="62" w:lineRule="exact"/>
        <w:rPr>
          <w:rFonts w:ascii="Arial" w:cs="Arial" w:eastAsia="Arial" w:hAnsi="Arial"/>
          <w:sz w:val="18"/>
          <w:szCs w:val="18"/>
          <w:color w:val="231F20"/>
        </w:rPr>
      </w:pPr>
    </w:p>
    <w:p>
      <w:pPr>
        <w:ind w:right="200" w:firstLine="368"/>
        <w:spacing w:after="0" w:line="277" w:lineRule="auto"/>
        <w:tabs>
          <w:tab w:leader="none" w:pos="648"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basic weighted average shares of common stock outstanding as a result of the pro forma adjustments. See the table below for the basic and diluted weighted average shares of common stock outstanding calculation.</w:t>
      </w:r>
    </w:p>
    <w:p>
      <w:pPr>
        <w:spacing w:after="0" w:line="62" w:lineRule="exact"/>
        <w:rPr>
          <w:rFonts w:ascii="Arial" w:cs="Arial" w:eastAsia="Arial" w:hAnsi="Arial"/>
          <w:sz w:val="18"/>
          <w:szCs w:val="18"/>
          <w:color w:val="231F20"/>
        </w:rPr>
      </w:pPr>
    </w:p>
    <w:p>
      <w:pPr>
        <w:ind w:right="80" w:firstLine="368"/>
        <w:spacing w:after="0" w:line="277" w:lineRule="auto"/>
        <w:tabs>
          <w:tab w:leader="none" w:pos="637"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diluted weighted average shares of common stock outstanding as a result of the pro forma adjustments. See the table below for the basic and diluted weighted average shares of common stock outstanding calculation.</w:t>
      </w:r>
    </w:p>
    <w:p>
      <w:pPr>
        <w:spacing w:after="0" w:line="62" w:lineRule="exact"/>
        <w:rPr>
          <w:rFonts w:ascii="Arial" w:cs="Arial" w:eastAsia="Arial" w:hAnsi="Arial"/>
          <w:sz w:val="18"/>
          <w:szCs w:val="18"/>
          <w:color w:val="231F20"/>
        </w:rPr>
      </w:pPr>
    </w:p>
    <w:p>
      <w:pPr>
        <w:ind w:left="640" w:hanging="272"/>
        <w:spacing w:after="0"/>
        <w:tabs>
          <w:tab w:leader="none" w:pos="6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Represents the tax impact of the pro forma adjustments described above at the statutory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jc w:val="right"/>
              <w:ind w:right="30"/>
              <w:spacing w:after="0"/>
              <w:rPr>
                <w:sz w:val="20"/>
                <w:szCs w:val="20"/>
                <w:color w:val="auto"/>
              </w:rPr>
            </w:pPr>
            <w:r>
              <w:rPr>
                <w:rFonts w:ascii="Arial" w:cs="Arial" w:eastAsia="Arial" w:hAnsi="Arial"/>
                <w:sz w:val="18"/>
                <w:szCs w:val="18"/>
                <w:b w:val="1"/>
                <w:bCs w:val="1"/>
                <w:color w:val="auto"/>
              </w:rPr>
              <w:t>For the three months ended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31, 2021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594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080" w:type="dxa"/>
            <w:vAlign w:val="bottom"/>
            <w:tcBorders>
              <w:top w:val="single" w:sz="8" w:color="CCEEFF"/>
            </w:tcBorders>
            <w:gridSpan w:val="3"/>
          </w:tcPr>
          <w:p>
            <w:pPr>
              <w:ind w:left="1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(in thousands)</w:t>
            </w:r>
          </w:p>
        </w:tc>
        <w:tc>
          <w:tcPr>
            <w:tcW w:w="52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15,298</w:t>
            </w:r>
          </w:p>
        </w:tc>
        <w:tc>
          <w:tcPr>
            <w:tcW w:w="7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Numerator for basic earnings per share</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Change in fair value of warrants, net of tax</w:t>
            </w:r>
          </w:p>
        </w:tc>
        <w:tc>
          <w:tcPr>
            <w:tcW w:w="5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(10,615)</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Numerator for diluted earnings per share</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9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5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4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Vesper's public stockholders</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43,327,310</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Vesper Sponsor shares</w:t>
            </w:r>
          </w:p>
        </w:tc>
        <w:tc>
          <w:tcPr>
            <w:tcW w:w="5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11,500,000</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HydraFacial owners</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35,501,743</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PIPE investors</w:t>
            </w:r>
          </w:p>
        </w:tc>
        <w:tc>
          <w:tcPr>
            <w:tcW w:w="5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35,000,000</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520" w:type="dxa"/>
            <w:vAlign w:val="bottom"/>
            <w:tcBorders>
              <w:bottom w:val="single" w:sz="8" w:color="auto"/>
            </w:tcBorders>
            <w:shd w:val="clear" w:color="auto" w:fill="CCEEFF"/>
          </w:tcPr>
          <w:p>
            <w:pPr>
              <w:spacing w:after="0"/>
              <w:rPr>
                <w:sz w:val="24"/>
                <w:szCs w:val="24"/>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125,329,053</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gridSpan w:val="3"/>
            <w:vMerge w:val="restart"/>
          </w:tcPr>
          <w:p>
            <w:pPr>
              <w:ind w:left="140"/>
              <w:spacing w:after="0"/>
              <w:rPr>
                <w:sz w:val="20"/>
                <w:szCs w:val="20"/>
                <w:color w:val="auto"/>
              </w:rPr>
            </w:pPr>
            <w:r>
              <w:rPr>
                <w:rFonts w:ascii="Arial" w:cs="Arial" w:eastAsia="Arial" w:hAnsi="Arial"/>
                <w:sz w:val="18"/>
                <w:szCs w:val="18"/>
                <w:color w:val="auto"/>
              </w:rPr>
              <w:t>Effect of dilutive securities: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2,929,758</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Earn-out Shares</w:t>
            </w:r>
          </w:p>
        </w:tc>
        <w:tc>
          <w:tcPr>
            <w:tcW w:w="5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7,500,000</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520" w:type="dxa"/>
            <w:vAlign w:val="bottom"/>
            <w:tcBorders>
              <w:bottom w:val="single" w:sz="8" w:color="auto"/>
            </w:tcBorders>
            <w:shd w:val="clear" w:color="auto" w:fill="CCEEFF"/>
          </w:tcPr>
          <w:p>
            <w:pPr>
              <w:spacing w:after="0"/>
              <w:rPr>
                <w:sz w:val="24"/>
                <w:szCs w:val="24"/>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135,758,811</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(e)</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94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b w:val="1"/>
                <w:bCs w:val="1"/>
                <w:color w:val="auto"/>
              </w:rPr>
              <w:t>Net income per share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vMerge w:val="continue"/>
          </w:tcPr>
          <w:p>
            <w:pPr>
              <w:spacing w:after="0"/>
              <w:rPr>
                <w:sz w:val="13"/>
                <w:szCs w:val="13"/>
                <w:color w:val="auto"/>
              </w:rPr>
            </w:pPr>
          </w:p>
        </w:tc>
        <w:tc>
          <w:tcPr>
            <w:tcW w:w="5940" w:type="dxa"/>
            <w:vAlign w:val="bottom"/>
            <w:gridSpan w:val="4"/>
            <w:vMerge w:val="continue"/>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1421" w:right="8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231F20"/>
        </w:rPr>
        <w:t>Note 5 - Pro Forma Statement of Operations Adjustments for the Year Ended December 31, 2020</w:t>
      </w:r>
    </w:p>
    <w:p>
      <w:pPr>
        <w:spacing w:after="0" w:line="256" w:lineRule="exact"/>
        <w:rPr>
          <w:sz w:val="20"/>
          <w:szCs w:val="20"/>
          <w:color w:val="auto"/>
        </w:rPr>
      </w:pPr>
    </w:p>
    <w:p>
      <w:pPr>
        <w:ind w:right="60" w:firstLine="368"/>
        <w:spacing w:after="0" w:line="263" w:lineRule="auto"/>
        <w:tabs>
          <w:tab w:leader="none" w:pos="6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acceleration vesting of HydraFacial’s incentive units in the statement of operations for the year ended December 31, 2020. These costs are reflected as if incurred on January 1, 2020, the date the Business Combination occurred for the purposes of the unaudited pro forma condensed combined statements of operations. This is a non-recurring item.</w:t>
      </w:r>
    </w:p>
    <w:p>
      <w:pPr>
        <w:spacing w:after="0" w:line="75" w:lineRule="exact"/>
        <w:rPr>
          <w:rFonts w:ascii="Arial" w:cs="Arial" w:eastAsia="Arial" w:hAnsi="Arial"/>
          <w:sz w:val="18"/>
          <w:szCs w:val="18"/>
          <w:color w:val="231F20"/>
        </w:rPr>
      </w:pPr>
    </w:p>
    <w:p>
      <w:pPr>
        <w:ind w:right="140" w:firstLine="368"/>
        <w:spacing w:after="0" w:line="259" w:lineRule="auto"/>
        <w:tabs>
          <w:tab w:leader="none" w:pos="637"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additional transaction costs of $28.2 million in the statement of operations for the year ended December 31, 2020. $21.0 million of the additional transaction costs were fees paid to the owners of LCP Edge Holdco, LLC, the former parent company of HydraFacial. Transaction costs are reflected as if incurred on January 1, 2020, the date the Business Combination occurred for the purposes of the unaudited pro forma condensed combined statements of operations. This is a non-recurring item.</w:t>
      </w:r>
    </w:p>
    <w:p>
      <w:pPr>
        <w:spacing w:after="0" w:line="78" w:lineRule="exact"/>
        <w:rPr>
          <w:rFonts w:ascii="Arial" w:cs="Arial" w:eastAsia="Arial" w:hAnsi="Arial"/>
          <w:sz w:val="18"/>
          <w:szCs w:val="18"/>
          <w:color w:val="231F20"/>
        </w:rPr>
      </w:pPr>
    </w:p>
    <w:p>
      <w:pPr>
        <w:ind w:left="20" w:right="340" w:firstLine="356"/>
        <w:spacing w:after="0" w:line="277" w:lineRule="auto"/>
        <w:tabs>
          <w:tab w:leader="none" w:pos="647"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removal of interest expense and deferred financing cost amortization related to HydraFacial’s outstanding indebtedness, which was paid repaid in connection with Business Combination.</w:t>
      </w:r>
    </w:p>
    <w:p>
      <w:pPr>
        <w:spacing w:after="0" w:line="62" w:lineRule="exact"/>
        <w:rPr>
          <w:rFonts w:ascii="Arial" w:cs="Arial" w:eastAsia="Arial" w:hAnsi="Arial"/>
          <w:sz w:val="18"/>
          <w:szCs w:val="18"/>
          <w:color w:val="231F20"/>
        </w:rPr>
      </w:pPr>
    </w:p>
    <w:p>
      <w:pPr>
        <w:ind w:right="40" w:firstLine="368"/>
        <w:spacing w:after="0" w:line="342" w:lineRule="auto"/>
        <w:tabs>
          <w:tab w:leader="none" w:pos="637"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Represents the write-off of deferred financing costs as if the outstanding indebtedness was repaid on January 1, 2020, the date the Business Combination occurred for the purposes of the unaudited pro forma condensed combined statements of operations. This is a non-recurring item.</w:t>
      </w:r>
    </w:p>
    <w:p>
      <w:pPr>
        <w:spacing w:after="0" w:line="15" w:lineRule="exact"/>
        <w:rPr>
          <w:rFonts w:ascii="Arial" w:cs="Arial" w:eastAsia="Arial" w:hAnsi="Arial"/>
          <w:sz w:val="16"/>
          <w:szCs w:val="16"/>
          <w:color w:val="231F20"/>
        </w:rPr>
      </w:pPr>
    </w:p>
    <w:p>
      <w:pPr>
        <w:ind w:right="320" w:firstLine="368"/>
        <w:spacing w:after="0" w:line="342" w:lineRule="auto"/>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Represents pre-payment penalties as if the outstanding indebtedness was repaid on January 1, 2020, the date the Business Combination occurred for the purposes of the unaudited pro forma condensed combined statements of operations. This is a non-recurring item.</w:t>
      </w:r>
    </w:p>
    <w:p>
      <w:pPr>
        <w:spacing w:after="0" w:line="15" w:lineRule="exact"/>
        <w:rPr>
          <w:rFonts w:ascii="Arial" w:cs="Arial" w:eastAsia="Arial" w:hAnsi="Arial"/>
          <w:sz w:val="16"/>
          <w:szCs w:val="16"/>
          <w:color w:val="231F20"/>
        </w:rPr>
      </w:pPr>
    </w:p>
    <w:p>
      <w:pPr>
        <w:ind w:left="660" w:hanging="292"/>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elimination of the interest income and unrealized gains on the marketable securities held in the Trust Account.</w:t>
      </w:r>
    </w:p>
    <w:p>
      <w:pPr>
        <w:spacing w:after="0" w:line="117" w:lineRule="exact"/>
        <w:rPr>
          <w:rFonts w:ascii="Arial" w:cs="Arial" w:eastAsia="Arial" w:hAnsi="Arial"/>
          <w:sz w:val="18"/>
          <w:szCs w:val="18"/>
          <w:color w:val="231F20"/>
        </w:rPr>
      </w:pPr>
    </w:p>
    <w:p>
      <w:pPr>
        <w:ind w:firstLine="368"/>
        <w:spacing w:after="0" w:line="263" w:lineRule="auto"/>
        <w:tabs>
          <w:tab w:leader="none" w:pos="637"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basic and diluted loss per share as a result of the pro forma adjustments for the year ended December 31, 2020. See the table below for the basic and diluted income per share calculation. The table below excludes the effect of the warrants as these shares would be anti-dilutive.</w:t>
      </w:r>
    </w:p>
    <w:p>
      <w:pPr>
        <w:spacing w:after="0" w:line="75" w:lineRule="exact"/>
        <w:rPr>
          <w:rFonts w:ascii="Arial" w:cs="Arial" w:eastAsia="Arial" w:hAnsi="Arial"/>
          <w:sz w:val="18"/>
          <w:szCs w:val="18"/>
          <w:color w:val="231F20"/>
        </w:rPr>
      </w:pPr>
    </w:p>
    <w:p>
      <w:pPr>
        <w:ind w:right="100" w:firstLine="368"/>
        <w:spacing w:after="0" w:line="263" w:lineRule="auto"/>
        <w:tabs>
          <w:tab w:leader="none" w:pos="637"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basic and diluted weighted average shares of common stock outstanding as a result of the pro forma adjustments. The table below excludes the effect of the warrants and the Earn-out Shares as these shares would be anti-dilutive. See the table below for the basic and diluted weighted average shares of common stock outstanding calculation.</w:t>
      </w:r>
    </w:p>
    <w:p>
      <w:pPr>
        <w:spacing w:after="0" w:line="75" w:lineRule="exact"/>
        <w:rPr>
          <w:rFonts w:ascii="Arial" w:cs="Arial" w:eastAsia="Arial" w:hAnsi="Arial"/>
          <w:sz w:val="18"/>
          <w:szCs w:val="18"/>
          <w:color w:val="231F20"/>
        </w:rPr>
      </w:pPr>
    </w:p>
    <w:p>
      <w:pPr>
        <w:ind w:left="640" w:hanging="272"/>
        <w:spacing w:after="0"/>
        <w:tabs>
          <w:tab w:leader="none" w:pos="6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Represents the tax impact of the pro forma adjustments described above at the statutory rate.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b w:val="1"/>
                <w:bCs w:val="1"/>
                <w:color w:val="auto"/>
              </w:rPr>
              <w:t>For the year ended</w:t>
            </w:r>
          </w:p>
        </w:tc>
        <w:tc>
          <w:tcPr>
            <w:tcW w:w="58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 2020</w:t>
            </w:r>
          </w:p>
        </w:tc>
        <w:tc>
          <w:tcPr>
            <w:tcW w:w="580" w:type="dxa"/>
            <w:vAlign w:val="bottom"/>
          </w:tcPr>
          <w:p>
            <w:pPr>
              <w:spacing w:after="0"/>
              <w:rPr>
                <w:sz w:val="20"/>
                <w:szCs w:val="20"/>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80" w:type="dxa"/>
            <w:vAlign w:val="bottom"/>
            <w:shd w:val="clear" w:color="auto" w:fill="CCEEFF"/>
          </w:tcPr>
          <w:p>
            <w:pPr>
              <w:spacing w:after="0"/>
              <w:rPr>
                <w:sz w:val="20"/>
                <w:szCs w:val="20"/>
                <w:color w:val="auto"/>
              </w:rPr>
            </w:pPr>
          </w:p>
        </w:tc>
        <w:tc>
          <w:tcPr>
            <w:tcW w:w="602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6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8"/>
                <w:szCs w:val="18"/>
                <w:i w:val="1"/>
                <w:iCs w:val="1"/>
                <w:color w:val="auto"/>
              </w:rPr>
              <w:t>(in thousands)</w:t>
            </w:r>
          </w:p>
        </w:tc>
        <w:tc>
          <w:tcPr>
            <w:tcW w:w="600" w:type="dxa"/>
            <w:vAlign w:val="bottom"/>
            <w:tcBorders>
              <w:top w:val="single" w:sz="8" w:color="CCEEFF"/>
            </w:tcBorders>
          </w:tcPr>
          <w:p>
            <w:pPr>
              <w:jc w:val="right"/>
              <w:ind w:right="350"/>
              <w:spacing w:after="0"/>
              <w:rPr>
                <w:sz w:val="20"/>
                <w:szCs w:val="20"/>
                <w:color w:val="auto"/>
              </w:rPr>
            </w:pPr>
            <w:r>
              <w:rPr>
                <w:rFonts w:ascii="Arial" w:cs="Arial" w:eastAsia="Arial" w:hAnsi="Arial"/>
                <w:sz w:val="18"/>
                <w:szCs w:val="18"/>
                <w:color w:val="auto"/>
              </w:rPr>
              <w:t>$</w:t>
            </w:r>
          </w:p>
        </w:tc>
        <w:tc>
          <w:tcPr>
            <w:tcW w:w="2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(77,663)</w:t>
            </w:r>
          </w:p>
        </w:tc>
        <w:tc>
          <w:tcPr>
            <w:tcW w:w="580" w:type="dxa"/>
            <w:vAlign w:val="bottom"/>
            <w:tcBorders>
              <w:top w:val="single" w:sz="8" w:color="CCEEFF"/>
            </w:tcBorders>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shd w:val="clear" w:color="auto" w:fill="CCEEFF"/>
          </w:tcPr>
          <w:p>
            <w:pPr>
              <w:spacing w:after="0"/>
              <w:rPr>
                <w:sz w:val="21"/>
                <w:szCs w:val="21"/>
                <w:color w:val="auto"/>
              </w:rPr>
            </w:pPr>
          </w:p>
        </w:tc>
        <w:tc>
          <w:tcPr>
            <w:tcW w:w="6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60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43"/>
        </w:trPr>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Vesper's public stockholders</w:t>
            </w:r>
          </w:p>
        </w:tc>
        <w:tc>
          <w:tcPr>
            <w:tcW w:w="600" w:type="dxa"/>
            <w:vAlign w:val="bottom"/>
            <w:tcBorders>
              <w:top w:val="single" w:sz="8" w:color="CCEEFF"/>
            </w:tcBorders>
          </w:tcPr>
          <w:p>
            <w:pPr>
              <w:spacing w:after="0"/>
              <w:rPr>
                <w:sz w:val="21"/>
                <w:szCs w:val="21"/>
                <w:color w:val="auto"/>
              </w:rPr>
            </w:pPr>
          </w:p>
        </w:tc>
        <w:tc>
          <w:tcPr>
            <w:tcW w:w="2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43,327,310</w:t>
            </w:r>
          </w:p>
        </w:tc>
        <w:tc>
          <w:tcPr>
            <w:tcW w:w="580" w:type="dxa"/>
            <w:vAlign w:val="bottom"/>
            <w:tcBorders>
              <w:top w:val="single" w:sz="8" w:color="CCEEFF"/>
            </w:tcBorders>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Vesper Sponsor shares</w:t>
            </w:r>
          </w:p>
        </w:tc>
        <w:tc>
          <w:tcPr>
            <w:tcW w:w="6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HydraFacial owners</w:t>
            </w:r>
          </w:p>
        </w:tc>
        <w:tc>
          <w:tcPr>
            <w:tcW w:w="60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35,501,743</w:t>
            </w:r>
          </w:p>
        </w:tc>
        <w:tc>
          <w:tcPr>
            <w:tcW w:w="5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PIPE investors</w:t>
            </w:r>
          </w:p>
        </w:tc>
        <w:tc>
          <w:tcPr>
            <w:tcW w:w="60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580" w:type="dxa"/>
            <w:vAlign w:val="bottom"/>
            <w:tcBorders>
              <w:bottom w:val="single" w:sz="8" w:color="CCEEFF"/>
            </w:tcBorders>
            <w:shd w:val="clear" w:color="auto" w:fill="CCEEFF"/>
          </w:tcPr>
          <w:p>
            <w:pPr>
              <w:spacing w:after="0"/>
              <w:rPr>
                <w:sz w:val="23"/>
                <w:szCs w:val="23"/>
                <w:color w:val="auto"/>
              </w:rPr>
            </w:pPr>
          </w:p>
        </w:tc>
      </w:tr>
      <w:tr>
        <w:trPr>
          <w:trHeight w:val="237"/>
        </w:trPr>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Basic and diluted weighted average common shares outstanding</w:t>
            </w:r>
          </w:p>
        </w:tc>
        <w:tc>
          <w:tcPr>
            <w:tcW w:w="600" w:type="dxa"/>
            <w:vAlign w:val="bottom"/>
          </w:tcPr>
          <w:p>
            <w:pPr>
              <w:spacing w:after="0"/>
              <w:rPr>
                <w:sz w:val="20"/>
                <w:szCs w:val="20"/>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125,329,053</w:t>
            </w:r>
          </w:p>
        </w:tc>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(h)</w:t>
            </w:r>
          </w:p>
        </w:tc>
      </w:tr>
      <w:tr>
        <w:trPr>
          <w:trHeight w:val="27"/>
        </w:trPr>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5"/>
              </w:rPr>
              <w:t>Net loss per share</w:t>
            </w:r>
          </w:p>
        </w:tc>
        <w:tc>
          <w:tcPr>
            <w:tcW w:w="4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70"/>
        </w:trPr>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Basic and diluted</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580" w:type="dxa"/>
            <w:vAlign w:val="bottom"/>
          </w:tcPr>
          <w:p>
            <w:pPr>
              <w:ind w:left="180"/>
              <w:spacing w:after="0"/>
              <w:rPr>
                <w:sz w:val="20"/>
                <w:szCs w:val="20"/>
                <w:color w:val="auto"/>
              </w:rPr>
            </w:pPr>
            <w:r>
              <w:rPr>
                <w:rFonts w:ascii="Arial" w:cs="Arial" w:eastAsia="Arial" w:hAnsi="Arial"/>
                <w:sz w:val="18"/>
                <w:szCs w:val="18"/>
                <w:b w:val="1"/>
                <w:bCs w:val="1"/>
                <w:color w:val="auto"/>
              </w:rPr>
              <w:t>(g)</w:t>
            </w:r>
          </w:p>
        </w:tc>
      </w:tr>
      <w:tr>
        <w:trPr>
          <w:trHeight w:val="21"/>
        </w:trPr>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700"/>
      </w:cols>
      <w:pgMar w:left="320" w:top="141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lvl w:ilvl="1">
      <w:lvlJc w:val="left"/>
      <w:lvlText w:val="%2."/>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15" Type="http://schemas.openxmlformats.org/officeDocument/2006/relationships/hyperlink" Target="https://www.sec.gov/Archives/edgar/data/0001818093/000121390020041690/ea131234ex2-1_vesperhealth.htm" TargetMode="External"/><Relationship Id="rId16" Type="http://schemas.openxmlformats.org/officeDocument/2006/relationships/hyperlink" Target="https://www.sec.gov/Archives/edgar/data/0001818093/000119312521156433/d422189dex31.htm" TargetMode="External"/><Relationship Id="rId17" Type="http://schemas.openxmlformats.org/officeDocument/2006/relationships/hyperlink" Target="https://www.sec.gov/Archives/edgar/data/0001818093/000119312521156433/d422189dex32.htm" TargetMode="External"/><Relationship Id="rId18" Type="http://schemas.openxmlformats.org/officeDocument/2006/relationships/hyperlink" Target="https://www.sec.gov/Archives/edgar/data/1818093/000121390020027618/fs12020a1ex4-2_vesper.htm" TargetMode="External"/><Relationship Id="rId19" Type="http://schemas.openxmlformats.org/officeDocument/2006/relationships/hyperlink" Target="https://www.sec.gov/Archives/edgar/data/1818093/000121390020027618/fs12020a1ex4-3_vesper.htm" TargetMode="External"/><Relationship Id="rId20" Type="http://schemas.openxmlformats.org/officeDocument/2006/relationships/hyperlink" Target="https://www.sec.gov/Archives/edgar/data/1818093/000121390020030149/ea127784ex4-1_vesper.htm" TargetMode="External"/><Relationship Id="rId21" Type="http://schemas.openxmlformats.org/officeDocument/2006/relationships/hyperlink" Target="https://www.sec.gov/Archives/edgar/data/0001818093/000121390020041690/ea131234ex10-1_vesperhealth.htm" TargetMode="External"/><Relationship Id="rId22" Type="http://schemas.openxmlformats.org/officeDocument/2006/relationships/hyperlink" Target="https://www.sec.gov/Archives/edgar/data/0001818093/000119312521156433/d422189dex102.htm" TargetMode="External"/><Relationship Id="rId23" Type="http://schemas.openxmlformats.org/officeDocument/2006/relationships/hyperlink" Target="https://www.sec.gov/Archives/edgar/data/0001818093/000119312521156433/d422189dex103.htm" TargetMode="External"/><Relationship Id="rId24" Type="http://schemas.openxmlformats.org/officeDocument/2006/relationships/hyperlink" Target="https://www.sec.gov/Archives/edgar/data/0001818093/000119312521145386/d133045dex101.htm" TargetMode="External"/><Relationship Id="rId25" Type="http://schemas.openxmlformats.org/officeDocument/2006/relationships/hyperlink" Target="https://www.sec.gov/Archives/edgar/data/0001818093/000119312521145386/d133045dex102.htm" TargetMode="External"/><Relationship Id="rId26" Type="http://schemas.openxmlformats.org/officeDocument/2006/relationships/hyperlink" Target="https://www.sec.gov/Archives/edgar/data/0001818093/000119312521156433/d422189dex106.htm" TargetMode="External"/><Relationship Id="rId27" Type="http://schemas.openxmlformats.org/officeDocument/2006/relationships/hyperlink" Target="https://www.sec.gov/Archives/edgar/data/0001818093/000119312521156433/d422189dex107.htm" TargetMode="External"/><Relationship Id="rId28" Type="http://schemas.openxmlformats.org/officeDocument/2006/relationships/hyperlink" Target="https://www.sec.gov/Archives/edgar/data/0001818093/000119312521156433/d422189dex108.htm" TargetMode="External"/><Relationship Id="rId29" Type="http://schemas.openxmlformats.org/officeDocument/2006/relationships/hyperlink" Target="https://www.sec.gov/Archives/edgar/data/0001818093/000119312521156433/d422189dex109.htm" TargetMode="External"/><Relationship Id="rId30" Type="http://schemas.openxmlformats.org/officeDocument/2006/relationships/hyperlink" Target="https://www.sec.gov/Archives/edgar/data/0001818093/000119312521156433/d422189dex1010.htm" TargetMode="External"/><Relationship Id="rId31" Type="http://schemas.openxmlformats.org/officeDocument/2006/relationships/hyperlink" Target="https://www.sec.gov/Archives/edgar/data/0001818093/000119312521156433/d422189dex1011.htm" TargetMode="External"/><Relationship Id="rId32" Type="http://schemas.openxmlformats.org/officeDocument/2006/relationships/hyperlink" Target="https://www.sec.gov/Archives/edgar/data/0001818093/000119312521156433/d422189dex1012.htm" TargetMode="External"/><Relationship Id="rId33" Type="http://schemas.openxmlformats.org/officeDocument/2006/relationships/hyperlink" Target="https://www.sec.gov/Archives/edgar/data/0001818093/000119312521156433/d422189dex1013.htm" TargetMode="External"/><Relationship Id="rId34" Type="http://schemas.openxmlformats.org/officeDocument/2006/relationships/hyperlink" Target="https://www.sec.gov/Archives/edgar/data/0001818093/000119312521156433/d422189dex1014.htm" TargetMode="External"/><Relationship Id="rId35" Type="http://schemas.openxmlformats.org/officeDocument/2006/relationships/hyperlink" Target="https://www.sec.gov/Archives/edgar/data/0001818093/000119312521156433/d422189dex211.htm" TargetMode="External"/><Relationship Id="rId36" Type="http://schemas.openxmlformats.org/officeDocument/2006/relationships/hyperlink" Target="https://www.sec.gov/ix?doc=/Archives/edgar/data/1818093/000119312521175590/d178262d10ka.htm" TargetMode="External"/><Relationship Id="rId37" Type="http://schemas.openxmlformats.org/officeDocument/2006/relationships/hyperlink" Target="https://www.sec.gov/Archives/edgar/data/0001818093/000119312521109008/d115475ddefm14a.htm" TargetMode="External"/><Relationship Id="rId38" Type="http://schemas.openxmlformats.org/officeDocument/2006/relationships/hyperlink" Target="https://www.sec.gov/Archives/edgar/data/1818093/000119312521206381/d139756d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2021-07-12T05:11:49Z</dcterms:created>
  <dcterms:modified xsi:type="dcterms:W3CDTF">2021-07-12T05:11:49Z</dcterms:modified>
</cp:coreProperties>
</file>