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wp:posOffset>
            </wp:positionH>
            <wp:positionV relativeFrom="paragraph">
              <wp:posOffset>515620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541020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4540"/>
        <w:spacing w:after="0"/>
        <w:rPr>
          <w:sz w:val="20"/>
          <w:szCs w:val="20"/>
          <w:color w:val="auto"/>
        </w:rPr>
      </w:pPr>
      <w:r>
        <w:rPr>
          <w:rFonts w:ascii="Arial" w:cs="Arial" w:eastAsia="Arial" w:hAnsi="Arial"/>
          <w:sz w:val="32"/>
          <w:szCs w:val="32"/>
          <w:b w:val="1"/>
          <w:bCs w:val="1"/>
          <w:color w:val="auto"/>
        </w:rPr>
        <w:t>UNITED STATES</w:t>
      </w:r>
    </w:p>
    <w:p>
      <w:pPr>
        <w:spacing w:after="0" w:line="47" w:lineRule="exact"/>
        <w:rPr>
          <w:sz w:val="24"/>
          <w:szCs w:val="24"/>
          <w:color w:val="auto"/>
        </w:rPr>
      </w:pPr>
    </w:p>
    <w:p>
      <w:pPr>
        <w:ind w:left="2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135255</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103505</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15" w:lineRule="exact"/>
        <w:rPr>
          <w:sz w:val="24"/>
          <w:szCs w:val="24"/>
          <w:color w:val="auto"/>
        </w:rPr>
      </w:pPr>
    </w:p>
    <w:p>
      <w:pPr>
        <w:ind w:left="1200" w:hanging="518"/>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3"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5"/>
          <w:szCs w:val="15"/>
          <w:b w:val="1"/>
          <w:bCs w:val="1"/>
          <w:color w:val="auto"/>
        </w:rPr>
        <w:t>December 31, 2021</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1240" w:hanging="558"/>
        <w:spacing w:after="0"/>
        <w:tabs>
          <w:tab w:leader="none" w:pos="1240" w:val="left"/>
        </w:tabs>
        <w:numPr>
          <w:ilvl w:val="0"/>
          <w:numId w:val="2"/>
        </w:numPr>
        <w:rPr>
          <w:rFonts w:ascii="MS PGothic" w:cs="MS PGothic" w:eastAsia="MS PGothic" w:hAnsi="MS PGothic"/>
          <w:sz w:val="30"/>
          <w:szCs w:val="30"/>
          <w:color w:val="auto"/>
          <w:vertAlign w:val="superscript"/>
        </w:rPr>
      </w:pPr>
      <w:r>
        <w:rPr>
          <w:rFonts w:ascii="Arial" w:cs="Arial" w:eastAsia="Arial" w:hAnsi="Arial"/>
          <w:sz w:val="15"/>
          <w:szCs w:val="15"/>
          <w:b w:val="1"/>
          <w:bCs w:val="1"/>
          <w:color w:val="auto"/>
        </w:rPr>
        <w:t>TRANSITION REPORT PURSUANT TO SECTION 13 OR 15(d) OF THE SECURITIES EXCHANGE ACT OF 1934</w:t>
      </w:r>
    </w:p>
    <w:p>
      <w:pPr>
        <w:spacing w:after="0" w:line="370" w:lineRule="exact"/>
        <w:rPr>
          <w:rFonts w:ascii="MS PGothic" w:cs="MS PGothic" w:eastAsia="MS PGothic" w:hAnsi="MS PGothic"/>
          <w:sz w:val="30"/>
          <w:szCs w:val="30"/>
          <w:color w:val="auto"/>
          <w:vertAlign w:val="superscript"/>
        </w:rPr>
      </w:pPr>
    </w:p>
    <w:p>
      <w:pPr>
        <w:ind w:left="4300"/>
        <w:spacing w:after="0"/>
        <w:rPr>
          <w:rFonts w:ascii="MS PGothic" w:cs="MS PGothic" w:eastAsia="MS PGothic" w:hAnsi="MS PGothic"/>
          <w:sz w:val="30"/>
          <w:szCs w:val="30"/>
          <w:color w:val="auto"/>
          <w:vertAlign w:val="superscript"/>
        </w:rPr>
      </w:pPr>
      <w:r>
        <w:rPr>
          <w:rFonts w:ascii="Arial" w:cs="Arial" w:eastAsia="Arial" w:hAnsi="Arial"/>
          <w:sz w:val="18"/>
          <w:szCs w:val="18"/>
          <w:b w:val="1"/>
          <w:bCs w:val="1"/>
          <w:color w:val="auto"/>
        </w:rPr>
        <w:t>Commission file number 001-04321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140970</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The Beauty Health Company</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133350</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ectPr>
          <w:pgSz w:w="11900" w:h="16838" w:orient="portrait"/>
          <w:cols w:equalWidth="0" w:num="1">
            <w:col w:w="11240"/>
          </w:cols>
          <w:pgMar w:left="320" w:top="246" w:right="339" w:bottom="1440" w:gutter="0" w:footer="0" w:header="0"/>
        </w:sectPr>
      </w:pPr>
    </w:p>
    <w:p>
      <w:pPr>
        <w:spacing w:after="0" w:line="200" w:lineRule="exact"/>
        <w:rPr>
          <w:sz w:val="24"/>
          <w:szCs w:val="24"/>
          <w:color w:val="auto"/>
        </w:rPr>
      </w:pPr>
    </w:p>
    <w:p>
      <w:pPr>
        <w:spacing w:after="0" w:line="24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4" w:lineRule="exact"/>
        <w:rPr>
          <w:sz w:val="24"/>
          <w:szCs w:val="24"/>
          <w:color w:val="auto"/>
        </w:rPr>
      </w:pPr>
    </w:p>
    <w:p>
      <w:pPr>
        <w:ind w:left="1580"/>
        <w:spacing w:after="0"/>
        <w:rPr>
          <w:sz w:val="20"/>
          <w:szCs w:val="20"/>
          <w:color w:val="auto"/>
        </w:rPr>
      </w:pPr>
      <w:r>
        <w:rPr>
          <w:rFonts w:ascii="Arial" w:cs="Arial" w:eastAsia="Arial" w:hAnsi="Arial"/>
          <w:sz w:val="18"/>
          <w:szCs w:val="18"/>
          <w:color w:val="auto"/>
        </w:rPr>
        <w:t>(State or other jurisdiction of</w:t>
      </w:r>
    </w:p>
    <w:p>
      <w:pPr>
        <w:ind w:left="1560"/>
        <w:spacing w:after="0"/>
        <w:rPr>
          <w:sz w:val="20"/>
          <w:szCs w:val="20"/>
          <w:color w:val="auto"/>
        </w:rPr>
      </w:pPr>
      <w:r>
        <w:rPr>
          <w:rFonts w:ascii="Arial" w:cs="Arial" w:eastAsia="Arial" w:hAnsi="Arial"/>
          <w:sz w:val="18"/>
          <w:szCs w:val="18"/>
          <w:color w:val="auto"/>
        </w:rPr>
        <w:t>incorporation or organization)</w:t>
      </w:r>
    </w:p>
    <w:p>
      <w:pPr>
        <w:spacing w:after="0" w:line="9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231F20"/>
        </w:rPr>
        <w:t>2165 Spring Street</w:t>
      </w:r>
    </w:p>
    <w:p>
      <w:pPr>
        <w:jc w:val="center"/>
        <w:ind w:right="800"/>
        <w:spacing w:after="0"/>
        <w:rPr>
          <w:sz w:val="20"/>
          <w:szCs w:val="20"/>
          <w:color w:val="auto"/>
        </w:rPr>
      </w:pPr>
      <w:r>
        <w:rPr>
          <w:rFonts w:ascii="Arial" w:cs="Arial" w:eastAsia="Arial" w:hAnsi="Arial"/>
          <w:sz w:val="18"/>
          <w:szCs w:val="18"/>
          <w:b w:val="1"/>
          <w:bCs w:val="1"/>
          <w:color w:val="231F20"/>
        </w:rPr>
        <w:t>Long Beach, CA 90806</w:t>
      </w:r>
    </w:p>
    <w:p>
      <w:pPr>
        <w:spacing w:after="0" w:line="57" w:lineRule="exact"/>
        <w:rPr>
          <w:sz w:val="24"/>
          <w:szCs w:val="24"/>
          <w:color w:val="auto"/>
        </w:rPr>
      </w:pPr>
    </w:p>
    <w:p>
      <w:pPr>
        <w:ind w:left="580"/>
        <w:spacing w:after="0"/>
        <w:rPr>
          <w:sz w:val="20"/>
          <w:szCs w:val="20"/>
          <w:color w:val="auto"/>
        </w:rPr>
      </w:pPr>
      <w:r>
        <w:rPr>
          <w:rFonts w:ascii="Arial" w:cs="Arial" w:eastAsia="Arial" w:hAnsi="Arial"/>
          <w:sz w:val="15"/>
          <w:szCs w:val="15"/>
          <w:color w:val="231F20"/>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85-1908962</w:t>
      </w:r>
    </w:p>
    <w:p>
      <w:pPr>
        <w:spacing w:after="0" w:line="24"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(I.R.S. Employer Identification No.)</w:t>
      </w:r>
    </w:p>
    <w:p>
      <w:pPr>
        <w:spacing w:after="0" w:line="397"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(800) 603-4996</w:t>
      </w:r>
    </w:p>
    <w:p>
      <w:pPr>
        <w:spacing w:after="0" w:line="117" w:lineRule="exact"/>
        <w:rPr>
          <w:sz w:val="24"/>
          <w:szCs w:val="24"/>
          <w:color w:val="auto"/>
        </w:rPr>
      </w:pPr>
    </w:p>
    <w:p>
      <w:pPr>
        <w:spacing w:after="0"/>
        <w:rPr>
          <w:sz w:val="20"/>
          <w:szCs w:val="20"/>
          <w:color w:val="auto"/>
        </w:rPr>
      </w:pPr>
      <w:r>
        <w:rPr>
          <w:rFonts w:ascii="Arial" w:cs="Arial" w:eastAsia="Arial" w:hAnsi="Arial"/>
          <w:sz w:val="15"/>
          <w:szCs w:val="15"/>
          <w:color w:val="231F20"/>
        </w:rPr>
        <w:t>(Registrant's telephone number, including area code)</w:t>
      </w:r>
    </w:p>
    <w:p>
      <w:pPr>
        <w:spacing w:after="0" w:line="226" w:lineRule="exact"/>
        <w:rPr>
          <w:sz w:val="24"/>
          <w:szCs w:val="24"/>
          <w:color w:val="auto"/>
        </w:rPr>
      </w:pPr>
    </w:p>
    <w:p>
      <w:pPr>
        <w:sectPr>
          <w:pgSz w:w="11900" w:h="16838" w:orient="portrait"/>
          <w:cols w:equalWidth="0" w:num="2">
            <w:col w:w="6240" w:space="720"/>
            <w:col w:w="4280"/>
          </w:cols>
          <w:pgMar w:left="320" w:top="246" w:right="339" w:bottom="1440" w:gutter="0" w:footer="0" w:header="0"/>
          <w:type w:val="continuous"/>
        </w:sectPr>
      </w:pPr>
    </w:p>
    <w:p>
      <w:pPr>
        <w:spacing w:after="0" w:line="37"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231F20"/>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Borders>
              <w:bottom w:val="single" w:sz="8" w:color="auto"/>
            </w:tcBorders>
          </w:tcPr>
          <w:p>
            <w:pPr>
              <w:ind w:left="2220"/>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center"/>
              <w:ind w:left="216"/>
              <w:spacing w:after="0"/>
              <w:rPr>
                <w:sz w:val="20"/>
                <w:szCs w:val="20"/>
                <w:color w:val="auto"/>
              </w:rPr>
            </w:pPr>
            <w:r>
              <w:rPr>
                <w:rFonts w:ascii="Arial" w:cs="Arial" w:eastAsia="Arial" w:hAnsi="Arial"/>
                <w:sz w:val="16"/>
                <w:szCs w:val="16"/>
                <w:b w:val="1"/>
                <w:bCs w:val="1"/>
                <w:color w:val="auto"/>
                <w:w w:val="89"/>
              </w:rPr>
              <w:t>Trading Symbol(s)</w:t>
            </w:r>
          </w:p>
        </w:tc>
        <w:tc>
          <w:tcPr>
            <w:tcW w:w="80" w:type="dxa"/>
            <w:vAlign w:val="bottom"/>
          </w:tcPr>
          <w:p>
            <w:pPr>
              <w:spacing w:after="0"/>
              <w:rPr>
                <w:sz w:val="18"/>
                <w:szCs w:val="18"/>
                <w:color w:val="auto"/>
              </w:rPr>
            </w:pPr>
          </w:p>
        </w:tc>
        <w:tc>
          <w:tcPr>
            <w:tcW w:w="3820" w:type="dxa"/>
            <w:vAlign w:val="bottom"/>
            <w:tcBorders>
              <w:bottom w:val="single" w:sz="8" w:color="auto"/>
            </w:tcBorders>
          </w:tcPr>
          <w:p>
            <w:pPr>
              <w:jc w:val="center"/>
              <w:ind w:left="236"/>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20"/>
        </w:trPr>
        <w:tc>
          <w:tcPr>
            <w:tcW w:w="5420" w:type="dxa"/>
            <w:vAlign w:val="bottom"/>
            <w:gridSpan w:val="2"/>
          </w:tcPr>
          <w:p>
            <w:pPr>
              <w:ind w:left="340"/>
              <w:spacing w:after="0"/>
              <w:rPr>
                <w:sz w:val="20"/>
                <w:szCs w:val="20"/>
                <w:color w:val="auto"/>
              </w:rPr>
            </w:pPr>
            <w:r>
              <w:rPr>
                <w:rFonts w:ascii="Arial" w:cs="Arial" w:eastAsia="Arial" w:hAnsi="Arial"/>
                <w:sz w:val="18"/>
                <w:szCs w:val="18"/>
                <w:color w:val="auto"/>
              </w:rPr>
              <w:t>Class A Common Stock, par value $0.0001 per share</w:t>
            </w:r>
          </w:p>
        </w:tc>
        <w:tc>
          <w:tcPr>
            <w:tcW w:w="200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SKIN</w:t>
            </w:r>
          </w:p>
        </w:tc>
        <w:tc>
          <w:tcPr>
            <w:tcW w:w="3820" w:type="dxa"/>
            <w:vAlign w:val="bottom"/>
          </w:tcPr>
          <w:p>
            <w:pPr>
              <w:jc w:val="center"/>
              <w:ind w:left="256"/>
              <w:spacing w:after="0"/>
              <w:rPr>
                <w:sz w:val="20"/>
                <w:szCs w:val="20"/>
                <w:color w:val="auto"/>
              </w:rPr>
            </w:pPr>
            <w:r>
              <w:rPr>
                <w:rFonts w:ascii="Arial" w:cs="Arial" w:eastAsia="Arial" w:hAnsi="Arial"/>
                <w:sz w:val="18"/>
                <w:szCs w:val="18"/>
                <w:color w:val="auto"/>
                <w:w w:val="89"/>
              </w:rPr>
              <w:t>The Nasdaq Capital Market</w:t>
            </w:r>
          </w:p>
        </w:tc>
      </w:tr>
    </w:tbl>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231F20"/>
        </w:rPr>
        <w:t>Securities registered pursuant to Section 12(g) of the Act: None</w:t>
      </w:r>
    </w:p>
    <w:p>
      <w:pPr>
        <w:spacing w:after="0" w:line="90" w:lineRule="exact"/>
        <w:rPr>
          <w:sz w:val="24"/>
          <w:szCs w:val="24"/>
          <w:color w:val="auto"/>
        </w:rPr>
      </w:pPr>
    </w:p>
    <w:p>
      <w:pPr>
        <w:ind w:right="1820"/>
        <w:spacing w:after="0" w:line="29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ind w:right="5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20"/>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04"/>
        </w:trPr>
        <w:tc>
          <w:tcPr>
            <w:tcW w:w="3700" w:type="dxa"/>
            <w:vAlign w:val="bottom"/>
          </w:tcPr>
          <w:p>
            <w:pPr>
              <w:jc w:val="center"/>
              <w:ind w:left="852"/>
              <w:spacing w:after="0"/>
              <w:rPr>
                <w:sz w:val="20"/>
                <w:szCs w:val="20"/>
                <w:color w:val="auto"/>
              </w:rPr>
            </w:pPr>
            <w:r>
              <w:rPr>
                <w:rFonts w:ascii="Arial" w:cs="Arial" w:eastAsia="Arial" w:hAnsi="Arial"/>
                <w:sz w:val="18"/>
                <w:szCs w:val="18"/>
                <w:color w:val="auto"/>
                <w:w w:val="89"/>
              </w:rPr>
              <w:t>Large accelerated filer</w:t>
            </w:r>
          </w:p>
        </w:tc>
        <w:tc>
          <w:tcPr>
            <w:tcW w:w="13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305"/>
        </w:trPr>
        <w:tc>
          <w:tcPr>
            <w:tcW w:w="3700" w:type="dxa"/>
            <w:vAlign w:val="bottom"/>
          </w:tcPr>
          <w:p>
            <w:pPr>
              <w:jc w:val="center"/>
              <w:ind w:left="832"/>
              <w:spacing w:after="0"/>
              <w:rPr>
                <w:sz w:val="20"/>
                <w:szCs w:val="20"/>
                <w:color w:val="auto"/>
              </w:rPr>
            </w:pPr>
            <w:r>
              <w:rPr>
                <w:rFonts w:ascii="Arial" w:cs="Arial" w:eastAsia="Arial" w:hAnsi="Arial"/>
                <w:sz w:val="18"/>
                <w:szCs w:val="18"/>
                <w:color w:val="auto"/>
                <w:w w:val="90"/>
              </w:rPr>
              <w:t>Non-accelerated filer</w:t>
            </w:r>
          </w:p>
        </w:tc>
        <w:tc>
          <w:tcPr>
            <w:tcW w:w="13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305"/>
        </w:trPr>
        <w:tc>
          <w:tcPr>
            <w:tcW w:w="3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941"/>
        </w:trPr>
        <w:tc>
          <w:tcPr>
            <w:tcW w:w="3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4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0"/>
          <w:szCs w:val="20"/>
          <w:color w:val="auto"/>
        </w:rPr>
      </w:pPr>
    </w:p>
    <w:p>
      <w:pPr>
        <w:spacing w:after="0" w:line="22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spacing w:after="0" w:line="207" w:lineRule="exact"/>
        <w:tabs>
          <w:tab w:leader="none" w:pos="7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2021, the last business day of the registrant’s most recently completed second fiscal quarter, was $1.41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18, 2022, there were 150,598,047 shares of Class A Common Stock, par value $0.0001 per share issued and outstanding</w:t>
      </w:r>
    </w:p>
    <w:p>
      <w:pPr>
        <w:spacing w:after="0" w:line="10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957580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204470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Table of </w:t>
              </w:r>
            </w:hyperlink>
            <w:r>
              <w:rPr>
                <w:rFonts w:ascii="Arial" w:cs="Arial" w:eastAsia="Arial" w:hAnsi="Arial"/>
                <w:sz w:val="18"/>
                <w:szCs w:val="18"/>
                <w:color w:val="0000FF"/>
              </w:rPr>
              <w:t>Contents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783"/>
        </w:trPr>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00" w:type="dxa"/>
            <w:vAlign w:val="bottom"/>
            <w:gridSpan w:val="10"/>
          </w:tcPr>
          <w:p>
            <w:pPr>
              <w:jc w:val="center"/>
              <w:ind w:right="3380"/>
              <w:spacing w:after="0"/>
              <w:rPr>
                <w:sz w:val="20"/>
                <w:szCs w:val="20"/>
                <w:color w:val="auto"/>
              </w:rPr>
            </w:pPr>
            <w:r>
              <w:rPr>
                <w:rFonts w:ascii="Arial" w:cs="Arial" w:eastAsia="Arial" w:hAnsi="Arial"/>
                <w:sz w:val="18"/>
                <w:szCs w:val="18"/>
                <w:b w:val="1"/>
                <w:bCs w:val="1"/>
                <w:color w:val="auto"/>
                <w:w w:val="99"/>
              </w:rPr>
              <w:t>THE BEAUTY HEALTH COMPANY</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gridSpan w:val="12"/>
          </w:tcPr>
          <w:p>
            <w:pPr>
              <w:jc w:val="center"/>
              <w:ind w:right="2340"/>
              <w:spacing w:after="0"/>
              <w:rPr>
                <w:sz w:val="20"/>
                <w:szCs w:val="20"/>
                <w:color w:val="auto"/>
              </w:rPr>
            </w:pPr>
            <w:r>
              <w:rPr>
                <w:rFonts w:ascii="Arial" w:cs="Arial" w:eastAsia="Arial" w:hAnsi="Arial"/>
                <w:sz w:val="18"/>
                <w:szCs w:val="18"/>
                <w:b w:val="1"/>
                <w:bCs w:val="1"/>
                <w:color w:val="auto"/>
                <w:w w:val="96"/>
              </w:rPr>
              <w:t>FORM 10-K FOR THE YEAR ENDED DECEMBER 31, 2021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4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6"/>
              </w:rPr>
              <w:t>TABLE OF CONTENTS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91"/>
        </w:trPr>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Page</w:t>
            </w:r>
          </w:p>
        </w:tc>
      </w:tr>
      <w:tr>
        <w:trPr>
          <w:trHeight w:val="186"/>
        </w:trPr>
        <w:tc>
          <w:tcPr>
            <w:tcW w:w="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line="146" w:lineRule="exact"/>
              <w:rPr>
                <w:rFonts w:ascii="Arial" w:cs="Arial" w:eastAsia="Arial" w:hAnsi="Arial"/>
                <w:sz w:val="15"/>
                <w:szCs w:val="15"/>
                <w:b w:val="1"/>
                <w:bCs w:val="1"/>
                <w:color w:val="0000FF"/>
              </w:rPr>
            </w:pPr>
            <w:hyperlink w:anchor="page5">
              <w:r>
                <w:rPr>
                  <w:rFonts w:ascii="Arial" w:cs="Arial" w:eastAsia="Arial" w:hAnsi="Arial"/>
                  <w:sz w:val="15"/>
                  <w:szCs w:val="15"/>
                  <w:b w:val="1"/>
                  <w:bCs w:val="1"/>
                  <w:color w:val="0000FF"/>
                </w:rPr>
                <w:t>PART I</w:t>
              </w:r>
            </w:hyperlink>
          </w:p>
        </w:tc>
        <w:tc>
          <w:tcPr>
            <w:tcW w:w="62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left="212"/>
              <w:spacing w:after="0" w:line="152"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6</w:t>
              </w:r>
            </w:hyperlink>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60" w:type="dxa"/>
            <w:vAlign w:val="bottom"/>
            <w:gridSpan w:val="3"/>
          </w:tcPr>
          <w:p>
            <w:pPr>
              <w:ind w:left="220"/>
              <w:spacing w:after="0" w:line="178" w:lineRule="exact"/>
              <w:rPr>
                <w:sz w:val="20"/>
                <w:szCs w:val="20"/>
                <w:color w:val="auto"/>
              </w:rPr>
            </w:pPr>
            <w:r>
              <w:rPr>
                <w:rFonts w:ascii="Arial" w:cs="Arial" w:eastAsia="Arial" w:hAnsi="Arial"/>
                <w:sz w:val="18"/>
                <w:szCs w:val="18"/>
                <w:color w:val="auto"/>
              </w:rPr>
              <w:t>Item 1.</w:t>
            </w:r>
          </w:p>
        </w:tc>
        <w:tc>
          <w:tcPr>
            <w:tcW w:w="9280" w:type="dxa"/>
            <w:vAlign w:val="bottom"/>
            <w:gridSpan w:val="18"/>
          </w:tcPr>
          <w:p>
            <w:pPr>
              <w:spacing w:after="0" w:line="178"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380" w:type="dxa"/>
            <w:vAlign w:val="bottom"/>
            <w:gridSpan w:val="2"/>
          </w:tcPr>
          <w:p>
            <w:pPr>
              <w:jc w:val="center"/>
              <w:ind w:left="212"/>
              <w:spacing w:after="0" w:line="178"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1A.</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1B.</w:t>
            </w:r>
          </w:p>
        </w:tc>
        <w:tc>
          <w:tcPr>
            <w:tcW w:w="9280" w:type="dxa"/>
            <w:vAlign w:val="bottom"/>
            <w:gridSpan w:val="18"/>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Unresolved Staff Comments</w:t>
              </w:r>
            </w:hyperlink>
          </w:p>
        </w:tc>
        <w:tc>
          <w:tcPr>
            <w:tcW w:w="460" w:type="dxa"/>
            <w:vAlign w:val="bottom"/>
            <w:gridSpan w:val="3"/>
          </w:tcPr>
          <w:p>
            <w:pPr>
              <w:jc w:val="center"/>
              <w:ind w:left="112"/>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2.</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Properties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3.</w:t>
            </w:r>
          </w:p>
        </w:tc>
        <w:tc>
          <w:tcPr>
            <w:tcW w:w="9280" w:type="dxa"/>
            <w:vAlign w:val="bottom"/>
            <w:gridSpan w:val="18"/>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460" w:type="dxa"/>
            <w:vAlign w:val="bottom"/>
            <w:gridSpan w:val="3"/>
          </w:tcPr>
          <w:p>
            <w:pPr>
              <w:jc w:val="center"/>
              <w:ind w:left="112"/>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4.</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57</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60" w:type="dxa"/>
            <w:vAlign w:val="bottom"/>
            <w:gridSpan w:val="3"/>
          </w:tcPr>
          <w:p>
            <w:pPr>
              <w:spacing w:after="0" w:line="186" w:lineRule="exact"/>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PART II</w:t>
              </w:r>
            </w:hyperlink>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7">
              <w:r>
                <w:rPr>
                  <w:rFonts w:ascii="Arial" w:cs="Arial" w:eastAsia="Arial" w:hAnsi="Arial"/>
                  <w:sz w:val="15"/>
                  <w:szCs w:val="15"/>
                  <w:color w:val="0000FF"/>
                  <w:w w:val="71"/>
                </w:rPr>
                <w:t>58</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5.</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58">
              <w:r>
                <w:rPr>
                  <w:rFonts w:ascii="Arial" w:cs="Arial" w:eastAsia="Arial" w:hAnsi="Arial"/>
                  <w:sz w:val="18"/>
                  <w:szCs w:val="18"/>
                  <w:color w:val="0000FF"/>
                </w:rPr>
                <w:t>Market for Registrant’s Common Equity, Related Stockholder Matters and Issuer Purchases of Equity Securities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58</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4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6.</w:t>
            </w:r>
          </w:p>
        </w:tc>
        <w:tc>
          <w:tcPr>
            <w:tcW w:w="9280" w:type="dxa"/>
            <w:vAlign w:val="bottom"/>
            <w:gridSpan w:val="18"/>
          </w:tcPr>
          <w:p>
            <w:pPr>
              <w:spacing w:after="0" w:line="186" w:lineRule="exact"/>
              <w:rPr>
                <w:rFonts w:ascii="Arial" w:cs="Arial" w:eastAsia="Arial" w:hAnsi="Arial"/>
                <w:sz w:val="18"/>
                <w:szCs w:val="18"/>
                <w:color w:val="0000FF"/>
              </w:rPr>
            </w:pPr>
            <w:hyperlink w:anchor="page59">
              <w:r>
                <w:rPr>
                  <w:rFonts w:ascii="Arial" w:cs="Arial" w:eastAsia="Arial" w:hAnsi="Arial"/>
                  <w:sz w:val="18"/>
                  <w:szCs w:val="18"/>
                  <w:color w:val="0000FF"/>
                </w:rPr>
                <w:t>[Reserved]</w:t>
              </w:r>
            </w:hyperlink>
          </w:p>
        </w:tc>
        <w:tc>
          <w:tcPr>
            <w:tcW w:w="460" w:type="dxa"/>
            <w:vAlign w:val="bottom"/>
            <w:gridSpan w:val="3"/>
          </w:tcPr>
          <w:p>
            <w:pPr>
              <w:jc w:val="center"/>
              <w:ind w:left="112"/>
              <w:spacing w:after="0" w:line="18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7.</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59">
              <w:r>
                <w:rPr>
                  <w:rFonts w:ascii="Arial" w:cs="Arial" w:eastAsia="Arial" w:hAnsi="Arial"/>
                  <w:sz w:val="18"/>
                  <w:szCs w:val="18"/>
                  <w:color w:val="0000FF"/>
                </w:rPr>
                <w:t>Management’s Discussion and Analysis of Financial Condition and Results of Operations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60</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40" w:type="dxa"/>
            <w:vAlign w:val="bottom"/>
            <w:tcBorders>
              <w:right w:val="single" w:sz="8" w:color="CCEE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7A.</w:t>
            </w:r>
          </w:p>
        </w:tc>
        <w:tc>
          <w:tcPr>
            <w:tcW w:w="9280" w:type="dxa"/>
            <w:vAlign w:val="bottom"/>
            <w:gridSpan w:val="18"/>
          </w:tcPr>
          <w:p>
            <w:pPr>
              <w:spacing w:after="0" w:line="186" w:lineRule="exact"/>
              <w:rPr>
                <w:rFonts w:ascii="Arial" w:cs="Arial" w:eastAsia="Arial" w:hAnsi="Arial"/>
                <w:sz w:val="18"/>
                <w:szCs w:val="18"/>
                <w:color w:val="0000FF"/>
              </w:rPr>
            </w:pPr>
            <w:hyperlink w:anchor="page77">
              <w:r>
                <w:rPr>
                  <w:rFonts w:ascii="Arial" w:cs="Arial" w:eastAsia="Arial" w:hAnsi="Arial"/>
                  <w:sz w:val="18"/>
                  <w:szCs w:val="18"/>
                  <w:color w:val="0000FF"/>
                </w:rPr>
                <w:t>Quantitative and Qualitative Disclosures About Market Risk</w:t>
              </w:r>
            </w:hyperlink>
          </w:p>
        </w:tc>
        <w:tc>
          <w:tcPr>
            <w:tcW w:w="460" w:type="dxa"/>
            <w:vAlign w:val="bottom"/>
            <w:gridSpan w:val="3"/>
          </w:tcPr>
          <w:p>
            <w:pPr>
              <w:jc w:val="center"/>
              <w:ind w:left="112"/>
              <w:spacing w:after="0" w:line="186"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77</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8.</w:t>
            </w:r>
          </w:p>
        </w:tc>
        <w:tc>
          <w:tcPr>
            <w:tcW w:w="928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78</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9.</w:t>
            </w:r>
          </w:p>
        </w:tc>
        <w:tc>
          <w:tcPr>
            <w:tcW w:w="9280" w:type="dxa"/>
            <w:vAlign w:val="bottom"/>
            <w:gridSpan w:val="18"/>
          </w:tcPr>
          <w:p>
            <w:pPr>
              <w:spacing w:after="0" w:line="186" w:lineRule="exact"/>
              <w:rPr>
                <w:rFonts w:ascii="Arial" w:cs="Arial" w:eastAsia="Arial" w:hAnsi="Arial"/>
                <w:sz w:val="18"/>
                <w:szCs w:val="18"/>
                <w:color w:val="0000FF"/>
              </w:rPr>
            </w:pPr>
            <w:hyperlink w:anchor="page117">
              <w:r>
                <w:rPr>
                  <w:rFonts w:ascii="Arial" w:cs="Arial" w:eastAsia="Arial" w:hAnsi="Arial"/>
                  <w:sz w:val="18"/>
                  <w:szCs w:val="18"/>
                  <w:color w:val="0000FF"/>
                </w:rPr>
                <w:t>Changes in and Disagreements With Accountants on Accounting and Financial Disclosure</w:t>
              </w:r>
            </w:hyperlink>
          </w:p>
        </w:tc>
        <w:tc>
          <w:tcPr>
            <w:tcW w:w="460" w:type="dxa"/>
            <w:vAlign w:val="bottom"/>
            <w:gridSpan w:val="3"/>
          </w:tcPr>
          <w:p>
            <w:pPr>
              <w:jc w:val="center"/>
              <w:ind w:left="112"/>
              <w:spacing w:after="0" w:line="186" w:lineRule="exact"/>
              <w:rPr>
                <w:rFonts w:ascii="Arial" w:cs="Arial" w:eastAsia="Arial" w:hAnsi="Arial"/>
                <w:sz w:val="18"/>
                <w:szCs w:val="18"/>
                <w:color w:val="0000FF"/>
                <w:w w:val="86"/>
              </w:rPr>
            </w:pPr>
            <w:hyperlink w:anchor="page117">
              <w:r>
                <w:rPr>
                  <w:rFonts w:ascii="Arial" w:cs="Arial" w:eastAsia="Arial" w:hAnsi="Arial"/>
                  <w:sz w:val="18"/>
                  <w:szCs w:val="18"/>
                  <w:color w:val="0000FF"/>
                  <w:w w:val="86"/>
                </w:rPr>
                <w:t>117</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4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9A.</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117">
              <w:r>
                <w:rPr>
                  <w:rFonts w:ascii="Arial" w:cs="Arial" w:eastAsia="Arial" w:hAnsi="Arial"/>
                  <w:sz w:val="18"/>
                  <w:szCs w:val="18"/>
                  <w:color w:val="0000FF"/>
                </w:rPr>
                <w:t>Controls and Procedures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6"/>
              </w:rPr>
            </w:pPr>
            <w:hyperlink w:anchor="page117">
              <w:r>
                <w:rPr>
                  <w:rFonts w:ascii="Arial" w:cs="Arial" w:eastAsia="Arial" w:hAnsi="Arial"/>
                  <w:sz w:val="18"/>
                  <w:szCs w:val="18"/>
                  <w:color w:val="0000FF"/>
                  <w:w w:val="86"/>
                </w:rPr>
                <w:t>117</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9B.</w:t>
            </w:r>
          </w:p>
        </w:tc>
        <w:tc>
          <w:tcPr>
            <w:tcW w:w="9280" w:type="dxa"/>
            <w:vAlign w:val="bottom"/>
            <w:gridSpan w:val="18"/>
          </w:tcPr>
          <w:p>
            <w:pPr>
              <w:spacing w:after="0" w:line="186" w:lineRule="exact"/>
              <w:rPr>
                <w:rFonts w:ascii="Arial" w:cs="Arial" w:eastAsia="Arial" w:hAnsi="Arial"/>
                <w:sz w:val="18"/>
                <w:szCs w:val="18"/>
                <w:color w:val="0000FF"/>
              </w:rPr>
            </w:pPr>
            <w:hyperlink w:anchor="page118">
              <w:r>
                <w:rPr>
                  <w:rFonts w:ascii="Arial" w:cs="Arial" w:eastAsia="Arial" w:hAnsi="Arial"/>
                  <w:sz w:val="18"/>
                  <w:szCs w:val="18"/>
                  <w:color w:val="0000FF"/>
                </w:rPr>
                <w:t>Other Information</w:t>
              </w:r>
            </w:hyperlink>
          </w:p>
        </w:tc>
        <w:tc>
          <w:tcPr>
            <w:tcW w:w="460" w:type="dxa"/>
            <w:vAlign w:val="bottom"/>
            <w:gridSpan w:val="3"/>
          </w:tcPr>
          <w:p>
            <w:pPr>
              <w:jc w:val="center"/>
              <w:ind w:left="112"/>
              <w:spacing w:after="0" w:line="186" w:lineRule="exact"/>
              <w:rPr>
                <w:rFonts w:ascii="Arial" w:cs="Arial" w:eastAsia="Arial" w:hAnsi="Arial"/>
                <w:sz w:val="18"/>
                <w:szCs w:val="18"/>
                <w:color w:val="0000FF"/>
                <w:w w:val="86"/>
              </w:rPr>
            </w:pPr>
            <w:hyperlink w:anchor="page118">
              <w:r>
                <w:rPr>
                  <w:rFonts w:ascii="Arial" w:cs="Arial" w:eastAsia="Arial" w:hAnsi="Arial"/>
                  <w:sz w:val="18"/>
                  <w:szCs w:val="18"/>
                  <w:color w:val="0000FF"/>
                  <w:w w:val="86"/>
                </w:rPr>
                <w:t>118</w:t>
              </w:r>
            </w:hyperlink>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9C.</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118">
              <w:r>
                <w:rPr>
                  <w:rFonts w:ascii="Arial" w:cs="Arial" w:eastAsia="Arial" w:hAnsi="Arial"/>
                  <w:sz w:val="18"/>
                  <w:szCs w:val="18"/>
                  <w:color w:val="0000FF"/>
                </w:rPr>
                <w:t>Disclosure Regarding Foreign Jurisdictions that Prevent Inspections</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6"/>
              </w:rPr>
            </w:pPr>
            <w:hyperlink w:anchor="page118">
              <w:r>
                <w:rPr>
                  <w:rFonts w:ascii="Arial" w:cs="Arial" w:eastAsia="Arial" w:hAnsi="Arial"/>
                  <w:sz w:val="18"/>
                  <w:szCs w:val="18"/>
                  <w:color w:val="0000FF"/>
                  <w:w w:val="86"/>
                </w:rPr>
                <w:t>118</w:t>
              </w:r>
            </w:hyperlink>
          </w:p>
        </w:tc>
        <w:tc>
          <w:tcPr>
            <w:tcW w:w="220" w:type="dxa"/>
            <w:vAlign w:val="bottom"/>
            <w:shd w:val="clear" w:color="auto" w:fill="CCEEFF"/>
          </w:tcPr>
          <w:p>
            <w:pPr>
              <w:spacing w:after="0"/>
              <w:rPr>
                <w:sz w:val="18"/>
                <w:szCs w:val="18"/>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720" w:type="dxa"/>
            <w:vAlign w:val="bottom"/>
            <w:tcBorders>
              <w:top w:val="single" w:sz="8" w:color="CCEEFF"/>
              <w:bottom w:val="single" w:sz="8" w:color="0000FF"/>
            </w:tcBorders>
            <w:gridSpan w:val="2"/>
          </w:tcPr>
          <w:p>
            <w:pPr>
              <w:spacing w:after="0" w:line="186" w:lineRule="exact"/>
              <w:rPr>
                <w:rFonts w:ascii="Arial" w:cs="Arial" w:eastAsia="Arial" w:hAnsi="Arial"/>
                <w:sz w:val="18"/>
                <w:szCs w:val="18"/>
                <w:b w:val="1"/>
                <w:bCs w:val="1"/>
                <w:color w:val="0000FF"/>
              </w:rPr>
            </w:pPr>
            <w:hyperlink w:anchor="page118">
              <w:r>
                <w:rPr>
                  <w:rFonts w:ascii="Arial" w:cs="Arial" w:eastAsia="Arial" w:hAnsi="Arial"/>
                  <w:sz w:val="18"/>
                  <w:szCs w:val="18"/>
                  <w:b w:val="1"/>
                  <w:bCs w:val="1"/>
                  <w:color w:val="0000FF"/>
                </w:rPr>
                <w:t>PART III</w:t>
              </w:r>
            </w:hyperlink>
          </w:p>
        </w:tc>
        <w:tc>
          <w:tcPr>
            <w:tcW w:w="5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0000FF"/>
              <w:bottom w:val="single" w:sz="8" w:color="0000FF"/>
            </w:tcBorders>
            <w:gridSpan w:val="2"/>
          </w:tcPr>
          <w:p>
            <w:pPr>
              <w:jc w:val="center"/>
              <w:spacing w:after="0"/>
              <w:rPr>
                <w:rFonts w:ascii="Arial" w:cs="Arial" w:eastAsia="Arial" w:hAnsi="Arial"/>
                <w:sz w:val="13"/>
                <w:szCs w:val="13"/>
                <w:color w:val="0000FF"/>
                <w:w w:val="73"/>
              </w:rPr>
            </w:pPr>
            <w:hyperlink w:anchor="page118">
              <w:r>
                <w:rPr>
                  <w:rFonts w:ascii="Arial" w:cs="Arial" w:eastAsia="Arial" w:hAnsi="Arial"/>
                  <w:sz w:val="13"/>
                  <w:szCs w:val="13"/>
                  <w:color w:val="0000FF"/>
                  <w:w w:val="73"/>
                </w:rPr>
                <w:t>119</w:t>
              </w:r>
            </w:hyperlink>
          </w:p>
        </w:tc>
        <w:tc>
          <w:tcPr>
            <w:tcW w:w="220" w:type="dxa"/>
            <w:vAlign w:val="bottom"/>
            <w:tcBorders>
              <w:top w:val="single" w:sz="8" w:color="CCEEFF"/>
            </w:tcBorders>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10.</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119">
              <w:r>
                <w:rPr>
                  <w:rFonts w:ascii="Arial" w:cs="Arial" w:eastAsia="Arial" w:hAnsi="Arial"/>
                  <w:sz w:val="18"/>
                  <w:szCs w:val="18"/>
                  <w:color w:val="0000FF"/>
                </w:rPr>
                <w:t>Directors, Executive Officers and Corporate Governance</w:t>
              </w:r>
            </w:hyperlink>
          </w:p>
        </w:tc>
        <w:tc>
          <w:tcPr>
            <w:tcW w:w="460" w:type="dxa"/>
            <w:vAlign w:val="bottom"/>
            <w:gridSpan w:val="3"/>
            <w:shd w:val="clear" w:color="auto" w:fill="CCEEFF"/>
          </w:tcPr>
          <w:p>
            <w:pPr>
              <w:jc w:val="center"/>
              <w:ind w:left="112"/>
              <w:spacing w:after="0" w:line="195" w:lineRule="exact"/>
              <w:rPr>
                <w:rFonts w:ascii="Arial" w:cs="Arial" w:eastAsia="Arial" w:hAnsi="Arial"/>
                <w:sz w:val="18"/>
                <w:szCs w:val="18"/>
                <w:color w:val="0000FF"/>
                <w:w w:val="86"/>
              </w:rPr>
            </w:pPr>
            <w:hyperlink w:anchor="page119">
              <w:r>
                <w:rPr>
                  <w:rFonts w:ascii="Arial" w:cs="Arial" w:eastAsia="Arial" w:hAnsi="Arial"/>
                  <w:sz w:val="18"/>
                  <w:szCs w:val="18"/>
                  <w:color w:val="0000FF"/>
                  <w:w w:val="86"/>
                </w:rPr>
                <w:t>119</w:t>
              </w:r>
            </w:hyperlink>
          </w:p>
        </w:tc>
        <w:tc>
          <w:tcPr>
            <w:tcW w:w="2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11.</w:t>
            </w:r>
          </w:p>
        </w:tc>
        <w:tc>
          <w:tcPr>
            <w:tcW w:w="9280" w:type="dxa"/>
            <w:vAlign w:val="bottom"/>
            <w:gridSpan w:val="18"/>
          </w:tcPr>
          <w:p>
            <w:pPr>
              <w:spacing w:after="0" w:line="186" w:lineRule="exact"/>
              <w:rPr>
                <w:rFonts w:ascii="Arial" w:cs="Arial" w:eastAsia="Arial" w:hAnsi="Arial"/>
                <w:sz w:val="18"/>
                <w:szCs w:val="18"/>
                <w:color w:val="0000FF"/>
              </w:rPr>
            </w:pPr>
            <w:hyperlink w:anchor="page128">
              <w:r>
                <w:rPr>
                  <w:rFonts w:ascii="Arial" w:cs="Arial" w:eastAsia="Arial" w:hAnsi="Arial"/>
                  <w:sz w:val="18"/>
                  <w:szCs w:val="18"/>
                  <w:color w:val="0000FF"/>
                </w:rPr>
                <w:t>Executive Compensation</w:t>
              </w:r>
            </w:hyperlink>
          </w:p>
        </w:tc>
        <w:tc>
          <w:tcPr>
            <w:tcW w:w="680" w:type="dxa"/>
            <w:vAlign w:val="bottom"/>
            <w:gridSpan w:val="4"/>
          </w:tcPr>
          <w:p>
            <w:pPr>
              <w:jc w:val="center"/>
              <w:spacing w:after="0" w:line="186" w:lineRule="exact"/>
              <w:rPr>
                <w:rFonts w:ascii="Arial" w:cs="Arial" w:eastAsia="Arial" w:hAnsi="Arial"/>
                <w:sz w:val="18"/>
                <w:szCs w:val="18"/>
                <w:color w:val="0000FF"/>
                <w:w w:val="93"/>
              </w:rPr>
            </w:pPr>
            <w:hyperlink w:anchor="page128">
              <w:r>
                <w:rPr>
                  <w:rFonts w:ascii="Arial" w:cs="Arial" w:eastAsia="Arial" w:hAnsi="Arial"/>
                  <w:sz w:val="18"/>
                  <w:szCs w:val="18"/>
                  <w:color w:val="0000FF"/>
                  <w:w w:val="93"/>
                </w:rPr>
                <w:t>128</w:t>
              </w:r>
            </w:hyperlink>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12.</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145">
              <w:r>
                <w:rPr>
                  <w:rFonts w:ascii="Arial" w:cs="Arial" w:eastAsia="Arial" w:hAnsi="Arial"/>
                  <w:sz w:val="18"/>
                  <w:szCs w:val="18"/>
                  <w:color w:val="0000FF"/>
                </w:rPr>
                <w:t>Security Ownership of Certain Beneficial Owners and Management and Related Stockholder Matters</w:t>
              </w:r>
            </w:hyperlink>
          </w:p>
        </w:tc>
        <w:tc>
          <w:tcPr>
            <w:tcW w:w="680" w:type="dxa"/>
            <w:vAlign w:val="bottom"/>
            <w:gridSpan w:val="4"/>
            <w:shd w:val="clear" w:color="auto" w:fill="CCEEFF"/>
          </w:tcPr>
          <w:p>
            <w:pPr>
              <w:jc w:val="center"/>
              <w:spacing w:after="0" w:line="195" w:lineRule="exact"/>
              <w:rPr>
                <w:rFonts w:ascii="Arial" w:cs="Arial" w:eastAsia="Arial" w:hAnsi="Arial"/>
                <w:sz w:val="18"/>
                <w:szCs w:val="18"/>
                <w:color w:val="0000FF"/>
                <w:w w:val="93"/>
              </w:rPr>
            </w:pPr>
            <w:hyperlink w:anchor="page145">
              <w:r>
                <w:rPr>
                  <w:rFonts w:ascii="Arial" w:cs="Arial" w:eastAsia="Arial" w:hAnsi="Arial"/>
                  <w:sz w:val="18"/>
                  <w:szCs w:val="18"/>
                  <w:color w:val="0000FF"/>
                  <w:w w:val="93"/>
                </w:rPr>
                <w:t>145</w:t>
              </w:r>
            </w:hyperlink>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4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13.</w:t>
            </w:r>
          </w:p>
        </w:tc>
        <w:tc>
          <w:tcPr>
            <w:tcW w:w="9280" w:type="dxa"/>
            <w:vAlign w:val="bottom"/>
            <w:gridSpan w:val="18"/>
          </w:tcPr>
          <w:p>
            <w:pPr>
              <w:spacing w:after="0" w:line="186" w:lineRule="exact"/>
              <w:rPr>
                <w:rFonts w:ascii="Arial" w:cs="Arial" w:eastAsia="Arial" w:hAnsi="Arial"/>
                <w:sz w:val="18"/>
                <w:szCs w:val="18"/>
                <w:color w:val="0000FF"/>
              </w:rPr>
            </w:pPr>
            <w:hyperlink w:anchor="page147">
              <w:r>
                <w:rPr>
                  <w:rFonts w:ascii="Arial" w:cs="Arial" w:eastAsia="Arial" w:hAnsi="Arial"/>
                  <w:sz w:val="18"/>
                  <w:szCs w:val="18"/>
                  <w:color w:val="0000FF"/>
                </w:rPr>
                <w:t>Certain Relationships and Related Transactions, and Director Independence</w:t>
              </w:r>
            </w:hyperlink>
          </w:p>
        </w:tc>
        <w:tc>
          <w:tcPr>
            <w:tcW w:w="680" w:type="dxa"/>
            <w:vAlign w:val="bottom"/>
            <w:gridSpan w:val="4"/>
          </w:tcPr>
          <w:p>
            <w:pPr>
              <w:jc w:val="center"/>
              <w:spacing w:after="0" w:line="186" w:lineRule="exact"/>
              <w:rPr>
                <w:rFonts w:ascii="Arial" w:cs="Arial" w:eastAsia="Arial" w:hAnsi="Arial"/>
                <w:sz w:val="18"/>
                <w:szCs w:val="18"/>
                <w:color w:val="0000FF"/>
                <w:w w:val="93"/>
              </w:rPr>
            </w:pPr>
            <w:hyperlink w:anchor="page147">
              <w:r>
                <w:rPr>
                  <w:rFonts w:ascii="Arial" w:cs="Arial" w:eastAsia="Arial" w:hAnsi="Arial"/>
                  <w:sz w:val="18"/>
                  <w:szCs w:val="18"/>
                  <w:color w:val="0000FF"/>
                  <w:w w:val="93"/>
                </w:rPr>
                <w:t>147</w:t>
              </w:r>
            </w:hyperlink>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14.</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149">
              <w:r>
                <w:rPr>
                  <w:rFonts w:ascii="Arial" w:cs="Arial" w:eastAsia="Arial" w:hAnsi="Arial"/>
                  <w:sz w:val="18"/>
                  <w:szCs w:val="18"/>
                  <w:color w:val="0000FF"/>
                </w:rPr>
                <w:t>Principal Accountant Fees and Services</w:t>
              </w:r>
            </w:hyperlink>
          </w:p>
        </w:tc>
        <w:tc>
          <w:tcPr>
            <w:tcW w:w="680" w:type="dxa"/>
            <w:vAlign w:val="bottom"/>
            <w:gridSpan w:val="4"/>
            <w:shd w:val="clear" w:color="auto" w:fill="CCEEFF"/>
          </w:tcPr>
          <w:p>
            <w:pPr>
              <w:jc w:val="center"/>
              <w:spacing w:after="0" w:line="195" w:lineRule="exact"/>
              <w:rPr>
                <w:rFonts w:ascii="Arial" w:cs="Arial" w:eastAsia="Arial" w:hAnsi="Arial"/>
                <w:sz w:val="18"/>
                <w:szCs w:val="18"/>
                <w:color w:val="0000FF"/>
                <w:w w:val="93"/>
              </w:rPr>
            </w:pPr>
            <w:hyperlink w:anchor="page149">
              <w:r>
                <w:rPr>
                  <w:rFonts w:ascii="Arial" w:cs="Arial" w:eastAsia="Arial" w:hAnsi="Arial"/>
                  <w:sz w:val="18"/>
                  <w:szCs w:val="18"/>
                  <w:color w:val="0000FF"/>
                  <w:w w:val="93"/>
                </w:rPr>
                <w:t>149</w:t>
              </w:r>
            </w:hyperlink>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spacing w:after="0" w:line="186" w:lineRule="exact"/>
              <w:rPr>
                <w:rFonts w:ascii="Arial" w:cs="Arial" w:eastAsia="Arial" w:hAnsi="Arial"/>
                <w:sz w:val="18"/>
                <w:szCs w:val="18"/>
                <w:b w:val="1"/>
                <w:bCs w:val="1"/>
                <w:color w:val="0000FF"/>
              </w:rPr>
            </w:pPr>
            <w:hyperlink w:anchor="page150">
              <w:r>
                <w:rPr>
                  <w:rFonts w:ascii="Arial" w:cs="Arial" w:eastAsia="Arial" w:hAnsi="Arial"/>
                  <w:sz w:val="18"/>
                  <w:szCs w:val="18"/>
                  <w:b w:val="1"/>
                  <w:bCs w:val="1"/>
                  <w:color w:val="0000FF"/>
                </w:rPr>
                <w:t>PART IV</w:t>
              </w:r>
            </w:hyperlink>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3"/>
          </w:tcPr>
          <w:p>
            <w:pPr>
              <w:jc w:val="center"/>
              <w:ind w:right="200"/>
              <w:spacing w:after="0"/>
              <w:rPr>
                <w:rFonts w:ascii="Arial" w:cs="Arial" w:eastAsia="Arial" w:hAnsi="Arial"/>
                <w:sz w:val="15"/>
                <w:szCs w:val="15"/>
                <w:color w:val="0000FF"/>
                <w:w w:val="71"/>
              </w:rPr>
            </w:pPr>
            <w:hyperlink w:anchor="page150">
              <w:r>
                <w:rPr>
                  <w:rFonts w:ascii="Arial" w:cs="Arial" w:eastAsia="Arial" w:hAnsi="Arial"/>
                  <w:sz w:val="15"/>
                  <w:szCs w:val="15"/>
                  <w:color w:val="0000FF"/>
                  <w:w w:val="71"/>
                </w:rPr>
                <w:t>151</w:t>
              </w:r>
            </w:hyperlink>
          </w:p>
        </w:tc>
      </w:tr>
      <w:tr>
        <w:trPr>
          <w:trHeight w:val="30"/>
        </w:trPr>
        <w:tc>
          <w:tcPr>
            <w:tcW w:w="2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15.</w:t>
            </w:r>
          </w:p>
        </w:tc>
        <w:tc>
          <w:tcPr>
            <w:tcW w:w="9280" w:type="dxa"/>
            <w:vAlign w:val="bottom"/>
            <w:gridSpan w:val="18"/>
            <w:shd w:val="clear" w:color="auto" w:fill="CCEEFF"/>
          </w:tcPr>
          <w:p>
            <w:pPr>
              <w:spacing w:after="0" w:line="195" w:lineRule="exact"/>
              <w:rPr>
                <w:rFonts w:ascii="Arial" w:cs="Arial" w:eastAsia="Arial" w:hAnsi="Arial"/>
                <w:sz w:val="18"/>
                <w:szCs w:val="18"/>
                <w:color w:val="0000FF"/>
              </w:rPr>
            </w:pPr>
            <w:hyperlink w:anchor="page77">
              <w:r>
                <w:rPr>
                  <w:rFonts w:ascii="Arial" w:cs="Arial" w:eastAsia="Arial" w:hAnsi="Arial"/>
                  <w:sz w:val="18"/>
                  <w:szCs w:val="18"/>
                  <w:color w:val="0000FF"/>
                </w:rPr>
                <w:t>Exhibit and Financial Statement Schedules</w:t>
              </w:r>
            </w:hyperlink>
          </w:p>
        </w:tc>
        <w:tc>
          <w:tcPr>
            <w:tcW w:w="680" w:type="dxa"/>
            <w:vAlign w:val="bottom"/>
            <w:gridSpan w:val="4"/>
            <w:shd w:val="clear" w:color="auto" w:fill="CCEEFF"/>
          </w:tcPr>
          <w:p>
            <w:pPr>
              <w:jc w:val="center"/>
              <w:spacing w:after="0" w:line="195" w:lineRule="exact"/>
              <w:rPr>
                <w:rFonts w:ascii="Arial" w:cs="Arial" w:eastAsia="Arial" w:hAnsi="Arial"/>
                <w:sz w:val="18"/>
                <w:szCs w:val="18"/>
                <w:color w:val="0000FF"/>
                <w:w w:val="93"/>
              </w:rPr>
            </w:pPr>
            <w:hyperlink w:anchor="page151">
              <w:r>
                <w:rPr>
                  <w:rFonts w:ascii="Arial" w:cs="Arial" w:eastAsia="Arial" w:hAnsi="Arial"/>
                  <w:sz w:val="18"/>
                  <w:szCs w:val="18"/>
                  <w:color w:val="0000FF"/>
                  <w:w w:val="93"/>
                </w:rPr>
                <w:t>151</w:t>
              </w:r>
            </w:hyperlink>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540" w:type="dxa"/>
            <w:vAlign w:val="bottom"/>
            <w:tcBorders>
              <w:right w:val="single" w:sz="8" w:color="0000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60" w:type="dxa"/>
            <w:vAlign w:val="bottom"/>
            <w:gridSpan w:val="3"/>
          </w:tcPr>
          <w:p>
            <w:pPr>
              <w:ind w:left="220"/>
              <w:spacing w:after="0" w:line="186" w:lineRule="exact"/>
              <w:rPr>
                <w:sz w:val="20"/>
                <w:szCs w:val="20"/>
                <w:color w:val="auto"/>
              </w:rPr>
            </w:pPr>
            <w:r>
              <w:rPr>
                <w:rFonts w:ascii="Arial" w:cs="Arial" w:eastAsia="Arial" w:hAnsi="Arial"/>
                <w:sz w:val="18"/>
                <w:szCs w:val="18"/>
                <w:color w:val="auto"/>
              </w:rPr>
              <w:t>Item 16.</w:t>
            </w:r>
          </w:p>
        </w:tc>
        <w:tc>
          <w:tcPr>
            <w:tcW w:w="9280" w:type="dxa"/>
            <w:vAlign w:val="bottom"/>
            <w:gridSpan w:val="18"/>
          </w:tcPr>
          <w:p>
            <w:pPr>
              <w:spacing w:after="0" w:line="186" w:lineRule="exact"/>
              <w:rPr>
                <w:rFonts w:ascii="Arial" w:cs="Arial" w:eastAsia="Arial" w:hAnsi="Arial"/>
                <w:sz w:val="18"/>
                <w:szCs w:val="18"/>
                <w:color w:val="0000FF"/>
              </w:rPr>
            </w:pPr>
            <w:hyperlink w:anchor="page153">
              <w:r>
                <w:rPr>
                  <w:rFonts w:ascii="Arial" w:cs="Arial" w:eastAsia="Arial" w:hAnsi="Arial"/>
                  <w:sz w:val="18"/>
                  <w:szCs w:val="18"/>
                  <w:color w:val="0000FF"/>
                </w:rPr>
                <w:t>Form 10–K Summary</w:t>
              </w:r>
            </w:hyperlink>
          </w:p>
        </w:tc>
        <w:tc>
          <w:tcPr>
            <w:tcW w:w="680" w:type="dxa"/>
            <w:vAlign w:val="bottom"/>
            <w:gridSpan w:val="4"/>
          </w:tcPr>
          <w:p>
            <w:pPr>
              <w:jc w:val="center"/>
              <w:spacing w:after="0" w:line="186" w:lineRule="exact"/>
              <w:rPr>
                <w:rFonts w:ascii="Arial" w:cs="Arial" w:eastAsia="Arial" w:hAnsi="Arial"/>
                <w:sz w:val="18"/>
                <w:szCs w:val="18"/>
                <w:color w:val="0000FF"/>
                <w:w w:val="93"/>
              </w:rPr>
            </w:pPr>
            <w:hyperlink w:anchor="page153">
              <w:r>
                <w:rPr>
                  <w:rFonts w:ascii="Arial" w:cs="Arial" w:eastAsia="Arial" w:hAnsi="Arial"/>
                  <w:sz w:val="18"/>
                  <w:szCs w:val="18"/>
                  <w:color w:val="0000FF"/>
                  <w:w w:val="93"/>
                </w:rPr>
                <w:t>154</w:t>
              </w:r>
            </w:hyperlink>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3"/>
            <w:shd w:val="clear" w:color="auto" w:fill="CCEEFF"/>
          </w:tcPr>
          <w:p>
            <w:pPr>
              <w:spacing w:after="0" w:line="195" w:lineRule="exact"/>
              <w:rPr>
                <w:rFonts w:ascii="Arial" w:cs="Arial" w:eastAsia="Arial" w:hAnsi="Arial"/>
                <w:sz w:val="18"/>
                <w:szCs w:val="18"/>
                <w:b w:val="1"/>
                <w:bCs w:val="1"/>
                <w:color w:val="0000FF"/>
              </w:rPr>
            </w:pPr>
            <w:hyperlink w:anchor="page154">
              <w:r>
                <w:rPr>
                  <w:rFonts w:ascii="Arial" w:cs="Arial" w:eastAsia="Arial" w:hAnsi="Arial"/>
                  <w:sz w:val="18"/>
                  <w:szCs w:val="18"/>
                  <w:b w:val="1"/>
                  <w:bCs w:val="1"/>
                  <w:color w:val="0000FF"/>
                </w:rPr>
                <w:t>SIGNATURES</w:t>
              </w:r>
            </w:hyperlink>
          </w:p>
        </w:tc>
        <w:tc>
          <w:tcPr>
            <w:tcW w:w="6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ind w:right="200"/>
              <w:spacing w:after="0"/>
              <w:rPr>
                <w:rFonts w:ascii="Arial" w:cs="Arial" w:eastAsia="Arial" w:hAnsi="Arial"/>
                <w:sz w:val="15"/>
                <w:szCs w:val="15"/>
                <w:color w:val="0000FF"/>
                <w:w w:val="71"/>
              </w:rPr>
            </w:pPr>
            <w:hyperlink w:anchor="page154">
              <w:r>
                <w:rPr>
                  <w:rFonts w:ascii="Arial" w:cs="Arial" w:eastAsia="Arial" w:hAnsi="Arial"/>
                  <w:sz w:val="15"/>
                  <w:szCs w:val="15"/>
                  <w:color w:val="0000FF"/>
                  <w:w w:val="71"/>
                </w:rPr>
                <w:t>155</w:t>
              </w:r>
            </w:hyperlink>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540" w:type="dxa"/>
            <w:vAlign w:val="bottom"/>
            <w:tcBorders>
              <w:right w:val="single" w:sz="8" w:color="CCEEFF"/>
            </w:tcBorders>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Unless the context indicates otherwise, references in this Annual Report to the “Company,” “we,” “us,” “our” and similar terms refer to The Beauty Health Company (f/k/a Vesper Acquisition Corp.) and its consolidated subsidiaries. References to “Vesper” refer to Vesper Healthcare Acquisition Corp. prior to the consummation of the Business Combination (as defined below).</w:t>
      </w:r>
    </w:p>
    <w:p>
      <w:pPr>
        <w:spacing w:after="0" w:line="21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On May 4, 2021 (the “Closing Date”), the registrant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registrant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registrant owns 100% of the outstanding interests in Merger Sub II. In connection with the closing of the Business Combination (the “Closing”), the registrant owns, directly or indirectly, 100% of the stock of HydraFacial and its subsidiaries and the stockholders of HydraFacial as of immediately prior to the effective time of the First Merger (the “HydraFacial Stockholders”) hold a portion of the Class A Common Stock, par value $0.0001 per share, of the registrant (the “Class A Common Stock”).</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Certain statements in this Annual Report on Form 10-K may constitute “forward-looking statements” for purposes of the federal securities laws.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that are not statements of current or historical facts. These statements are based on management’s current expectations, but actual results may differ materially due to various factors, including, but not limited to:</w:t>
      </w:r>
    </w:p>
    <w:p>
      <w:pPr>
        <w:spacing w:after="0" w:line="183"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maintain the Company’s listing on Nasdaq following the Business Combination;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risk that the Business Combination disrupts current plans and operations as a result of the announcement and consummation of the transactions;</w:t>
      </w:r>
    </w:p>
    <w:p>
      <w:pPr>
        <w:spacing w:after="0" w:line="92" w:lineRule="exact"/>
        <w:rPr>
          <w:rFonts w:ascii="Arial" w:cs="Arial" w:eastAsia="Arial" w:hAnsi="Arial"/>
          <w:sz w:val="15"/>
          <w:szCs w:val="15"/>
          <w:color w:val="auto"/>
        </w:rPr>
      </w:pPr>
    </w:p>
    <w:p>
      <w:pPr>
        <w:ind w:left="640" w:right="3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the ability of the combined business to grow and manage growth profitably;</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outcome of any legal proceedings that may be instituted against the Company following consummation of the Business Combination;</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adversely affected by other economic, business and/or competitive factors;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continuing COVID-19 pandemic on the Company’s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set forth in the section titled “Risk Factors.”</w:t>
      </w:r>
    </w:p>
    <w:p>
      <w:pPr>
        <w:spacing w:after="0" w:line="297"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entitled “Risk Factors,”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adversely affect our business, operations and financial results:</w:t>
      </w:r>
    </w:p>
    <w:p>
      <w:pPr>
        <w:spacing w:after="0" w:line="204"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beauty health industry is highly competitive, and if we are unable to compete effectively our results will suffer.</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new product introductions may not be as successful as we anticipate.</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damage to our reputation or brand may materially and adversely affect our business, financial condition and results of operations.</w:t>
      </w:r>
    </w:p>
    <w:p>
      <w:pPr>
        <w:spacing w:after="0" w:line="43"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the quality, performance and safety of our products.</w:t>
      </w:r>
    </w:p>
    <w:p>
      <w:pPr>
        <w:spacing w:after="0" w:line="31" w:lineRule="exact"/>
        <w:rPr>
          <w:rFonts w:ascii="Arial" w:cs="Arial" w:eastAsia="Arial" w:hAnsi="Arial"/>
          <w:sz w:val="18"/>
          <w:szCs w:val="18"/>
          <w:color w:val="auto"/>
        </w:rPr>
      </w:pPr>
    </w:p>
    <w:p>
      <w:pPr>
        <w:ind w:left="640" w:right="2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our products may not increase as rapidly as we anticipate due to a variety of factors including a weakness in general economic conditions and resistance to non-traditional treatment methods.</w:t>
      </w:r>
    </w:p>
    <w:p>
      <w:pPr>
        <w:spacing w:after="0" w:line="1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successfully implement our growth strategy.</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growth and profitability are dependent on a number of factors, and our historical growth may not be indicative of our future growth.</w:t>
      </w:r>
    </w:p>
    <w:p>
      <w:pPr>
        <w:spacing w:after="0" w:line="43" w:lineRule="exact"/>
        <w:rPr>
          <w:rFonts w:ascii="Arial" w:cs="Arial" w:eastAsia="Arial" w:hAnsi="Arial"/>
          <w:sz w:val="17"/>
          <w:szCs w:val="17"/>
          <w:color w:val="auto"/>
        </w:rPr>
      </w:pPr>
    </w:p>
    <w:p>
      <w:pPr>
        <w:ind w:left="640" w:right="40" w:hanging="316"/>
        <w:spacing w:after="0" w:line="229"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realize all of the anticipated benefits of any entities which we acquire, such benefits may take longer to realize than expected or we may encounter difficulties integrating acquired businesses into our operations. If our acquisitions do not achieve their intended benefits, our business, financial condition and results of operations could be materially and adversely affected.</w:t>
      </w:r>
    </w:p>
    <w:p>
      <w:pPr>
        <w:spacing w:after="0" w:line="17" w:lineRule="exact"/>
        <w:rPr>
          <w:rFonts w:ascii="Arial" w:cs="Arial" w:eastAsia="Arial" w:hAnsi="Arial"/>
          <w:sz w:val="18"/>
          <w:szCs w:val="18"/>
          <w:color w:val="auto"/>
        </w:rPr>
      </w:pPr>
    </w:p>
    <w:p>
      <w:pPr>
        <w:ind w:left="640" w:right="14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have fluctuated in the past and we expect our future quarterly and annual operating results to fluctuate for a variety of reasons, particularly as we focus on increasing provider and consumer demand for our products.</w:t>
      </w:r>
    </w:p>
    <w:p>
      <w:pPr>
        <w:spacing w:after="0" w:line="1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net losses and may experience future losses.</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disruption in our operations could materially and adversely affect our business.</w:t>
      </w:r>
    </w:p>
    <w:p>
      <w:pPr>
        <w:spacing w:after="0" w:line="31" w:lineRule="exact"/>
        <w:rPr>
          <w:rFonts w:ascii="Arial" w:cs="Arial" w:eastAsia="Arial" w:hAnsi="Arial"/>
          <w:sz w:val="18"/>
          <w:szCs w:val="18"/>
          <w:color w:val="auto"/>
        </w:rPr>
      </w:pPr>
    </w:p>
    <w:p>
      <w:pPr>
        <w:ind w:left="640" w:right="34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global pandemic and related government, private sector and individual consumer responsive actions have adversely affected, and may continue to adversely affect, our business, financial condition and results of operations.</w:t>
      </w:r>
    </w:p>
    <w:p>
      <w:pPr>
        <w:spacing w:after="0" w:line="15" w:lineRule="exact"/>
        <w:rPr>
          <w:rFonts w:ascii="Arial" w:cs="Arial" w:eastAsia="Arial" w:hAnsi="Arial"/>
          <w:sz w:val="18"/>
          <w:szCs w:val="18"/>
          <w:color w:val="auto"/>
        </w:rPr>
      </w:pPr>
    </w:p>
    <w:p>
      <w:pPr>
        <w:ind w:left="640" w:right="12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our retention of key members of our senior management team, whose continued service is not guaranteed, ability to manage the transition of our Chief Executive Officer and ability to attract and retain qualified personnel.</w:t>
      </w:r>
    </w:p>
    <w:p>
      <w:pPr>
        <w:spacing w:after="0" w:line="15" w:lineRule="exact"/>
        <w:rPr>
          <w:rFonts w:ascii="Arial" w:cs="Arial" w:eastAsia="Arial" w:hAnsi="Arial"/>
          <w:sz w:val="18"/>
          <w:szCs w:val="18"/>
          <w:color w:val="auto"/>
        </w:rPr>
      </w:pPr>
    </w:p>
    <w:p>
      <w:pPr>
        <w:jc w:val="both"/>
        <w:ind w:left="640" w:right="140" w:hanging="316"/>
        <w:spacing w:after="0" w:line="229"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 number of third-party suppliers, distributors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7" w:lineRule="exact"/>
        <w:rPr>
          <w:rFonts w:ascii="Arial" w:cs="Arial" w:eastAsia="Arial" w:hAnsi="Arial"/>
          <w:sz w:val="18"/>
          <w:szCs w:val="18"/>
          <w:color w:val="auto"/>
        </w:rPr>
      </w:pPr>
    </w:p>
    <w:p>
      <w:pPr>
        <w:ind w:left="640" w:right="14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providers generally are not under any obligation to purchase product, and business challenges at one or more of these providers could adversely affect our results of operations.</w:t>
      </w:r>
    </w:p>
    <w:p>
      <w:pPr>
        <w:spacing w:after="0" w:line="15" w:lineRule="exact"/>
        <w:rPr>
          <w:rFonts w:ascii="Arial" w:cs="Arial" w:eastAsia="Arial" w:hAnsi="Arial"/>
          <w:sz w:val="18"/>
          <w:szCs w:val="18"/>
          <w:color w:val="auto"/>
        </w:rPr>
      </w:pPr>
    </w:p>
    <w:p>
      <w:pPr>
        <w:ind w:left="640" w:right="14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increasingly dependent on information technology, and if we are unable to protect against service interruptions, data corruption, cyber-based attacks or network security breaches, our operations could be disrupted.</w:t>
      </w:r>
    </w:p>
    <w:p>
      <w:pPr>
        <w:spacing w:after="0" w:line="15"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sales and operations comprise a significant portion of our business, which exposes us to foreign operational, political and other risks that may harm our business.</w:t>
      </w:r>
    </w:p>
    <w:p>
      <w:pPr>
        <w:spacing w:after="0" w:line="15" w:lineRule="exact"/>
        <w:rPr>
          <w:rFonts w:ascii="Arial" w:cs="Arial" w:eastAsia="Arial" w:hAnsi="Arial"/>
          <w:sz w:val="18"/>
          <w:szCs w:val="18"/>
          <w:color w:val="auto"/>
        </w:rPr>
      </w:pPr>
    </w:p>
    <w:p>
      <w:pPr>
        <w:ind w:left="640" w:right="50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laws, regulations, enforcement trends or changes in existing regulations governing the introduction, marketing and sale of our products to consumers could harm our business.</w:t>
      </w:r>
    </w:p>
    <w:p>
      <w:pPr>
        <w:spacing w:after="0" w:line="15" w:lineRule="exact"/>
        <w:rPr>
          <w:rFonts w:ascii="Arial" w:cs="Arial" w:eastAsia="Arial" w:hAnsi="Arial"/>
          <w:sz w:val="18"/>
          <w:szCs w:val="18"/>
          <w:color w:val="auto"/>
        </w:rPr>
      </w:pPr>
    </w:p>
    <w:p>
      <w:pPr>
        <w:ind w:left="640" w:right="46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which, if not corrected, could affect the reliability of our consolidated financial statements and have other adverse consequences.</w:t>
      </w:r>
    </w:p>
    <w:p>
      <w:pPr>
        <w:spacing w:after="0" w:line="15" w:lineRule="exact"/>
        <w:rPr>
          <w:rFonts w:ascii="Arial" w:cs="Arial" w:eastAsia="Arial" w:hAnsi="Arial"/>
          <w:sz w:val="18"/>
          <w:szCs w:val="18"/>
          <w:color w:val="auto"/>
        </w:rPr>
      </w:pPr>
    </w:p>
    <w:p>
      <w:pPr>
        <w:ind w:left="640" w:right="24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adversely affected.</w:t>
      </w:r>
    </w:p>
    <w:p>
      <w:pPr>
        <w:spacing w:after="0" w:line="15" w:lineRule="exact"/>
        <w:rPr>
          <w:rFonts w:ascii="Arial" w:cs="Arial" w:eastAsia="Arial" w:hAnsi="Arial"/>
          <w:sz w:val="18"/>
          <w:szCs w:val="18"/>
          <w:color w:val="auto"/>
        </w:rPr>
      </w:pPr>
    </w:p>
    <w:p>
      <w:pPr>
        <w:ind w:left="640" w:right="520" w:hanging="316"/>
        <w:spacing w:after="0" w:line="23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operate our business without infringing, misappropriating or otherwise violating the trademarks, patents, copyrights and other proprietary rights of third parties.</w:t>
      </w:r>
    </w:p>
    <w:p>
      <w:pPr>
        <w:spacing w:after="0" w:line="1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social media may materially and adversely affect our reputation or subject us to fines or other penalties.</w:t>
      </w:r>
    </w:p>
    <w:p>
      <w:pPr>
        <w:spacing w:after="0" w:line="3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addition to potential dilution associated with future offerings of debt or equity securities, we have significant numbers of securities outstanding that may be exercisable for our common stock, which may result in significant dilution and downward pressure on our stock price.</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outstanding warrants are accounted for as liabilities and the changes in value of our warrants could have a material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0"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Beauty Health Company is a global category-creating company focused on delivering beauty health experiences by reinventing our consumer’s relationship with their skin, their bodies and their self-confidence. Our flagship brand, HydraFacial, created the category of hydradermabrasion by using a patented Vortex-Fusion Delivery System to cleanse, peel, exfoliate, extract, infuse, and hydrate the skin with proprietary solutions and serums. HydraFacial provides a non-invasive and approachable experience with a powerful community of a/estheticians, consumers and partners, bridging medical skin correction to traditional over-the-counter beauty. Our vision is to expand our platform and connected community of providers, consumers, brand partners, and retail partners to democratize and personalize beauty health solutions across ages, genders, skin tones, and skin types.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Strategy in General</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We intend to fulfill our vision by employing the following strategy, which we believe will generate a flywheel effect to increase our platform’s momentum:</w:t>
      </w:r>
    </w:p>
    <w:p>
      <w:pPr>
        <w:spacing w:after="0" w:line="278"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footprint by selling innovative products and connected experiences to providers and consumers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Invest in our providers, especially the trusted a/esthetician, to help turn them into brand evangelists and advocates providing first-class experiences</w:t>
      </w:r>
    </w:p>
    <w:p>
      <w:pPr>
        <w:spacing w:after="0" w:line="278" w:lineRule="exact"/>
        <w:rPr>
          <w:rFonts w:ascii="Arial" w:cs="Arial" w:eastAsia="Arial" w:hAnsi="Arial"/>
          <w:sz w:val="15"/>
          <w:szCs w:val="15"/>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Nurture direct relationships with our consumers, building brand awareness and driving them to our trusted community</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our global infrastructure and a connected technology platform to fuel growth and community engagement</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Supercharge our platform with targeted acquisitions to complement our portfolio and spin our flywheel faster</w:t>
      </w:r>
    </w:p>
    <w:p>
      <w:pPr>
        <w:spacing w:after="0" w:line="24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strategy begins with developing a network of providers, consumers, brand partners, and retail partners to build a distribution platform for our innovative products and experiences. We intend to utilize our sales force to sell our offering, inviting providers and partners to become a part of our community. We believe that each placement of our offering will grow the platform and increase the awareness of our company, ultimately building a recognizable and aspirational brand. In this process, we will particularly focus on the trusted a/esthetician.</w:t>
      </w:r>
    </w:p>
    <w:p>
      <w:pPr>
        <w:spacing w:after="0" w:line="21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Historically, companies in the medical aesthetics industry focused on physicians, nurses, front-office staff, and business owners. Notably absent from their focus was the a/esthetician, a highly influential provider who serves as a source of skincare information and recommendations for their clients and patients. We recognized the opportunity to empower the a/esthetician and created programs to elevate their skills, knowledge, and confidence through a continued relationship so they feel supported. As a result, we have open dialogue with our a/esthetician providers and receive valuable information on consumer preferences and behaviors they see in their practices. These a/estheticians have since become our most influential ambassadors, driving awareness, recommending our products, and becoming a point of education for our consumers. While they are not our employees or contractors, we believe they are an important competitive advantage, as a well-trained a/esthetician can provide consumers with a consistent, memorable, first-class experience no matter where a consumer accesses our products and experiences. We believe that this in turn builds loyalty from the consumer to BeautyHealth.</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A/estheticians are one part of our community that we recognized as powerful. We continue to focus on our other providers, including physicians, nurses, and other partners to build consumer awareness for our brands. By investing in our providers, we believe we are creating a thriving community as they recommend our products and experiences as part of any skincare and wellness routine. In our view, investing our efforts in any part of our community drives utilization amongst consumers, resulting in a potent formula for growth.</w:t>
      </w:r>
    </w:p>
    <w:p>
      <w:pPr>
        <w:spacing w:after="0" w:line="21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Another focus area of our growth strategy will be nurturing our relationship with the consumer. As the ultimate end user, the consumer is at the core of our efforts. We have an experienced team who will meticulously curate the consumer journey, from lead generation that invites consumers to our community to the user experience of our offerings. We employ a multi-pronged</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approach to consumer acquisition and engagement, including but not limited to marketing activation events, storytelling, gamification, and loyalty. We believe driving increased consumer traffic to our network of providers, retailers, and brand partners will increase the utilization of our products and experiences, further cementing the compelling value proposition we offer to our partners and therefore driving increased purchases from them.</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believe our products and experiences are universal in their appeal across cultures, genders, skin tones, and skin types, making a compelling case for an international expansion. We believe there is significant opportunity in exporting our products and experiences to global markets and applying our strategy abroad to further increase the reach and influence of our platform. Our offering is available in over 90 countries through either a direct commercial presence or distributors. We have built or are building commercial infrastructure across the world, which should position ourselves to quickly adapt to and penetrate in 15 key markets. We consistently evaluate the performance of markets where we sell through distributors and will convert select markets to direct when we believe it would be in the best interests of our platform.</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Lastly, we intend to supercharge our platform via targeted acquisitions, expanding the breadth of our platform with additional innovative products and experiences. We believe the introduction of additional offerings will generate increased engagement among our community while further expanding it via the introduction of the acquired company’s established base of consumers.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will take a disciplined approach to acquisitions, adhering to the below criteria in search for opportunities:</w:t>
      </w:r>
    </w:p>
    <w:p>
      <w:pPr>
        <w:spacing w:after="0" w:line="232"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Differentiated product or service, which can generally be demonstrated with a high Net Promoter Score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Complementary to our existing platform and community, leveraging the trusted a/esthetician</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Financially attractive profile via compelling revenue growth, recurring revenue characteristics, or profitability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HydraFacial – Our Flagship Brand</w:t>
      </w:r>
    </w:p>
    <w:p>
      <w:pPr>
        <w:spacing w:after="0" w:line="24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Our first BeautyHealth brand and the cornerstone of our portfolio is HydraFacial. Using a patented Vortex-Fusion Delivery System (“Delivery System”) to cleanse, peel, exfoliate, extract, infuse, and hydrate the skin with proprietary solutions and serums, HydraFacial created the category of hydradermabrasion. As an experience appropriate for all ages, genders, and skin types, HydraFacial bridges the world of medical skin correction to traditional over-the-counter beauty. As such, we employ an omnichannel strategy to place Delivery Systems where consumers live, work, and play, including medical offices, medispas, day spas, hotels, resorts, gyms, wellness centers, and other retail settings. We anticipate continuing to expand the types of channels where Delivery Systems are sold. To date, HydraFacial has a foundation of more than 20,000 Delivery Systems across 90+ countries.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Business Model</w:t>
      </w:r>
    </w:p>
    <w:p>
      <w:pPr>
        <w:spacing w:after="0" w:line="244"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HydraFacial uses a razor / razor blade business model. As the equipment that facilitates the HydraFacial experience, the Delivery System is the razor. Delivery Systems are purchased by providers to offer HydraFacial experiences to their clients and patients. The “Consumables” are the razor blades, which consist of single-use tips, solutions, and serums used during a HydraFacial experience. Delivery Systems and Consumables can be bought together or separately.</w:t>
      </w:r>
    </w:p>
    <w:p>
      <w:pPr>
        <w:spacing w:after="0" w:line="16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Delivery Systems follow a traditional capital equipment cycle, with the Delivery System lasting providers for years. Oftentimes, providers buy additional Delivery Systems to increase the number of HydraFacial experiences their business can provide at any given time.</w:t>
      </w:r>
    </w:p>
    <w:p>
      <w:pPr>
        <w:spacing w:after="0" w:line="207"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Consumables follow a recurring revenue model as they are purchased on a periodic basis by providers as they exhaust their supplies. The expansion of the number of Delivery Systems providing experiences, or “install base,” increases the foundation for future recurring revenue by providing a platform for more experiences, driving higher Consumables sales. Additionally, increasing the utilization of the install base will also contribute to higher Consumables revenue. As we continue to grow and optimize our install base, we believe Consumables revenue will become a larger share of HydraFacial’s business.</w:t>
      </w:r>
    </w:p>
    <w:p>
      <w:pPr>
        <w:spacing w:after="0" w:line="172" w:lineRule="exact"/>
        <w:rPr>
          <w:sz w:val="20"/>
          <w:szCs w:val="20"/>
          <w:color w:val="auto"/>
        </w:rPr>
      </w:pPr>
    </w:p>
    <w:p>
      <w:pPr>
        <w:ind w:right="60"/>
        <w:spacing w:after="0" w:line="330" w:lineRule="auto"/>
        <w:rPr>
          <w:sz w:val="20"/>
          <w:szCs w:val="20"/>
          <w:color w:val="auto"/>
        </w:rPr>
      </w:pPr>
      <w:r>
        <w:rPr>
          <w:rFonts w:ascii="Arial" w:cs="Arial" w:eastAsia="Arial" w:hAnsi="Arial"/>
          <w:sz w:val="15"/>
          <w:szCs w:val="15"/>
          <w:color w:val="auto"/>
        </w:rPr>
        <w:t>HydraFacial operates through a direct sales force in 15 markets and is investing in building infrastructure for global expansion. We believe HydraFacial has significant upside opportunities across the globe, particularly in China, Japan, Brazil, and South Korea. These markets have a large and growing group of consumers searching for non-invasive beauty health experiences, and we aim to invest in initiatives that will increase consumer penetration in these countries.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HydraFacial Experience</w:t>
      </w:r>
    </w:p>
    <w:p>
      <w:pPr>
        <w:spacing w:after="0" w:line="244"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A HydraFacial experience is a noninvasive hydradermabrasion process utilizing a patented Delivery System to cleanse, peel, exfoliate, extract, infuse, and hydrate skin with proprietary solutions and serums. We believe HydraFacial is accessible and appropriate for consumers across all genders, ages, and skin types.</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HydraFacial experience delivers fast and visible results through instantly gratifying glowing skin and a “gunkie” container that collects the dead skin cells and debris that have been exfoliated and extracted from the skin. We believe the instant gratification provided by our HydraFacial experience generates high consumer and provider affinity for our brand.</w:t>
      </w:r>
    </w:p>
    <w:p>
      <w:pPr>
        <w:spacing w:after="0" w:line="215" w:lineRule="exact"/>
        <w:rPr>
          <w:sz w:val="20"/>
          <w:szCs w:val="20"/>
          <w:color w:val="auto"/>
        </w:rPr>
      </w:pPr>
    </w:p>
    <w:p>
      <w:pPr>
        <w:ind w:right="520"/>
        <w:spacing w:after="0" w:line="330" w:lineRule="auto"/>
        <w:rPr>
          <w:sz w:val="20"/>
          <w:szCs w:val="20"/>
          <w:color w:val="auto"/>
        </w:rPr>
      </w:pPr>
      <w:r>
        <w:rPr>
          <w:rFonts w:ascii="Arial" w:cs="Arial" w:eastAsia="Arial" w:hAnsi="Arial"/>
          <w:sz w:val="15"/>
          <w:szCs w:val="15"/>
          <w:color w:val="auto"/>
        </w:rPr>
        <w:t>A summary of the signature HydraFacial experience is set forth below. In addition, consumers and providers can opt to personalize their HydraFacial experiences to target specific skin concerns or needs with the customization of a chemical peel, addition of serums, LED light therapy, and/or lymphatic drainage. Furthermore, a HydraFacial experience can be extended from the face to the neck/decolletage, back, hands, and other parts of the body.</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640" w:type="dxa"/>
            <w:vAlign w:val="bottom"/>
            <w:tcBorders>
              <w:top w:val="single" w:sz="8" w:color="auto"/>
              <w:left w:val="single" w:sz="8" w:color="auto"/>
            </w:tcBorders>
          </w:tcPr>
          <w:p>
            <w:pPr>
              <w:spacing w:after="0"/>
              <w:rPr>
                <w:sz w:val="21"/>
                <w:szCs w:val="21"/>
                <w:color w:val="auto"/>
              </w:rPr>
            </w:pPr>
          </w:p>
        </w:tc>
        <w:tc>
          <w:tcPr>
            <w:tcW w:w="762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HydraFacial Treatment Steps</w:t>
            </w:r>
          </w:p>
        </w:tc>
      </w:tr>
      <w:tr>
        <w:trPr>
          <w:trHeight w:val="27"/>
        </w:trPr>
        <w:tc>
          <w:tcPr>
            <w:tcW w:w="3640" w:type="dxa"/>
            <w:vAlign w:val="bottom"/>
            <w:tcBorders>
              <w:left w:val="single" w:sz="8" w:color="auto"/>
              <w:bottom w:val="single" w:sz="8" w:color="auto"/>
            </w:tcBorders>
          </w:tcPr>
          <w:p>
            <w:pPr>
              <w:spacing w:after="0"/>
              <w:rPr>
                <w:sz w:val="2"/>
                <w:szCs w:val="2"/>
                <w:color w:val="auto"/>
              </w:rPr>
            </w:pPr>
          </w:p>
        </w:tc>
        <w:tc>
          <w:tcPr>
            <w:tcW w:w="7620" w:type="dxa"/>
            <w:vAlign w:val="bottom"/>
            <w:tcBorders>
              <w:bottom w:val="single" w:sz="8" w:color="auto"/>
              <w:right w:val="single" w:sz="8" w:color="auto"/>
            </w:tcBorders>
          </w:tcPr>
          <w:p>
            <w:pPr>
              <w:spacing w:after="0"/>
              <w:rPr>
                <w:sz w:val="2"/>
                <w:szCs w:val="2"/>
                <w:color w:val="auto"/>
              </w:rPr>
            </w:pPr>
          </w:p>
        </w:tc>
      </w:tr>
      <w:tr>
        <w:trPr>
          <w:trHeight w:val="21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 1: Cleanse, Exfoliate, and Peel</w:t>
            </w: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8"/>
              </w:rPr>
              <w:t>Skin is cleansed through Vortex Fusion Technology, a specially designed tip, and a cleansing solution. The</w:t>
            </w:r>
          </w:p>
        </w:tc>
      </w:tr>
      <w:tr>
        <w:trPr>
          <w:trHeight w:val="223"/>
        </w:trPr>
        <w:tc>
          <w:tcPr>
            <w:tcW w:w="364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outermost layer of skin is exfoliated with a customized peel which removes dead skin cells.</w:t>
            </w:r>
          </w:p>
        </w:tc>
      </w:tr>
      <w:tr>
        <w:trPr>
          <w:trHeight w:val="266"/>
        </w:trPr>
        <w:tc>
          <w:tcPr>
            <w:tcW w:w="3640" w:type="dxa"/>
            <w:vAlign w:val="bottom"/>
            <w:tcBorders>
              <w:left w:val="single" w:sz="8" w:color="auto"/>
              <w:bottom w:val="single" w:sz="8" w:color="auto"/>
              <w:right w:val="single" w:sz="8" w:color="auto"/>
            </w:tcBorders>
          </w:tcPr>
          <w:p>
            <w:pPr>
              <w:spacing w:after="0"/>
              <w:rPr>
                <w:sz w:val="23"/>
                <w:szCs w:val="23"/>
                <w:color w:val="auto"/>
              </w:rPr>
            </w:pPr>
          </w:p>
        </w:tc>
        <w:tc>
          <w:tcPr>
            <w:tcW w:w="7620" w:type="dxa"/>
            <w:vAlign w:val="bottom"/>
            <w:tcBorders>
              <w:bottom w:val="single" w:sz="8" w:color="auto"/>
              <w:right w:val="single" w:sz="8" w:color="auto"/>
            </w:tcBorders>
          </w:tcPr>
          <w:p>
            <w:pPr>
              <w:spacing w:after="0"/>
              <w:rPr>
                <w:sz w:val="23"/>
                <w:szCs w:val="23"/>
                <w:color w:val="auto"/>
              </w:rPr>
            </w:pPr>
          </w:p>
        </w:tc>
      </w:tr>
      <w:tr>
        <w:trPr>
          <w:trHeight w:val="21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 2: Extract and Hydrate</w:t>
            </w: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Extractions and removal of remaining debris is performed with Vortex Fusion Technology, a specialized</w:t>
            </w:r>
          </w:p>
        </w:tc>
      </w:tr>
      <w:tr>
        <w:trPr>
          <w:trHeight w:val="223"/>
        </w:trPr>
        <w:tc>
          <w:tcPr>
            <w:tcW w:w="364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tip, and proprietary solutions.</w:t>
            </w:r>
          </w:p>
        </w:tc>
      </w:tr>
      <w:tr>
        <w:trPr>
          <w:trHeight w:val="266"/>
        </w:trPr>
        <w:tc>
          <w:tcPr>
            <w:tcW w:w="3640" w:type="dxa"/>
            <w:vAlign w:val="bottom"/>
            <w:tcBorders>
              <w:left w:val="single" w:sz="8" w:color="auto"/>
              <w:bottom w:val="single" w:sz="8" w:color="auto"/>
              <w:right w:val="single" w:sz="8" w:color="auto"/>
            </w:tcBorders>
          </w:tcPr>
          <w:p>
            <w:pPr>
              <w:spacing w:after="0"/>
              <w:rPr>
                <w:sz w:val="23"/>
                <w:szCs w:val="23"/>
                <w:color w:val="auto"/>
              </w:rPr>
            </w:pPr>
          </w:p>
        </w:tc>
        <w:tc>
          <w:tcPr>
            <w:tcW w:w="7620" w:type="dxa"/>
            <w:vAlign w:val="bottom"/>
            <w:tcBorders>
              <w:bottom w:val="single" w:sz="8" w:color="auto"/>
              <w:right w:val="single" w:sz="8" w:color="auto"/>
            </w:tcBorders>
          </w:tcPr>
          <w:p>
            <w:pPr>
              <w:spacing w:after="0"/>
              <w:rPr>
                <w:sz w:val="23"/>
                <w:szCs w:val="23"/>
                <w:color w:val="auto"/>
              </w:rPr>
            </w:pPr>
          </w:p>
        </w:tc>
      </w:tr>
      <w:tr>
        <w:trPr>
          <w:trHeight w:val="21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 3: Infuse and Protect</w:t>
            </w: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Vortex Fusion Technology is paired with a specialized tip to deliver and infuse hyaluronic acid and</w:t>
            </w:r>
          </w:p>
        </w:tc>
      </w:tr>
      <w:tr>
        <w:trPr>
          <w:trHeight w:val="223"/>
        </w:trPr>
        <w:tc>
          <w:tcPr>
            <w:tcW w:w="364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antioxidants to the skin to nourish, hydrate, and protect.</w:t>
            </w:r>
          </w:p>
        </w:tc>
      </w:tr>
      <w:tr>
        <w:trPr>
          <w:trHeight w:val="743"/>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r>
    </w:tbl>
    <w:p>
      <w:pPr>
        <w:spacing w:after="0" w:line="31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HydraFacial experience has generated a high Net Promoter Score (“NPS”) among consumers, a customer loyalty and satisfaction measurement assessed by asking customers how likely they are to recommend a certain product or service to others. Based on a study performed by a major consulting firm on our behalf which surveyed over 1,000 HydraFacial users, HydraFacial received an NPS of 40, considered a best-in-class score as it is higher than the NPS for other skin care regimens reported as commonly used by HydraFacial users (between two and 25).</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HydraFacial Products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At the core of HydraFacial’s product offering is the Elite Tower, the current generation Delivery System, and its associated Consumables.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Elite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10795</wp:posOffset>
            </wp:positionV>
            <wp:extent cx="1026160" cy="1590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6160"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Elite Tower Delivery System was first launched in 2016. We believe each Delivery System provides an attractive return on investment to providers with a short payback period to recoup the cost of the Delivery System.</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Consumables</w:t>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Consumables consist of single-use tips, solutions, and serums used to provide a HydraFacial experience. The table below summarizes our Consumables product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7143115" cy="2372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237236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HydraFacial Consumables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Consumable</w:t>
            </w:r>
          </w:p>
        </w:tc>
        <w:tc>
          <w:tcPr>
            <w:tcW w:w="4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41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Replenishment Frequency</w:t>
            </w: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9"/>
        </w:trPr>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Tips</w:t>
            </w: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Patented, patterned caps placed on the handpiece of the</w:t>
            </w:r>
          </w:p>
        </w:tc>
        <w:tc>
          <w:tcPr>
            <w:tcW w:w="4100" w:type="dxa"/>
            <w:vAlign w:val="bottom"/>
          </w:tcPr>
          <w:p>
            <w:pPr>
              <w:ind w:left="20"/>
              <w:spacing w:after="0"/>
              <w:rPr>
                <w:sz w:val="20"/>
                <w:szCs w:val="20"/>
                <w:color w:val="auto"/>
              </w:rPr>
            </w:pPr>
            <w:r>
              <w:rPr>
                <w:rFonts w:ascii="Arial" w:cs="Arial" w:eastAsia="Arial" w:hAnsi="Arial"/>
                <w:sz w:val="18"/>
                <w:szCs w:val="18"/>
                <w:color w:val="auto"/>
              </w:rPr>
              <w:t>Minimum 3 single-use tips used per HydraFacial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Delivery System to create suction and deliver solutions and</w:t>
            </w:r>
          </w:p>
        </w:tc>
        <w:tc>
          <w:tcPr>
            <w:tcW w:w="4100" w:type="dxa"/>
            <w:vAlign w:val="bottom"/>
          </w:tcPr>
          <w:p>
            <w:pPr>
              <w:ind w:left="20"/>
              <w:spacing w:after="0"/>
              <w:rPr>
                <w:sz w:val="20"/>
                <w:szCs w:val="20"/>
                <w:color w:val="auto"/>
              </w:rPr>
            </w:pPr>
            <w:r>
              <w:rPr>
                <w:rFonts w:ascii="Arial" w:cs="Arial" w:eastAsia="Arial" w:hAnsi="Arial"/>
                <w:sz w:val="18"/>
                <w:szCs w:val="18"/>
                <w:color w:val="auto"/>
              </w:rPr>
              <w:t>experience</w:t>
            </w:r>
          </w:p>
        </w:tc>
      </w:tr>
      <w:tr>
        <w:trPr>
          <w:trHeight w:val="223"/>
        </w:trPr>
        <w:tc>
          <w:tcPr>
            <w:tcW w:w="260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serums to the skin</w:t>
            </w:r>
          </w:p>
        </w:tc>
        <w:tc>
          <w:tcPr>
            <w:tcW w:w="4100" w:type="dxa"/>
            <w:vAlign w:val="bottom"/>
          </w:tcPr>
          <w:p>
            <w:pPr>
              <w:spacing w:after="0"/>
              <w:rPr>
                <w:sz w:val="19"/>
                <w:szCs w:val="19"/>
                <w:color w:val="auto"/>
              </w:rPr>
            </w:pP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9"/>
        </w:trPr>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Solutions</w:t>
            </w: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Proprietary formulations of ingredients delivered at different</w:t>
            </w:r>
          </w:p>
        </w:tc>
        <w:tc>
          <w:tcPr>
            <w:tcW w:w="4100" w:type="dxa"/>
            <w:vAlign w:val="bottom"/>
          </w:tcPr>
          <w:p>
            <w:pPr>
              <w:ind w:left="20"/>
              <w:spacing w:after="0"/>
              <w:rPr>
                <w:sz w:val="20"/>
                <w:szCs w:val="20"/>
                <w:color w:val="auto"/>
              </w:rPr>
            </w:pPr>
            <w:r>
              <w:rPr>
                <w:rFonts w:ascii="Arial" w:cs="Arial" w:eastAsia="Arial" w:hAnsi="Arial"/>
                <w:sz w:val="18"/>
                <w:szCs w:val="18"/>
                <w:color w:val="auto"/>
              </w:rPr>
              <w:t>4 bottle SKUs required to provide a HydraFacial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steps of the HydraFacial experience</w:t>
            </w:r>
          </w:p>
        </w:tc>
        <w:tc>
          <w:tcPr>
            <w:tcW w:w="4100" w:type="dxa"/>
            <w:vAlign w:val="bottom"/>
          </w:tcPr>
          <w:p>
            <w:pPr>
              <w:ind w:left="20"/>
              <w:spacing w:after="0"/>
              <w:rPr>
                <w:sz w:val="20"/>
                <w:szCs w:val="20"/>
                <w:color w:val="auto"/>
              </w:rPr>
            </w:pPr>
            <w:r>
              <w:rPr>
                <w:rFonts w:ascii="Arial" w:cs="Arial" w:eastAsia="Arial" w:hAnsi="Arial"/>
                <w:sz w:val="18"/>
                <w:szCs w:val="18"/>
                <w:color w:val="auto"/>
                <w:w w:val="98"/>
              </w:rPr>
              <w:t>experience; the bottles provide for approximately 15</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HydraFacial experiences</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3 SKUs containing varying strength chemical peel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1"/>
              </w:rPr>
              <w:t>treatments. The provider chooses which strength to use</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during any experience, and each SKU lasts 1-2</w:t>
            </w:r>
          </w:p>
        </w:tc>
      </w:tr>
      <w:tr>
        <w:trPr>
          <w:trHeight w:val="223"/>
        </w:trPr>
        <w:tc>
          <w:tcPr>
            <w:tcW w:w="260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HydraFacial experiences</w:t>
            </w: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9"/>
        </w:trPr>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Serums</w:t>
            </w: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Optional add-on to the HydraFacial experience to target</w:t>
            </w:r>
          </w:p>
        </w:tc>
        <w:tc>
          <w:tcPr>
            <w:tcW w:w="4100" w:type="dxa"/>
            <w:vAlign w:val="bottom"/>
          </w:tcPr>
          <w:p>
            <w:pPr>
              <w:ind w:left="20"/>
              <w:spacing w:after="0"/>
              <w:rPr>
                <w:sz w:val="20"/>
                <w:szCs w:val="20"/>
                <w:color w:val="auto"/>
              </w:rPr>
            </w:pPr>
            <w:r>
              <w:rPr>
                <w:rFonts w:ascii="Arial" w:cs="Arial" w:eastAsia="Arial" w:hAnsi="Arial"/>
                <w:sz w:val="18"/>
                <w:szCs w:val="18"/>
                <w:color w:val="auto"/>
              </w:rPr>
              <w:t>1-2 experiences per vial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specific skin concerns. Offering includes proprietary serums</w:t>
            </w:r>
          </w:p>
        </w:tc>
        <w:tc>
          <w:tcPr>
            <w:tcW w:w="4100" w:type="dxa"/>
            <w:vAlign w:val="bottom"/>
          </w:tcPr>
          <w:p>
            <w:pPr>
              <w:spacing w:after="0"/>
              <w:rPr>
                <w:sz w:val="18"/>
                <w:szCs w:val="18"/>
                <w:color w:val="auto"/>
              </w:rPr>
            </w:pP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serums co-developed via collaborations with various</w:t>
            </w:r>
          </w:p>
        </w:tc>
        <w:tc>
          <w:tcPr>
            <w:tcW w:w="4100" w:type="dxa"/>
            <w:vAlign w:val="bottom"/>
          </w:tcPr>
          <w:p>
            <w:pPr>
              <w:spacing w:after="0"/>
              <w:rPr>
                <w:sz w:val="18"/>
                <w:szCs w:val="18"/>
                <w:color w:val="auto"/>
              </w:rPr>
            </w:pPr>
          </w:p>
        </w:tc>
      </w:tr>
      <w:tr>
        <w:trPr>
          <w:trHeight w:val="223"/>
        </w:trPr>
        <w:tc>
          <w:tcPr>
            <w:tcW w:w="260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skincare brands.</w:t>
            </w:r>
          </w:p>
        </w:tc>
        <w:tc>
          <w:tcPr>
            <w:tcW w:w="4100" w:type="dxa"/>
            <w:vAlign w:val="bottom"/>
          </w:tcPr>
          <w:p>
            <w:pPr>
              <w:spacing w:after="0"/>
              <w:rPr>
                <w:sz w:val="19"/>
                <w:szCs w:val="19"/>
                <w:color w:val="auto"/>
              </w:rPr>
            </w:pP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Product Development Pipeline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Syndeo</w:t>
      </w:r>
    </w:p>
    <w:p>
      <w:pPr>
        <w:spacing w:after="0" w:line="2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Syndeo is the next generation HydraFacial Delivery System that is expected to launch in the first half of 2022. The system is designed to elevate every part of the treatment and connects providers to the consumer’s preferences to create a more personalized experience. The hardware and software in the Syndeo Delivery System has been fully updated and includes Wi-Fi-enabled radio frequency identification (“RFID”). This technology will allow providers and us to collect data on their clients to ultimately provide a better experience for them.</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HydraFacial Nation App</w:t>
      </w:r>
    </w:p>
    <w:p>
      <w:pPr>
        <w:spacing w:after="0" w:line="283"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A beta version of the HydraFacial Nation app launched in June 2021. The app is intended to allow consumers to learn about their skin health, discover which treatment options are right for them, and track their treatments over time. If the consumer opts in, the app will pair with Syndeo, allowing providers to share treatment details with their clients and continue to build a 1:1 relationship outside of the treatment room.</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Keravive</w:t>
      </w:r>
    </w:p>
    <w:p>
      <w:pPr>
        <w:spacing w:after="0" w:line="244" w:lineRule="exact"/>
        <w:rPr>
          <w:sz w:val="20"/>
          <w:szCs w:val="20"/>
          <w:color w:val="auto"/>
        </w:rPr>
      </w:pPr>
    </w:p>
    <w:p>
      <w:pPr>
        <w:jc w:val="both"/>
        <w:ind w:right="280"/>
        <w:spacing w:after="0" w:line="322" w:lineRule="auto"/>
        <w:rPr>
          <w:sz w:val="20"/>
          <w:szCs w:val="20"/>
          <w:color w:val="auto"/>
        </w:rPr>
      </w:pPr>
      <w:r>
        <w:rPr>
          <w:rFonts w:ascii="Arial" w:cs="Arial" w:eastAsia="Arial" w:hAnsi="Arial"/>
          <w:sz w:val="15"/>
          <w:szCs w:val="15"/>
          <w:color w:val="auto"/>
        </w:rPr>
        <w:t>Keravive is a treatment for scalp health that includes an in-office component and a 30-day take home spray. The treatment is designed to cleanse, exfoliate, and hydrate the scalp, leading to a healthier scalp and helping to promote healthier, thicker, and fuller-looking hair. As a result of the COVID-19 pandemic,</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Keravive’s expansion into new markets is paused. We are evaluating the optimal re-launch strategy for Keravive and believe it will take time before sales of Keravive become a meaningful part of HydraFacial’s business.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HydraFacial Growth Strategy</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growth strategy for HydraFacial is predicated on our BeautyHealth flywheel strategy. First, we intend to expand our footprint by selling Delivery Systems and connected experiences to our community. The Syndeo Delivery System represents a milestone for us in connecting our community, introducing a digital experience by collecting data to better understand</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consumer and provider behavior. With this data, we believe we will have meaningful opportunity to boost engagement and utilization via storytelling, branding and gamification.</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Second, we intend to invest in our providers as we enhance the overall consumer experience. We also intend to employ unique activation and engagement programs that empower beauty health professionals to expand their knowledge of our products, experiences, industry, and marketing, which we believe would help turn our providers into brand evangelists and advocates that provide first-class experiences to consumers.</w:t>
      </w:r>
    </w:p>
    <w:p>
      <w:pPr>
        <w:spacing w:after="0" w:line="198"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Third, we intend to nurture our relationship with consumers to help build awareness and drive them to our providers. We will pursue high ROI investments within sales, marketing, and training to help catalyze our presence in B2C channels and expand our reach to consumers where they live, work and play. These investments include a focus on growth marketing efforts to build campaigns in paid social, influencer and content marketing.</w:t>
      </w:r>
    </w:p>
    <w:p>
      <w:pPr>
        <w:spacing w:after="0" w:line="16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Lastly, we intend to build out our global infrastructure to support our growth ambitions and connected platform. We believe these investments should create degrees of operating leverage we plan to capture to help accelerate our goal of profitability in the future.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are a pioneer and key player in the emerging category of beauty health, which represents the intersection of over-the-counter consumer beauty / wellness products with medical aesthetic / health products and procedures. Historically, these categories were viewed separately, but they are part of a spectrum aimed at helping consumers look and feel better. The beauty / wellness industry sells widely accessible topicals, supplements, and digital tools. However, it is a crowded and confusing space – the sheer volume of products can leave consumers overwhelmed by choice. On the other end of the spectrum, medical aesthetics offers more corrective and invasive products and procedures such as injectables and energy-based treatments. The high price tag and clinical setting of these treatments may serve as barriers to generating wider consumer demand. We seek to position ourselves not as a substitute or competitor to either of these categories, but rather as the complimentary bridge spanning across the beauty health spectrum. We believe the consumer who follows a beauty and wellness regimen with topicals or supplements may someday graduate to medical procedures, while the medical aesthetics patient is almost certainly a loyal consumer of beauty topical products.</w:t>
      </w:r>
    </w:p>
    <w:p>
      <w:pPr>
        <w:spacing w:after="0" w:line="211"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We don’t believe our company has to be an “either/or” company (beauty or health/non-invasive or minimally invasive). Rather, we believe we are an “and” company. We intend to gather insights to inform our strategy as the consumer travels through the worlds of beauty and health, whether it be at home or in a provider’s office, allowing us to tailor increasingly engaging experiences that ultimately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372745</wp:posOffset>
            </wp:positionV>
            <wp:extent cx="4762500" cy="3070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00" cy="307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Sourcing and Material</w:t>
      </w:r>
    </w:p>
    <w:p>
      <w:pPr>
        <w:spacing w:after="0" w:line="250"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The manufacturing of many of our products is outsourced to multiple contract manufacturers primarily in North America, Europe, and Asia. However, the HydraFacial Delivery Systems are assembled in our Long Beach, California warehouse facility, where our quality assurance team monitors and ensures the integrity of the Delivery Systems being manufactured and conducts compliance audits.</w:t>
      </w:r>
    </w:p>
    <w:p>
      <w:pPr>
        <w:spacing w:after="0" w:line="21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components and raw materials used in our products are sourced from a variety of component and raw material suppliers. In order to provide products to customers on a timely, cost-effective basis, we review existing contract manufacturers and suppliers and evaluate new partners and suppliers periodically with the objectives of improving quality, increasing innovation, speed-to-market, supply sufficiency, and cost reduction. As we integrate acquired businesses, distributors, and/or brands, we will continually seek new ways to leverage our production and sourcing capabilities to improve our overall supply chain performance.</w:t>
      </w:r>
    </w:p>
    <w:p>
      <w:pPr>
        <w:spacing w:after="0" w:line="22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purchase components and raw materials for our products from various third parties and third-party contract manufacturers on a purchase order basis. We also purchase packaging components manufactured to our design specifications. We collaborate with our suppliers and contract manufacturers to ensure they follow our established product design specifications, quality assurance programs, and manufacturing standards. We ensure our partners have the requisite experience to produce our products and accessories and develop relationships with them to maintain access to the resources needed to scale. To have control of supply and component pipelines, we own certain tooling and equipment required to manufacture our products.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order to mitigate against the risks related to a single source of supply, we qualify alternative suppliers and manufacturers when possible and develop contingency plans for responding to disruptions, such as maintaining inventory of single source components or utilizing alternative freight lanes that can have cost implications. However, given the current global supply and freight constraints driven by the COVID-19 pandemic, as well as natural disasters, we have faced, and may continue to face, challenges with various manufacturing related components and raw material shortages. Notwithstanding the foregoing, we believe that we currently have adequate sources of supply for all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Facilities</w:t>
      </w:r>
    </w:p>
    <w:p>
      <w:pPr>
        <w:spacing w:after="0" w:line="250"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color w:val="auto"/>
        </w:rPr>
        <w:t>We operate and distribute finished products from our leased distribution facilities in Long Beach, California. We also have a network of fulfillment and distribution centers globally to support our international customers. We regularly evaluate our distribution infrastructure and consolidate or expand our distribution capacity as we believe appropriate for our operations and to meet anticipated needs.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research and development team, which includes scientists, engineers, analysts, and other employees involved in product and packaging innovation, works closely with our marketing and product development teams and third-party suppliers to generate ideas, develop new products and product line extensions, create new packaging concepts, and improve, redesign or reformulate existing products. In addition, these research and development personnel work to identify recent trends using market intelligence and consumer needs to bring products to market.</w:t>
      </w:r>
    </w:p>
    <w:p>
      <w:pPr>
        <w:spacing w:after="0" w:line="20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our business continues to grow globally, and to satisfy the demand for locally relevant consumer products, we have increased our focus on innovation in South America, specifically, Brazil, and in Asia, particularly in China, Japan, and South Korea.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and Regulatory</w:t>
      </w:r>
    </w:p>
    <w:p>
      <w:pPr>
        <w:spacing w:after="0" w:line="2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quality and regulatory team are responsible for registrations, ensuring product safety, and meeting regulatory compliance for all jurisdictions in which we operate.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beauty and personal care market is fragmented and highly competitive, with several companies specializing in different subsectors, including skincare, haircare, supplements, and medical products and procedures. Many of our competitors such as DiamondGlow, Dermasweep, Cartessa, OxyGeneo, Venus Glow, JetPeel, SaltFacial, and Glownar seek to compete with us by offering similar skin care and facial treatment products and services, and offering such products and services at similar or aggressive pricing.</w:t>
      </w:r>
    </w:p>
    <w:p>
      <w:pPr>
        <w:spacing w:after="0" w:line="217"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Our ability to compete successfully depends heavily on ensuring the continuing and timely introduction of new products and services, as well as staying relevant within the market and conforming to beauty and health trends. Principal competitive factors important to us include price, product and service features and offerings, relative price to performance, beauty health trends, marketing and distribution capability, service and support, and corporate reputation.</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efforts to expand our brand recognition, cultivate our BeautyHealth community, invest in marketing capabilities, and activate consumers across channels will allow us to compete effectively as we expand globally. We are focused on expanding the beauty health category and creating a premier beauty health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Push and Pull Marketing</w:t>
      </w:r>
    </w:p>
    <w:p>
      <w:pPr>
        <w:spacing w:after="0" w:line="244"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Our ability to effectively market is critical to our operational success. Our marketing spend is based on a targeted “push and pull” marketing model that engages with both providers and consumers. On the “push” side, we intend to continue investing in training a/estheticians and other providers (as further explained below), creating a loyalty program, and supporting other ongoing engagements.</w:t>
      </w: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Over the last few years, we have focused on developing the marketing “pull” side by creating consumer demand, which is expected to be one of the key elements of growth to lead to an increase in recurring revenue from our customers. This focus on business to consumer marketing began with our rebranding of HydraFacial in 2017, which provided a unique, differentiated identity.</w:t>
      </w:r>
    </w:p>
    <w:p>
      <w:pPr>
        <w:spacing w:after="0" w:line="215" w:lineRule="exact"/>
        <w:rPr>
          <w:sz w:val="20"/>
          <w:szCs w:val="20"/>
          <w:color w:val="auto"/>
        </w:rPr>
      </w:pPr>
    </w:p>
    <w:p>
      <w:pPr>
        <w:ind w:right="300"/>
        <w:spacing w:after="0" w:line="365" w:lineRule="auto"/>
        <w:rPr>
          <w:sz w:val="20"/>
          <w:szCs w:val="20"/>
          <w:color w:val="auto"/>
        </w:rPr>
      </w:pPr>
      <w:r>
        <w:rPr>
          <w:rFonts w:ascii="Arial" w:cs="Arial" w:eastAsia="Arial" w:hAnsi="Arial"/>
          <w:sz w:val="15"/>
          <w:szCs w:val="15"/>
          <w:color w:val="auto"/>
        </w:rPr>
        <w:t>We believe transformational experiences are key to growing brand awareness. We have focused on introducing our experience to highly targeted consumer growth markets around the world. We intend to continue our marketing activation efforts by using digital and location-based engagement.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Digital Marketing</w:t>
      </w:r>
    </w:p>
    <w:p>
      <w:pPr>
        <w:spacing w:after="0" w:line="244"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We are also continuously innovating to increase our sales by elevating our digital presence, social media presence, and influencer marketing efforts all designed to build brand equity and consumer engagement. Furthermore, we utilize different</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methods to customize the consumer experience, including using artificial intelligence-powered tools to provide personalized advice on selecting and using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sell more than 60% of our Delivery Systems and Consumables into the professional medical channel. No individual customer accounted for 10% or more of our net sales in fiscal 2021. We expect that trend to continue on a global scale. In 2021, revenue derived from markets outside the United States and Canada comprised approximately 30% of total revenue. Going forward, we expect total revenue share from our global markets to increase as we continue to invest in expanding our global footprint in markets such as China, Japan, South Korea, and Brazil.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Domain Names</w:t>
      </w:r>
    </w:p>
    <w:p>
      <w:pPr>
        <w:spacing w:after="0" w:line="25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We currently have 48 patents with 27 patents pending to protect HydraFacial’s technology and brand. Our patent portfolio covers key aspects on certain products, systems and designs including several issued U.S. patents directed to features of the HydraFacial MD® liquid-based skin exfoliation system. These issued patents include a patent, which will expire in 2026, directed to the manifold and console of the HydraFacial MD® system. Another set of these issued patents, which will begin to expire in 2026, are directed to skin treatment tips used in the HydraFacial MD® system.</w:t>
      </w:r>
    </w:p>
    <w:p>
      <w:pPr>
        <w:spacing w:after="0" w:line="17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also own and have applied to register numerous trademarks and service marks in the United States and in other countries throughout the world. Some of our trademarks are of material importance. The duration of trademark registrations varies from country to country. However, trademarks are generally valid and may be renewed indefinitely as long as they are in use and/or their registrations are properly maintained. In addition, we have registered and maintain numerous internet domain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5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Our business is subject to moderate seasonal fluctuations, of which our fiscal third quarter and fourth quarters typically experience higher revenues and operating income in the United States. However, the COVID-19 pandemic has had an impact on consumer behaviors resulting in changes in the seasonal fluctuations of our business. Furthermore, as our business outside of the United States grows, seasonal fluctuations may smooth out. As a result, results for any interim period are not necessarily indicative of the results that may be achieved for the full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a consumer-driven organization delivering comprehensive beauty health services and treatments, we are subject to the laws of the United States of America and multiple foreign jurisdictions in which we operate. The rules and regulations of various governing bodies may differ among jurisdictions. Certain of our products and our operations are subject to extensive regulation by the U.S. Food and Drug Administration (“FDA”), and other federal and state authorities in the United States, as well as comparable authorities in foreign jurisdictions. For example, certain of our products are subject to regulation as medical devices or cosmetics in the United States under the Federal Food, Drug and Cosmetic Act (“FDCA”), as implemented and enforced by the FDA.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w:t>
      </w:r>
    </w:p>
    <w:p>
      <w:pPr>
        <w:spacing w:after="0" w:line="2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FDA Premarket Clearance and Approval Requirements</w:t>
      </w:r>
    </w:p>
    <w:p>
      <w:pPr>
        <w:spacing w:after="0" w:line="244"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Unless an exemption applies, each medical device commercially distributed in the United States requires either FDA clearance of a premarket notification submitted under Section 510(k) of the FDCA, or approval of a premarket approval application (“</w:t>
      </w:r>
      <w:r>
        <w:rPr>
          <w:rFonts w:ascii="Arial" w:cs="Arial" w:eastAsia="Arial" w:hAnsi="Arial"/>
          <w:sz w:val="15"/>
          <w:szCs w:val="15"/>
          <w:i w:val="1"/>
          <w:iCs w:val="1"/>
          <w:color w:val="auto"/>
        </w:rPr>
        <w:t>PMA</w:t>
      </w:r>
      <w:r>
        <w:rPr>
          <w:rFonts w:ascii="Arial" w:cs="Arial" w:eastAsia="Arial" w:hAnsi="Arial"/>
          <w:sz w:val="15"/>
          <w:szCs w:val="15"/>
          <w:color w:val="auto"/>
        </w:rPr>
        <w:t>”).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w:t>
      </w:r>
      <w:r>
        <w:rPr>
          <w:rFonts w:ascii="Arial" w:cs="Arial" w:eastAsia="Arial" w:hAnsi="Arial"/>
          <w:sz w:val="15"/>
          <w:szCs w:val="15"/>
          <w:i w:val="1"/>
          <w:iCs w:val="1"/>
          <w:color w:val="auto"/>
        </w:rPr>
        <w:t>QSR</w:t>
      </w:r>
      <w:r>
        <w:rPr>
          <w:rFonts w:ascii="Arial" w:cs="Arial" w:eastAsia="Arial" w:hAnsi="Arial"/>
          <w:sz w:val="15"/>
          <w:szCs w:val="15"/>
          <w:color w:val="auto"/>
        </w:rPr>
        <w:t>”), facility registration and product listing, reporting of adverse</w:t>
      </w: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215"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510(k) Clearance Marketing Pathway</w:t>
      </w:r>
    </w:p>
    <w:p>
      <w:pPr>
        <w:spacing w:after="0" w:line="24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To obtain 510(k) clearance, we must submit to the FDA a premarket notification submission demonstrating that the proposed device is “substantially equivalent” to a legally marketed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and for medical device establishments. For fiscal year 2022, the standard user fee for a 510(k) premarket notification submission is $12,745.</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22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such marketing authorization has been granted. Also, in these circumstances, the manufacturer may be subject to significant regulatory fines or penalties.</w:t>
      </w:r>
    </w:p>
    <w:p>
      <w:pPr>
        <w:spacing w:after="0" w:line="20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510(k) pathway.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183"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device types appropriate for the “safety and performance based” pathway and continues to develop product-specific guidance documents that</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identify the performance criteria for each such device type, as well as the testing methods recommended in the guidance documents, where feasible.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PMA Approval Pathway</w:t>
      </w:r>
    </w:p>
    <w:p>
      <w:pPr>
        <w:spacing w:after="0" w:line="2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applications are also subject to the payment of user fees, which for fiscal year 2022 includes a standard application fee of $374,858.</w:t>
      </w:r>
    </w:p>
    <w:p>
      <w:pPr>
        <w:spacing w:after="0" w:line="21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 Trials</w:t>
      </w:r>
    </w:p>
    <w:p>
      <w:pPr>
        <w:spacing w:after="0" w:line="244"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Clinical trials are almost always required to support a PMA and are sometimes required to support a 510(k) submission. All clinical investigations of devices to determine safety and effectiveness must be conducted in accordance with the FDA’s investigational device exemption (“</w:t>
      </w:r>
      <w:r>
        <w:rPr>
          <w:rFonts w:ascii="Arial" w:cs="Arial" w:eastAsia="Arial" w:hAnsi="Arial"/>
          <w:sz w:val="15"/>
          <w:szCs w:val="15"/>
          <w:i w:val="1"/>
          <w:iCs w:val="1"/>
          <w:color w:val="auto"/>
        </w:rPr>
        <w:t>IDE</w:t>
      </w:r>
      <w:r>
        <w:rPr>
          <w:rFonts w:ascii="Arial" w:cs="Arial" w:eastAsia="Arial" w:hAnsi="Arial"/>
          <w:sz w:val="15"/>
          <w:szCs w:val="15"/>
          <w:color w:val="auto"/>
        </w:rPr>
        <w:t>”),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Regardless of the degree of risk presented by the medical device, clinical studies must be approved by, and conducted under the oversight of, an Institutional Review Board (“</w:t>
      </w:r>
      <w:r>
        <w:rPr>
          <w:rFonts w:ascii="Arial" w:cs="Arial" w:eastAsia="Arial" w:hAnsi="Arial"/>
          <w:sz w:val="15"/>
          <w:szCs w:val="15"/>
          <w:i w:val="1"/>
          <w:iCs w:val="1"/>
          <w:color w:val="auto"/>
        </w:rPr>
        <w:t>IRB</w:t>
      </w:r>
      <w:r>
        <w:rPr>
          <w:rFonts w:ascii="Arial" w:cs="Arial" w:eastAsia="Arial" w:hAnsi="Arial"/>
          <w:sz w:val="15"/>
          <w:szCs w:val="15"/>
          <w:color w:val="auto"/>
        </w:rPr>
        <w:t>”),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 Regulation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244"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58"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1"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58" w:lineRule="exact"/>
        <w:rPr>
          <w:rFonts w:ascii="Arial" w:cs="Arial" w:eastAsia="Arial" w:hAnsi="Arial"/>
          <w:sz w:val="18"/>
          <w:szCs w:val="18"/>
          <w:color w:val="auto"/>
        </w:rPr>
      </w:pPr>
    </w:p>
    <w:p>
      <w:pPr>
        <w:ind w:left="640" w:hanging="316"/>
        <w:spacing w:after="0" w:line="292"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 w:lineRule="exact"/>
        <w:rPr>
          <w:rFonts w:ascii="Arial" w:cs="Arial" w:eastAsia="Arial" w:hAnsi="Arial"/>
          <w:sz w:val="17"/>
          <w:szCs w:val="17"/>
          <w:color w:val="auto"/>
        </w:rPr>
      </w:pPr>
    </w:p>
    <w:p>
      <w:pPr>
        <w:ind w:left="640" w:right="12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9" w:lineRule="exact"/>
        <w:rPr>
          <w:rFonts w:ascii="Arial" w:cs="Arial" w:eastAsia="Arial" w:hAnsi="Arial"/>
          <w:sz w:val="18"/>
          <w:szCs w:val="18"/>
          <w:color w:val="auto"/>
        </w:rPr>
      </w:pPr>
    </w:p>
    <w:p>
      <w:pPr>
        <w:ind w:left="640" w:right="460" w:hanging="316"/>
        <w:spacing w:after="0" w:line="331"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Arial" w:cs="Arial" w:eastAsia="Arial" w:hAnsi="Arial"/>
          <w:sz w:val="15"/>
          <w:szCs w:val="15"/>
          <w:color w:val="auto"/>
        </w:rPr>
      </w:pPr>
    </w:p>
    <w:p>
      <w:pPr>
        <w:ind w:left="640" w:right="2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21"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26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and unscheduled inspections by the FDA. Failure to maintain compliance with the QSR requirements could result in the shut-down of, or restrictions on, manufacturing operations and the recall or seizure of marketed products. The discovery of previously unknown problems with any marketed products, including unanticipated adverse events or adverse events of increasing severity or frequency, whether resulting from the use of the device within the scope of its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clearance or approval, or off-label by a physician in the practice of medicine, could result in restrictions on the device, including the removal of the product from the market or voluntary or mandatory device recalls.</w:t>
      </w:r>
    </w:p>
    <w:p>
      <w:pPr>
        <w:spacing w:after="0" w:line="207" w:lineRule="exact"/>
        <w:rPr>
          <w:sz w:val="20"/>
          <w:szCs w:val="20"/>
          <w:color w:val="auto"/>
        </w:rPr>
      </w:pPr>
    </w:p>
    <w:p>
      <w:pPr>
        <w:ind w:right="700"/>
        <w:spacing w:after="0" w:line="365" w:lineRule="auto"/>
        <w:rPr>
          <w:sz w:val="20"/>
          <w:szCs w:val="20"/>
          <w:color w:val="auto"/>
        </w:rPr>
      </w:pPr>
      <w:r>
        <w:rPr>
          <w:rFonts w:ascii="Arial" w:cs="Arial" w:eastAsia="Arial" w:hAnsi="Arial"/>
          <w:sz w:val="15"/>
          <w:szCs w:val="15"/>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38"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PMA approvals of new products or modified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Cosmetics</w:t>
      </w:r>
    </w:p>
    <w:p>
      <w:pPr>
        <w:spacing w:after="0" w:line="24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FDCA defines cosmetics as articles or components of articles intended for application to the human body to cleanse, beautify, promote attractiveness, or alter the appearance, with the exception of soap. The labeling of cosmetic products is subject to the requirements of the FDCA, the Fair Packaging and Labeling Act, the Poison Prevention Packaging Act and other FDA regulations. Cosmetics are not subject to pre-market approval by the FDA; however, certain ingredients, such as color additives, must be pre-approved for the specific intended use of the product and are subject to certain restrictions on their use. If a company has not adequately substantiated the safety of its products or ingredients by, for example, performing appropriate toxicological tests or relying on already available toxicological test data, then a specific warning label is required. The FDA may, by regulation, require other warning statements on certain cosmetic products for specified hazards associated with such products. FDA regulations also prohibit or otherwise restrict the use of certain types of ingredients in cosmetic products.</w:t>
      </w:r>
    </w:p>
    <w:p>
      <w:pPr>
        <w:spacing w:after="0" w:line="3"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In addition, the FDA requires that cosmetic labeling and claims be truthful and not misleading. Moreover, cosmetics may not be marketed or labeled for their use in treating, preventing, mitigating, or curing disease or other conditions or in affecting the structure or function of the body, as such claims would render the products to be a drug and subject to regulation as a drug. The FDA has issued warning letters to cosmetic companies alleging improper drug claims regarding their cosmetic products, including, for example, product claims regarding hair growth or preventing hair loss. In addition to FDA requirements, the FTC as well as state consumer protection laws and regulations can subject a cosmetics company to a range of requirements and theories of liability, including similar standards regarding false and misleading product claims, under which FTC or state enforcement or class-action lawsuits may be brought.</w:t>
      </w:r>
    </w:p>
    <w:p>
      <w:pPr>
        <w:spacing w:after="0" w:line="184"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In the United States, the FDA has not promulgated regulations establishing GMPs for cosmetics. However, FDA’s draft guidance on cosmetic GMPs, most recently updated in June 2013, provides recommendations related to process documentation, recordkeeping, building and facility design, equipment maintenance and personnel, and compliance with these recommendations can reduce the risk that FDA finds such products have been rendered adulterated or misbranded in violation of applicable law. FDA also recommends that manufacturers maintain product complaint and recall files and voluntarily report adverse events to the agency. The FDA monitors compliance of cosmetic products through market surveillance and inspection of cosmetic manufacturers and distributors to ensure that the products are not manufactured under unsanitary conditions, or labeled in a false or misleading manner. Inspections also may arise from consumer or competitor complaints filed with the FDA. In the event the FDA identifies unsanitary conditions, false or misleading labeling, or any other violation of FDA regulation, FDA may request or a manufacturer may independently decide to conduct a recall or market withdrawal of product or to make changes to its manufacturing processes or product formulations or labels.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United States regulations, we are subject to a variety of foreign government regulations applicable to medical devices and cosmetic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 in the European Union</w:t>
      </w:r>
    </w:p>
    <w:p>
      <w:pPr>
        <w:spacing w:after="0" w:line="244"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The European Union, (“EU”), has adopted specific directives and regulations regulating the design, manufacture, clinical investigation, conformity assessment, labeling and adverse event reporting for medical devices.</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Devices Directive</w:t>
      </w:r>
    </w:p>
    <w:p>
      <w:pPr>
        <w:spacing w:after="0" w:line="24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00" w:lineRule="exact"/>
        <w:rPr>
          <w:sz w:val="20"/>
          <w:szCs w:val="20"/>
          <w:color w:val="auto"/>
        </w:rPr>
      </w:pPr>
    </w:p>
    <w:p>
      <w:pPr>
        <w:spacing w:after="0" w:line="204" w:lineRule="exact"/>
        <w:rPr>
          <w:sz w:val="20"/>
          <w:szCs w:val="20"/>
          <w:color w:val="auto"/>
        </w:rPr>
      </w:pPr>
    </w:p>
    <w:p>
      <w:pPr>
        <w:jc w:val="both"/>
        <w:ind w:right="160"/>
        <w:spacing w:after="0" w:line="294" w:lineRule="auto"/>
        <w:rPr>
          <w:sz w:val="20"/>
          <w:szCs w:val="20"/>
          <w:color w:val="auto"/>
        </w:rPr>
      </w:pPr>
      <w:r>
        <w:rPr>
          <w:rFonts w:ascii="Arial" w:cs="Arial" w:eastAsia="Arial" w:hAnsi="Arial"/>
          <w:sz w:val="17"/>
          <w:szCs w:val="17"/>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Devices Regulation</w:t>
      </w:r>
    </w:p>
    <w:p>
      <w:pPr>
        <w:spacing w:after="0" w:line="244" w:lineRule="exact"/>
        <w:rPr>
          <w:sz w:val="20"/>
          <w:szCs w:val="20"/>
          <w:color w:val="auto"/>
        </w:rPr>
      </w:pPr>
    </w:p>
    <w:p>
      <w:pPr>
        <w:jc w:val="both"/>
        <w:ind w:right="160"/>
        <w:spacing w:after="0" w:line="268" w:lineRule="auto"/>
        <w:rPr>
          <w:sz w:val="20"/>
          <w:szCs w:val="20"/>
          <w:color w:val="auto"/>
        </w:rPr>
      </w:pPr>
      <w:r>
        <w:rPr>
          <w:rFonts w:ascii="Arial" w:cs="Arial" w:eastAsia="Arial" w:hAnsi="Arial"/>
          <w:sz w:val="17"/>
          <w:szCs w:val="17"/>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EU Medical Devices Regulation became effective on May 26, 2021. The new Regulation among other things:</w:t>
      </w:r>
    </w:p>
    <w:p>
      <w:pPr>
        <w:ind w:left="640" w:right="700" w:hanging="316"/>
        <w:spacing w:after="0" w:line="21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strengthens the rules on placing devices on the market (e.g. reclassification of certain devices and wider scope than the EU Medical Devices Directive) and reinforces surveillance once they are available;</w:t>
      </w:r>
    </w:p>
    <w:p>
      <w:pPr>
        <w:ind w:left="640" w:right="320" w:hanging="316"/>
        <w:spacing w:after="0" w:line="22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ind w:left="640" w:right="220" w:hanging="316"/>
        <w:spacing w:after="0" w:line="21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ind w:left="640" w:right="60" w:hanging="316"/>
        <w:spacing w:after="0" w:line="21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ind w:left="640" w:right="580" w:hanging="316"/>
        <w:spacing w:after="0" w:line="21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ind w:left="640" w:right="420" w:hanging="316"/>
        <w:spacing w:after="0" w:line="228"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21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w:t>
      </w:r>
    </w:p>
    <w:p>
      <w:pPr>
        <w:spacing w:after="0" w:line="2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 DI”) specific to a device, and a production identifier (“UDI 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21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w:t>
      </w:r>
    </w:p>
    <w:p>
      <w:pPr>
        <w:spacing w:after="0" w:line="21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22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advertising and promotion of medical devices is subject to some general principles set forth in EU legislation.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w:t>
      </w: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devices, which vary between jurisdictions, may limit or restrict the advertising and promotion of products to the general public and may impose limitations on promotional activities with healthcare professionals.</w:t>
      </w:r>
    </w:p>
    <w:p>
      <w:pPr>
        <w:spacing w:after="0" w:line="20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22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Regulation of Medical Devices following Brexit</w:t>
      </w:r>
    </w:p>
    <w:p>
      <w:pPr>
        <w:spacing w:after="0" w:line="244"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Since January 1, 2021, the Medicines and Healthcare Products Regulatory Agency (“MHRA”), has become the sovereign regulatory authority responsible for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transitional period on January 1, 2021, new regulations require medical devices to be registered with the MHRA (but manufacturers were given a grace period of four to 12 months to comply with the new registration process) before being placed on Great Britain market. The MHRA only registers devices where the manufacturer or their United Kingdom (“UK”) Responsible Person has a registered place of business in the UK. Manufacturers based outside the UK need to appoint a UK Responsible Person that has a registered place of business in the UK to register devices with the MHRA in line with the grace periods. By July 1, 2023, in Great Britain, all medical devices will require a UK Conformity Assessed (“UKCA”) mark but CE marks issued by EU notified bodies will remain valid until this time. Manufacturers may choose to use the UKCA mark on a voluntary basis until June 30, 2023.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An MHRA public consultation was opened until end of November 2021 on the post-Brexit regulatory framework for medical devices and diagnostics. MHRA seeks to amend the UK Medical Devices Regulations 2002 (which are based on EU legislation, primarily the EU Medical Devices Directive, the EU AIMD and the EU In Vitro Diagnostic Medical Devices Directive 98/79/EC), in particular to create a new access pathways to support innovation, create an innovative framework for regulating software and artificial intelligence as medical devices, reform in vitro diagnostic medical devices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183" w:lineRule="exact"/>
        <w:rPr>
          <w:sz w:val="20"/>
          <w:szCs w:val="20"/>
          <w:color w:val="auto"/>
        </w:rPr>
      </w:pPr>
    </w:p>
    <w:p>
      <w:pPr>
        <w:ind w:right="140"/>
        <w:spacing w:after="0" w:line="330" w:lineRule="auto"/>
        <w:rPr>
          <w:sz w:val="20"/>
          <w:szCs w:val="20"/>
          <w:color w:val="auto"/>
        </w:rPr>
      </w:pPr>
      <w:r>
        <w:rPr>
          <w:rFonts w:ascii="Arial" w:cs="Arial" w:eastAsia="Arial" w:hAnsi="Arial"/>
          <w:sz w:val="15"/>
          <w:szCs w:val="15"/>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Regulation of Cosmetic Products</w:t>
      </w:r>
    </w:p>
    <w:p>
      <w:pPr>
        <w:spacing w:after="0" w:line="2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EU, the sale of cosmetic products is regulated under the EU Cosmetics Regulation (EC) No 1223/2009, (the “EU Cosmetics Regulation”) setting out the general regulatory framework for finished cosmetic products and their ingredients. The EU Cosmetics Regulation is directly applicable in, and binding on all EU member states and is enforced at the national member state level. Over the years, the EU cosmetics legal regime has been adopted by many countries around the world.</w:t>
      </w:r>
    </w:p>
    <w:p>
      <w:pPr>
        <w:spacing w:after="0" w:line="21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the EU Cosmetics Regulation, a “cosmetic product” is defined as “any substance or mixture intended to be placed in contact with the external parts of the human body (epidermis, hair system, nails, lips and external genital organs) or with the teeth and the mucous membranes of the oral cavity with a view exclusively or mainly to cleaning them, perfuming them, changing their appearance, protecting them, keeping them in good condition or correcting body odors.” Consequently, a</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product is considered to be a cosmetic if it is presented as protecting the skin, maintaining the skin in good condition or improving the appearance of the skin, provided that it is not a medicinal product due to its composition or intended use. By contrast, a substance or mixture intended to be ingested, inhaled, injected or implanted into the human body shall not be considered a cosmetic product, nor shall a product (i) the composition of which is such that it has a significant action on the body through a pharmacological, immunological or metabolic action; or (ii) for which medical claims are made. Legally, such a product is considered a medicinal product, not a cosmetic, in the EU. No test has been determined yet to determine the significance of the effect. A product may fall within the definition of both a cosmetic product and a medicinal product in which case the non-cumulation principle provides that the product will be regulated as a medicinal product (under the Medicinal Products Directive 2001/83/EC).</w:t>
      </w:r>
    </w:p>
    <w:p>
      <w:pPr>
        <w:spacing w:after="0" w:line="21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Generally, there is no requirement for pre-market approval of cosmetic products in the EU. The overarching requirement is that a cosmetic product made available on the EU market must be safe for human health when used under normal or reasonably foreseeable conditions of use. However, centralized notification of all cosmetic products placed on the EU market is required via the EU cosmetic products notification portal (“CPNP”). The company that is ‘responsible’ for placing a cosmetic product on the EU market (which could be the manufacturer, importer or a third person appointed by the former), referred to as the “responsible person”, is responsible for safety of their marketed finished cosmetic products (and each of its ingredients), and must ensure that they undergo an appropriate scientific safety assessment before cosmetic products are sold. Obligations of the responsible person further include:</w:t>
      </w:r>
    </w:p>
    <w:p>
      <w:pPr>
        <w:spacing w:after="0" w:line="17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cosmetic products in compliance with GMPs.</w:t>
      </w:r>
    </w:p>
    <w:p>
      <w:pPr>
        <w:spacing w:after="0" w:line="16" w:lineRule="exact"/>
        <w:rPr>
          <w:rFonts w:ascii="Arial" w:cs="Arial" w:eastAsia="Arial" w:hAnsi="Arial"/>
          <w:sz w:val="18"/>
          <w:szCs w:val="18"/>
          <w:color w:val="auto"/>
        </w:rPr>
      </w:pPr>
    </w:p>
    <w:p>
      <w:pPr>
        <w:ind w:left="640" w:right="80" w:hanging="316"/>
        <w:spacing w:after="0" w:line="24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Creating and keeping a product information file (“PIF”), for each cosmetic product, including test results that demonstrate the claimed effects for the cosmetic product, and the cosmetic product safety report.</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Registering and submitting information on every product through the CPNP.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Complying with Regulation (EU) No. 655/2013 which lists common criteria for the justification of claims used in relation to cosmetic products.</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Reporting serious undesirable effects attributable to cosmetics use to national competent authorities and taking corrective measures where required.</w:t>
      </w:r>
    </w:p>
    <w:p>
      <w:pPr>
        <w:spacing w:after="0" w:line="26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Some ingredients used in cosmetic products must undergo rigorous evaluation, including safety assessments and quality testing to make sure that they are safe for use, for example preservatives, and can also be subject to additional procedures such as an authorization by the European Commission and/or prior notification on a separate module of the CPNP, for example nanomaterials. Additionally, the EU Cosmetics Regulation includes a list of ingredients that are prohibited and a list of ingredients that are restricted in cosmetic products. A special database with information on cosmetic substances and ingredients, known as CosIng, enables easy access to data on cosmetic ingredients, including legal requirements and restrictions. We rely on expert consultants for our EU product registrations and review of our labeling for compliance with the EU Cosmetics Regulation.</w:t>
      </w:r>
    </w:p>
    <w:p>
      <w:pPr>
        <w:spacing w:after="0" w:line="17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EU Cosmetics Regulation requires the manufacture of cosmetic products to comply with GMPs, which is presumed where the manufacture is in accordance with the relevant harmonized standards. In addition, in the labelling, making available on the market and advertising of cosmetic products, text, names, trademarks, pictures and figurative or other signs must not be used to imply that these products have characteristics or functions they do not have; any product claims in labeling must be capable of being substantiated and comply with the aforementioned list of common criteria.</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Moreover, in the EU, animal testing is prohibited for finished cosmetic products and their ingredients. Marketing finished cosmetic products and ingredients in the EU which were tested on animals is equally prohibited.</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member state appoints a competent authority to enforce the EU Cosmetics Regulation in its territory and to cooperate with the other member state authorities and the European Commission. The European Commission is responsible for driving consistency in the way the Cosmetics Regulation is enforced across the EU.</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Regulation of Cosmetic Products following Brexit</w:t>
      </w:r>
    </w:p>
    <w:p>
      <w:pPr>
        <w:spacing w:after="0" w:line="2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UK formally left the EU on January 31, 2020, commonly referred to as “Brexit”. Following the end of a transition period, since January 1, 2021, the UK operates under a distinct regulatory regime, and the aforementioned EU laws now only apply to the UK in respect of Northern Ireland (as laid out in the Protocol on Ireland and Northern Ireland).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a consequence, from January 1, 2021, Schedule 34 of the Product Safety and Metrology etc. (Amendment etc.) (EU Exit) Regulations 2019 (the “UK Cosmetics Regulation”), applies to cosmetic products placed on the market in Great Britain, which includes England, Scotland and Wales. Cosmetic products placed on the market in Northern Ireland are still covered by the EU Cosmetics Regulation. However, to date, there are no significant differences between the frameworks of the UK Cosmetics Regulation and the EU Cosmetics Regulation.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believe we are compliant in all material respects with applicable environmental laws. Presently, we do not anticipate such compliance will have a material effect on capital expenditures, earnings, or our competitive position with respect to any of our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EU General Data Protection Regulation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Government Regulations</w:t>
      </w:r>
    </w:p>
    <w:p>
      <w:pPr>
        <w:spacing w:after="0" w:line="250" w:lineRule="exact"/>
        <w:rPr>
          <w:sz w:val="20"/>
          <w:szCs w:val="20"/>
          <w:color w:val="auto"/>
        </w:rPr>
      </w:pPr>
    </w:p>
    <w:p>
      <w:pPr>
        <w:ind w:right="220"/>
        <w:spacing w:after="0" w:line="365" w:lineRule="auto"/>
        <w:rPr>
          <w:sz w:val="20"/>
          <w:szCs w:val="20"/>
          <w:color w:val="auto"/>
        </w:rPr>
      </w:pPr>
      <w:r>
        <w:rPr>
          <w:rFonts w:ascii="Arial" w:cs="Arial" w:eastAsia="Arial" w:hAnsi="Arial"/>
          <w:sz w:val="15"/>
          <w:szCs w:val="15"/>
          <w:color w:val="auto"/>
        </w:rPr>
        <w:t>We believe that our operations are substantially in compliance with all applicable laws and regulations and that we hold all necessary permits to operate our business in each jurisdiction in which our facilities are located. Laws and government regulations are subject to change and interpretation.</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significant pollution or other types of hazardous emission result from our operations and it is not anticipated that our operations will be materially affected by federal, state or local provisions concerning environmental controls. Our costs of complying with environmental, health and safety requirements have not been material. Furthermore, compliance with these laws, rules, and regulations have not had, and are not expected to have, a material effect on our capital expenditures, results of operations, and competitive position as compared to prior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25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committed to maintaining a strong sense of good corporate citizenship that places a high value on the welfare of our employees, the communities in which we operate, and the world as a whole. Highlights of each of these values are set forth below. These values are reflective of our commitment to Environmental, Social, and Governance (“ESG”) matters and are fundamentally embedded in our operations and culture. We believe effectively prioritizing and managing our ESG topics will create long-term value for our stakeholders, including our providers, consumers, suppliers, and partners, which in turn will create long-term value for our shareholders. We also believe that transparently disclosing the goals and relevant metrics related to our ESG topics will allow our stakeholders to be informed about our progress.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Data Privacy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value consumer privacy and have implemented certain policies and procedures that are designed to protect the data we collect. Our website includes our privacy policy, which describes how we use and disclose the data we collect, and provides options for controlling personal data, including opting-out, accessing, updating, or deleting it.</w:t>
      </w:r>
    </w:p>
    <w:p>
      <w:pPr>
        <w:spacing w:after="0" w:line="21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In recognition of the importance of data protection to our operations, including cybersecurity, we have certain measures in places that are designed to safeguard the security, confidentiality, and privacy of our systems and information assets.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Human Rights</w:t>
      </w:r>
    </w:p>
    <w:p>
      <w:pPr>
        <w:spacing w:after="0" w:line="24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We endorse and respect the goals and principles of the United Nations Universal Declaration of Human Rights (“UDHR”) and the International Labor Organization (“ILO”) Declaration on Fundamental Principles and Rights at Work.</w:t>
      </w:r>
    </w:p>
    <w:p>
      <w:pPr>
        <w:spacing w:after="0" w:line="207" w:lineRule="exact"/>
        <w:rPr>
          <w:sz w:val="20"/>
          <w:szCs w:val="20"/>
          <w:color w:val="auto"/>
        </w:rPr>
      </w:pPr>
    </w:p>
    <w:p>
      <w:pPr>
        <w:ind w:right="940"/>
        <w:spacing w:after="0" w:line="294" w:lineRule="auto"/>
        <w:rPr>
          <w:sz w:val="20"/>
          <w:szCs w:val="20"/>
          <w:color w:val="auto"/>
        </w:rPr>
      </w:pPr>
      <w:r>
        <w:rPr>
          <w:rFonts w:ascii="Arial" w:cs="Arial" w:eastAsia="Arial" w:hAnsi="Arial"/>
          <w:sz w:val="17"/>
          <w:szCs w:val="17"/>
          <w:color w:val="auto"/>
        </w:rPr>
        <w:t>This includes everyone’s right to life and liberty, the protection of law, and freedom from slavery and torture – within our operations and business relationships. We also seek to apply relevant sections of the UN Guiding Principles on Business and Human Rights.</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While government authorities have the primary responsibility for protecting human rights, we believe we have a responsibility to respect the human, cultural, and legal rights of individuals and communities, and to avoid adverse human rights impacts through our own activities. This includes the fair treatment and meaningful involvement of all people, regardless of race, ethnicity, color, gender, gender identity, national origin, religion, sexual orientation or income level. In addition, we adhere to and comply with all local and national regulations in our operating areas and aim to respect the rights of all people within our spheres of influence.</w:t>
      </w:r>
    </w:p>
    <w:p>
      <w:pPr>
        <w:spacing w:after="0" w:line="22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commitment to many of these rights is articulated in our Code of Business Conduct and Ethics and other company policies. Our Code of Business Conduct and Ethics and related policies prohibit workplace harassment, violence or discrimination. These policies apply to employee recruitment, training, development, compensation, performance management and benefits at our company.</w:t>
      </w:r>
    </w:p>
    <w:p>
      <w:pPr>
        <w:spacing w:after="0" w:line="21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also identify and proactively engage with stakeholders within or adjacent to our operations regarding potential risks, including human rights risks, and our response plans. Additionally, we’re committed to ensuring that slavery, human trafficking, and other human rights violations don’t exist in our supply chain or in any part of our business.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participate in a recycling program through our local waste management facility to divert all recyclable materials – bottles, cans, plastics, paper, and cardboard – from landfills. Across our organization, our facilities provide for recycling, and our electronic waste is sent to locally approved e-waste recycling centers.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Ethics</w:t>
      </w:r>
    </w:p>
    <w:p>
      <w:pPr>
        <w:spacing w:after="0" w:line="244"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We have placed the highest emphasis on conducting our business with honesty and integrity. The highest ethical standards are expected of management and employees alike, and we continuously strive to create a corporate culture of honesty, integrity, and trust. Throughout our operations and in our dealings with our stakeholders, we endeavor to engender the confidence that our conduct is beyond reproach.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policies we have developed are intended to:</w:t>
      </w:r>
    </w:p>
    <w:p>
      <w:pPr>
        <w:spacing w:after="0" w:line="24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guidance in understanding our policies, interpreting laws, and handling company-related issues and situations</w:t>
      </w:r>
    </w:p>
    <w:p>
      <w:pPr>
        <w:spacing w:after="0" w:line="58"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Foster clear, ethical behaviors and conduct to create an atmosphere of respect, trust, cooperation, and collaboration throughout the Company and our activities</w:t>
      </w:r>
    </w:p>
    <w:p>
      <w:pPr>
        <w:spacing w:after="0" w:line="21"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clear and well-defined procedures by which employees can easily obtain information, ask questions, and, if necessary, report any suspected violations of any of our business ethics policies</w:t>
      </w:r>
    </w:p>
    <w:p>
      <w:pPr>
        <w:spacing w:after="0" w:line="260" w:lineRule="exact"/>
        <w:rPr>
          <w:sz w:val="20"/>
          <w:szCs w:val="20"/>
          <w:color w:val="auto"/>
        </w:rPr>
      </w:pPr>
    </w:p>
    <w:p>
      <w:pPr>
        <w:ind w:right="340" w:firstLine="115"/>
        <w:spacing w:after="0" w:line="264" w:lineRule="auto"/>
        <w:rPr>
          <w:sz w:val="20"/>
          <w:szCs w:val="20"/>
          <w:color w:val="auto"/>
        </w:rPr>
      </w:pPr>
      <w:r>
        <w:rPr>
          <w:rFonts w:ascii="Arial" w:cs="Arial" w:eastAsia="Arial" w:hAnsi="Arial"/>
          <w:sz w:val="18"/>
          <w:szCs w:val="18"/>
          <w:color w:val="auto"/>
        </w:rPr>
        <w:t>In addition to abiding by all applicable laws, all management and employees are required to comply fully with our Code of Business Conduct and Ethics which sets forth the Company’s values, business culture, and practices.</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0" w:firstLine="115"/>
        <w:spacing w:after="0" w:line="264" w:lineRule="auto"/>
        <w:rPr>
          <w:sz w:val="20"/>
          <w:szCs w:val="20"/>
          <w:color w:val="auto"/>
        </w:rPr>
      </w:pPr>
      <w:r>
        <w:rPr>
          <w:rFonts w:ascii="Arial" w:cs="Arial" w:eastAsia="Arial" w:hAnsi="Arial"/>
          <w:sz w:val="18"/>
          <w:szCs w:val="18"/>
          <w:color w:val="auto"/>
        </w:rPr>
        <w:t xml:space="preserve">A copy of our Code of Business Conduct and Ethics may be found on our website: </w:t>
      </w:r>
      <w:r>
        <w:rPr>
          <w:rFonts w:ascii="Arial" w:cs="Arial" w:eastAsia="Arial" w:hAnsi="Arial"/>
          <w:sz w:val="18"/>
          <w:szCs w:val="18"/>
          <w:color w:val="0000FF"/>
        </w:rPr>
        <w:t>www.beautyhealth.com</w:t>
      </w:r>
      <w:r>
        <w:rPr>
          <w:rFonts w:ascii="Arial" w:cs="Arial" w:eastAsia="Arial" w:hAnsi="Arial"/>
          <w:sz w:val="18"/>
          <w:szCs w:val="18"/>
          <w:color w:val="auto"/>
        </w:rPr>
        <w:t xml:space="preserve"> under the heading “Governance”, and then “Documents &amp; Charters”.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Corporate Governance</w:t>
      </w:r>
    </w:p>
    <w:p>
      <w:pPr>
        <w:spacing w:after="0" w:line="244" w:lineRule="exact"/>
        <w:rPr>
          <w:sz w:val="20"/>
          <w:szCs w:val="20"/>
          <w:color w:val="auto"/>
        </w:rPr>
      </w:pPr>
    </w:p>
    <w:p>
      <w:pPr>
        <w:ind w:right="180" w:firstLine="115"/>
        <w:spacing w:after="0" w:line="318" w:lineRule="auto"/>
        <w:rPr>
          <w:sz w:val="20"/>
          <w:szCs w:val="20"/>
          <w:color w:val="auto"/>
        </w:rPr>
      </w:pPr>
      <w:r>
        <w:rPr>
          <w:rFonts w:ascii="Arial" w:cs="Arial" w:eastAsia="Arial" w:hAnsi="Arial"/>
          <w:sz w:val="15"/>
          <w:szCs w:val="15"/>
          <w:color w:val="auto"/>
        </w:rPr>
        <w:t>We are committed to ensuring strong corporate governance practices on behalf of our shareholders and other stakeholders. We believe strong corporate governance provides the foundation for financial integrity and shareholder confidence. Our Board of Directors is responsible for the oversight of risks facing the Company, and our management is responsible for the day-to-day management of risk. The Board of Directors, as a whole, directly oversees our strategic and business risk, including risks related to financial reporting, compensation practices, ESG, and product developments.</w:t>
      </w:r>
    </w:p>
    <w:p>
      <w:pPr>
        <w:spacing w:after="0" w:line="172" w:lineRule="exact"/>
        <w:rPr>
          <w:sz w:val="20"/>
          <w:szCs w:val="20"/>
          <w:color w:val="auto"/>
        </w:rPr>
      </w:pPr>
    </w:p>
    <w:p>
      <w:pPr>
        <w:ind w:right="80" w:firstLine="115"/>
        <w:spacing w:after="0" w:line="255" w:lineRule="auto"/>
        <w:rPr>
          <w:sz w:val="20"/>
          <w:szCs w:val="20"/>
          <w:color w:val="auto"/>
        </w:rPr>
      </w:pPr>
      <w:r>
        <w:rPr>
          <w:rFonts w:ascii="Arial" w:cs="Arial" w:eastAsia="Arial" w:hAnsi="Arial"/>
          <w:sz w:val="18"/>
          <w:szCs w:val="18"/>
          <w:color w:val="auto"/>
        </w:rPr>
        <w:t>More information about our corporate governance features (including information about our Audit Committee, Compensation Committee, and Nominating and Corporate Governance Committee) can be found in our Part III, Item 10 (Directors, Executive Officers and Corporate Governance) on this Annual Report on Form 10-K.</w:t>
      </w:r>
    </w:p>
    <w:p>
      <w:pPr>
        <w:spacing w:after="0" w:line="215" w:lineRule="exact"/>
        <w:rPr>
          <w:sz w:val="20"/>
          <w:szCs w:val="20"/>
          <w:color w:val="auto"/>
        </w:rPr>
      </w:pPr>
    </w:p>
    <w:p>
      <w:pPr>
        <w:ind w:right="260" w:firstLine="115"/>
        <w:spacing w:after="0" w:line="365" w:lineRule="auto"/>
        <w:rPr>
          <w:sz w:val="20"/>
          <w:szCs w:val="20"/>
          <w:color w:val="auto"/>
        </w:rPr>
      </w:pPr>
      <w:r>
        <w:rPr>
          <w:rFonts w:ascii="Arial" w:cs="Arial" w:eastAsia="Arial" w:hAnsi="Arial"/>
          <w:sz w:val="15"/>
          <w:szCs w:val="15"/>
          <w:color w:val="auto"/>
        </w:rPr>
        <w:t xml:space="preserve">In addition, the charters for our Audit Committee, Compensation Committee, and Nominating and Corporate Governance Committee may be found in the “Investor Relations” section of our website: </w:t>
      </w:r>
      <w:r>
        <w:rPr>
          <w:rFonts w:ascii="Arial" w:cs="Arial" w:eastAsia="Arial" w:hAnsi="Arial"/>
          <w:sz w:val="15"/>
          <w:szCs w:val="15"/>
          <w:color w:val="0000FF"/>
        </w:rPr>
        <w:t>www.beautyhealth.com</w:t>
      </w:r>
      <w:r>
        <w:rPr>
          <w:rFonts w:ascii="Arial" w:cs="Arial" w:eastAsia="Arial" w:hAnsi="Arial"/>
          <w:sz w:val="15"/>
          <w:szCs w:val="15"/>
          <w:color w:val="auto"/>
        </w:rPr>
        <w:t xml:space="preserve"> under the heading “Governance”, and then “Documents &amp; Charters”.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Employees</w:t>
      </w:r>
    </w:p>
    <w:p>
      <w:pPr>
        <w:spacing w:after="0" w:line="2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built a team of industry professionals focused on beauty health. As of December 31, 2021, we employed approximately 704 employees, of whom approximately 76% of such employees were salaried, with the remainder being compensated on an hourly basis. Set forth below is the geographic makeup of our workforce:</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760" w:type="dxa"/>
            <w:vAlign w:val="bottom"/>
            <w:tcBorders>
              <w:top w:val="single" w:sz="8" w:color="auto"/>
              <w:left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Geographic Location</w:t>
            </w:r>
          </w:p>
        </w:tc>
        <w:tc>
          <w:tcPr>
            <w:tcW w:w="376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Number of Employees</w:t>
            </w:r>
          </w:p>
        </w:tc>
        <w:tc>
          <w:tcPr>
            <w:tcW w:w="374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 of Total Workforce</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United States of America </w:t>
            </w:r>
            <w:r>
              <w:rPr>
                <w:rFonts w:ascii="Arial" w:cs="Arial" w:eastAsia="Arial" w:hAnsi="Arial"/>
                <w:sz w:val="14"/>
                <w:szCs w:val="14"/>
                <w:color w:val="auto"/>
              </w:rPr>
              <w:t>(1)</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463</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66%</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APAC (Asia-Pacific)</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EMEA (Europe, Middle East, and Africa)</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91</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13%</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 &amp; Latin America</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704</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As of December 31, 2021, 292 of these employees were based in our Long Beach, California headquarters.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None of our employees are represented by a labor organization or are a party to any collective bargaining arrangement. We believe we have good relations with our employees.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Talent Attraction and Development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Hiring, retaining, and developing the best talent globally is key to our success in sustaining long-term growth.</w:t>
      </w:r>
    </w:p>
    <w:p>
      <w:pPr>
        <w:spacing w:after="0" w:line="24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employ targeted marketing practices through our careers website, which personalizes the user’s experience based on jobseeker location and searching behavior. Jobseekers can also apply for roles from anywhere using any device.</w:t>
      </w:r>
    </w:p>
    <w:p>
      <w:pPr>
        <w:spacing w:after="0" w:line="207"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Our talent strategy is focused on employee engagement and investments in career development, as well as measuring, recognizing, and rewarding performance. Our investments include providing programs to ensure our employees are equipped with the right skillsets and knowledge, as well as providing opportunities to transfer to other functions or regions through short-term and long-term assignments. For instance, we provide our employees with a week-long training program that informs and educates our employees about our business model, marketing strategies, and other related topics about our business operations. We believe these programs and opportunities create a pipeline of talent and leadership with a sense of shared ownership necessary to drive and deliver on our long-term strategy.</w:t>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To enhance our culture and measure our human capital objectives, we regularly engage with our employees. We provide several mechanisms for our employees to provide their feedback, including direct discussions with managers, employee surveys, interactive townhall meetings, and team offsite meetings. Key topics covered during employee engagement include diversity and equity, learning and development, work-life structure, and employee benefits. Based on our review of employee feedback, we develop action plans and implement them to enhance employee satisfaction and to ensure alignment with our overall human capital strategy.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Diversity and Inclusion</w:t>
      </w:r>
    </w:p>
    <w:p>
      <w:pPr>
        <w:spacing w:after="0" w:line="24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a beauty health company, we believe that it is important for our workforce to reflect the diversity of our consumers and be representative of the society in which we live. We firmly believe an inclusive work environment is essential for a successful and thriving business and enables us to better understand our consumers, drive innovation, and stimulate creativity. We recognize the importance of all types of diversity at a leadership level and throughout our organization.</w:t>
      </w:r>
    </w:p>
    <w:p>
      <w:pPr>
        <w:spacing w:after="0" w:line="21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Our objective in creating an environment of diversity and inclusion is to enhance our ability to attract and retain the best talent globally and promote a sense of belonging. We continuously encourage a culture of fairness, equal access to opportunities, including positions of leadership, and transparency in employment matters. We have enhanced our strategy in many areas including hiring, employee engagement, development, and talent management to further support diversity and inclusion across our organization. For instance, we have identified several priorities designed to guide our efforts in this matter such as increasing diverse representation throughout our organization, creating an environment where every employee feels included and valued for who they are, and promoting equal opportunity in recruitment, hiring, training, development, and advancement across our organization.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 breakdown of our workforce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gridSpan w:val="2"/>
          </w:tcPr>
          <w:p>
            <w:pPr>
              <w:ind w:left="1120"/>
              <w:spacing w:after="0"/>
              <w:rPr>
                <w:sz w:val="20"/>
                <w:szCs w:val="20"/>
                <w:color w:val="auto"/>
              </w:rPr>
            </w:pPr>
            <w:r>
              <w:rPr>
                <w:rFonts w:ascii="Arial" w:cs="Arial" w:eastAsia="Arial" w:hAnsi="Arial"/>
                <w:sz w:val="18"/>
                <w:szCs w:val="18"/>
                <w:b w:val="1"/>
                <w:bCs w:val="1"/>
                <w:color w:val="auto"/>
              </w:rPr>
              <w:t>Employee Population</w:t>
            </w:r>
          </w:p>
        </w:tc>
        <w:tc>
          <w:tcPr>
            <w:tcW w:w="2480" w:type="dxa"/>
            <w:vAlign w:val="bottom"/>
            <w:gridSpan w:val="3"/>
          </w:tcPr>
          <w:p>
            <w:pPr>
              <w:ind w:left="1280"/>
              <w:spacing w:after="0"/>
              <w:rPr>
                <w:sz w:val="20"/>
                <w:szCs w:val="20"/>
                <w:color w:val="auto"/>
              </w:rPr>
            </w:pPr>
            <w:r>
              <w:rPr>
                <w:rFonts w:ascii="Arial" w:cs="Arial" w:eastAsia="Arial" w:hAnsi="Arial"/>
                <w:sz w:val="18"/>
                <w:szCs w:val="18"/>
                <w:b w:val="1"/>
                <w:bCs w:val="1"/>
                <w:color w:val="auto"/>
                <w:w w:val="95"/>
              </w:rPr>
              <w:t>Race/Ethnicity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20" w:type="dxa"/>
            <w:vAlign w:val="bottom"/>
            <w:gridSpan w:val="3"/>
          </w:tcPr>
          <w:p>
            <w:pPr>
              <w:ind w:left="160"/>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 xml:space="preserve">% Minority </w:t>
            </w:r>
            <w:r>
              <w:rPr>
                <w:rFonts w:ascii="Arial" w:cs="Arial" w:eastAsia="Arial" w:hAnsi="Arial"/>
                <w:sz w:val="14"/>
                <w:szCs w:val="14"/>
                <w:color w:val="auto"/>
                <w:w w:val="97"/>
              </w:rPr>
              <w:t>(1)</w:t>
            </w: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 White</w:t>
            </w:r>
          </w:p>
        </w:tc>
        <w:tc>
          <w:tcPr>
            <w:tcW w:w="1340" w:type="dxa"/>
            <w:vAlign w:val="bottom"/>
          </w:tcPr>
          <w:p>
            <w:pPr>
              <w:jc w:val="center"/>
              <w:ind w:left="152"/>
              <w:spacing w:after="0"/>
              <w:rPr>
                <w:sz w:val="20"/>
                <w:szCs w:val="20"/>
                <w:color w:val="auto"/>
              </w:rPr>
            </w:pPr>
            <w:r>
              <w:rPr>
                <w:rFonts w:ascii="Arial" w:cs="Arial" w:eastAsia="Arial" w:hAnsi="Arial"/>
                <w:sz w:val="18"/>
                <w:szCs w:val="18"/>
                <w:b w:val="1"/>
                <w:bCs w:val="1"/>
                <w:color w:val="auto"/>
                <w:w w:val="93"/>
              </w:rPr>
              <w:t>% Female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8"/>
              </w:rPr>
              <w:t>% Male</w:t>
            </w:r>
          </w:p>
        </w:tc>
        <w:tc>
          <w:tcPr>
            <w:tcW w:w="0" w:type="dxa"/>
            <w:vAlign w:val="bottom"/>
          </w:tcPr>
          <w:p>
            <w:pPr>
              <w:spacing w:after="0"/>
              <w:rPr>
                <w:sz w:val="1"/>
                <w:szCs w:val="1"/>
                <w:color w:val="auto"/>
              </w:rPr>
            </w:pPr>
          </w:p>
        </w:tc>
      </w:tr>
      <w:tr>
        <w:trPr>
          <w:trHeight w:val="28"/>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color w:val="auto"/>
              </w:rPr>
              <w:t>U.S. Workforce</w:t>
            </w:r>
          </w:p>
        </w:tc>
        <w:tc>
          <w:tcPr>
            <w:tcW w:w="1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gridSpan w:val="2"/>
            <w:vMerge w:val="continue"/>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94"/>
              </w:rPr>
              <w:t>45%</w:t>
            </w:r>
          </w:p>
        </w:tc>
        <w:tc>
          <w:tcPr>
            <w:tcW w:w="100" w:type="dxa"/>
            <w:vAlign w:val="bottom"/>
          </w:tcPr>
          <w:p>
            <w:pPr>
              <w:spacing w:after="0"/>
              <w:rPr>
                <w:sz w:val="20"/>
                <w:szCs w:val="20"/>
                <w:color w:val="auto"/>
              </w:rPr>
            </w:pP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8"/>
              </w:rPr>
              <w:t>66%</w:t>
            </w:r>
          </w:p>
        </w:tc>
        <w:tc>
          <w:tcPr>
            <w:tcW w:w="222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65"/>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Managers &amp; Above</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53%</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94"/>
              </w:rPr>
              <w:t>47%</w:t>
            </w:r>
          </w:p>
        </w:tc>
        <w:tc>
          <w:tcPr>
            <w:tcW w:w="100" w:type="dxa"/>
            <w:vAlign w:val="bottom"/>
          </w:tcPr>
          <w:p>
            <w:pPr>
              <w:spacing w:after="0"/>
              <w:rPr>
                <w:sz w:val="23"/>
                <w:szCs w:val="23"/>
                <w:color w:val="auto"/>
              </w:rPr>
            </w:pP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8"/>
              </w:rPr>
              <w:t>60%</w:t>
            </w:r>
          </w:p>
        </w:tc>
        <w:tc>
          <w:tcPr>
            <w:tcW w:w="222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65"/>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Officers</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29%</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94"/>
              </w:rPr>
              <w:t>71%</w:t>
            </w:r>
          </w:p>
        </w:tc>
        <w:tc>
          <w:tcPr>
            <w:tcW w:w="100" w:type="dxa"/>
            <w:vAlign w:val="bottom"/>
          </w:tcPr>
          <w:p>
            <w:pPr>
              <w:spacing w:after="0"/>
              <w:rPr>
                <w:sz w:val="23"/>
                <w:szCs w:val="23"/>
                <w:color w:val="auto"/>
              </w:rPr>
            </w:pP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8"/>
              </w:rPr>
              <w:t>43%</w:t>
            </w:r>
          </w:p>
        </w:tc>
        <w:tc>
          <w:tcPr>
            <w:tcW w:w="222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right="60" w:hanging="314"/>
        <w:spacing w:after="0" w:line="249" w:lineRule="auto"/>
        <w:tabs>
          <w:tab w:leader="none" w:pos="3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United States, 55% of employees identified as Black or African American, Hispanic or Latino, American Indian, Alaska Native, Asian American, Native Hawaiian or other Pacific Islander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Compensation and Benefits</w:t>
      </w:r>
    </w:p>
    <w:p>
      <w:pPr>
        <w:spacing w:after="0" w:line="24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Consistent with our core values, we take care of our employees by offering competitive compensation and comprehensive benefits programs in order to attract, motivate, and retain world-class talent. We continuously make wage investments to ensure our compensation packages reflect the evolving circumstances across our markets. For instance, in addition to base pay (which is based on specific circumstances, including role and experience, geographic location and performance), we offer annual cash incentive awards and equity awards for employees at certain job grades.</w:t>
      </w:r>
    </w:p>
    <w:p>
      <w:pPr>
        <w:spacing w:after="0" w:line="204"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In addition, our employees can take advantage of a range of benefits in addition to our standard medical/dental/vision insurance, which includes healthcare and wellness programs, a 401(k) match, participation in our Employee Stock Purchase Plan, monthly HydraFacial experiences, parental leave, meals, gym membership, discount tickets, and pet insurance.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Workplace Health and Safety</w:t>
      </w:r>
    </w:p>
    <w:p>
      <w:pPr>
        <w:spacing w:after="0" w:line="24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work to prioritize the health and welfare of our employees and our environment. The core elements of our employee health and safety strategy are risk analysis, incident management, documented processes, training, and occupational health. We continually strive to improve processes across field safety training, incident training, and professional investigations.</w:t>
      </w:r>
    </w:p>
    <w:p>
      <w:pPr>
        <w:spacing w:after="0" w:line="21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Throughout the COVID-19 pandemic, we implemented health and safety protocols and modified our business practices to protect our employees. After our original plan was disseminated to our employees, additional updates from management have included the most up-to-date information from the U.S. Department of State, Center for Disease Control (‘CDC”) and World Health Organization (“WHO”), and we have, at all times, encouraged employees to keep management informed of the need for any additional support. Our health and safety protocols specify several CDC-recommended measures to mitigate the spread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COVID-19 in the workplace, including requirements that masks be worn in the office, the importance of social and physical distancing and frequent handwashing, and that employees are to remain home if feeling unwell and self-quarantine following any possible exposure to the virus. In addition to these measures, we have increased sanitation procedures and updated our travel policy to ensure the safety of those employees who have resumed working in the office and those who travel for business.</w:t>
      </w:r>
    </w:p>
    <w:p>
      <w:pPr>
        <w:spacing w:after="0" w:line="2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will continue to monitor mandates, guidelines, and recommendations issued by CDC, WHO, and local governments as they are released, and revise our health and safety protocols accordingly.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250"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color w:val="auto"/>
        </w:rPr>
        <w:t>The Beauty Health Company (f.k.a. Vesper Healthcare Acquisition Corp.) was incorporated in Delaware on July 8, 2020. On May 4, 2021, we completed a Business Combination which resulted in the acquisition of The HydraFacial Company. Further information on the Business Combination is incorporated herein by reference. On May 6, 2021, we began trading under the ticker symbol “SKIN” on The Nasdaq Capital Market LLC.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amendments to reports filed or furnished pursuant to Sections 13(a) and 15(d) of the Securities Exchange Act of 1934, are available on our website free of charge at http://beautyhealth.com under “Financials—SEC Filings,” as soon as reasonably practicable after we electronically file such reports with, or furnish those reports to, the Securities and Exchange Commission. The content of our website is not incorporated by reference into this Annual Report on Form 10-K or in any other report or document we file with the Securities and Exchange Commission.</w:t>
      </w:r>
    </w:p>
    <w:p>
      <w:pPr>
        <w:spacing w:after="0" w:line="22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Securities and Exchange Commission maintains a website that contains reports, proxy and information statements, and other information regarding issuers that file electronically with the SEC. The address of the website is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You should carefully consider the following risk factors in addition to the other information included in this Annual Report,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related to the beauty health industry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beauty health industry is highly competitive, and if we are unable to compete effectively our results will suffer.</w:t>
      </w:r>
    </w:p>
    <w:p>
      <w:pPr>
        <w:spacing w:after="0" w:line="217" w:lineRule="exact"/>
        <w:rPr>
          <w:sz w:val="20"/>
          <w:szCs w:val="20"/>
          <w:color w:val="auto"/>
        </w:rPr>
      </w:pPr>
    </w:p>
    <w:p>
      <w:pPr>
        <w:ind w:right="200"/>
        <w:spacing w:after="0" w:line="222" w:lineRule="auto"/>
        <w:rPr>
          <w:sz w:val="20"/>
          <w:szCs w:val="20"/>
          <w:color w:val="auto"/>
        </w:rPr>
      </w:pPr>
      <w:r>
        <w:rPr>
          <w:rFonts w:ascii="Arial" w:cs="Arial" w:eastAsia="Arial" w:hAnsi="Arial"/>
          <w:sz w:val="18"/>
          <w:szCs w:val="18"/>
          <w:color w:val="auto"/>
        </w:rPr>
        <w:t>We face vigorous competition from companies throughout the world, including large multinational consumer products companies that have many beauty health brands under ownership and standalone beauty and skincare brands, including those that may target the latest trends or specific distribution channels. Competition in the beauty and skincare industry is based on the introduction of new products, pricing of products, quality of products and packaging, brand awareness, perceived value and quality, innovation, in-store presence and visibility, promotional activities, advertising, editorials, e-commerce and mobile-commerce initiatives and other activities. We must compete with a high volume of new product introductions and existing products by diverse companies across several different distribution channels.</w:t>
      </w:r>
    </w:p>
    <w:p>
      <w:pPr>
        <w:spacing w:after="0" w:line="203"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Many multinational consumer companies have greater financial, technical or marketing resources, longer operating histories, greater brand recognition or larger customer bases than we do and may be able to respond more effectively to changing business and economic conditions than it can. Our competitors may attempt to gain market share by offering products at prices at or below the prices at which our products are typically offered, including through the use of large percentage discounts. Competitive pricing may require us to reduce prices, which would decrease profitability or result in lost sales. Our competitors may be better able to withstand these price reductions and lost sales.</w:t>
      </w:r>
    </w:p>
    <w:p>
      <w:pPr>
        <w:spacing w:after="0" w:line="204"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It is difficult to predict the timing and scale of our competitors’ activities in these areas or whether new competitors will emerge in the beauty health industry. In recent years, numerous online, “indie” and influencer-backed beauty health companies have emerged and garnered significant followings. In addition, further technological breakthroughs, including new and enhanced technologies that increase competition in the online retail market, new product offerings by competitors and the strength and success of our competitors’ marketing programs may impede our growth and the implementation of our business strategy.</w:t>
      </w: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ability to compete also depends on the continued strength of our brand and products, the success of marketing, innovation and execution strategies, the continued diversity of product offerings, the successful management of new product introductions and innovations, strong operational execution, including in order fulfillment, and success in entering new markets and expanding our business in existing geographies. If we are unable to continue to compete effectively, it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product introductions may not be as successful as we anticipate.</w:t>
      </w:r>
    </w:p>
    <w:p>
      <w:pPr>
        <w:spacing w:after="0" w:line="21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beauty health industry is driven in part by beauty and skincare trends, which may shift quickly. Our continued success depends on our ability to anticipate, gauge and react in a timely and cost-effective manner to changes in consumer preferences for beauty health products, consumer attitudes toward our industry and brand and where and how consumers shop for and use these products. We must continually work to develop, produce and market new products, maintain and enhance the recognition of our brand, maintain a favorable mix of products and develop our approach as to how and where we market and sell our products.</w:t>
      </w:r>
    </w:p>
    <w:p>
      <w:pPr>
        <w:spacing w:after="0" w:line="20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have an established process for the development, evaluation and validation of our new product concepts. Nonetheless, each new product launch involves risks, as well as the possibility of unexpected consequences. For example, the acceptance of new product launches and sales to our providers may not be as high as we anticipate, due to lack of acceptance of the products themselves or their price, or limited effectiveness of our marketing strategies. In addition, our ability to launch new products may be limited by delays or difficulties affecting the ability of our suppliers or manufacturers to timely manufacture, distribute and ship new products. We may also experience a decrease in sales of certain existing products as a result of newly launched products. Any of these occurrences could delay or impede our ability to achieve our sales objectives, which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damage to our reputation or brand may materially and adversely affect our business,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developing and maintaining our brand is critical and that our financial success is directly dependent on consumer perception of our brand.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importance of brand recognition may become even greater as competitors offer more products similar to our products.</w:t>
      </w:r>
    </w:p>
    <w:p>
      <w:pPr>
        <w:spacing w:after="0" w:line="203"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We have relatively low brand awareness among consumers when compared to other beauty health brands and maintaining and enhancing the recognition and reputation of our brand is critical to our business and future growth. Many factors, some of which are beyond our control, are important to maintaining our reputation and brand. These factors include our ability to comply with ethical, social, product, labor and environmental standards. Any actual or perceived failure in compliance with such standards could damage our reputation and brand.</w:t>
      </w:r>
    </w:p>
    <w:p>
      <w:pPr>
        <w:spacing w:after="0" w:line="201" w:lineRule="exact"/>
        <w:rPr>
          <w:sz w:val="20"/>
          <w:szCs w:val="20"/>
          <w:color w:val="auto"/>
        </w:rPr>
      </w:pPr>
    </w:p>
    <w:p>
      <w:pPr>
        <w:ind w:right="200"/>
        <w:spacing w:after="0" w:line="222" w:lineRule="auto"/>
        <w:rPr>
          <w:sz w:val="20"/>
          <w:szCs w:val="20"/>
          <w:color w:val="auto"/>
        </w:rPr>
      </w:pPr>
      <w:r>
        <w:rPr>
          <w:rFonts w:ascii="Arial" w:cs="Arial" w:eastAsia="Arial" w:hAnsi="Arial"/>
          <w:sz w:val="18"/>
          <w:szCs w:val="18"/>
          <w:color w:val="auto"/>
        </w:rPr>
        <w:t>The growth of our brand depends largely on our ability to provide a high-quality consumer experience, which in turn depends on our ability to bring innovative products to the market at competitive prices that respond to consumer demands and preferences. Additional factors affecting our consumer experience include a reliable and user-friendly website interface and mobile applications for our consumers to browse and purchase products on our e-commerce websites. If we are unable to preserve our reputation, enhance brand recognition or increase positive awareness of our products and Internet platforms, it may be difficult to maintain and grow our consumer base, and our business, financial condition and results of operations may be materially and adversely affected.</w:t>
      </w:r>
    </w:p>
    <w:p>
      <w:pPr>
        <w:spacing w:after="0" w:line="203"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 success of our brand may also suffer if marketing plans or product initiatives do not have the desired impact on our brand’s image or our ability to attract consumers. Further, our brand value could diminish significantly due to a number of factors, including consumer perception that we have acted in an irresponsible manner, adverse publicity about our products, failure to maintain product quality, product contamination, the failure to deliver consistently positive consumer experiences, or our products becoming unavailable to consumers.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quality, efficacy and safety of our products.</w:t>
      </w:r>
    </w:p>
    <w:p>
      <w:pPr>
        <w:spacing w:after="0" w:line="21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Any loss of confidence on the part of consumers in the ingredients used in our products, whether related to product contamination or product safety or quality failures, actual or perceived, or inclusion of prohibited ingredients, could tarnish the image of our brand and could cause consumers to choose other products. Allegations of contamination or other adverse effects on product safety or suitability for use by a particular consumer, even if untrue, may require us to expend significant time and resources responding to such allegations and could, from time to time, result in a recall of a product from any or all of the</w:t>
      </w: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markets in which the affected product was distributed. Any such issues or recalls could negatively affect our profitability and brand image.</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If our products are found to be, or perceived to be, defective or unsafe, or if they otherwise fail to meet our consumers’ expectations, relationships with consumers could suffer, the appeal of our brand could be diminished, we may need to recall some products and/or become subject to regulatory action, and we could lose sales or market share or become subject to boycotts or liability claims. In addition, third parties may sell counterfeit versions of some of our products. These counterfeit products may pose safety risks, may fail to meet consumers’ expectations, and may have a negative impact on our business. Any of these outcomes could result in a material adverse effect on our business, financial condition and results of operations.</w:t>
      </w:r>
    </w:p>
    <w:p>
      <w:pPr>
        <w:spacing w:after="0" w:line="178"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weakness in general economic conditions and resistance to non-traditional treatment methods.</w:t>
      </w:r>
    </w:p>
    <w:p>
      <w:pPr>
        <w:spacing w:after="0" w:line="201"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Consumer spending habits are affected by, among other things, prevailing economic conditions, levels of employment, salaries and wage rates, consumer confidence and consumer perception of economic conditions. A general slowdown in the U.S. economy and certain international economies or an uncertain economic outlook would adversely affect consumer spending habits which may, among other things, result in reduced patient traffic in dermatology or internal medicine offices, and in medical spa facilities and spa facilities, reduction in consumer spending on elective, non-urgent, or higher value treatments such as those offered by our providers or a reduction in the demand for aesthetic services generally, each of which would have a material adverse effect on our sales and operating results. Weakness in the global economy results in a challenging environment for selling aesthetic technologies and doctors and/or aestheticians may postpone investments in capital equipment, such as our delivery systems. Increased market acceptance of all of our products and treatments will depend in part upon the recommendations of medical and aesthetics professionals, as well as other factors including effectiveness, safety, ease of use, reliability, aesthetics, and price compared to competing products and treatment methods.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We provide volume-based discount programs to customers and may offer additional products purchased at a discounted price. In addition, we sell a number of products at different list prices which also differ based on regions and or country. If we change volume-based discount programs affecting our average selling prices; if we introduce any price reductions or consumer rebate programs; if we expands our discount programs or participation in these programs increases; if our critical accounting estimates materially differ from actual behavior or results; or if our geographic, channel, or product mix shifts to lower priced products or to products that have a higher percentage of deferred revenue, our average selling prices would be adversely affected. Additionally, in response to the COVID-19 pandemic or any resurgence of COVID-19, as a result of a new variant or otherwise, we may find the need to discount the price for our products to facilitate sales in uncertain times. Were any of the foregoing to occur, our net revenues, gross profit, gross margin and net income may be reduced.</w:t>
      </w:r>
    </w:p>
    <w:p>
      <w:pPr>
        <w:spacing w:after="0" w:line="17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Risk factors related to our growth and profitability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implement our growth strategy.</w:t>
      </w:r>
    </w:p>
    <w:p>
      <w:pPr>
        <w:spacing w:after="0" w:line="21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Our future growth, profitability and cash flows depend upon our ability to successfully implement our business strategy, which, in turn, is dependent upon a number of key initiatives, including our ability to:</w:t>
      </w:r>
    </w:p>
    <w:p>
      <w:pPr>
        <w:spacing w:after="0" w:line="8"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drive demand in the brand</w:t>
      </w:r>
    </w:p>
    <w:p>
      <w:pPr>
        <w:ind w:left="640" w:hanging="316"/>
        <w:spacing w:after="0" w:line="21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digital capabilities;</w:t>
      </w:r>
    </w:p>
    <w:p>
      <w:pPr>
        <w:ind w:left="640" w:hanging="316"/>
        <w:spacing w:after="0" w:line="21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productivity in our retailers, U.S. medical spa facilities and U.S. spa facilities;</w:t>
      </w:r>
    </w:p>
    <w:p>
      <w:pPr>
        <w:ind w:left="640" w:hanging="316"/>
        <w:spacing w:after="0" w:line="21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the necessary cost savings to help fund our marketing and digital investments; and</w:t>
      </w: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strategic extensions that can leverage our strengths and bring new capabilities.</w:t>
      </w:r>
    </w:p>
    <w:p>
      <w:pPr>
        <w:spacing w:after="0" w:line="20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There can be no assurance that we can successfully achieve any or all of the above initiatives in the manner or time period that we expect. Further, achieving these objectives will require investments which may result in short-term cost increases with net sales materializing on a longer-term horizon and therefore may be dilutive to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growth and profitability are dependent on a number of factors, and our historical growth may not be indicative of our future growth.</w:t>
      </w:r>
    </w:p>
    <w:p>
      <w:pPr>
        <w:spacing w:after="0" w:line="22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historical growth should not be considered as indicative of our future performance. We may not be successful in executing our growth strategy, and even if we achieve our strategic plan, we may not be able to sustain profitability. In future periods, our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revenue could decline, or grow more slowly than we expect. We also may incur significant losses in the future for a number of reasons, including the following risks and the other risks described in this report, and we may encounter unforeseen expenses, difficulties, complications, delays and other unknown factors:</w:t>
      </w:r>
    </w:p>
    <w:p>
      <w:pPr>
        <w:spacing w:after="0" w:line="10"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lose one or more significant providers, or sales of our products through these providers may decrease;</w:t>
      </w:r>
    </w:p>
    <w:p>
      <w:pPr>
        <w:ind w:left="640" w:hanging="316"/>
        <w:spacing w:after="0" w:line="21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third-party suppliers to produce our products and of our distributors to distribute our products could be disrupted;</w:t>
      </w:r>
    </w:p>
    <w:p>
      <w:pPr>
        <w:ind w:left="640" w:right="320" w:hanging="316"/>
        <w:spacing w:after="0" w:line="21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may be the subject of regulatory actions, including but not limited to actions by the FDA, the FTC and the Consumer Product Safety Commission (“CPSC”) in the United States and comparable foreign authorities outside the United States;</w:t>
      </w:r>
    </w:p>
    <w:p>
      <w:pPr>
        <w:ind w:left="640" w:right="220" w:hanging="316"/>
        <w:spacing w:after="0" w:line="21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introduce new products that appeal to consumers or otherwise successfully compete with our competitors in the beauty health industry;</w:t>
      </w:r>
    </w:p>
    <w:p>
      <w:pPr>
        <w:ind w:left="640" w:hanging="316"/>
        <w:spacing w:after="0" w:line="22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unsuccessful in enhancing the recognition and reputation of our brand, and our brand may be damaged as a result of, among other reasons, our failure, or alleged failure, to comply with applicable ethical, social, product, labor or environmental standards;</w:t>
      </w:r>
    </w:p>
    <w:p>
      <w:pPr>
        <w:spacing w:after="0" w:line="1" w:lineRule="exact"/>
        <w:rPr>
          <w:rFonts w:ascii="Arial" w:cs="Arial" w:eastAsia="Arial" w:hAnsi="Arial"/>
          <w:sz w:val="17"/>
          <w:szCs w:val="17"/>
          <w:color w:val="auto"/>
        </w:rPr>
      </w:pPr>
    </w:p>
    <w:p>
      <w:pPr>
        <w:ind w:left="640" w:right="460" w:hanging="316"/>
        <w:spacing w:after="0" w:line="21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service interruptions, data corruption, cyber-based attacks or network security breaches which result in the disruption of our operating systems or the loss of confidential information of our consumers;</w:t>
      </w:r>
    </w:p>
    <w:p>
      <w:pPr>
        <w:ind w:left="640" w:hanging="316"/>
        <w:spacing w:after="0" w:line="21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retain key members of our senior management team or attract and retain other qualified personnel; and</w:t>
      </w: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affected by any adverse economic conditions in the United States or internationally.</w:t>
      </w:r>
    </w:p>
    <w:p>
      <w:pPr>
        <w:spacing w:after="0" w:line="216"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b w:val="1"/>
          <w:bCs w:val="1"/>
          <w:i w:val="1"/>
          <w:iCs w:val="1"/>
          <w:color w:val="auto"/>
        </w:rPr>
        <w:t>We may fail to realize all of the anticipated benefits of any entities which we acquire, such benefits may take longer to realize than expected or we may encounter significant difficulties integrating acquired businesses into our operations. If our acquisitions do not achieve their intended benefits, our business, financial condition, and results of operations could be materially and adversely affected.</w:t>
      </w:r>
    </w:p>
    <w:p>
      <w:pPr>
        <w:spacing w:after="0" w:line="19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that businesses we acquire will result in certain benefits, including certain cost synergies and operational efficiencies; however, to realize these anticipated benefits, the businesses we acquire must be successfully combined with our business. The combination of independent businesses is a complex, costly, and time-consuming process that will require significant management attention and resources. The integration process may disrupt the businesses and, if implemented ineffectively, would limit the expected benefits of these acquisitions to us. The failure to meet the challenges involved in integrating acquired businesses and realizing anticipated benefits could cause an interruption of, or a loss of momentum in, our activities and could adversely affect our results of operations.</w:t>
      </w:r>
    </w:p>
    <w:p>
      <w:pPr>
        <w:spacing w:after="0" w:line="222" w:lineRule="exact"/>
        <w:rPr>
          <w:sz w:val="20"/>
          <w:szCs w:val="20"/>
          <w:color w:val="auto"/>
        </w:rPr>
      </w:pPr>
    </w:p>
    <w:p>
      <w:pPr>
        <w:ind w:firstLine="318"/>
        <w:spacing w:after="0" w:line="345" w:lineRule="auto"/>
        <w:rPr>
          <w:sz w:val="20"/>
          <w:szCs w:val="20"/>
          <w:color w:val="auto"/>
        </w:rPr>
      </w:pPr>
      <w:r>
        <w:rPr>
          <w:rFonts w:ascii="Arial" w:cs="Arial" w:eastAsia="Arial" w:hAnsi="Arial"/>
          <w:sz w:val="15"/>
          <w:szCs w:val="15"/>
          <w:color w:val="auto"/>
        </w:rPr>
        <w:t>The overall integration of acquired businesses may result in material unanticipated problems, expenses, liabilities, competitive responses, loss of customer and other business relationships, and diversion of management’s attention. The difficulties of combining the operations of companies include, among others:</w:t>
      </w:r>
    </w:p>
    <w:p>
      <w:pPr>
        <w:spacing w:after="0" w:line="3"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the diversion of management’s attention to integration matters;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difficulties in achieving anticipated cost savings, synergies, business opportunities, and growth prospects from the combinations;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difficulties in the integration of operations and systems; and</w:t>
      </w:r>
    </w:p>
    <w:p>
      <w:pPr>
        <w:spacing w:after="0" w:line="28" w:lineRule="exact"/>
        <w:rPr>
          <w:rFonts w:ascii="Arial" w:cs="Arial" w:eastAsia="Arial" w:hAnsi="Arial"/>
          <w:sz w:val="21"/>
          <w:szCs w:val="21"/>
          <w:color w:val="auto"/>
        </w:rPr>
      </w:pPr>
    </w:p>
    <w:p>
      <w:pPr>
        <w:ind w:left="640" w:right="800" w:hanging="316"/>
        <w:spacing w:after="0" w:line="232" w:lineRule="auto"/>
        <w:tabs>
          <w:tab w:leader="none" w:pos="635" w:val="left"/>
        </w:tabs>
        <w:numPr>
          <w:ilvl w:val="0"/>
          <w:numId w:val="17"/>
        </w:numPr>
        <w:rPr>
          <w:rFonts w:ascii="Arial" w:cs="Arial" w:eastAsia="Arial" w:hAnsi="Arial"/>
          <w:sz w:val="21"/>
          <w:szCs w:val="21"/>
          <w:color w:val="auto"/>
        </w:rPr>
      </w:pPr>
      <w:r>
        <w:rPr>
          <w:rFonts w:ascii="Arial" w:cs="Arial" w:eastAsia="Arial" w:hAnsi="Arial"/>
          <w:sz w:val="18"/>
          <w:szCs w:val="18"/>
          <w:color w:val="auto"/>
        </w:rPr>
        <w:t>conforming standards, controls, procedures, accounting and other policies, business cultures, and compensation structures between the two companies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grow our business effectively or efficiently, which would harm our business, financial condition and results of operations.</w:t>
      </w:r>
    </w:p>
    <w:p>
      <w:pPr>
        <w:spacing w:after="0" w:line="25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Growing our business will place a strain on our management team, financial and information systems, supply chain and distribution capacity and other resources. To manage growth effectively, we must continue to enhance our operational, financial and management systems, including warehouse management and inventory control; maintain and improve internal controls and disclosure controls and procedures; maintain and improve information technology systems and procedures; and expand, train and manage employee base.</w:t>
      </w:r>
    </w:p>
    <w:p>
      <w:pPr>
        <w:spacing w:after="0" w:line="20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We may not be able to effectively manage this expansion in any one or more of these areas, and any failure to do so could significantly harm our business, financial condition and results of operations. Growing our business may make it difficult for us to adequately predict the expenditures it will need to make in the future. If we do not make the necessary overhead expenditures to accommodate our future growth, we may not be successful in executing our growth strategy, and our results of operations would suffer.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investments could disrupt our business and harm our financial condition.</w:t>
      </w:r>
    </w:p>
    <w:p>
      <w:pPr>
        <w:spacing w:after="0" w:line="21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frequently review acquisition and strategic investment opportunities that would expand our current product offerings, distribution channels, increase the size and geographic scope of operations or otherwise offer growth and operating efficiency opportunities. There can be no assurance that we will be able to identify suitable candidates or consummate these transactions on favorable terms. The process of integrating an acquired business, product or technology can create unforeseen operating difficulties, expenditures and other challenges such as:</w:t>
      </w:r>
    </w:p>
    <w:p>
      <w:pPr>
        <w:spacing w:after="0" w:line="9" w:lineRule="exact"/>
        <w:rPr>
          <w:sz w:val="20"/>
          <w:szCs w:val="20"/>
          <w:color w:val="auto"/>
        </w:rPr>
      </w:pPr>
    </w:p>
    <w:p>
      <w:pPr>
        <w:ind w:left="560" w:hanging="23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increased regulatory and compliance requirements;</w:t>
      </w:r>
    </w:p>
    <w:p>
      <w:pPr>
        <w:ind w:left="560" w:hanging="23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ind w:left="560" w:hanging="23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operation of our then-existing business to acquisition integration challenges;</w:t>
      </w:r>
    </w:p>
    <w:p>
      <w:pPr>
        <w:ind w:left="560" w:hanging="23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coordination of product, sales, marketing and program and systems management functions;</w:t>
      </w:r>
    </w:p>
    <w:p>
      <w:pPr>
        <w:ind w:left="560" w:hanging="23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transition of the acquired company’s users and providers onto our systems;</w:t>
      </w:r>
    </w:p>
    <w:p>
      <w:pPr>
        <w:ind w:left="560" w:hanging="23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ind w:left="560" w:hanging="23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of employees from the acquired company into our organization;</w:t>
      </w:r>
    </w:p>
    <w:p>
      <w:pPr>
        <w:ind w:left="640" w:right="220" w:hanging="31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of the acquired company’s accounting, information management, human resources and other administrative systems and operations into our systems and operations;</w:t>
      </w:r>
    </w:p>
    <w:p>
      <w:pPr>
        <w:ind w:left="640" w:right="80" w:hanging="316"/>
        <w:spacing w:after="0" w:line="21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activities of the acquired company prior to the acquisition, including violations of law, commercial disputes and tax and other known and unknown liabilities; and</w:t>
      </w:r>
    </w:p>
    <w:p>
      <w:pPr>
        <w:ind w:left="640" w:hanging="316"/>
        <w:spacing w:after="0" w:line="228"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brought by terminated employees, providers, former stockholders or other third parties.</w:t>
      </w:r>
    </w:p>
    <w:p>
      <w:pPr>
        <w:spacing w:after="0" w:line="202"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color w:val="auto"/>
        </w:rPr>
        <w:t>If we are unable to address these difficulties and challenges or other problems encountered in connection with any acquisition or investment, it might not realize the anticipated benefits of that acquisition or investment and it might incur unanticipated liabilities or otherwise suffer harm to our business generally.</w:t>
      </w:r>
    </w:p>
    <w:p>
      <w:pPr>
        <w:spacing w:after="0" w:line="138"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To the extent that we pay the consideration for any acquisitions or investments in cash, it would reduce the amount of cash available for other purposes. Acquisitions or investments could also result in dilutive issuances of our equity securities or the incurrence of debt, contingent liabilities, amortization expenses, increased interest expenses or impairment charges against goodwill on our consolidated balance sheet, any of which could have a material adverse effect on our business, financial condition and results of operations. There can be no assurance that any contemplated or future acquisition will occur.</w:t>
      </w:r>
    </w:p>
    <w:p>
      <w:pPr>
        <w:spacing w:after="0" w:line="17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b w:val="1"/>
          <w:bCs w:val="1"/>
          <w:i w:val="1"/>
          <w:iCs w:val="1"/>
          <w:color w:val="auto"/>
        </w:rPr>
        <w:t>Our operating results have fluctuated in the past and we expect our future quarterly and annual operating results to fluctuate for a variety of reasons, particularly as we focus on increasing provider and consumer demand for our products.</w:t>
      </w:r>
    </w:p>
    <w:p>
      <w:pPr>
        <w:spacing w:after="0" w:line="3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for a variety of reasons. Some of the factors that could cause our operating results to fluctuate include:</w:t>
      </w:r>
    </w:p>
    <w:p>
      <w:pPr>
        <w:spacing w:after="0" w:line="15" w:lineRule="exact"/>
        <w:rPr>
          <w:sz w:val="20"/>
          <w:szCs w:val="20"/>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from quarter to quarter, the level of activity in our customers’ practices;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geographic, channel, or product mix;</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weakness in consumer spending as a result of a slowdown in the global, U.S. or other economies;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manufacturing costs;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general and competitive developments in the market;</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relationships with our customers and distributors, including timing of orders;</w:t>
      </w:r>
    </w:p>
    <w:p>
      <w:pPr>
        <w:spacing w:after="0" w:line="31" w:lineRule="exact"/>
        <w:rPr>
          <w:rFonts w:ascii="Arial" w:cs="Arial" w:eastAsia="Arial" w:hAnsi="Arial"/>
          <w:sz w:val="18"/>
          <w:szCs w:val="18"/>
          <w:color w:val="auto"/>
        </w:rPr>
      </w:pPr>
    </w:p>
    <w:p>
      <w:pPr>
        <w:ind w:left="880" w:right="180" w:hanging="512"/>
        <w:spacing w:after="0" w:line="22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timing of when revenues are recognized, including as a result of the timing of receipt of product orders and shipments, the introduction of new products and software releases, product offerings or promotions, modifications to our terms and conditions or as a result of new accounting pronouncements or changes to critical accounting estimates;</w:t>
      </w:r>
    </w:p>
    <w:p>
      <w:pPr>
        <w:spacing w:after="0" w:line="17"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scale, suspend or reduce production based on variations in product demand;</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participation in our customer rebate or discount programs could adversely affect our average selling prices;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fluctuations in demand;</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advertising or marketing efforts or aggressive price competition from competitors;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right="120" w:hanging="512"/>
        <w:spacing w:after="0" w:line="294"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unanticipated delays and disruptions in the manufacturing process caused by insufficient capacity or availability of raw materials, turnover in the labor force or the introduction of new production processes, power outages or natural or other disasters beyond our control;</w:t>
      </w:r>
    </w:p>
    <w:p>
      <w:pPr>
        <w:spacing w:after="0" w:line="1" w:lineRule="exact"/>
        <w:rPr>
          <w:rFonts w:ascii="Arial" w:cs="Arial" w:eastAsia="Arial" w:hAnsi="Arial"/>
          <w:sz w:val="15"/>
          <w:szCs w:val="15"/>
          <w:color w:val="auto"/>
        </w:rPr>
      </w:pPr>
    </w:p>
    <w:p>
      <w:pPr>
        <w:ind w:left="880" w:hanging="51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underutilization of manufacturing facilities;</w:t>
      </w:r>
    </w:p>
    <w:p>
      <w:pPr>
        <w:spacing w:after="0" w:line="31" w:lineRule="exact"/>
        <w:rPr>
          <w:rFonts w:ascii="Arial" w:cs="Arial" w:eastAsia="Arial" w:hAnsi="Arial"/>
          <w:sz w:val="18"/>
          <w:szCs w:val="18"/>
          <w:color w:val="auto"/>
        </w:rPr>
      </w:pPr>
    </w:p>
    <w:p>
      <w:pPr>
        <w:ind w:left="880" w:right="360" w:hanging="512"/>
        <w:spacing w:after="0" w:line="23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5" w:lineRule="exact"/>
        <w:rPr>
          <w:rFonts w:ascii="Arial" w:cs="Arial" w:eastAsia="Arial" w:hAnsi="Arial"/>
          <w:sz w:val="18"/>
          <w:szCs w:val="18"/>
          <w:color w:val="auto"/>
        </w:rPr>
      </w:pPr>
    </w:p>
    <w:p>
      <w:pPr>
        <w:ind w:left="880" w:hanging="51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and expenditures in connection with the establishment of treatment planning and fabrication facilities in international locations;</w:t>
      </w:r>
    </w:p>
    <w:p>
      <w:pPr>
        <w:spacing w:after="0" w:line="43" w:lineRule="exact"/>
        <w:rPr>
          <w:rFonts w:ascii="Arial" w:cs="Arial" w:eastAsia="Arial" w:hAnsi="Arial"/>
          <w:sz w:val="17"/>
          <w:szCs w:val="17"/>
          <w:color w:val="auto"/>
        </w:rPr>
      </w:pPr>
    </w:p>
    <w:p>
      <w:pPr>
        <w:ind w:left="880" w:hanging="51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expenditures in connection with hiring and deployment of direct sales force personnel;</w:t>
      </w:r>
    </w:p>
    <w:p>
      <w:pPr>
        <w:spacing w:after="0" w:line="31" w:lineRule="exact"/>
        <w:rPr>
          <w:rFonts w:ascii="Arial" w:cs="Arial" w:eastAsia="Arial" w:hAnsi="Arial"/>
          <w:sz w:val="18"/>
          <w:szCs w:val="18"/>
          <w:color w:val="auto"/>
        </w:rPr>
      </w:pPr>
    </w:p>
    <w:p>
      <w:pPr>
        <w:ind w:left="880" w:right="220" w:hanging="512"/>
        <w:spacing w:after="0" w:line="22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or any governmental regulatory or similar actions, including the impact of a pandemic such as the COVID-19 pandemic, any of which results in changes in consumer spending habits, consumers unable or unwilling to visit spas, as well as any impact on workforce absenteeism;</w:t>
      </w:r>
    </w:p>
    <w:p>
      <w:pPr>
        <w:spacing w:after="0" w:line="17" w:lineRule="exact"/>
        <w:rPr>
          <w:rFonts w:ascii="Arial" w:cs="Arial" w:eastAsia="Arial" w:hAnsi="Arial"/>
          <w:sz w:val="18"/>
          <w:szCs w:val="18"/>
          <w:color w:val="auto"/>
        </w:rPr>
      </w:pPr>
    </w:p>
    <w:p>
      <w:pPr>
        <w:ind w:left="880" w:hanging="51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31" w:lineRule="exact"/>
        <w:rPr>
          <w:rFonts w:ascii="Arial" w:cs="Arial" w:eastAsia="Arial" w:hAnsi="Arial"/>
          <w:sz w:val="18"/>
          <w:szCs w:val="18"/>
          <w:color w:val="auto"/>
        </w:rPr>
      </w:pPr>
    </w:p>
    <w:p>
      <w:pPr>
        <w:ind w:left="880" w:hanging="51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38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To respond to these and other factors, we may make business decisions that adversely affect our operating results such as modifications to our pricing policy, promotions, development efforts, product releases, business structure or operations. Most of our expenses, such as employee compensation and lease payment obligations, are relatively fixed in the short term. Moreover, 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future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may experience future losses.</w:t>
      </w:r>
    </w:p>
    <w:p>
      <w:pPr>
        <w:spacing w:after="0" w:line="217"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We have yet to establish any history of profitable operations. We reported a net loss of $375 million during the fiscal year ended December 31, 2021. We expect to incur additional operating losses for the foreseeable future. Furthermore, our strategic plan will require a significant investment in product development, sales, marketing and administrative programs, which may not result in the accelerated revenue growth that it anticipates. As a result, there can be no assurance that we will ever generate substantial revenues or achieve or sustain profitability.</w:t>
      </w:r>
    </w:p>
    <w:p>
      <w:pPr>
        <w:spacing w:after="0" w:line="19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Risk factors related to our business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disruption in our operations could materially and adversely affect our business.</w:t>
      </w:r>
    </w:p>
    <w:p>
      <w:pPr>
        <w:spacing w:after="0" w:line="21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As a company engaged in distribution on a global scale, our operations, including those of our third-party suppliers, brokers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(such as the COVID-19 pandemic), border disputes, acts of terrorism and other external factors over which we and our third-party suppliers, brokers and delivery service providers have no control. The loss of, or damage to, the manufacturing facilities or distribution centers of our third-party suppliers, brokers and delivery service providers could materially and adversely affect our business, financial condition and results of operations.</w:t>
      </w:r>
    </w:p>
    <w:p>
      <w:pPr>
        <w:spacing w:after="0" w:line="179" w:lineRule="exact"/>
        <w:rPr>
          <w:sz w:val="20"/>
          <w:szCs w:val="20"/>
          <w:color w:val="auto"/>
        </w:rPr>
      </w:pPr>
    </w:p>
    <w:p>
      <w:pPr>
        <w:jc w:val="both"/>
        <w:ind w:right="220"/>
        <w:spacing w:after="0" w:line="293" w:lineRule="auto"/>
        <w:rPr>
          <w:sz w:val="20"/>
          <w:szCs w:val="20"/>
          <w:color w:val="auto"/>
        </w:rPr>
      </w:pPr>
      <w:r>
        <w:rPr>
          <w:rFonts w:ascii="Arial" w:cs="Arial" w:eastAsia="Arial" w:hAnsi="Arial"/>
          <w:sz w:val="15"/>
          <w:szCs w:val="15"/>
          <w:color w:val="auto"/>
        </w:rPr>
        <w:t>We depend heavily on contracted third-party delivery service providers to deliver our products to our distribution facilities and logistics providers, and from there to our providers. We also depend on contracted third-party delivery service providers to deliver products directly to providers as part of a direct sale to those providers. Interruptions to or failures in these delivery services could prevent the timely or successful delivery of our products.</w:t>
      </w:r>
    </w:p>
    <w:p>
      <w:pPr>
        <w:spacing w:after="0" w:line="163"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These interruptions or failures may be due to unforeseen events that are beyond our control or the control of our third-party delivery service providers, such as inclement weather, natural disasters or labor unrest. If our products are not delivered on time or are delivered in a damaged state, providers and customers may refuse to accept our products and have less confidence in our services.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Our ability to meet the needs of our consumers depends on the proper operation of our distribution facilities, where most of our inventory that is not in transit is housed. Our insurance coverage may not be sufficient to cover the full extent of any loss or damage to our inventory or distribution facilities, and any loss, damage or disruption of the facilities, or loss or damage of the inventory stored there, could materially and adversely affect our business, financial condition and results of operations.</w:t>
      </w:r>
    </w:p>
    <w:p>
      <w:pPr>
        <w:spacing w:after="0" w:line="20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have adversely affected, and may continue to adversely affect, our business, financial condition and results of operations.</w:t>
      </w:r>
    </w:p>
    <w:p>
      <w:pPr>
        <w:spacing w:after="0" w:line="20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outbreak of the COVID-19 virus continues to spread in the United States and around the world. Related government and private sector responsive actions, as well as changes in consumer spending behaviors, have adversely affected, and may continue to adversely affect our business, financial condition and results of operations. It is impossible to predict the effect and ultimate impact of the COVID-19 pandemic, including any resurgence of the COVID-19 virus as a result of a new variant or otherwise, as the situation is rapidly evolving.</w:t>
      </w:r>
    </w:p>
    <w:p>
      <w:pPr>
        <w:spacing w:after="0" w:line="201"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outbreak and global spread of COVID-19 virus, as well as governmental orders and recommendations to mitigate its spread, have significantly disrupted our operating environment, including manufacturing, distribution, and the ability of many of our providers to operate. We have also seen shifts in consumer preferences and practices and may see longer-term changes in consumer demand. There is significant uncertainty around the breadth and duration of business disruptions related to the COVID-19 virus, including the possibility of new variants prolonging such disruptions, as well as its impact on the U.S. and global economy and our consumers’ spending habits.</w:t>
      </w:r>
    </w:p>
    <w:p>
      <w:pPr>
        <w:spacing w:after="0" w:line="20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While our suppliers and distribution centers currently remain open, there is a risk that any of these facilities (i) may become less productive or encounter disruptions due to employees at the facilities becoming infected with the COVID-19 virus and/or (ii) are no longer allowed to operate based on directives from public health officials or government authorities. Additionally, there is a risk of decreased, or further decreased, demand if our provider facilities are no longer allowed to operate based on directives from public health officials or government authorities.</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As a result of the COVID-19 pandemic, including the spread of any variants, we have in the past been and may be required to have many of our personnel work remotely in the future and it is possible that this could have a negative impact on the execution of our business plans and operations. If a natural disaster, power outage, connectivity issue, or other event occurs that impacts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20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uncertainty around the duration of business disruptions and the extent of the spread of the COVID-19 virus (including the spread of variants) in the United States and to other areas of the world will likely continue to adversely impact the national or global economy and negatively impact consumer spending and shopping behaviors. If the pandemic worsens, we may see a further drop in the ability of our providers to operate or in the willingness of consumers to purchase optional beauty health treatments. Any of these outcomes could have an adverse impact on our business, financial condition and results of operations. The extent to which the COVID-19 pandemic impacts our results will depend on future developments, which are highly uncertain and cannot be predicted, including new information that may emerge concerning the severity of the COVID-19 pandemic and the actions taken to contain it or treat its impact.</w:t>
      </w:r>
    </w:p>
    <w:p>
      <w:pPr>
        <w:spacing w:after="0" w:line="216"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b w:val="1"/>
          <w:bCs w:val="1"/>
          <w:i w:val="1"/>
          <w:iCs w:val="1"/>
          <w:color w:val="auto"/>
        </w:rPr>
        <w:t>Our success depends, in part, on our retention of key members of our senior management team, whose continued service is not guaranteed, ability to manage the transition of our Chief Executive Officer and ability to attract and retain qualified personnel.</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auto"/>
        </w:rPr>
        <w:t>Our success depends, in part, on our ability to retain our key employees, including executive officers, senior management team and development, operations, finance, sales and marketing personnel, whose continued service is not guaranteed. In particular, our executive officers are important to our success for many reasons, including that each has a national or regional reputation in our industry and the investment community that attracts investors and business and investment opportunities. If we lost their services, our business and investment opportunities and our relationships with existing and prospective customers and industry personnel could suffer. Many of our other senior employees also have strong industry reputations. The loss of any of these key personnel would result in the loss of these and other benefits and could materially and adversely affect our results of operations.</w:t>
      </w:r>
    </w:p>
    <w:p>
      <w:pPr>
        <w:spacing w:after="0" w:line="179" w:lineRule="exact"/>
        <w:rPr>
          <w:sz w:val="20"/>
          <w:szCs w:val="20"/>
          <w:color w:val="auto"/>
        </w:rPr>
      </w:pPr>
    </w:p>
    <w:p>
      <w:pPr>
        <w:jc w:val="both"/>
        <w:ind w:right="280"/>
        <w:spacing w:after="0" w:line="226" w:lineRule="auto"/>
        <w:rPr>
          <w:sz w:val="20"/>
          <w:szCs w:val="20"/>
          <w:color w:val="auto"/>
        </w:rPr>
      </w:pPr>
      <w:r>
        <w:rPr>
          <w:rFonts w:ascii="Arial" w:cs="Arial" w:eastAsia="Arial" w:hAnsi="Arial"/>
          <w:sz w:val="18"/>
          <w:szCs w:val="18"/>
          <w:color w:val="auto"/>
        </w:rPr>
        <w:t>On December 31, 2021, Clinton Carnell transitioned out of his roles as our Chief Executive Officer and a member of our board of directors. Effective as of February 7, 2022, Andrew Stanleick was appointed as our Chief Executive Officer and as a member of our board of directors. Our future performance will depend, in part, on the successful transition of Mr. Stanleick as our new Chief Executive Officer. Mr. Stanleick does not have prior experience as the chief executive officer of a publicly traded</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company. If we do not successfully manage our Chief Executive Officer transition, it could be viewed negatively by our customers, employees or investors and could have an adverse impact on our business.</w:t>
      </w: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success also depends, in part, on our continuing ability to identify, hire, train and retain other highly qualified personnel. In addition, we may be unable to effectively plan for the succession of senior management, including our chief executive officer. The loss of key personnel or the failure to attract and retain qualified personnel may have a material adverse effect on our business, financial condition and results of operations.</w:t>
      </w:r>
    </w:p>
    <w:p>
      <w:pPr>
        <w:spacing w:after="0" w:line="199"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b w:val="1"/>
          <w:bCs w:val="1"/>
          <w:i w:val="1"/>
          <w:iCs w:val="1"/>
          <w:color w:val="auto"/>
        </w:rPr>
        <w:t>We rely on a number of third-party suppliers, distributors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use multiple third-party suppliers based in the United States and overseas to source substantially all of our products. We engage third-party suppliers on a purchase order basis and is not party to long-term contracts with any of them. The ability of these third parties to supply our products may be affected by competing orders placed by other persons and the demands of those persons. If we experience significant increases in demand or need to replace a significant number of existing suppliers, there can be no assurance that additional supply capacity will be available when required on terms that are acceptable to us, or at all, or that any supplier will allocate sufficient capacity to us in order to meet our requirements.</w:t>
      </w:r>
    </w:p>
    <w:p>
      <w:pPr>
        <w:spacing w:after="0" w:line="20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 addition, quality control problems, such as the use of ingredients and delivery of products that do not meet our quality control standards and specifications or comply with applicable laws or regulations, could harm our business. These quality control problems could result in regulatory action, such as restrictions on importation, products of inferior quality or product stock outages or shortages, harming our sales and creating inventory write-downs for unusable products.</w:t>
      </w:r>
    </w:p>
    <w:p>
      <w:pPr>
        <w:spacing w:after="0" w:line="201"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We have also outsourced significant portions of our distribution process overseas, as well as certain technology-related functions, to third-party service providers. Specifically, we rely on third-party distributors to sell products in a number of foreign countries, and our international warehouses and distribution facilities are managed and staffed by our third-party distributors, and we utilize a third-party hosting and networking provider to host our e-commerce websites.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third-party, may have a material adverse effect on our business, financial condition and results of operations. We are not party to long-term contracts with some of our distributors, and upon expiration of these existing agreements, we may not be able to renegotiate the terms on a commercially reasonable basis,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also rely on providers and estheticians to promote our treatments, which they are not under any contractual obligation to do or continue to do.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Further, our third-party suppliers and distributors may:</w:t>
      </w:r>
    </w:p>
    <w:p>
      <w:pPr>
        <w:spacing w:after="0" w:line="32" w:lineRule="exact"/>
        <w:rPr>
          <w:sz w:val="20"/>
          <w:szCs w:val="20"/>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increased regulatory and compliance requirements;</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inconsistent with ours;</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actions contrary to our instructions, requests, policies or objectives;</w:t>
      </w:r>
    </w:p>
    <w:p>
      <w:pPr>
        <w:spacing w:after="0" w:line="31" w:lineRule="exact"/>
        <w:rPr>
          <w:rFonts w:ascii="Arial" w:cs="Arial" w:eastAsia="Arial" w:hAnsi="Arial"/>
          <w:sz w:val="18"/>
          <w:szCs w:val="18"/>
          <w:color w:val="auto"/>
        </w:rPr>
      </w:pPr>
    </w:p>
    <w:p>
      <w:pPr>
        <w:ind w:left="640" w:right="40" w:hanging="316"/>
        <w:spacing w:after="0" w:line="229"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unable or unwilling to fulfill their obligations under relevant purchase orders, including obligations to meet our production deadlines, quality standards, pricing guidelines and product specifications, or to comply with applicable regulations, including those regarding the safety and quality of products and ingredients and good manufacturing practices;</w:t>
      </w:r>
    </w:p>
    <w:p>
      <w:pPr>
        <w:spacing w:after="0" w:line="17"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financial difficulties;</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raw material or labor shortages;</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increases in raw material or labor costs which may affect our procurement costs;</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 our confidential information or intellectual property to competitors or third parties;</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activities or employ practices that may harm our reputation; and</w:t>
      </w:r>
    </w:p>
    <w:p>
      <w:pPr>
        <w:spacing w:after="0" w:line="31" w:lineRule="exact"/>
        <w:rPr>
          <w:rFonts w:ascii="Arial" w:cs="Arial" w:eastAsia="Arial" w:hAnsi="Arial"/>
          <w:sz w:val="18"/>
          <w:szCs w:val="18"/>
          <w:color w:val="auto"/>
        </w:rPr>
      </w:pPr>
    </w:p>
    <w:p>
      <w:pPr>
        <w:ind w:left="560" w:hanging="23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 with, be acquired by, or come under control of, our competitors.</w:t>
      </w:r>
    </w:p>
    <w:p>
      <w:pPr>
        <w:spacing w:after="0" w:line="270"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The occurrence of any of these events, alone or together, could have a material adverse effect on our business, financial condition and results of operations. In addition, such problems may require us to find new third-party suppliers or distributors, and there can be no assurance that we would be successful in finding third-party suppliers or distributors meeting our standards of innovation and quality.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The management and oversight of the engagement and activities of our third-party suppliers and distributors requires substantial time, effort and expense of our employees, and we may be unable to successfully manage and oversee the activities of our third-party suppliers and distributors. If we experience any supply chain disruptions caused by our inability to locate suitable third-party suppliers, or if our raw material suppliers experience problems with product quality or disruptions or delivery of the raw materials or components used to make such products, our business, financial condition and results of operations could be materially and adversely affected.</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We maintain single supply relationships for certain key components, and our business and operating results could be harmed if supply is restricted or ends or the price of raw materials used in our manufacturing process increases.</w:t>
      </w:r>
    </w:p>
    <w:p>
      <w:pPr>
        <w:spacing w:after="0" w:line="20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dependent on sole suppliers or a limited number of suppliers for certain components that are integral to our finished products. If these or other suppliers encounter financial, operating or other difficulties or if our relationship with them changes, we may be unable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suppliers to produce the needed equipment and materials in sufficient quantities to support our growth. Any one of these factors could harm our business and growth prospects.</w:t>
      </w:r>
    </w:p>
    <w:p>
      <w:pPr>
        <w:spacing w:after="0" w:line="203"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b w:val="1"/>
          <w:bCs w:val="1"/>
          <w:i w:val="1"/>
          <w:iCs w:val="1"/>
          <w:color w:val="auto"/>
        </w:rPr>
        <w:t>The design, development, manufacture and sale of our products involves the risk of product liability and other claims by consumers and other third parties, and insurance against such potential claims is expensive and may be difficult to obtain.</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design, development, manufacture and sale of our products involves an inherent risk of product liability claims and the associated adverse publicity. We regularly monitor the use of our products for trends or increases in reports of adverse events or product complaints. In some, but not all, cases, an increase in adverse event reports may be an indication that there has been a change in a product’s specifications or efficacy. Such changes could lead to a recall of the product in question or, in some cases, increases in product liability claims related to the product in question. If the coverage limits for product liability insurance policies are not adequate or if certain of our products are excluded from coverage, a claim brought against it, whether covered by insurance or not, could have a material adverse effect on our business, results of operations, financial condition and cash flows.</w:t>
      </w: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We could also be subject to a variety of other types of claims, proceedings, investigations and litigation initiated by government agencies or third parties.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shareholder derivative suits or other similar matters. Negative publicity, whether accurate or inaccurate, about the efficacy, safety or side effects of our products or product categories, whether involving us or a competitor, could materially reduce market acceptance to our products, cause consumers to seek alternatives to our products, result in product recalls, removals, corrections or withdrawals and cause our stock price to decline. Negative publicity could also result in an increased number of product liability claims, whether or not these claims have a basis in scientific fact. Any such claims, proceedings, investigations or litigation, regardless of the merits, might result in substantial costs, restrictions on product use or sales, or otherwise injure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manage our inventory effectively, our results of operations, financial condition and liquidity may be materially and adversely affected.</w:t>
      </w: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business requires us to manage a large volume of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and other factors, and our consumers may not purchase products in the quantities that we expect. It may be difficult to accurately forecast demand and determine appropriate levels of product or componentry.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w:t>
      </w:r>
    </w:p>
    <w:p>
      <w:pPr>
        <w:spacing w:after="0" w:line="187"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We are dependent on commercial freight carriers to deliver our products both within the United States and internationally. If the operations of these carriers are disrupted for any reason, we may be unable to timely deliver our products to our customers. If we cannot deliver our products on time and cost effectively, our customers may choose competitive offerings causing our net revenues and gross margins to decline, possibly materially. In a rising fuel cost environment, our freight costs will increase. In addition, we earn an increasingly larger portion of our total revenues from international sales. International sales carry higher shipping costs which could negatively impact our gross margin and results of operations. If freight costs materially increase and we are unable to pass that increase along to our customers for any reason or otherwise offset such increases in costs, our gross margin and financial results could be adversely affected.</w:t>
      </w:r>
    </w:p>
    <w:p>
      <w:pPr>
        <w:spacing w:after="0" w:line="179"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b w:val="1"/>
          <w:bCs w:val="1"/>
          <w:i w:val="1"/>
          <w:iCs w:val="1"/>
          <w:color w:val="auto"/>
        </w:rPr>
        <w:t>In order to deepen our market penetration and raise awareness of our brand and products, we have increased the amount we spend on marketing activities, which may not ultimately prove successful or an effective use of our resources.</w:t>
      </w:r>
    </w:p>
    <w:p>
      <w:pPr>
        <w:spacing w:after="0" w:line="20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To increase awareness of our products and services domestically and internationally, we have increased the amount we spend, and anticipate spending in the future on marketing activities. Our marketing efforts and costs are significant and include national and regional campaigns involving print media, social media, additional placements and alliances with strategic partners. We attempt to structure our advertising/marketing campaigns in ways we believe most likely to increase brand awareness and adoption; however, there is no assurance our campaigns will achieve the returns on advertising spend desired or successfully increase brand or product awareness sufficiently to sustain or increase our growth goals, which could have an adverse effect on our gross margin and business overall.</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We manufacture and assembles the majority of our delivery systems at one site in California and if that site were to become compromised or damaged, our ability to continue to manufacture and assemble our product would be negatively affected.</w:t>
      </w:r>
    </w:p>
    <w:p>
      <w:pPr>
        <w:spacing w:after="0" w:line="201" w:lineRule="exact"/>
        <w:rPr>
          <w:sz w:val="20"/>
          <w:szCs w:val="20"/>
          <w:color w:val="auto"/>
        </w:rPr>
      </w:pPr>
    </w:p>
    <w:p>
      <w:pPr>
        <w:jc w:val="both"/>
        <w:ind w:right="500"/>
        <w:spacing w:after="0" w:line="231" w:lineRule="auto"/>
        <w:rPr>
          <w:sz w:val="20"/>
          <w:szCs w:val="20"/>
          <w:color w:val="auto"/>
        </w:rPr>
      </w:pPr>
      <w:r>
        <w:rPr>
          <w:rFonts w:ascii="Arial" w:cs="Arial" w:eastAsia="Arial" w:hAnsi="Arial"/>
          <w:sz w:val="17"/>
          <w:szCs w:val="17"/>
          <w:color w:val="auto"/>
        </w:rPr>
        <w:t>One of our sites in California manufactures and assembles the vast majority of our delivery systems. Another site in California fills the majority of our consumable products and these items are kitted at the first site. If either of these sites were shut down or damaged by natural disaster, fire, social unrest, government regulation or other cause, our operations would be negatively impacted. In that situation, our ability to manufacture our products would be impaired and our ability to distribute to and service our customers would be impaired. This could materially and adversely affect our business, financial condition and results of operations and possibly our reputation.</w:t>
      </w:r>
    </w:p>
    <w:p>
      <w:pPr>
        <w:spacing w:after="0" w:line="1"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b w:val="1"/>
          <w:bCs w:val="1"/>
          <w:i w:val="1"/>
          <w:iCs w:val="1"/>
          <w:color w:val="auto"/>
        </w:rPr>
        <w:t>We rely heavily on our direct sales force to sell our products in the United States, and any failure to train and maintain our direct sales force could harm our business.</w:t>
      </w:r>
    </w:p>
    <w:p>
      <w:pPr>
        <w:spacing w:after="0" w:line="20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the United States. We do not have any long-term employment contracts with our direct sales force and the loss of the services provided by these key personnel may harm our business. In order to provide more comprehensive sales and service coverage, we continue to increase the size of our sales force to pursue growth opportunities within and outside of our existing geographic markets. To adequately train new representatives to successfully market and sell our products and for them to establish strong customer relationships takes time. As a result, if we are unable to retain our direct sales personnel or quickly replace them with individuals of equivalent technical expertise and qualifications, if we are unable to successfully instill technical expertise in new and existing sales representatives, if we fail to establish and maintain strong relationships with our customers, or if our efforts at specializing our selling techniques do not prove successful and cost-effective, our net revenues and our ability to maintain market share could be materially harmed.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compliance with healthcare regulations becomes more costly and difficult for us or our customers, we may be unable to grow our business.</w:t>
      </w:r>
    </w:p>
    <w:p>
      <w:pPr>
        <w:spacing w:after="0" w:line="252" w:lineRule="exact"/>
        <w:rPr>
          <w:sz w:val="20"/>
          <w:szCs w:val="20"/>
          <w:color w:val="auto"/>
        </w:rPr>
      </w:pPr>
    </w:p>
    <w:p>
      <w:pPr>
        <w:ind w:right="180"/>
        <w:spacing w:after="0" w:line="220"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local and foreign levels, some of which are, and others of which may be, applicable to our business. 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w:t>
      </w:r>
      <w:r>
        <w:rPr>
          <w:rFonts w:ascii="Arial" w:cs="Arial" w:eastAsia="Arial" w:hAnsi="Arial"/>
          <w:sz w:val="18"/>
          <w:szCs w:val="18"/>
          <w:i w:val="1"/>
          <w:iCs w:val="1"/>
          <w:color w:val="auto"/>
        </w:rPr>
        <w:t>HIPAA</w:t>
      </w:r>
      <w:r>
        <w:rPr>
          <w:rFonts w:ascii="Arial" w:cs="Arial" w:eastAsia="Arial" w:hAnsi="Arial"/>
          <w:sz w:val="18"/>
          <w:szCs w:val="18"/>
          <w:color w:val="auto"/>
        </w:rPr>
        <w:t>”), including regulations governing the privacy and security of individually identifiable health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w:t>
      </w:r>
    </w:p>
    <w:p>
      <w:pPr>
        <w:spacing w:after="0" w:line="205"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medical device laws and regulations, numerous state, federal and foreign healthcare-related laws regulate our business, covering areas such as:</w:t>
      </w:r>
    </w:p>
    <w:p>
      <w:pPr>
        <w:spacing w:after="0" w:line="59" w:lineRule="exact"/>
        <w:rPr>
          <w:sz w:val="20"/>
          <w:szCs w:val="20"/>
          <w:color w:val="auto"/>
        </w:rPr>
      </w:pPr>
    </w:p>
    <w:p>
      <w:pPr>
        <w:ind w:left="560" w:hanging="236"/>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ind w:left="640" w:right="340" w:hanging="316"/>
        <w:spacing w:after="0" w:line="215"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beauty healthcare services or goods or to induce the order, purchase or recommendation of our products; and</w:t>
      </w:r>
    </w:p>
    <w:p>
      <w:pPr>
        <w:ind w:left="560" w:hanging="236"/>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20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state laws in California that require gender and diversity quotas for boards of directors of public companies headquartered in California.</w:t>
      </w:r>
    </w:p>
    <w:p>
      <w:pPr>
        <w:spacing w:after="0" w:line="25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In September 2018, California enacted SB 826, requiring public companies headquartered in California to maintain minimum female representation on their boards of directors as follows: by December 31, 2019, public company boards must have a minimum of one female director; by December 31, 2021, public company boards with five members will be required to have at least two female directors, and public company boards with six or more members will be required to have at least three female directors.</w:t>
      </w:r>
    </w:p>
    <w:p>
      <w:pPr>
        <w:spacing w:after="0" w:line="201" w:lineRule="exact"/>
        <w:rPr>
          <w:sz w:val="20"/>
          <w:szCs w:val="20"/>
          <w:color w:val="auto"/>
        </w:rPr>
      </w:pPr>
    </w:p>
    <w:p>
      <w:pPr>
        <w:ind w:right="220"/>
        <w:spacing w:after="0" w:line="281" w:lineRule="auto"/>
        <w:rPr>
          <w:sz w:val="20"/>
          <w:szCs w:val="20"/>
          <w:color w:val="auto"/>
        </w:rPr>
      </w:pPr>
      <w:r>
        <w:rPr>
          <w:rFonts w:ascii="Arial" w:cs="Arial" w:eastAsia="Arial" w:hAnsi="Arial"/>
          <w:sz w:val="15"/>
          <w:szCs w:val="15"/>
          <w:color w:val="auto"/>
        </w:rPr>
        <w:t>Additionally, on September 30, 2020, California enacted AB 979, requiring public companies with principal executive offices in California to each have at least one director from an underrepresented community based on ethnicity and sexual orientation by December 31, 2021. By December 31, 2022, each of these companies will be required to have at least two directors from such underrepresented communities if such company has more than four but fewer than nine directors, or at least three directors from underrepresented communities if the company has nine or more directors.</w:t>
      </w:r>
    </w:p>
    <w:p>
      <w:pPr>
        <w:spacing w:after="0" w:line="173" w:lineRule="exact"/>
        <w:rPr>
          <w:sz w:val="20"/>
          <w:szCs w:val="20"/>
          <w:color w:val="auto"/>
        </w:rPr>
      </w:pPr>
    </w:p>
    <w:p>
      <w:pPr>
        <w:ind w:right="160"/>
        <w:spacing w:after="0" w:line="281" w:lineRule="auto"/>
        <w:rPr>
          <w:sz w:val="20"/>
          <w:szCs w:val="20"/>
          <w:color w:val="auto"/>
        </w:rPr>
      </w:pPr>
      <w:r>
        <w:rPr>
          <w:rFonts w:ascii="Arial" w:cs="Arial" w:eastAsia="Arial" w:hAnsi="Arial"/>
          <w:sz w:val="15"/>
          <w:szCs w:val="15"/>
          <w:color w:val="auto"/>
        </w:rPr>
        <w:t>As of December 31, 2021, we have not yet met the requirement to have three female directors on our board. Although we intend to be in compliance on or before December 31, 2022, we cannot assure that we can recruit, attract and/or retain qualified members of the board and continue to meet gender and diversity quotas as required by California law (provided that such laws are not repealed before the compliance deadlines), which may cause certain investors to divert their holdings in our securities and expose us to financial penalties and/or reputational harm.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variability of demand for our products</w:t>
      </w:r>
    </w:p>
    <w:p>
      <w:pPr>
        <w:spacing w:after="0" w:line="223"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b w:val="1"/>
          <w:bCs w:val="1"/>
          <w:i w:val="1"/>
          <w:iCs w:val="1"/>
          <w:color w:val="auto"/>
        </w:rPr>
        <w:t>Our providers generally are not under any obligation to purchase product, and business challenges at one or more of these providers could adversely affect our results of operations.</w:t>
      </w:r>
    </w:p>
    <w:p>
      <w:pPr>
        <w:spacing w:after="0" w:line="20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As is typical in our industry, our business with providers is based primarily upon discrete sales orders, and we do not have contracts requiring providers to make firm purchases from us. Accordingly, providers could reduce their purchasing levels or cease buying products from us at any time and for any reason. If we lose a significant provider or if sales of our products to a significant provider materially decrease, it could have a material adverse effect on our business, financial condition and results of operations.</w:t>
      </w:r>
    </w:p>
    <w:p>
      <w:pPr>
        <w:spacing w:after="0" w:line="201"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Because a high percentage of our sales are made through our providers, our results are subject to risks relating to the general business performance of our providers. Factors that adversely affect our providers’ businesses may also have a material adverse effect on our business, financial condition and results of operations. These factors may include:</w:t>
      </w:r>
    </w:p>
    <w:p>
      <w:pPr>
        <w:spacing w:after="0" w:line="17" w:lineRule="exact"/>
        <w:rPr>
          <w:sz w:val="20"/>
          <w:szCs w:val="20"/>
          <w:color w:val="auto"/>
        </w:rPr>
      </w:pPr>
    </w:p>
    <w:p>
      <w:pPr>
        <w:ind w:left="640" w:right="80" w:hanging="316"/>
        <w:spacing w:after="0" w:line="22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reduction in consumer traffic and demand at our providers as a result of economic downturns, pandemics or other health crises, changes in consumer preferences or reputational damage as a result of, among other developments, data privacy and security breaches, regulatory investigations or employee misconduct;</w:t>
      </w:r>
    </w:p>
    <w:p>
      <w:pPr>
        <w:spacing w:after="0" w:line="1" w:lineRule="exact"/>
        <w:rPr>
          <w:rFonts w:ascii="Arial" w:cs="Arial" w:eastAsia="Arial" w:hAnsi="Arial"/>
          <w:sz w:val="18"/>
          <w:szCs w:val="18"/>
          <w:color w:val="auto"/>
        </w:rPr>
      </w:pPr>
    </w:p>
    <w:p>
      <w:pPr>
        <w:ind w:left="560" w:hanging="236"/>
        <w:spacing w:after="0" w:line="215"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credit risks associated with the financial condition of our providers; and</w:t>
      </w:r>
    </w:p>
    <w:p>
      <w:pPr>
        <w:ind w:left="560" w:hanging="236"/>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effect of consolidation or weakness in the retail industry or at certain providers, including store and spa closures and the resulting uncertainty.</w:t>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Risk factors related to our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also be adversely affected by our inability to repay or refinance existing debt.</w:t>
      </w:r>
    </w:p>
    <w:p>
      <w:pPr>
        <w:spacing w:after="0" w:line="217"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As of the filing date of this Annual Report on Form 10-K, we are in compliance with all of our debt covenants. However, we may be unable to satisfy financial covenants in the future, which could materially and adversely affect our ability to finance future operations, such as acquisitions or capital needs. If our earnings deteriorate or we are unable to obtain future financings on terms acceptable to the Company, it is possible that we would fail to comply with the terms of the </w:t>
      </w:r>
      <w:r>
        <w:rPr>
          <w:rFonts w:ascii="Arial" w:cs="Arial" w:eastAsia="Arial" w:hAnsi="Arial"/>
          <w:sz w:val="18"/>
          <w:szCs w:val="18"/>
          <w:color w:val="231F20"/>
        </w:rPr>
        <w:t>1.25% Convertible Senior</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231F20"/>
        </w:rPr>
        <w:t>Notes due 2026 (the “</w:t>
      </w:r>
      <w:r>
        <w:rPr>
          <w:rFonts w:ascii="Arial" w:cs="Arial" w:eastAsia="Arial" w:hAnsi="Arial"/>
          <w:sz w:val="18"/>
          <w:szCs w:val="18"/>
          <w:color w:val="000000"/>
        </w:rPr>
        <w:t>Notes”), such as the failure to make payments of principal and interest due thereunder, and therefore be in default under the Notes. A</w:t>
      </w:r>
      <w:r>
        <w:rPr>
          <w:rFonts w:ascii="Arial" w:cs="Arial" w:eastAsia="Arial" w:hAnsi="Arial"/>
          <w:sz w:val="18"/>
          <w:szCs w:val="18"/>
          <w:color w:val="231F20"/>
        </w:rPr>
        <w:t xml:space="preserve"> </w:t>
      </w:r>
      <w:r>
        <w:rPr>
          <w:rFonts w:ascii="Arial" w:cs="Arial" w:eastAsia="Arial" w:hAnsi="Arial"/>
          <w:sz w:val="18"/>
          <w:szCs w:val="18"/>
          <w:color w:val="000000"/>
        </w:rPr>
        <w:t>default under the Notes, among other things, would trigger the counterparty’s ability to immediately demand payment without any further action or notice by such party.</w:t>
      </w:r>
    </w:p>
    <w:p>
      <w:pPr>
        <w:spacing w:after="0" w:line="203"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color w:val="auto"/>
        </w:rPr>
        <w:t>If the Notes are not converted into our equity securities and we are unable to repay in full or refinance such Notes on commercially reasonable terms, if at all, we could face substantial liquidity problems and might be required to sell material assets or operations in an attempt to meet our debt obligations.</w:t>
      </w:r>
    </w:p>
    <w:p>
      <w:pPr>
        <w:spacing w:after="0" w:line="138"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b w:val="1"/>
          <w:bCs w:val="1"/>
          <w:i w:val="1"/>
          <w:iCs w:val="1"/>
          <w:color w:val="auto"/>
        </w:rPr>
        <w:t>If our cash from operations is not sufficient to meet our current or future operating needs, expenditures and debt service obligations, our business, financial condition and results of operations may be materially and adversely affected.</w:t>
      </w:r>
    </w:p>
    <w:p>
      <w:pPr>
        <w:spacing w:after="0" w:line="201"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We may require additional cash resources due to changed business conditions or other future developments, including any marketing initiatives, investments or acquisitions it may decide to pursue. To the extent we are unable to generate sufficient cash flow, we may be forced to cancel, reduce or delay these activities. Alternatively, if our sources of funding are insufficient to satisfy our cash requirements, we may seek to obtain an additional credit facility or sell equity or debt securities. The sale of equity securities would result in dilution of our existing stockholders. The incurrence of additional indebtedness would result in increased debt service obligations and operating and financing covenants that could restrict our operations.</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Our ability to generate cash to meet our operating needs, expenditures and debt service obligations will depend on our future performance and financial condition, which will be affected by financial, business, economic, legislative, regulatory and other factors, including potential changes in costs, pricing, the success of product innovation and marketing, competitive pressure and consumer preferences. If our cash flows and capital resources are insufficient to fund our debt service obligations and other cash needs, we could face substantial liquidity problems and could be forced to reduce or delay investments and capital expenditures or to dispose of material assets or operations, seek additional debt or equity capital or restructure or refinance our indebtedness. Our credit facilities may restrict our ability to take these actions, and we may not be able to affect any such alternative measures on commercially reasonable terms, or at all. If we cannot make scheduled payments on our debt, the lenders under our credit agreement can terminate their commitments to loan money under our revolving credit facility, and our lenders under our Credit Agreement can declare all outstanding principal and interest to be due and payable and foreclose against the assets securing their borrowings, and we could be forced into bankruptcy or liquidation.</w:t>
      </w:r>
    </w:p>
    <w:p>
      <w:pPr>
        <w:spacing w:after="0" w:line="18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Furthermore, it is uncertain whether financing will be available in amounts or on terms acceptable to us, if at all, which could materially and adversely affect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any net operating loss carryforwards and certain other tax attributes may be limited.</w:t>
      </w:r>
    </w:p>
    <w:p>
      <w:pPr>
        <w:spacing w:after="0" w:line="2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Federal and state net operating loss carryforwards and certain tax credits, if any, may be subject to significant limitations under Section 382 and Section 383 of the U.S. Internal Revenue Code of 1986, as amended (the “</w:t>
      </w:r>
      <w:r>
        <w:rPr>
          <w:rFonts w:ascii="Arial" w:cs="Arial" w:eastAsia="Arial" w:hAnsi="Arial"/>
          <w:sz w:val="17"/>
          <w:szCs w:val="17"/>
          <w:i w:val="1"/>
          <w:iCs w:val="1"/>
          <w:color w:val="auto"/>
        </w:rPr>
        <w:t>Code</w:t>
      </w:r>
      <w:r>
        <w:rPr>
          <w:rFonts w:ascii="Arial" w:cs="Arial" w:eastAsia="Arial" w:hAnsi="Arial"/>
          <w:sz w:val="17"/>
          <w:szCs w:val="17"/>
          <w:color w:val="auto"/>
        </w:rPr>
        <w:t>”), respectively, and similar provisions of state law. Under those sections of the Code, if a corporation undergoes an “ownership change,” the corporation’s ability to use our pre-change net operating loss carryforwards and other pre-change attributes to offset our post-change income or tax may be limited. In general, an “ownership change” will occur if there is a cumulative change in a corporation’s ownership by “5-percent shareholders” that exceeds 50 percentage points over a rolling three-year period. Similar rules may apply under state tax laws. We believe that an “ownership change” for purposes of Section 382 and Section 383 of the Code occurred as a result of the transactions undertaken in connection with the Business Combination.</w:t>
      </w:r>
    </w:p>
    <w:p>
      <w:pPr>
        <w:spacing w:after="0" w:line="203" w:lineRule="exact"/>
        <w:rPr>
          <w:sz w:val="20"/>
          <w:szCs w:val="20"/>
          <w:color w:val="auto"/>
        </w:rPr>
      </w:pPr>
    </w:p>
    <w:p>
      <w:pPr>
        <w:jc w:val="both"/>
        <w:ind w:right="160"/>
        <w:spacing w:after="0" w:line="293" w:lineRule="auto"/>
        <w:rPr>
          <w:sz w:val="20"/>
          <w:szCs w:val="20"/>
          <w:color w:val="auto"/>
        </w:rPr>
      </w:pPr>
      <w:r>
        <w:rPr>
          <w:rFonts w:ascii="Arial" w:cs="Arial" w:eastAsia="Arial" w:hAnsi="Arial"/>
          <w:sz w:val="15"/>
          <w:szCs w:val="15"/>
          <w:color w:val="auto"/>
        </w:rPr>
        <w:t>As a result, if we earn net taxable income, our ability to use our pre-ownership change net operating loss carryforwards to offset U.S. federal taxable income may be subject to limitations, which could potentially result in increased future tax liability to us. In addition, at the state level, there may be periods during which the use of net operating loss carryforwards is suspended or otherwise limited, which could accelerate or permanently increase state taxes owed.</w:t>
      </w:r>
    </w:p>
    <w:p>
      <w:pPr>
        <w:spacing w:after="0" w:line="163"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b w:val="1"/>
          <w:bCs w:val="1"/>
          <w:i w:val="1"/>
          <w:iCs w:val="1"/>
          <w:color w:val="auto"/>
        </w:rPr>
        <w:t>Changes in tax law, in our tax rates or in exposure to additional income tax liabilities or assessments could materially and adversely affect our business, financial condition and results of operations.</w:t>
      </w: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Changes in law and policy relating to taxes could materially and adversely affect our business, financial condition and results of operations. For example, the Tax Cuts and Jobs Act (“2017 Tax Act”) and the Coronavirus Aid, Relief, and Economic Security Act (“CARES Act”) remain unclear in many respects. As such, the 2017 Tax Act and the CARES ACT could be subject to potential amendments and technical corrections or be subject to interpretation and implementing regulations by the Treasury and U.S. Internal Revenue Service, any of which could mitigate or increase certain adverse tax effects of the 2017 Tax Act or the CARES Act. In addition, it is unclear how these U.S. federal income tax changes will affect state and local taxation.</w:t>
      </w:r>
    </w:p>
    <w:p>
      <w:pPr>
        <w:spacing w:after="0" w:line="178"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In addition, the U.S. presidential administration and members of the U.S. Congress have proposed significant changes in U.S. federal income tax law, regulation and government policy within the United States, which could affect us and our business. For</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example, these proposals include significant changes to the U.S. federal income taxation of business entities including, among others, an increase in the tax rate applicable to global intangible low-taxed income and elimination or restriction of certain related exemptions, the imposition of minimum taxes or surtaxes on certain types of income. These proposals are being considered by the U.S. Congress, but the likelihood of these or other changes being enacted or implemented is unclear. We are currently unable to predict whether these or other changes will occur and, if so, the ultimate impact on our business. To the extent that such changes have a negative impact on us, our suppliers or our consumers, including as a result of related uncertainty, these changes may materially and adversely impact our business, financial condition, results of operations and cash flow.</w:t>
      </w:r>
    </w:p>
    <w:p>
      <w:pPr>
        <w:spacing w:after="0" w:line="203" w:lineRule="exact"/>
        <w:rPr>
          <w:sz w:val="20"/>
          <w:szCs w:val="20"/>
          <w:color w:val="auto"/>
        </w:rPr>
      </w:pPr>
    </w:p>
    <w:p>
      <w:pPr>
        <w:ind w:right="180"/>
        <w:spacing w:after="0" w:line="328" w:lineRule="auto"/>
        <w:rPr>
          <w:sz w:val="20"/>
          <w:szCs w:val="20"/>
          <w:color w:val="auto"/>
        </w:rPr>
      </w:pPr>
      <w:r>
        <w:rPr>
          <w:rFonts w:ascii="Arial" w:cs="Arial" w:eastAsia="Arial" w:hAnsi="Arial"/>
          <w:sz w:val="15"/>
          <w:szCs w:val="15"/>
          <w:color w:val="auto"/>
        </w:rPr>
        <w:t>In addition, as we continue to expand business internationally, the application and implementation of existing, new or future international laws regarding taxes, including indirect taxes (such as a Value Added Tax), could materially and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may negatively affect our financial condition and results of operations.</w:t>
      </w:r>
    </w:p>
    <w:p>
      <w:pPr>
        <w:spacing w:after="0" w:line="217"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Exchange rate fluctuations may affect the costs that we incur in our operations. The main currencies to which we are exposed are the British pound, the Canadian dollar and the EU euro.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raw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1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Under GAAP, we review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is determined.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21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Various internal and external factors may have favorable or unfavorable effects on our future effective tax rate. These factors include, but are not limited to, changes in legal entity structure and/or activities performed within our entities, changes in tax laws, regulations and/or rates, new or changes to accounting pronouncements, changing interpretations of existing tax laws or regulations, changes in the relative proportions of revenues and income before taxes in the various jurisdictions in which we operate that have differing statutory tax rates, changes in overall levels of pretax earnings, the future levels of tax benefits of stock-based compensation, settlement of income tax audits and non-deductible goodwill impairments.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21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We are subject to changing tax laws both within and outside of the United States. Changes in tax laws or tax rulings, or changes in interpretations of existing tax laws, could affect our income tax provision and net income or require us to change the manner in which we operate our business. In addition, governmental tax authorities are increasingly scrutinizing the tax positions of companies. Many countries in Europe, as well as a number of other countries and organizations, have recently proposed or recommended changes to existing tax laws or have enacted new laws. Such changes could affect our tax rate and thus affect our profitability.</w:t>
      </w:r>
    </w:p>
    <w:p>
      <w:pPr>
        <w:spacing w:after="0" w:line="20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There is also a high level of uncertainty in today’s tax environment stemming from both global initiatives put forth by the Organisation for Economic Co-operation and Development (“OECD”), and unilateral measures being implemented by various countries due to a historic lack of consensus on these global initiatives. As an example, the OECD has put forth two proposals—Pillar One and Pillar Two—that revise the existing profit allocation and nexus rules (profit allocation based on location of sales versus physical presence) and ensure a minimal level of taxation, respectively. If these proposals are passed, it is possible that we will have to pay higher income taxes in countries where such rules are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financial markets could have a material adverse effect on our business.</w:t>
      </w:r>
    </w:p>
    <w:p>
      <w:pPr>
        <w:spacing w:after="0" w:line="217" w:lineRule="exact"/>
        <w:rPr>
          <w:sz w:val="20"/>
          <w:szCs w:val="20"/>
          <w:color w:val="auto"/>
        </w:rPr>
      </w:pPr>
    </w:p>
    <w:p>
      <w:pPr>
        <w:ind w:right="320"/>
        <w:spacing w:after="0" w:line="223" w:lineRule="auto"/>
        <w:rPr>
          <w:sz w:val="20"/>
          <w:szCs w:val="20"/>
          <w:color w:val="auto"/>
        </w:rPr>
      </w:pPr>
      <w:r>
        <w:rPr>
          <w:rFonts w:ascii="Arial" w:cs="Arial" w:eastAsia="Arial" w:hAnsi="Arial"/>
          <w:sz w:val="18"/>
          <w:szCs w:val="18"/>
          <w:color w:val="auto"/>
        </w:rPr>
        <w:t>While we currently generate cash flows from our ongoing operations and have had access to credit markets through our various financing activities, credit markets may experience significant disruptions. Deterioration in global financial markets could make future financing difficult or more expensive. If any financial institution party to our credit facilities or other financing arrangements were to declare bankruptcy or become insolvent, they may be unable to perform under their agreements with us. This could leave us with reduced borrowing capacity, which could have a material adverse effect on our business, financial condition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related to information technology and cybersecurity</w:t>
      </w:r>
    </w:p>
    <w:p>
      <w:pPr>
        <w:spacing w:after="0" w:line="223"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if we are unable to protect against service interruptions, data corruption, cyber-based attacks or network security breaches, our operations could be disrupted.</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We rely on information technology networks and systems to market and sell our products, to process electronic and financial information, to assist with sales tracking and reporting, to manage a variety of business processes and activities and to comply with regulatory, legal and tax requirements. We are increasingly dependent on a variety of information systems to effectively process consumer orders from our e-commerce business. We depend on our information technology infrastructure for digital marketing activities and for electronic communications among our personnel, providers, customers, consumers, distributors and suppliers around the world. These information technology systems, some of which are managed by third parties, may be susceptible to damage, disruptions or shutdowns due to failures during the process of upgrading or replacing software, databases or components, power outages, hardware failures, computer viruses, attacks by computer hackers, telecommunication failures, user errors or catastrophic events. Any material disruption of our systems, or the systems of our third-party service providers, could disrupt our ability to track, record and analyze the products that we sell and could negatively impact our operations, shipment of goods, ability to process financial information and transactions and our ability to receive and process provider and e-commerce orders or engage in normal business activities. If our information technology systems suffer damage, disruption or shutdown, we may incur substantial cost in repairing or replacing these systems, and if we do not effectively resolve the issues in a timely manner, our business, financial condition and results of operations may be materially and adversely affected, and we could experience delays in reporting our financial results.</w:t>
      </w:r>
    </w:p>
    <w:p>
      <w:pPr>
        <w:spacing w:after="0" w:line="377"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Our e-commerce operations are important to our business. Our e-commerce websites serve as an effective extension of our marketing strategies by introducing potential new consumers to our brand, product offerings, providers and enhanced content. Due to the importance of our e-commerce operations, we are vulnerable to website downtime and other technical failures. Our failure to successfully respond to these risks in a timely manner could reduce e-commerce sales and damage our brand’s reputation.</w:t>
      </w:r>
    </w:p>
    <w:p>
      <w:pPr>
        <w:spacing w:after="0" w:line="20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b w:val="1"/>
          <w:bCs w:val="1"/>
          <w:i w:val="1"/>
          <w:iCs w:val="1"/>
          <w:color w:val="auto"/>
        </w:rPr>
        <w:t>We must successfully maintain and upgrade our information technology systems, and our failure to do so could have a material adverse effect on our business, financial condition and results of operations.</w:t>
      </w:r>
    </w:p>
    <w:p>
      <w:pPr>
        <w:spacing w:after="0" w:line="201"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We have identified the need to expand and improve our information technology systems and personnel to support historical and expected future growth. As such, we are in the process of implementing, and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leverage our e-commerce channels, fulfill provider and customer orders,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spacing w:after="0" w:line="37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If we fail to adopt new technologies or adapt our e-commerce websites and systems to changing consumer requirements or emerging industry standards, our business may be materially and adversely affected.</w:t>
      </w:r>
    </w:p>
    <w:p>
      <w:pPr>
        <w:spacing w:after="0" w:line="201"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To remain competitive, we must continue to enhance and improve the responsiveness, functionality and features of our information technology, including our e-commerce websites and mobile applications. Our competitors are continually innovating and introducing new products to increase their consumer base and enhance user experience. As a result, in order to</w:t>
      </w: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attract and retain consumers and compete against our competitors, we must continue to invest resources to enhance our information technology and improve our existing products and services for our consumers. The Internet and the online retail industry are characterized by rapid technological evolution, changes in consumer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in a cost-effective and timely way. The development of our e-commerce websites and other proprietary technology entails significant technical and business risks. There can be no assurance that we will be able to properly implement or use new technologies effectively or adapt our e-commerce websites and systems to meet consumer requirements or emerging industry standards. If we are unable to adapt in a cost-effective and timely manner in response to changing market conditions or consumer requirements, whether for technical, legal, financial or other reasons, our business, financial condition and results of operations may be materially and adversely affected.</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Failure to protect sensitive information of our consumers and information technology systems against security breaches could damage our reputation and brand and substantially harm our business, financial condition and results of operations.</w:t>
      </w:r>
    </w:p>
    <w:p>
      <w:pPr>
        <w:spacing w:after="0" w:line="240" w:lineRule="exact"/>
        <w:rPr>
          <w:sz w:val="20"/>
          <w:szCs w:val="20"/>
          <w:color w:val="auto"/>
        </w:rPr>
      </w:pPr>
    </w:p>
    <w:p>
      <w:pPr>
        <w:ind w:right="400"/>
        <w:spacing w:after="0" w:line="293" w:lineRule="auto"/>
        <w:rPr>
          <w:sz w:val="20"/>
          <w:szCs w:val="20"/>
          <w:color w:val="auto"/>
        </w:rPr>
      </w:pPr>
      <w:r>
        <w:rPr>
          <w:rFonts w:ascii="Arial" w:cs="Arial" w:eastAsia="Arial" w:hAnsi="Arial"/>
          <w:sz w:val="15"/>
          <w:szCs w:val="15"/>
          <w:color w:val="auto"/>
        </w:rPr>
        <w:t>We collect, maintain, transmit and store data about our consumers, suppliers and others, including personal information, financial information, including consumer payment information, as well as other confidential and proprietary information important to our business. We also employ third-party service providers that collect, store, process and transmit personal information, and confidential, proprietary and financial information on our behalf.</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We have in place certain technical and organizational measures designed to maintain the security of critical proprietary, personal, employee, provider and financial data. Despite implementation of such measures, our information technology systems, as well as those of our service providers and of third parties with which we have relationships, could still be vulnerable to failure or damage from computer viruses and other malware (e.g., ransomware), unauthorized access or other cybersecurity attacks, natural disasters (including hurricanes), terrorism, war, fire, and telecommunication or electrical failures. We and our service providers may not be able to prevent third parties, including criminals, competitors or others, from breaking into or altering our systems, disrupting business operations or communications infrastructure through denial-of-service attacks, attempting to gain access to our systems, information or monetary funds through phishing or social engineering campaigns, installing viruses or malicious software on our e-commerce websites or devices used by our employees or contractors, or carrying out other activity intended to disrupt our systems or gain access to confidential or sensitive information in our or our service providers’ systems.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Even though we do not believe that we have experienced any significant security incident to date, we cannot guarantee that our security measures will be sufficient to prevent a material breach or compromise in the future.</w:t>
      </w:r>
    </w:p>
    <w:p>
      <w:pPr>
        <w:spacing w:after="0" w:line="376"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Furthermore, any third parties that could gain unauthorized access to our systems may engage in various other illegal activities using information gained from such access, including credit card fraud or identity theft, which may cause additional harm to us, our consumers and our brand. We may also be vulnerable to error or malfeasance by our own employees or other insiders with access to our systems. Third parties may attempt to fraudulently induce our or our service providers’ employees to misdirect funds or to disclose information in order to gain access to personal data we maintain about our consumers or website users. In addition, we have limited control or influence over the security policies or measures adopted by third-party providers of online payment services through which some of our consumers may elect to make payment for purchases at our e-commerce websites. Contracted third-party delivery service providers may also violate their confidentiality or data processing obligations and disclose or use information about our consumers inadvertently or illegally.</w:t>
      </w:r>
    </w:p>
    <w:p>
      <w:pPr>
        <w:spacing w:after="0" w:line="184" w:lineRule="exact"/>
        <w:rPr>
          <w:sz w:val="20"/>
          <w:szCs w:val="20"/>
          <w:color w:val="auto"/>
        </w:rPr>
      </w:pPr>
    </w:p>
    <w:p>
      <w:pPr>
        <w:ind w:right="260"/>
        <w:spacing w:after="0" w:line="272" w:lineRule="auto"/>
        <w:rPr>
          <w:sz w:val="20"/>
          <w:szCs w:val="20"/>
          <w:color w:val="auto"/>
        </w:rPr>
      </w:pPr>
      <w:r>
        <w:rPr>
          <w:rFonts w:ascii="Arial" w:cs="Arial" w:eastAsia="Arial" w:hAnsi="Arial"/>
          <w:sz w:val="15"/>
          <w:szCs w:val="15"/>
          <w:color w:val="auto"/>
        </w:rPr>
        <w:t>If a material security breach were to occur, our reputation and brand could be damaged, and we could be required to expend significant capital and other resources to alleviate problems caused by such breaches including exposure of litigation or regulatory action and a risk of loss and possible liability. If a security breach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compromise or breach of our security measures, or those of our third-party service providers, may violate applicable privacy, data security, financial, cyber and other laws and cause significant legal and financial exposure, negative publicity, and a loss of</w:t>
      </w: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confidence in our security measures, all of which could have a material adverse effect on our business, financial condition and results of operations.</w:t>
      </w:r>
    </w:p>
    <w:p>
      <w:pPr>
        <w:spacing w:after="0" w:line="229" w:lineRule="exact"/>
        <w:rPr>
          <w:sz w:val="20"/>
          <w:szCs w:val="20"/>
          <w:color w:val="auto"/>
        </w:rPr>
      </w:pPr>
    </w:p>
    <w:p>
      <w:pPr>
        <w:ind w:right="240"/>
        <w:spacing w:after="0" w:line="272" w:lineRule="auto"/>
        <w:rPr>
          <w:sz w:val="20"/>
          <w:szCs w:val="20"/>
          <w:color w:val="auto"/>
        </w:rPr>
      </w:pPr>
      <w:r>
        <w:rPr>
          <w:rFonts w:ascii="Arial" w:cs="Arial" w:eastAsia="Arial" w:hAnsi="Arial"/>
          <w:sz w:val="15"/>
          <w:szCs w:val="15"/>
          <w:color w:val="auto"/>
        </w:rPr>
        <w:t>Although we maintain cyber liability insurance, we cannot be certain that our insurance coverage will be adequate for all breach-related liabilities or that insurance will continue to be available to us on economically reasonable terms, or at all.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third-party service providers, then our reputation, business, results of operations and financial condition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methods used on our e-commerce websites subject us to third-party payment processing-related risks.</w:t>
      </w:r>
    </w:p>
    <w:p>
      <w:pPr>
        <w:spacing w:after="0" w:line="21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We accept payments from our consumers using a variety of methods, including online payments with credit cards and debit cards issued by major banks, payments made with gift cards processed by third-party providers and payments through third-party online payment platforms such as PayPal, Afterpay and Apple Pay. We also rely on third parties to provide payment processing services. For certain payment methods, including credit and debit cards, we pay interchange and other fees, which may increase over time and raise our operating costs and lower our profit margins. We may also be subject to fraud and other illegal activities in connection with the various payment methods we offers, including online payment options and gift cards. Transactions on our e-commerce websites are card-not-present transactions, so they present a greater risk of fraud. Criminals are using increasingly sophisticated methods to engage in illegal activities such as unauthorized use of credit or debit cards and bank account information. Requirements relating to consumer authentication and fraud detection with respect to online sales are complex.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204"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We are subject to payment card association operating rules, certification requirements, including the Payment Card Industry Data Security Standard (“PCI DSS”), and various rules, regulations and requirements governing electronic funds transfers, which could change or be reinterpreted to make it difficult or impossible for us to comply. Our, or our vendors’, actual or perceived failure to comply with PCI DSS or to meet other payment card standards may result in the imposition of financial penalties or the allocation by the card brands of the costs of fraudulent charges to us. As our business changes, we may also be subject to different rules under existing standards, which may require new assessments that involve costs above what it currently pays for compliance. If we fail to comply with the rules or requirements of any provider of a payment method we accept, or if the volume of fraud in our transactions limits or terminates our rights to use payment methods we currently accept, or if a data breach occurs relating to our payment systems, among other things, we may be subject to fines and higher transaction fees and lose our ability to accept credit and debit card payments from our consumers, process electronic funds transfers or facilitate other types of online payments, and our reputation and our business, financial condition and results of operations could be materially and adversely affected.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conducting business internationally</w:t>
      </w:r>
    </w:p>
    <w:p>
      <w:pPr>
        <w:spacing w:after="0" w:line="22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i w:val="1"/>
          <w:iCs w:val="1"/>
          <w:color w:val="auto"/>
        </w:rPr>
        <w:t>International sales and operations comprise a significant portion of our business, which exposes us to foreign operational, political and other risks that may harm our business.</w:t>
      </w:r>
    </w:p>
    <w:p>
      <w:pPr>
        <w:spacing w:after="0" w:line="201"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We generate an increasing share of our revenue from international sales and maintain international operations, including supply and distribution chains that are, and will continue to be, a significant part of our business. Since our growth strategy depends in part on our ability to penetrate international markets and increase the localization of our products and services, we expect to continue to increase our sales and presence outside the United States, particularly in markets we believe to have high-growth potential. The substantial up-front investment required, the lack of consumer awareness of our products in certain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jurisdictions, and which make the success of our international efforts uncertain.</w:t>
      </w:r>
    </w:p>
    <w:p>
      <w:pPr>
        <w:spacing w:after="0" w:line="18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Moreover, our reliance on international operations exposes us to other risks and uncertainties that are customarily encountered in non-U.S. operations and that may have a material effect on our results of operations and business as a whole, including: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HydraFacial’s products;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hiring and retaining employees;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employment practices and laws and labor disruptions;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pandemics, such as the COVID-19 pandemic, and natural disasters;</w:t>
      </w:r>
    </w:p>
    <w:p>
      <w:pPr>
        <w:ind w:left="640" w:right="160" w:hanging="31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imposed on HydraFacial or HydraFacial’s customers, such as those imposed in response to the COVID-19 pandemic;</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exchange controls that could make it difficult to repatriate earnings and cash;</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import and export controls, license requirements and restrictions;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ind w:left="640" w:right="220" w:hanging="316"/>
        <w:spacing w:after="0" w:line="258" w:lineRule="auto"/>
        <w:tabs>
          <w:tab w:leader="none" w:pos="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general geopolitical instability and the responses to it, such as the possibility of economic sanctions, trade restrictions and changes in tariffs, such as recent economic sanctions implemented by the United States against China and Russia and tariffs imposed by the United States and China;</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ind w:left="640" w:right="300" w:hanging="31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customs clearance, violence, protests, police and military actions, or natural disasters;</w:t>
      </w:r>
    </w:p>
    <w:p>
      <w:pPr>
        <w:ind w:left="640" w:right="220" w:hanging="316"/>
        <w:spacing w:after="0" w:line="258" w:lineRule="auto"/>
        <w:tabs>
          <w:tab w:leader="none" w:pos="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risks of non-compliance by HydraFacial’s employees, contractors, or partners or agents with, and burdens of complying with, a wide variety of extraterritorial, regional and local laws, including competition laws and anti-bribery laws such as the U.S. Foreign Corrupt Practices Act (“FCPA”) and the UK Bribery Act 2010 (the “UKBA”), in spite of HydraFacial’s policies and procedures designed to promote compliance with these laws;</w:t>
      </w:r>
    </w:p>
    <w:p>
      <w:pPr>
        <w:ind w:left="640" w:right="220" w:hanging="31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government-led initiatives to encourage the purchase or support of domestic vendors, which can affect the willingness of customers to purchase products from, or collaborate to promote interoperability of products with, companies whose headquarters or primary operations are not domestic;</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obtain or maintain adequate intellectual property protection for HydraFacial’s brand and products;</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payment cycles and greater difficulty in accounts receivable collection;</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legal system subject to undue influence or corruption;</w:t>
      </w:r>
    </w:p>
    <w:p>
      <w:pPr>
        <w:ind w:left="560" w:hanging="236"/>
        <w:spacing w:after="0" w:line="215"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business culture in which illegal sales practices may be prevalent; and</w:t>
      </w: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03"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If any of the risks outlined above materialize in the future, we could experience production delays and lost or delayed revenues, among other potential negative consequences that could materially impact our international operations and adversely affect our business as a whole.</w:t>
      </w:r>
    </w:p>
    <w:p>
      <w:pPr>
        <w:spacing w:after="0" w:line="183"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i w:val="1"/>
          <w:iCs w:val="1"/>
          <w:color w:val="auto"/>
        </w:rPr>
        <w:t>Adverse economic conditions in the United States, Europe or any of the other countries in which we may conduct business could negatively affect our business, financial condition and results of operations.</w:t>
      </w:r>
    </w:p>
    <w:p>
      <w:pPr>
        <w:spacing w:after="0" w:line="20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Consumer spending on beauty health products and services is influenced by general economic conditions and the availability of discretionary income. Adverse economic conditions in the United States, Europe or any of the other jurisdictions in which we do significant business, or periods of inflation or high energy prices may contribute to higher unemployment levels, decreased consumer spending, reduced credit availability and declining consumer confidence and demand, each of which poses a risk to our business. A decrease in consumer spending or in consumer confidence and demand for our products could have a significant negative impact on our net sales and profitability, including our operating margins and return on invested capital. These economic conditions could cause some of our providers or suppliers to experience cash flow or credit problems and impair their financial condition, which could disrupt our business and adversely affect product orders, payment patterns and default rates and increase our bad debt expense.</w:t>
      </w:r>
    </w:p>
    <w:p>
      <w:pPr>
        <w:spacing w:after="0" w:line="18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United Kingdom from the European Union are a source of instability and uncertainty.</w:t>
      </w:r>
    </w:p>
    <w:p>
      <w:pPr>
        <w:spacing w:after="0" w:line="201"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On January 31, 2020, the United Kingdom formally withdrew from the EU. Uncertainties regarding trade arrangements between the United Kingdom and the EU resulting from such withdrawal could result in increased costs or otherwise adversely impact our operations in the EU and the United Kingdom. We distribute our products to our EU based providers and distributors from the United Kingdom. Depending on tariffs and trade regulation negotiations, we may be forced to acquire duplicate arrangements in the EU either temporarily or permanently, which may increase our costs in the EU and the United Kingdom.</w:t>
      </w:r>
    </w:p>
    <w:p>
      <w:pPr>
        <w:spacing w:after="0" w:line="17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Further, since the United Kingdom is no longer part of the EU, its data protection regulatory regime will be independent of the EU. From January 1, 2021, companies have had to comply with the GDPR and also the United Kingdom GDPR (“UK GDPR”), which, together with the amended United Kingdom Data Protection Act 2018, retains the GDPR in UK national law. The UK</w:t>
      </w: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GDPR mirrors the fines under the GDPR, i.e.,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In addition, the longer term economic, legal, political, regulatory and social framework to be put in place between the United Kingdom and the EU remain unclear and have had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growing operations in China, which exposes us to risks inherent in doing business in that country.</w:t>
      </w:r>
    </w:p>
    <w:p>
      <w:pPr>
        <w:spacing w:after="0" w:line="21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currently source components in China and do not have substantial alternatives to those suppliers. We also utilize warehouse services provided by our third-party distributors. With the rapid development of the Chinese economy, the cost of labor has increased and may continue to increase in the future. Our results of operations will be materially and adversely affected if our labor costs, or the labor costs of our suppliers, increase significantly. In addition, our suppliers may not be able to find a sufficient number of qualified workers due to the intensely competitive and fluid market for skilled labor in China. Furthermore, pursuant to Chinese labor laws, employers in China are subject to various requirements when signing labor contracts, paying remuneration, determining the term of employees’ probation and unilaterally terminating labor contracts. These labor laws and related regulations impose liabilities on employers and may significantly increase the costs of workforce reductions. If we decide to change or reduce our workforce, these labor laws could limit or restrict our ability to make such changes in a timely, favorable and effective manner. Additionally, the Chinese government may impose additional regulations regarding ingredients and composition and these regulations may affect our products. Any of these events may materially and adversely affect our business, financial condition and results of operations.</w:t>
      </w:r>
    </w:p>
    <w:p>
      <w:pPr>
        <w:spacing w:after="0" w:line="20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Operating in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environmental regulations, land use rights, intellectual property, currency controls, network security, employee benefits, hygiene supervision and other matters. In addition, we or our suppliers may not obtain or retain the requisite legal permits to continue to operate in China, and costs or operational limitations may be imposed in connection with obtaining and complying with such permits. In addition, Chinese trade regulations are in a state of flux, and we may become subject to other forms of taxation, tariffs and duties in China. 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 See also “</w:t>
      </w:r>
      <w:r>
        <w:rPr>
          <w:rFonts w:ascii="Arial" w:cs="Arial" w:eastAsia="Arial" w:hAnsi="Arial"/>
          <w:sz w:val="15"/>
          <w:szCs w:val="15"/>
          <w:i w:val="1"/>
          <w:iCs w:val="1"/>
          <w:color w:val="auto"/>
        </w:rPr>
        <w:t>Recent and potential additional tariffs imposed by the United States government or a global trade war</w:t>
      </w:r>
      <w:r>
        <w:rPr>
          <w:rFonts w:ascii="Arial" w:cs="Arial" w:eastAsia="Arial" w:hAnsi="Arial"/>
          <w:sz w:val="15"/>
          <w:szCs w:val="15"/>
          <w:color w:val="auto"/>
        </w:rPr>
        <w:t xml:space="preserve"> </w:t>
      </w:r>
      <w:r>
        <w:rPr>
          <w:rFonts w:ascii="Arial" w:cs="Arial" w:eastAsia="Arial" w:hAnsi="Arial"/>
          <w:sz w:val="15"/>
          <w:szCs w:val="15"/>
          <w:i w:val="1"/>
          <w:iCs w:val="1"/>
          <w:color w:val="auto"/>
        </w:rPr>
        <w:t>could increase the cost of our products, which could materially and adversely affect our business, financial condition and results of operations.</w:t>
      </w:r>
      <w:r>
        <w:rPr>
          <w:rFonts w:ascii="Arial" w:cs="Arial" w:eastAsia="Arial" w:hAnsi="Arial"/>
          <w:sz w:val="15"/>
          <w:szCs w:val="15"/>
          <w:color w:val="auto"/>
        </w:rPr>
        <w:t>”</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Recent and potential additional tariffs imposed by the United States government or a global trade war could increase the cost of our products, which could materially and adversely affect our business, financial condition and results of operations.</w:t>
      </w:r>
    </w:p>
    <w:p>
      <w:pPr>
        <w:spacing w:after="0" w:line="20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U.S. government has imposed increased tariffs on certain imports from China, some of which cover products that we import from that country. We currently source important components for our products from third-party suppliers in China, and, as such, current tariffs may increase our cost of goods, which may result in lower gross margin on certain of our products. In any case, increased tariffs on imports from China could materially and adversely affect our business, financial condition and results of operations. In retaliation for the current U.S. tariffs, China has implemented tariffs on a wide range of American products. There is also a concern that the imposition of additional tariffs by the United States could result in the adoption of tariffs by other countries as well, leading to a global trade war. Trade restrictions implemented by the United States or other countries in connection with a global trade war could materially and adversely affect our business,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evolving laws and regulations and compliance with laws and regulations</w:t>
      </w:r>
    </w:p>
    <w:p>
      <w:pPr>
        <w:spacing w:after="0" w:line="223"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b w:val="1"/>
          <w:bCs w:val="1"/>
          <w:i w:val="1"/>
          <w:iCs w:val="1"/>
          <w:color w:val="auto"/>
        </w:rPr>
        <w:t>New laws, regulations, enforcement trends or changes in existing regulations governing the introduction, marketing and sale of our products to consumers could harm our business.</w:t>
      </w:r>
    </w:p>
    <w:p>
      <w:pPr>
        <w:spacing w:after="0" w:line="20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There has been an increase in regulatory activity and activism in the United States and abroad, and the regulatory landscape is becoming more complex with increasingly strict requirements. If this trend continues, we may find it necessary to alter some of the ways we have traditionally manufactured and marketed our products in order to stay in compliance with a changing regulatory landscape, and this could add to the costs of our operations and have an adverse impact on our business. To the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extent federal, state, local or foreign regulatory changes regarding licensing, distribution, consumer protection, or the ingredients, claims or safety of our products occurs in the future, they could require us to obtain additional licenses and registrations, reformulate or discontinue certain of our products, revise the product packaging or labeling, or adjust operations and systems,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including those for medical devices, could result in enforcement action by the FDA or other regulatory authorities within or outside the United States, including state and local regulatory authorities, with actions including but not limited to product seizures, injunctions, product recalls and criminal or civil monetary penalties, all of which could have a material adverse effect on our business, financial condition and results of operations.</w:t>
      </w:r>
    </w:p>
    <w:p>
      <w:pPr>
        <w:spacing w:after="0" w:line="205"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In the United States, the FDA does not currently require pre-market approval for products intended to be sold as cosmetics and that meet regulatory requirements for cosmetics. However, the FDA may in the future require pre-market approval, clearance or registration/notification of cosmetic products, establishments or manufacturing facilities. Moreover, such products could also be regulated as both drugs and cosmetics simultaneously, as the categories are not mutually exclusive. The statutory and regulatory requirements applicable to drugs are extensive and require significant resources and time to ensure compliance. For example, if any of our products intended to be sold as cosmetics were to be regulated as drugs or as medical device accessories, we might be required to conduct, among other things, clinical trials to demonstrate the safety and efficacy of these products. We may not have sufficient resources to conduct any required clinical trials or to ensure compliance with the premarket, post market and manufacturing requirements applicable to drugs and medical devices. If the FDA determines that any of our products intended to be sold as cosmetics should be classified and regulated as drug or medical device products and it is unable to comply with applicable requirements, we may be unable to continue to market those products. Any inquiry into the regulatory status of our products and any related interruption in the marketing and sale of these products could damage our reputation and image in the marketplace.</w:t>
      </w:r>
    </w:p>
    <w:p>
      <w:pPr>
        <w:spacing w:after="0" w:line="18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In recent years, the FDA has issued warning letters to several cosmetic companies alleging improper claims regarding their cosmetic products. If the FDA determines that we have disseminated inappropriate drug claims for our products intended to be sold as cosmetics, we could receive a warning or untitled letter, be required to modify our product claims or take other actions to satisfy the FDA, including product recalls. In addition, plaintiffs’ lawyers have filed class action lawsuits against cosmetic companies after receipt of these types of FDA warning letters. There can be no assurance that we will not be subject to state and federal government actions or class action lawsuits, which could harm our business, financial condition and results of operations.</w:t>
      </w:r>
    </w:p>
    <w:p>
      <w:pPr>
        <w:spacing w:after="0" w:line="17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EU does not currently require pre-market approval for cosmetic products, but all products to be marketed in the EU must be registered in the cosmetic products notification portal (“CPNP”) before being placed on the market. In addition, there is a ban on animal testing for cosmetic purposes and finished cosmetic products or ingredients which were tested on animals may not be marketed in the EU. A product will be considered a drug if it is intended to or presented as treating or preventing a disease or restoring, correcting or modifying significantly physiological functions by a pharmacological, immunological or metabolic action. Similarly to the United States, the statutory and regulatory requirements applicable to drugs and medical devices are extensive and require significant resources and time to ensure compliance.</w:t>
      </w:r>
    </w:p>
    <w:p>
      <w:pPr>
        <w:spacing w:after="0" w:line="203"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Additional state, federal and foreign requirements may be imposed on consumer products as well as cosmetics, cosmetic ingredients, or the labeling and packaging of products intended for use as cosmetics. For example, several lawmakers are currently focused on giving the FDA additional authority to regulate cosmetics and their ingredients. This increased authority could require the FDA to impose increased testing and manufacturing requirements on cosmetic manufacturers or cosmetics or their ingredients before they may be marketed. We are unable to ascertain what, if any, impact any increased statutory or regulatory requirements may have on our business.</w:t>
      </w:r>
    </w:p>
    <w:p>
      <w:pPr>
        <w:spacing w:after="0" w:line="204"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We also may begin to sell consumer products, which are subject to regulation by the CPSC in the United States under the provisions of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The CPSC also requires manufacturers of consumer products to report certain types of information to the CPSC regarding products that fail to comply with applicable regulations. Certain state laws also address the safety of consumer products, and mandate reporting requirements, and noncompliance may result in penalties or other regulatory action. Similar requirements may exist in foreign jurisdictions.</w:t>
      </w:r>
    </w:p>
    <w:p>
      <w:pPr>
        <w:spacing w:after="0" w:line="184"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Our business is subject to extensive and continuing regulatory compliance obligations. If we fail to obtain and maintain necessary market clearances from the FDA and other marketing authorizations or certifications from counterpart foreign regulatory authorities or notified bodies for our medical device products and indications, if clearances or other marketing authorizations or certifications for future products and indications are delayed or not issued, if we or any third-party</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b w:val="1"/>
          <w:bCs w:val="1"/>
          <w:i w:val="1"/>
          <w:iCs w:val="1"/>
          <w:color w:val="auto"/>
        </w:rPr>
        <w:t>suppliers or manufacturers fail to comply with applicable regulatory requirements, or if there are U.S. federal or state level or comparable foreign regulatory changes, our commercial operations could be harmed.</w:t>
      </w:r>
    </w:p>
    <w:p>
      <w:pPr>
        <w:spacing w:after="0" w:line="201"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Our products are subject to extensive regulation by the applicable regulatory authorities where our products are or will be sold prior to their marketing for commercial use. In the United States, medical device products are subject to extensive regulation by the FDA for developing, testing, manufacturing, labeling, sale, marketing, advertising, promotion, distribution, import, export, shipping, establishment registration and device listing, inspections and audits, record keeping, recalls and field safety corrective actions and post-market surveillance, including reporting of certain events. The HydraFacial Delivery System is subject to regulation by the FDA and comparable foreign regulatory authorities as a medical device, while our boosters and serums are marketed as cosmetics.</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Before a new medical device, or a new use of, or claim for, an existing medical device product can be marketed in the United States, it must first receive marketing authorization from the FDA unless it is exempt. The FDA marketing authorizations for medical devices include a clearance of a premarket notification under Section 510(k) of the Federal Food, Drug, and Cosmetic Act (or a 510(k) clearance) or premarket approval of a Premarket Approval Application. Some devices may be exempt from 510(k) clearance, receive enforcement discretion from the FDA or may receive marketing authorization through the de novo classification pathway. Authorization processes can be expensive and lengthy. The FDA’s 510(k) clearance process usually takes from three to 12 months, but it can last longer. The process of obtaining premarket approval is much more costly and uncertain than the 510(k) clearance process and it generally takes from one to three years, or even longer, from the time the application is submitted to the FDA. Our future products and enhancements or changes to products may require new 510(k) clearance, premarket approval, authorization from the FDA or listing with the FDA, as well as state licenses as may be applicable to the manufacturing or distribution of medical devices. The currently marketed medical devices are marketed pursuant to 510(k) clearances we have obtained or are exempt from the requirement to obtain such clearance or other form of marketing authorization.</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Medical devices may be marketed only for the indications for which they are approved or cleared, or for which they are classified as exempt from such clearance. If the FDA disagrees with us concerning the scope or applicability of a clearance or exemption with respect to a device or its marketing, we may be required to change its promotional and/or labeling materials and/or stop marketing that device and may need to pursue additional authorizations or conduct product recalls, corrections or removals. Changes or modifications to an FDA-cleared device that could significantly affect its safety or effectiveness or that constitute a major change or modification in its intended use would require a new 510(k) clearance or possibly premarket approval. For example, the FDA could assert that the marketing and distribution of our cleared devices are not within the cleared indications and require a new 510(k) clearance or possibly premarket approval. We may not be able to obtain additional 510(k) clearances or premarket approvals for new products or for modifications to, or additional indications for, existing products in a timely fashion, or at all and may be found by the FDA to be in violation of these authorities. Delays in obtaining future clearances, authorizations or approvals would adversely affect our ability to continue marketing existing medical device products or introduce new or enhanced products in a timely manner, which in turn would harm its revenue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In the EU, until May 25, 2021, medical devices were regulated by the Council Directive 93/42/EEC (the “Medical Devices Directive”), which has been repealed and replaced by Regulation (EU) No 2017/745 (the “Medical Devices Regulation”) which became effective on May 26, 2021. Our current certificates have been granted and renewed under the Medical Devices Directive. Devices lawfully placed on the market pursuant to the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as of May 26, 2021, manufacturers must comply with the Medical Devices Regulation requirements applying in place of the corresponding requirements of the Medical Devices Directive with regard to registration of economic operators and of devices, post-market surveillance, market surveillance and vigilance requirements.</w:t>
      </w:r>
    </w:p>
    <w:p>
      <w:pPr>
        <w:spacing w:after="0" w:line="184"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including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3"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To demonstrate compliance with the essential requirements, medical device manufacturers must undergo a conformity assessment procedure, which varies according to the type of medical device and its (risk) classification. As a general rule,</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09"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the EU, we must inform the notified body that carried out the conformity assessment of the medical devices that we market or sell in the EU of any planned substantial changes to the quality system or substantial changes to our medical devices that could affect compliance with the general safety and performance requirements or cause a substantial change to the intended use for which the device has been CE marked. The notified body will then assess the planned changes and verify whether they affect the products’ ongoing conformity with the applicable legislation. If the assessment is favorable, the notified body will issue a new certificate of conformity or an addendum to the existing certificate attesting compliance with the general safety and performance requirements and quality system requirements.</w:t>
      </w:r>
    </w:p>
    <w:p>
      <w:pPr>
        <w:spacing w:after="0" w:line="203"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Pursuing marketing of medical devices in the EU will require devices to be certified under the new regime set forth in the Medical Devices Regulation when our current certificates expire. If we fail to remain in compliance with applicable EU legislation, we would be unable to continue to affix the CE mark to its products, which would prevent us from selling them within the EU and the European Economic Area (“EEA”) (which consists of the 27 EU member states plus Norway, Liechtenstein and Iceland).</w:t>
      </w:r>
    </w:p>
    <w:p>
      <w:pPr>
        <w:spacing w:after="0" w:line="201" w:lineRule="exact"/>
        <w:rPr>
          <w:sz w:val="20"/>
          <w:szCs w:val="20"/>
          <w:color w:val="auto"/>
        </w:rPr>
      </w:pPr>
    </w:p>
    <w:p>
      <w:pPr>
        <w:ind w:right="280"/>
        <w:spacing w:after="0" w:line="222" w:lineRule="auto"/>
        <w:rPr>
          <w:sz w:val="20"/>
          <w:szCs w:val="20"/>
          <w:color w:val="auto"/>
        </w:rPr>
      </w:pPr>
      <w:r>
        <w:rPr>
          <w:rFonts w:ascii="Arial" w:cs="Arial" w:eastAsia="Arial" w:hAnsi="Arial"/>
          <w:sz w:val="18"/>
          <w:szCs w:val="18"/>
          <w:color w:val="auto"/>
        </w:rPr>
        <w:t>The FDA or the applicable foreign regulatory bodies and notified bodies can delay, limit or deny clearance, approval or certification of a device for many reasons. In addition, the FDA or applicable foreign regulatory bodies may change their clearance, approval and certification policies, adopt additional regulations or revise existing regulations, or take other actions, which may prevent or delay approval, clearance or certification of future products under development or impact our ability to modify currently cleared or certified products on a timely basis. Such policy or regulatory changes could impose additional requirements that could delay our ability to obtain new clearances, increase the costs of compliance or restrict our ability to maintain our current clearances.</w:t>
      </w:r>
    </w:p>
    <w:p>
      <w:pPr>
        <w:spacing w:after="0" w:line="20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Additionally regulatory clearances, approvals or certifications to market a product can contain limitations on the indicated uses for such product. Product clearances, approvals and certifications can be withdrawn due to failure to comply with regulatory standards or the occurrence of unforeseen problems following initial clearance, approval or certification. FDA and foreign regulations depend heavily on administrative interpretation, and there can be no assurance that future interpretations made by the FDA or other regulatory bodies or notified bodies will not adversely affect our operations. We and our manufacturers may be inspected or audited by the FDA or other regulatory bodies and notified bodies from time to time to determine whether we or our manufacturers are in compliance with applicable laws. A determination that we are in violation of FDA or other applicable foreign laws and regulations or any of our product clearances, approvals or certifications could lead to imposition of civil penalties, including fines, product recalls or product seizures and, in certain cases, criminal sanctions.</w:t>
      </w:r>
    </w:p>
    <w:p>
      <w:pPr>
        <w:spacing w:after="0" w:line="20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b w:val="1"/>
          <w:bCs w:val="1"/>
          <w:i w:val="1"/>
          <w:iCs w:val="1"/>
          <w:color w:val="auto"/>
        </w:rPr>
        <w:t>Our facilities are subject to regulation under the Federal Food, Drug and Cosmetic Act (the “FDCA”) and FDA implementing regulations governing the manufacture of our products. If we fail to comply with federal, state and foreign regulations, our manufacturing operations could be halted, and our business would suffer.</w:t>
      </w:r>
    </w:p>
    <w:p>
      <w:pPr>
        <w:spacing w:after="0" w:line="203"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Our facilities are subject to regulation under the FDCA and FDA implementing regulations. With respect to our medical device products, we are required to demonstrate and maintain compliance with the FDA’s current Good Manufacturing Practices, referred to as the Quality System Regulation (“QSR”). The QSR is a complex regulatory scheme that covers the methods and documentation of the design, testing, control, manufacturing, labeling, quality assurance, packaging, storage and shipping of medical device products. The FDA enforces the QSR through periodic announced or unannounced inspections. We are subject to such inspections. Any failure by us to take satisfactory corrective action in response to an adverse inspection could result in enforcement actions against us,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 Any of these actions could significantly and negatively impact the supply of our products, and could cause our sales and business to suffer. In addition, we are subject to standards imposed on our activities outside of the United States. A failure to comply with applicable regulations</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governing the manufacture of our products could have a material adverse effect on our business, financial condition and results of operations.</w:t>
      </w:r>
    </w:p>
    <w:p>
      <w:pPr>
        <w:spacing w:after="0" w:line="22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b w:val="1"/>
          <w:bCs w:val="1"/>
          <w:i w:val="1"/>
          <w:iCs w:val="1"/>
          <w:color w:val="auto"/>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203"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The use, misuse or off-label use of our products may harm our reputation or the image of our products in the marketplace, result in injuries that lead to product liability suits, which could be costly to the business, or result in legal sanctions if we are deemed or alleged to have engaged in off-label promotion.</w:t>
      </w:r>
    </w:p>
    <w:p>
      <w:pPr>
        <w:spacing w:after="0" w:line="138"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Our medical device products are either exempt from marketing authorization requirements or are subject to the 510(k) clearance process or certification outside the United States. We may only use labeling, including promotional materials, that are consistent with the specific indication(s) for use included in the FDA exemption regulation, 510(k) clearance or certification, or in the case of our cosmetic products, that are consistent with the kinds of claims that are permitted to be used for cosmetics, and as applicable to the specific product. If the FDA or other authorities determine that our promotional or training materials constitute the unlawful promotion of an off-label use, they could request that we modify our training or promotional materials and/or subject us to regulatory or enforcement actions, including the issuance of an untitled letter, a warning letter, civil money penalties, seizure, injunction or criminal fines and penalties.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addition, there may be increased risk of injury if we or our sales force markets or physicians, a/estheticians, or others attempt to use our products off-label. The FDA and other foreign authorities do not restrict or regulate a physician’s or other licensed professional’s use of a medical product within the scope of practice of medicine or other licensed activity, and we cannot prevent the use of our products off-label. The use of our products for indications other than those for which our products have been cleared by the FDA or certified by a notified body, or that are permitted under the scope of any regulation establishing an exemption from 510(k) clearance, may not have the intended effect, which could harm our reputation in the marketplace. Physicians, a/estheticians, and others may also misuse our products or use improper techniques if they are not adequately trained in the particular use, potentially leading to injury and an increased risk of product liability. Product liability claims are expensive to defend and could divert management’s attention from the primary business and result in substantial damage awards against us. Any of these events could harm our business, results of operations and financial condition.</w:t>
      </w:r>
    </w:p>
    <w:p>
      <w:pPr>
        <w:spacing w:after="0" w:line="18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i w:val="1"/>
          <w:iCs w:val="1"/>
          <w:color w:val="auto"/>
        </w:rPr>
        <w:t>Government regulations and private party actions relating to the marketing and advertising of our products and services may restrict, inhibit or delay our ability to sell our products and harm our business, financial condition and results of operations.</w:t>
      </w:r>
    </w:p>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Government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spacing w:after="0" w:line="18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0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are subject to the FDA’s medical device reporting regulations and similar foreign regulations, which require us to report to the FDA or foreign regulatory authorities when, among other things, we receive or become aware of certain information reasonably suggesting that our products may have caused or contributed to serious injuries or may have malfunctioned in certain ways. The timing of the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letters, administrative actions, criminal prosecution, imposition of civil monetary penalties, revocation of device clearance, seizure of products or delay in clearance of future products.</w:t>
      </w:r>
    </w:p>
    <w:p>
      <w:pPr>
        <w:spacing w:after="0" w:line="20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Companies may also choose to voluntarily recall a product if any material deficiency is found. A government-mandated or voluntary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Depending on the corrective action we take to redress a product’s deficiencies or defects, the FDA or foreign regulatory authorities may require, or we may decide, that we will need to obtain new approvals, clearances or certifications for the product before we may market or distribute the corrected product. Seeking such approvals, clearances or certifications may delay our ability to replace the recalled products in a timely manner. Moreover, if we do not adequately address problems associated with our products, we may face additional regulatory enforcement action, including FDA or foreign regulatory authorities warning letters, product seizure, injunctions, administrative penalties or civil or criminal fines.</w:t>
      </w:r>
    </w:p>
    <w:p>
      <w:pPr>
        <w:spacing w:after="0" w:line="20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that we report those actions as recalls and we may be subject to enforcement action. A future recall announcement could harm our reputation with customers, potentially lead to product liability claims against us and negatively affect sales.</w:t>
      </w:r>
    </w:p>
    <w:p>
      <w:pPr>
        <w:spacing w:after="0" w:line="204"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b w:val="1"/>
          <w:bCs w:val="1"/>
          <w:i w:val="1"/>
          <w:iCs w:val="1"/>
          <w:color w:val="auto"/>
        </w:rPr>
        <w:t>Changes in funding for, or disruptions caused by global health concerns impacting, the FDA and other government agencies or notified bodies could hinder their ability to hire and retain key leadership and other personnel, or otherwise prevent new products from being developed, authorized or commercialized in a timely manner, which could negatively impact our business.</w:t>
      </w:r>
    </w:p>
    <w:p>
      <w:pPr>
        <w:spacing w:after="0" w:line="199"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The ability of the FDA, other government agencies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other government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cleared, approved or certified by necessary government agencies or notified bodies, which would adversely affect our business. For example, over the last several years, the United States government has shut down several times and certain regulatory agencies, such as the FDA, have had to furlough critical FDA employees and stop critical activities.</w:t>
      </w:r>
    </w:p>
    <w:p>
      <w:pPr>
        <w:spacing w:after="0" w:line="373"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color w:val="auto"/>
        </w:rPr>
        <w:t>In addition, in the EU, notified bodies must be officially designated to certify products and services in accordance with the Medical Devices Regulation (EU) No 2017/745 (the “EU Medical Devices Regulation”). While several notified bodies have been designated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w:t>
      </w: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We are subject to a variety of laws and regulations in the United States and abroad governing the collection, use, access to, confidentiality and security of personal information. In the United States, numerous federal and state laws and regulations, including data breach notification laws, information privacy and security laws and consumer protection laws and regulations may apply to our operations. For example, the California Consumer Privacy Act (“CCPA”) creates individual privacy rights for California consumers, increases the privacy and security obligations of entities handling certain personal information, and also establishes significant penalties for noncompliance. The CCPA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In Europe, the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and laid its proposal before Parliament, with the United Kingdom SCCs expected to come into force in March 2022, with a two-year grace period.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379"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In addition, the EU’s institutions are debating the ePrivacy Regulation, which would repeal and replace the current ePrivacy Directive that regulates electronic marketing and use of cookies and tracking technologies. The new guidance and the ePrivacy Regulation would together require extensive disclosure and consent, regulate web beacons and similar technology affecting our ability to use a users’ location and other data for personalized advertising, and alter the ability of advertisers to place ads across social media and the web. Several countries in Europe have also recently issued guidance on the use of cookies and similar tracking technologies which require an additional layer of consent from, and disclosure to, website users for third-party advertising, social media advertising and analytics. Regulation of cookies and similar technologies may lead to broader restrictions on our marketing and personalization activities and may negatively impact our efforts to understand users’ Internet usage, online shopping and other relevant online behaviors, as well as the effectiveness of our marketing and our business generally. Such regulations, including uncertainties about how well the advertising technology ecosystem can adapt to legal changes around the use of tracking technologies, may have a negative effect on businesses, including ours, that collect and use online usage information for consumer acquisition and marketing. The decline of cookies or other online tracking technologies as a means to identify and target potential purchasers may increase the cost of operating our business and lead to a decline 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revenues. In addition, legal uncertainties about the legality of cookies and other tracking technologies may increase regulatory scrutiny and increase potential civil liability under data protection or consumer protection laws.</w:t>
      </w:r>
    </w:p>
    <w:p>
      <w:pPr>
        <w:spacing w:after="0" w:line="201"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cannot yet determine the impact future laws, regulations, standards, or perception of their requirements may have on our business. Compliance with existing, not yet effective, and proposed privacy and data protection laws and regulations can be costly and can delay or impede our ability to market and sell our products, impede our ability to conduct business through websites we and our partners may operate, change and limit the way we use consumer information in operating our business, cause us to have difficulty maintaining a single operating model, result in negative publicity, increase our operating costs, require significant management time and attention, or subject us to inquiries or investigations, claims or other remedies, including significant fines and penalties or demands that we modify or cease existing business practices. In addition,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all of which could affect our business, results of operations, and financial condition.</w:t>
      </w:r>
    </w:p>
    <w:p>
      <w:pPr>
        <w:spacing w:after="0" w:line="20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other applicable anti-corruption and anti-bribery laws, and applicable trade control laws could subject us to penalties and other adverse consequences.</w:t>
      </w:r>
    </w:p>
    <w:p>
      <w:pPr>
        <w:spacing w:after="0" w:line="20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We sell our products in several countries outside of the United States, primarily through distributors. Our operations are subject to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it may transact business, including the trade sanctions enforced by the U.S. Treasury, Office of Foreign Assets Control (“OFAC”).</w:t>
      </w:r>
    </w:p>
    <w:p>
      <w:pPr>
        <w:spacing w:after="0" w:line="221"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U.S. trade control laws, our employees or agents may engage in improper conduct for which we might be held responsible. Any violations of these anti-corruption or trade control laws, or even allegations of such violations, can lead to an investigation and/ 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market products in a manner that violates healthcare laws, we may be subject to civil or criminal penalties.</w:t>
      </w:r>
    </w:p>
    <w:p>
      <w:pPr>
        <w:spacing w:after="0" w:line="2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Although our products are not currently covered by any third-party payor, including any commercial payor or government healthcare program, we may nonetheless be subject to federal and state healthcare laws, including fraud and abuse, anti-kickback, false claims and transparency laws with respect to payments or other transfers of value made to physicians and other healthcare professionals. These laws may impact, among other things, financial arrangements with physicians, sales, marketing and education programs and the manner in which any of those activities are implemented. If our operations are found to be in violation of any of those laws or any other applicable governmental regulations, we may be subject to penalties, including civil and criminal penalties, damages, fines, imprisonment, exclusion from government healthcare programs or the curtailment or restructuring of operations, any of which could adversely affect our ability to operate our business and our financial condition.</w:t>
      </w:r>
    </w:p>
    <w:p>
      <w:pPr>
        <w:spacing w:after="0" w:line="243"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66"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content protection, electronic contracts and communications, consumer protection, social media marketing, third-party cookies, web beacons and</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similar technology for online behavioral advertising and gift cards.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 commerce,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it by governmental entities or others. Any such proceeding or action could hurt our reputation, force us to spend significant amounts in defense of these proceedings, distract management, increase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sites or may even attempt to completely block access to our sites. Adverse legal or regulatory developments could substantially harm our business. In particular, in the event that we are restricted, in whole or in part, from operating in one or more countries, our ability to retain or increase our consumer base may be adversely affected, and it may not be able to maintain or grow our net sales and expand our business as anticipated.</w:t>
      </w:r>
    </w:p>
    <w:p>
      <w:pPr>
        <w:spacing w:after="0" w:line="183"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which, if not corrected, could affect the reliability of our consolidated financial statements and have other adverse consequences.</w:t>
      </w:r>
    </w:p>
    <w:p>
      <w:pPr>
        <w:spacing w:after="0" w:line="20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have identified material weaknesses in our internal control over financial reporting that we are currently working to remediate, which relate to a lack of sufficient accounting resources and our general segregation of duties.</w:t>
      </w:r>
    </w:p>
    <w:p>
      <w:pPr>
        <w:spacing w:after="0" w:line="201" w:lineRule="exact"/>
        <w:rPr>
          <w:sz w:val="20"/>
          <w:szCs w:val="20"/>
          <w:color w:val="auto"/>
        </w:rPr>
      </w:pPr>
    </w:p>
    <w:p>
      <w:pPr>
        <w:jc w:val="both"/>
        <w:ind w:right="100"/>
        <w:spacing w:after="0" w:line="244"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Our management has concluded that these material weaknesses in our internal control over financial reporting are due to the fact that we were a private company with limited resources and do not have the necessary business processes and related internal controls formally designed and implemented coupled with the appropriate resources with the appropriate level of experience and technical expertise to oversee our business processes and controls. We have taken a number of measures to remediate such material weaknesses, however, our management has determined that such material weakness around lack of sufficient accounting resources continued to exist as of December 31, 2021. The material weaknesses will be considered remediated when management designs and implements effective controls that operate for a sufficient period of time and management has concluded, through testing, that these controls are effective. Management will monitor the effectiveness of our remediation plans and will make changes management determines to be appropriate.</w:t>
      </w:r>
    </w:p>
    <w:p>
      <w:pPr>
        <w:spacing w:after="0" w:line="18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not remediated, these material weaknesses could result in further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Class A Common Stock could be adversely affected and we could become subject to litigation or investigations by the NYSE, the SEC, or other regulatory authorities, which could require additional financial and management resources.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related to legal and regulatory proceedings</w:t>
      </w:r>
    </w:p>
    <w:p>
      <w:pPr>
        <w:spacing w:after="0" w:line="22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i w:val="1"/>
          <w:iCs w:val="1"/>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spacing w:after="0" w:line="20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are, and may in the future become, party to litigation, regulatory proceedings or other disputes. In general, claims made by or against us in disputes and other legal or regulatory proceedings can be expensive and time-consuming to bring or defend against, requiring us to expend significant resources and divert the efforts and attention of our management and other personnel from our business operations. These potential claims include, but are not limited to, personal injury claims, class action lawsuits, intellectual property claims, employment litigation and regulatory investigations and causes of action relating to the advertising and promotional claims about our products. Any adverse determination against us in these proceedings, or even the allegations contained in the claims, regardless of whether they are ultimately found to be without merit, may also result in settlements, injunctions or damages that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either of which could result in unexpected costs and damage our reputation.</w:t>
      </w:r>
    </w:p>
    <w:p>
      <w:pPr>
        <w:spacing w:after="0" w:line="217" w:lineRule="exact"/>
        <w:rPr>
          <w:sz w:val="20"/>
          <w:szCs w:val="20"/>
          <w:color w:val="auto"/>
        </w:rPr>
      </w:pPr>
    </w:p>
    <w:p>
      <w:pPr>
        <w:ind w:right="1440"/>
        <w:spacing w:after="0" w:line="237" w:lineRule="auto"/>
        <w:rPr>
          <w:sz w:val="20"/>
          <w:szCs w:val="20"/>
          <w:color w:val="auto"/>
        </w:rPr>
      </w:pPr>
      <w:r>
        <w:rPr>
          <w:rFonts w:ascii="Arial" w:cs="Arial" w:eastAsia="Arial" w:hAnsi="Arial"/>
          <w:sz w:val="18"/>
          <w:szCs w:val="18"/>
          <w:color w:val="auto"/>
        </w:rPr>
        <w:t>We sell products for human use. If we discover that any of our products are causing adverse reactions, we could suffer adverse publicity or regulatory/government sanctions.</w:t>
      </w:r>
    </w:p>
    <w:p>
      <w:pPr>
        <w:spacing w:after="0" w:line="20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Potential product liability risks may arise from the testing, manufacture and sale of our products,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financial condition and results of operations. As we continue to offer an increasing number of new products, our product liability risk may increase. It may be necessary for us to recall products that do not meet approved specifications or because of the side effects resulting from the use of our products, which would result in adverse publicity, potentially significant costs in connection with the recall and could have a material adverse effect on our business, financial condition and results of operations. In addition, plaintiffs in the past have received substantial damage awards from other cosmetic and drug companies based upon claims for injuries allegedly caused by the use of their products. Although we currently maintain general liability insurance, any claims brought against us may exceed our existing or future insurance policy coverage or limits. Any judgment against us that is in excess of our policy coverage or limits would have to be paid from our cash reserves, which would reduce our capital resources.</w:t>
      </w:r>
    </w:p>
    <w:p>
      <w:pPr>
        <w:spacing w:after="0" w:line="189"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 addition, we may be required to pay higher premiums and accept higher deductibles in order to secure adequate insurance coverage in the future. Further, we may not have sufficient capital resources to pay a judgment, in which case our creditors could levy against our assets. Any product liability claim or series of claims brought against us could harm our business significantly, particularly if a claim were to result in adverse publicity or damage awards outside or in excess of our insurance policy limits.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related to intellectual property</w:t>
      </w:r>
    </w:p>
    <w:p>
      <w:pPr>
        <w:spacing w:after="0" w:line="223" w:lineRule="exact"/>
        <w:rPr>
          <w:sz w:val="20"/>
          <w:szCs w:val="20"/>
          <w:color w:val="auto"/>
        </w:rPr>
      </w:pPr>
    </w:p>
    <w:p>
      <w:pPr>
        <w:ind w:right="320"/>
        <w:spacing w:after="0" w:line="293" w:lineRule="auto"/>
        <w:rPr>
          <w:sz w:val="20"/>
          <w:szCs w:val="20"/>
          <w:color w:val="auto"/>
        </w:rPr>
      </w:pPr>
      <w:r>
        <w:rPr>
          <w:rFonts w:ascii="Arial" w:cs="Arial" w:eastAsia="Arial" w:hAnsi="Arial"/>
          <w:sz w:val="15"/>
          <w:szCs w:val="15"/>
          <w:b w:val="1"/>
          <w:bCs w:val="1"/>
          <w:i w:val="1"/>
          <w:iCs w:val="1"/>
          <w:color w:val="auto"/>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163"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We rely on trademark, copyright, trade secret, trade dress, patent and other laws protecting proprietary rights, nondisclosure and confidentiality agreements and other practices to protect our intellectual property, brand and proprietary information, technologies and processes.</w:t>
      </w:r>
    </w:p>
    <w:p>
      <w:pPr>
        <w:spacing w:after="0" w:line="183"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Our trademarks are valuable assets that support our brand and consumers’ perception of our products. Although we have existing and pending trademark registrations for our brand in the United States and in many of the foreign countries in which we operate, we may not be successful in asserting trademark or trade name protection in all jurisdictions. Further, the U.S. Patent and Trademark Office (“USPTO”), international trademark offices or judicial bodies may deny our trademark applications, and, even if published or registered, these trademarks may not effectively protect our brand and goodwill for all of our products and services. We also have not applied for trademark protection in all relevant foreign jurisdictions and cannot assure you that our pending trademark applications will be approved. Third parties may also attempt to register our trademarks abroad in jurisdictions where we have not yet applied for trademark protection, oppose our trademark applications domestically or abroad, or otherwise challenge our use of the trademarks. In the event that our trademarks are successfully challenged, we could be forced to rebrand our products in some parts of the world, which could result in the loss of brand recognition and could require us to devote resources to advertising and marketing new brands.</w:t>
      </w:r>
    </w:p>
    <w:p>
      <w:pPr>
        <w:spacing w:after="0" w:line="37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Some of our earliest filed patents have expired. While we have other patents and pending patent applications directed to our technologies, we cannot provide any assurances that any of our remaining patents has, or that any of our pending patent applications that mature into issued patents will include claims with a scope that is sufficient to protect our products and technologies, including any additional features we develop for our products or any new products. Other parties may have developed technologies that may be related or competitive to our platform, may have filed or may file patent applications and may have received or may receive patents that overlap or conflict with our patents or patent applications, either by claiming the same methods or devices or by claiming subject matter that could dominate our patent position. Patents, if issued, may be challenged, narrowed in scope, deemed unenforceable, invalidated or circumvented, which in turn could affect our ability to commercialize our products.</w:t>
      </w:r>
    </w:p>
    <w:p>
      <w:pPr>
        <w:spacing w:after="0" w:line="203"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Further, our ability to enforce our patent rights depends on our ability to detect infringement. It may be difficult to detect infringers that do not advertise the components that are used in their products. It may be difficult or impossible to obtain evidence of infringement in a competitor’s or potential competitor’s product. We may not prevail in any lawsuits that we</w:t>
      </w: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initiate and the damages or other remedies awarded if we were to prevail may not be commercially meaningful. Adverse proceedings can be expensive and time-consuming and may divert the efforts of our technical and managerial personnel, which could in turn harm our business, whether or not we receive a determination favorable to us. Such proceedings could also provoke third parties to assert claims. In addition,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proceeding could put one or more of our patents at risk of being invalidated or interpreted narrowly. Some of our competitors may be able to devote significantly more resources to intellectual property proceedings, and may have significantly broader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w:t>
      </w:r>
    </w:p>
    <w:p>
      <w:pPr>
        <w:spacing w:after="0" w:line="20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Additionally, we may not be able to protect our intellectual property rights throughout the world. Filing, prosecuting and defending patents in all countries throughout the world would be prohibitively expensive, and our intellectual property rights in some foreign countries can be less protective than those in the United States.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be breached, and we may be forced to bring claims against third parties, or defend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and such an outcome could have a material adverse effect on our business. Even if we are successful in defending against such claims, litigation could result in substantial costs and distraction to management and other employees.</w:t>
      </w:r>
    </w:p>
    <w:p>
      <w:pPr>
        <w:spacing w:after="0" w:line="187"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We currently hold various Internet domain names related to our brand and business, including beautyhealth.com, among others. Failure to protect our domain names could adversely affect our reputation and brand and make it more difficult for users to find our website. We may be unable, without significant cost or at all, to prevent third parties from acquiring domain names or using trademarks that are similar to, infringe upon or otherwise decrease the value of our trademarks and other proprietary rights.</w:t>
      </w:r>
    </w:p>
    <w:p>
      <w:pPr>
        <w:spacing w:after="0" w:line="20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We also rely upon unpatented trade secrets and know-how and continuing technological innovation to develop and maintain our competitive position, which we seek to protect, in part, through confidentiality agreements with our employees and our collaborators and consultants. It is possible that technology relevant to our business will be developed independently by a person that is not a party to such an agreement, and that person could be an employee of or otherwise associated with one of our competitors. Even though these agreements may give us contractual remedies upon unauthorized use or disclosure of our confidential information, intellectual property or technology, we cannot guarantee that we will be able to detect such unauthorized activity. Furthermore, if the employees and consultants who are parties to these agreements breach or violate the terms of these agreements, we may not have adequate remedies for or sufficient resources to litigate any such breach or violation, and we could lose our trade secrets through such breaches or violations. Protecting our intellectual property is also particularly challenging after our employees or our contractors end their relationship with us, and, in some cases, decide to work for our competitors. If we are unable to obtain, maintain and enforce intellectual property protection directed for our technology and future technologies that we develop, others may be able to make, use, import or sell products that are the same or substantially the same as ours, which could adversely affect our business, financial condition and results of operations.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Our success depends on our ability to operate our business without infringing, misappropriating or otherwise violating the trademarks, patents, copyrights and other proprietary rights of third parties.</w:t>
      </w:r>
    </w:p>
    <w:p>
      <w:pPr>
        <w:spacing w:after="0" w:line="201"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Our commercial success depends in part on our ability to operate without infringing, misappropriating or otherwise violating the trademarks, patents, copyrights, trade secrets and other proprietary rights of others. We cannot be certain that the conduct of our business does not and will not infringe, misappropriate or otherwise violate such rights. From time to time, we receive allegations of trademark or patent infringement and third parties have filed claims against us with allegations of intellectual property infringement. In addition, third parties may involve us in intellectual property disputes as part of a business model or strategy to gain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0"/>
        <w:spacing w:after="0" w:line="220" w:lineRule="auto"/>
        <w:rPr>
          <w:sz w:val="20"/>
          <w:szCs w:val="20"/>
          <w:color w:val="auto"/>
        </w:rPr>
      </w:pPr>
      <w:r>
        <w:rPr>
          <w:rFonts w:ascii="Arial" w:cs="Arial" w:eastAsia="Arial" w:hAnsi="Arial"/>
          <w:sz w:val="18"/>
          <w:szCs w:val="18"/>
          <w:color w:val="auto"/>
        </w:rPr>
        <w:t>To the extent we gain greater visibility and market exposure as a public company or otherwise, we may also face a greater risk of being the subject of such claims and litigation. For these and other reasons, third parties may allege that our products or activities infringe, misappropriate, dilute or otherwise violate their intellectual property and proprietary rights.</w:t>
      </w:r>
    </w:p>
    <w:p>
      <w:pPr>
        <w:spacing w:after="0" w:line="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Defending against allegations and litigation could be expensive, take up significant amounts of time, divert management’s attention from other business concerns and have an adverse impact on our ability to bring products to market. In addition, if we are found to violate third-party intellectual property or proprietary rights, we may need to obtain a license, which may not be available on commercially reasonable terms, or at all, or we may need to redesign or rebrand our marketing strategies or products, which may not be possible or could be incredibly costly.</w:t>
      </w:r>
    </w:p>
    <w:p>
      <w:pPr>
        <w:spacing w:after="0" w:line="201" w:lineRule="exact"/>
        <w:rPr>
          <w:sz w:val="20"/>
          <w:szCs w:val="20"/>
          <w:color w:val="auto"/>
        </w:rPr>
      </w:pPr>
    </w:p>
    <w:p>
      <w:pPr>
        <w:ind w:right="240"/>
        <w:spacing w:after="0" w:line="328" w:lineRule="auto"/>
        <w:rPr>
          <w:sz w:val="20"/>
          <w:szCs w:val="20"/>
          <w:color w:val="auto"/>
        </w:rPr>
      </w:pPr>
      <w:r>
        <w:rPr>
          <w:rFonts w:ascii="Arial" w:cs="Arial" w:eastAsia="Arial" w:hAnsi="Arial"/>
          <w:sz w:val="15"/>
          <w:szCs w:val="15"/>
          <w:color w:val="auto"/>
        </w:rPr>
        <w:t>We may also be required to pay substantial damages or be subject to an order prohibiting us and our providers from importing or selling certain products or engaging in certain activities. Any of the foregoing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217" w:lineRule="exact"/>
        <w:rPr>
          <w:sz w:val="20"/>
          <w:szCs w:val="20"/>
          <w:color w:val="auto"/>
        </w:rPr>
      </w:pPr>
    </w:p>
    <w:p>
      <w:pPr>
        <w:ind w:right="20"/>
        <w:spacing w:after="0" w:line="189" w:lineRule="exact"/>
        <w:rPr>
          <w:sz w:val="20"/>
          <w:szCs w:val="20"/>
          <w:color w:val="auto"/>
        </w:rPr>
      </w:pPr>
      <w:r>
        <w:rPr>
          <w:rFonts w:ascii="Arial" w:cs="Arial" w:eastAsia="Arial" w:hAnsi="Arial"/>
          <w:sz w:val="17"/>
          <w:szCs w:val="17"/>
          <w:color w:val="auto"/>
        </w:rPr>
        <w:t>We rely on products, technologies, and intellectual property that we license from third parties, for use in operating our business. We anticipate that we will continue to rely on such third-party products, technologies and intellectual property in the future.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licensors have sufficient rights to the licensed intellectual property or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and offer our products and services incorporating such technology, and otherwise operate and expand our business, could be harmed. Many of the risks associated with the use of third</w:t>
      </w:r>
      <w:r>
        <w:rPr>
          <w:rFonts w:ascii="MS PGothic" w:cs="MS PGothic" w:eastAsia="MS PGothic" w:hAnsi="MS PGothic"/>
          <w:sz w:val="17"/>
          <w:szCs w:val="17"/>
          <w:color w:val="auto"/>
        </w:rPr>
        <w:t>‑</w:t>
      </w:r>
      <w:r>
        <w:rPr>
          <w:rFonts w:ascii="Arial" w:cs="Arial" w:eastAsia="Arial" w:hAnsi="Arial"/>
          <w:sz w:val="17"/>
          <w:szCs w:val="17"/>
          <w:color w:val="auto"/>
        </w:rPr>
        <w:t>party products cannot be eliminated, and these risks could negatively affect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related to marketing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may materially and adversely affect our reputation or subject us to fines or other penalties.</w:t>
      </w:r>
    </w:p>
    <w:p>
      <w:pPr>
        <w:spacing w:after="0" w:line="21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We rely to a large extent on our online presence to reach consumers, and we offer consumers the opportunity to rate and comment on our products on our e-commerce websites. Negative commentary or false statements regarding us or our products may be posted on our e-commerce websites or social media platforms and may be adverse to our reputation or business. Our target consumers often value readily available information and often act on such information without further investigation and without regard to its accuracy. The harm may be immediate without affording us an opportunity for redress or correction. In addition, we may face claims relating to information that is published or made available through the interactive features of our e-commerce websites. For example, we may receive third-party complaints that the comments or other content posted by users on our platforms infringe third-party intellectual property rights or otherwise infringe the legal rights of others. While the Communications Decency Act and Digital Millennium Copyright Act generally protect online service providers from certain claims of copyright infringement or other legal liability for the self-directed activities of its users, if it were determined that we did not meet the relevant safe harbor requirements under either law, we could be exposed to claims related to advertising practices, defamation, intellectual property rights, rights of publicity and privacy, and personal injury torts. We could incur significant costs investigating and defending such claims and, if we are found liable, significant damages. If any of these events occur, our business, financial condition and results of operations could be materially and adversely affected.</w:t>
      </w:r>
    </w:p>
    <w:p>
      <w:pPr>
        <w:spacing w:after="0" w:line="20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also use third-party social media platforms as marketing tools. For example, we maintain Snapchat, Facebook, TikTok, Instagram and YouTube accounts. As e-commerce and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us,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203" w:lineRule="exact"/>
        <w:rPr>
          <w:sz w:val="20"/>
          <w:szCs w:val="20"/>
          <w:color w:val="auto"/>
        </w:rPr>
      </w:pPr>
    </w:p>
    <w:p>
      <w:pPr>
        <w:ind w:right="260"/>
        <w:spacing w:after="0" w:line="328" w:lineRule="auto"/>
        <w:rPr>
          <w:sz w:val="20"/>
          <w:szCs w:val="20"/>
          <w:color w:val="auto"/>
        </w:rPr>
      </w:pPr>
      <w:r>
        <w:rPr>
          <w:rFonts w:ascii="Arial" w:cs="Arial" w:eastAsia="Arial" w:hAnsi="Arial"/>
          <w:sz w:val="15"/>
          <w:szCs w:val="15"/>
          <w:color w:val="auto"/>
        </w:rPr>
        <w:t>In addition, an increase in the use of social media for product promotion and marketing may cause an increase in the burden to monitor compliance of such materials and increase the risk that such materials could contain problematic product or marketing claims in violation of applicable regulations.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183"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Our business is highly dependent upon email and other messaging services for promoting our brand, products and e-commerce platforms. We provide emails and “push” communications to inform consumers of new products, shipping specials and other promotions. We believe these messages are an important part of our consumer experience. If we are unable to successfully deliver emails or other messages to our subscribers, or if subscribers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Changes in the laws or regulations that limit our ability to send such communications or impose additional requirements upon us in connection with sending such communications would also materially adversely impact our business. For example, electronic marketing and privacy requirements in the EU are highly restrictive and differ greatly from those in the U.S., which could cause fewer individuals in the EU to subscribe to our marketing messages and drive up our costs and risk of regulatory oversight and fines if we are found to be non-compliant.</w:t>
      </w:r>
    </w:p>
    <w:p>
      <w:pPr>
        <w:spacing w:after="0" w:line="20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Our use of email and other messaging services to send communications to consumers may also result in legal claims against us,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sustainability matters.</w:t>
      </w:r>
    </w:p>
    <w:p>
      <w:pPr>
        <w:spacing w:after="0" w:line="21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There is an increased focus from certain investors, providers, consumers, employees, and other stakeholders concerning corporate citizenship and sustainability matters. From time to time, we may announce certain initiatives, including goals, regarding our focus areas, which include environmental matters, packaging, responsible sourcing and social investments. We could fail, or be perceived to fail, in our achievement of such initiatives or goals, or we could fail in accurately reporting our progress on such initiatives and goals. In addition, we could be criticized for the scope of such initiatives or goals or perceived as not acting responsibly in connection with these matters. Any such matters, or related corporate citizenship and sustainability matters, could have a material adverse effect on our business, financial condition and results of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17" w:lineRule="exact"/>
        <w:rPr>
          <w:sz w:val="20"/>
          <w:szCs w:val="20"/>
          <w:color w:val="auto"/>
        </w:rPr>
      </w:pPr>
    </w:p>
    <w:p>
      <w:pPr>
        <w:ind w:right="60" w:firstLine="318"/>
        <w:spacing w:after="0" w:line="239"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preferred shares. Future acquisitions could require substantial additional capital in excess of cash from operations. We may obtain the capital required for acquisitions through a combination of additional issuances of equity, corporate indebtedness, and/or cash from operations.</w:t>
      </w:r>
    </w:p>
    <w:p>
      <w:pPr>
        <w:spacing w:after="0" w:line="202" w:lineRule="exact"/>
        <w:rPr>
          <w:sz w:val="20"/>
          <w:szCs w:val="20"/>
          <w:color w:val="auto"/>
        </w:rPr>
      </w:pPr>
    </w:p>
    <w:p>
      <w:pPr>
        <w:ind w:right="80" w:firstLine="318"/>
        <w:spacing w:after="0" w:line="235" w:lineRule="auto"/>
        <w:rPr>
          <w:sz w:val="20"/>
          <w:szCs w:val="20"/>
          <w:color w:val="auto"/>
        </w:rPr>
      </w:pPr>
      <w:r>
        <w:rPr>
          <w:rFonts w:ascii="Arial" w:cs="Arial" w:eastAsia="Arial" w:hAnsi="Arial"/>
          <w:sz w:val="17"/>
          <w:szCs w:val="17"/>
          <w:color w:val="auto"/>
        </w:rPr>
        <w:t>Furthermore, issuing additional shares of our common stock or other equity securities or securities convertible into equity may dilute the economic and voting rights of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w:t>
      </w: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common stock. Our decision to issue securities in any future offering will depend on market conditions and other factors beyond our control, which may adversely affect the amount, timing, and nature of our future offerings.</w:t>
      </w:r>
    </w:p>
    <w:p>
      <w:pPr>
        <w:spacing w:after="0" w:line="201" w:lineRule="exact"/>
        <w:rPr>
          <w:sz w:val="20"/>
          <w:szCs w:val="20"/>
          <w:color w:val="auto"/>
        </w:rPr>
      </w:pPr>
    </w:p>
    <w:p>
      <w:pPr>
        <w:jc w:val="both"/>
        <w:ind w:right="820"/>
        <w:spacing w:after="0" w:line="328" w:lineRule="auto"/>
        <w:rPr>
          <w:sz w:val="20"/>
          <w:szCs w:val="20"/>
          <w:color w:val="auto"/>
        </w:rPr>
      </w:pPr>
      <w:r>
        <w:rPr>
          <w:rFonts w:ascii="Arial" w:cs="Arial" w:eastAsia="Arial" w:hAnsi="Arial"/>
          <w:sz w:val="15"/>
          <w:szCs w:val="15"/>
          <w:b w:val="1"/>
          <w:bCs w:val="1"/>
          <w:i w:val="1"/>
          <w:iCs w:val="1"/>
          <w:color w:val="auto"/>
        </w:rPr>
        <w:t>In addition to potential dilution associated with future offerings of debt or equity securities, we currently have significant numbers of securities outstanding that may be exercisable for our common stock, which may result in significant dilution and downward pressure on our stock price.</w:t>
      </w:r>
    </w:p>
    <w:p>
      <w:pPr>
        <w:spacing w:after="0" w:line="138" w:lineRule="exact"/>
        <w:rPr>
          <w:sz w:val="20"/>
          <w:szCs w:val="20"/>
          <w:color w:val="auto"/>
        </w:rPr>
      </w:pPr>
    </w:p>
    <w:p>
      <w:pPr>
        <w:ind w:right="160" w:firstLine="318"/>
        <w:spacing w:after="0" w:line="235" w:lineRule="auto"/>
        <w:rPr>
          <w:sz w:val="20"/>
          <w:szCs w:val="20"/>
          <w:color w:val="auto"/>
        </w:rPr>
      </w:pPr>
      <w:r>
        <w:rPr>
          <w:rFonts w:ascii="Arial" w:cs="Arial" w:eastAsia="Arial" w:hAnsi="Arial"/>
          <w:sz w:val="17"/>
          <w:szCs w:val="17"/>
          <w:color w:val="auto"/>
        </w:rPr>
        <w:t>As of February 18, 2022, there were 150,598,047 shares of our Class A Common Stock outstanding. In addition, the potential conversion of the Notes into shares of our Class A Common Stock represents approximately the issuance of an additional 23,614,425 shares of our Class A Common Stock. The potential issuance of these shares in the future would result in significant dilution to our current stockholders and could adversely affect the price of our common stock and the terms on which we could raise additional capital. In addition, the issuance and subsequent trading of shares could cause the supply of our Class A Common Stock available for purchase in the market to exceed the purchase demand for our Class A Common Stock. Such supply in excess of demand could cause the market price of our Class A Common Stock to decline.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outstanding warrants are accounted for as liabilities and the changes in value of our warrants could have a material effect on our financial results.</w:t>
      </w:r>
    </w:p>
    <w:p>
      <w:pPr>
        <w:spacing w:after="0" w:line="252" w:lineRule="exact"/>
        <w:rPr>
          <w:sz w:val="20"/>
          <w:szCs w:val="20"/>
          <w:color w:val="auto"/>
        </w:rPr>
      </w:pPr>
    </w:p>
    <w:p>
      <w:pPr>
        <w:ind w:right="160" w:firstLine="318"/>
        <w:spacing w:after="0" w:line="276" w:lineRule="auto"/>
        <w:rPr>
          <w:sz w:val="20"/>
          <w:szCs w:val="20"/>
          <w:color w:val="auto"/>
        </w:rPr>
      </w:pPr>
      <w:r>
        <w:rPr>
          <w:rFonts w:ascii="Arial" w:cs="Arial" w:eastAsia="Arial" w:hAnsi="Arial"/>
          <w:sz w:val="15"/>
          <w:szCs w:val="15"/>
          <w:color w:val="auto"/>
        </w:rPr>
        <w:t>On April 12, 2021, the Acting Chief Accountant and Acting Director of the Division of Corporation Finance of the SEC issued a Staff Statement on Accounting and Reporting Considerations for Warrants Issued by Special Purpose Acquisition Companies (“</w:t>
      </w:r>
      <w:r>
        <w:rPr>
          <w:rFonts w:ascii="Arial" w:cs="Arial" w:eastAsia="Arial" w:hAnsi="Arial"/>
          <w:sz w:val="15"/>
          <w:szCs w:val="15"/>
          <w:i w:val="1"/>
          <w:iCs w:val="1"/>
          <w:color w:val="auto"/>
        </w:rPr>
        <w:t>SPACs</w:t>
      </w:r>
      <w:r>
        <w:rPr>
          <w:rFonts w:ascii="Arial" w:cs="Arial" w:eastAsia="Arial" w:hAnsi="Arial"/>
          <w:sz w:val="15"/>
          <w:szCs w:val="15"/>
          <w:color w:val="auto"/>
        </w:rPr>
        <w:t>”) (the “</w:t>
      </w:r>
      <w:r>
        <w:rPr>
          <w:rFonts w:ascii="Arial" w:cs="Arial" w:eastAsia="Arial" w:hAnsi="Arial"/>
          <w:sz w:val="15"/>
          <w:szCs w:val="15"/>
          <w:i w:val="1"/>
          <w:iCs w:val="1"/>
          <w:color w:val="auto"/>
        </w:rPr>
        <w:t>SEC Staff Statement</w:t>
      </w:r>
      <w:r>
        <w:rPr>
          <w:rFonts w:ascii="Arial" w:cs="Arial" w:eastAsia="Arial" w:hAnsi="Arial"/>
          <w:sz w:val="15"/>
          <w:szCs w:val="15"/>
          <w:color w:val="auto"/>
        </w:rPr>
        <w:t>”). The SEC Staff Statement sets forth the conclusion of the SEC’s Office of the Chief Accountant that certain provisions included in the warrant agreements entered into</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by many special purpose acquisition companies require such warrants to be accounted for as liabilities measured at fair value, rather than as equity securities, with changes in fair value during each financial reporting period reported in earnings. As a result of the SEC Staff Statement, we reevaluated the accounting treatment of our warrants, and determined to classify the warrants as derivative liabilities measured at fair value, with changes in fair value each period reported in earnings.</w:t>
      </w:r>
    </w:p>
    <w:p>
      <w:pPr>
        <w:spacing w:after="0" w:line="201" w:lineRule="exact"/>
        <w:rPr>
          <w:sz w:val="20"/>
          <w:szCs w:val="20"/>
          <w:color w:val="auto"/>
        </w:rPr>
      </w:pPr>
    </w:p>
    <w:p>
      <w:pPr>
        <w:ind w:firstLine="318"/>
        <w:spacing w:after="0" w:line="272" w:lineRule="auto"/>
        <w:rPr>
          <w:sz w:val="20"/>
          <w:szCs w:val="20"/>
          <w:color w:val="auto"/>
        </w:rPr>
      </w:pPr>
      <w:r>
        <w:rPr>
          <w:rFonts w:ascii="Arial" w:cs="Arial" w:eastAsia="Arial" w:hAnsi="Arial"/>
          <w:sz w:val="15"/>
          <w:szCs w:val="15"/>
          <w:color w:val="auto"/>
        </w:rPr>
        <w:t>As a result, included on the Company’s consolidated balance sheets in this Annual Report on Form 10-K are derivative liabilities related to embedded features contained within our warrants. Accounting Standards Codification 815, Derivatives and Hedging (“</w:t>
      </w:r>
      <w:r>
        <w:rPr>
          <w:rFonts w:ascii="Arial" w:cs="Arial" w:eastAsia="Arial" w:hAnsi="Arial"/>
          <w:sz w:val="15"/>
          <w:szCs w:val="15"/>
          <w:i w:val="1"/>
          <w:iCs w:val="1"/>
          <w:color w:val="auto"/>
        </w:rPr>
        <w:t>ASC 815</w:t>
      </w:r>
      <w:r>
        <w:rPr>
          <w:rFonts w:ascii="Arial" w:cs="Arial" w:eastAsia="Arial" w:hAnsi="Arial"/>
          <w:sz w:val="15"/>
          <w:szCs w:val="15"/>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0"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color w:val="auto"/>
        </w:rPr>
        <w:t>Our principal executive offices are located in Long Beach, California, where we lease approximately 23,000 square feet of office space. We also occupy corporate offices, warehouses and experience centers across the United States, Europe, Asia, Latin America and Australia.</w:t>
      </w:r>
    </w:p>
    <w:p>
      <w:pPr>
        <w:spacing w:after="0" w:line="184"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We lease a 105,000 square foot warehouse and production facility in Long Beach, CA under a lease that expires in December 2024. We lease small customer education and training centers in Chicago, IL, Dallas, TX and Orlando, FL on a short-term basis. Outside of the United States, we also lease several small office spaces in China, the United Kingdom and Japan for sales and marketing employees in those markets.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our present facilities are suitable and adequate for our current operating needs. We do not own any real property.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For a description of our material pending legal proceedings, see Note 14, Commitments and Contingencies, to our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Class A Common Stock is traded on the Nasdaq Capital Market under the symbol “SKIN.” Prior to May 4, 2021 and before the completion of the business combination by and among Vesper Healthcare Acquisition Corp., Hydrate Merger Sub I, Inc., Hydrate Merger Sub II, LLC, LCP Edge Intermediate, Inc., the indirect parent of Edge Systems LLC d/b/a The HydraFacial Company, and LCP Edge Holdco, LLC, the Class A Common Stock of Vesper Healthcare Acquisition Corp. traded on the Nasdaq Capital Market under the ticker symbol “VSPR.”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18, 2022, there were 74 holders of record of our Class A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090160" cy="3104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9016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graph above shows the total stockholder return of an investment of $100 cash on November 20, 2020 (the date our common stock began trading on the Nasdaq Capital Market) through December 31, 2021 for (1) our common stock, (2) Standard &amp; Poor’s ("S&amp;P") 500 Index and (3) the S&amp;P Consumer Discretionary Select Sector Index. All values assume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reinvestment of the full amount of all dividends. The comparisons in the table are required by the SEC and are not intended to forecast or be indicative of possible future performance of our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and accompanying notes included in Part II, Item 8 of this Form 10-K. This section of this Form 10-K generally discusses 2021 and 2020 items and year-to-year comparisons between 2021 and 2020. Discussions of 2019 items and year-to-year comparisons between 2020 and 2019 are not included in this Form 10-K, and can be found in the Company’s Registration Statement on Form S-1 (File No. 333-257995) filed with the Securities and Exchange Commission on July 19, 2021 under the heading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CEO Transition</w:t>
      </w:r>
    </w:p>
    <w:p>
      <w:pPr>
        <w:spacing w:after="0" w:line="24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On November 9, 2021, by mutual agreement, the Board of Directors and Clinton Carnell, the Company’s Chief Executive Officer and member of the Board, determined that Mr. Carnell would transition out of his roles as Chief Executive Officer and as a member of the Board, in each case, effective December 31, 2021. These actions were not related to any matter regarding the Company’s financial condition, reported financial results, internal controls or disclosure controls and procedures. On January 1, 2022, Brenton L. Saunders, the Company’s Executive Chairman of the Board, assumed additional responsibilities as its interim Chief Executive Officer.</w:t>
      </w:r>
    </w:p>
    <w:p>
      <w:pPr>
        <w:spacing w:after="0" w:line="220"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On January 20, 2022, we announced the appointment of Andrew Stanleick to serve as our President and Chief Executive Officer and as a member of the Board of Directors, effective as of February 7, 2022. In this capacity, Mr. Stanleick is serving as our principal executive officer. Upon Mr. Stanleick commencing employment as our Chief Executive Officer, Mr. Saunders, the Company’s then interim Chief Executive Officer and the Executive Chairman of the Board, ceased to serve as interim Chief Executive Officer. Mr. Saunders continues to serve as the Executive Chairman of the Board.</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Redemption</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connection with Vesper’s initial public offering, the Company issued warrants to purchase 15,333,333 shares of the Company’s common stock for $11.50 per share (the “Public Warrants”). Simultaneously, with the consummation of Vesper Healthcare Acquisition Corp’s initial public offering, the Company issued 9,333,333 warrants to purchase shares of the Company’s common stock at $11.50 per share (the “Private Placement Warrants” and, together with the Public Warrants, the “Public and Private Placement Warrants”) to BLS Investor Group LLC (the “Sponsor”). On October 4, 2021, the Company issued a press release stating that it would redeem all of the Public Warrants that remained outstanding following 5:00 p.m. New York City time on November 3, 2021 (the “Redemption Date”). As of December 31, 2021, no Public Warrants were outstanding and approximately 7 million Private Placement Warrants remained outstanding.</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 and Public Company Costs</w:t>
      </w:r>
    </w:p>
    <w:p>
      <w:pPr>
        <w:spacing w:after="0" w:line="24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On May 4, 2021, HydraFacial consummated the previously announced Business Combination pursuant to that certain Merger Agreement, dated December 8, 2020 with Vesper, pursuant to which Vesper acquired, directly or indirectly, 100% of the stock of HydraFacial and its subsidiaries. Upon closing, the combined entity was renamed The Beauty Health Company and its Class A Common Stock is listed on the Nasdaq Capital Market under the ticker symbol “SKIN”.</w:t>
      </w:r>
    </w:p>
    <w:p>
      <w:pPr>
        <w:spacing w:after="0" w:line="270"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Pursuant to the terms of the Merger Agreement, the aggregate merger consideration paid to the HydraFacial stockholders in connection with the Business Combination was approximately $975.0 million, less HydraFacial’s net indebtedness as of the Closing Date, transaction expenses, and net working capital relative to a target. In connection with the transaction, all of HydraFacial’s existing debt under its credit facilities were repaid and the note receivable from its stockholder was settled.</w:t>
      </w:r>
    </w:p>
    <w:p>
      <w:pPr>
        <w:spacing w:after="0" w:line="217"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merger consideration included both cash consideration and consideration in the form of newly issued Class A Common Stock. The aggregate cash consideration paid to the former HydraFacial stockholders at the Closing was approximately $368.0 million, consisting of the Vesper’s cash and cash equivalents as of the closing of the Business Combination including proceeds of $350.0 million from Vesper’s Private Placement of an aggregate of 35,000,000 shares of Class A Common Stock, and approximately $433.0 million of cash available to Vesper from the Trust Account that held the proceeds from Vesper’s initial public offering after giving effect to income and franchise taxes payable in respect of interest income earned in the Trust Account, and redemptions that were elected by Vesper’s public stockholders, minus approximately $224.0 million used to repay HydraFacial’s outstanding indebtedness at the Closing, minus approximately $94.0 million of transaction expenses of HydraFacial and Vesper, minus $100.0 million. The remainder of the consideration paid to the</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color w:val="auto"/>
        </w:rPr>
        <w:t>HydraFacial stockholders consisted of 35,501,743 newly issued shares of Class A Common Stock. The foregoing consideration paid to the HydraFacial stockholders also included 7,500,000 earn-out shares of Class A Common Stock pursuant to the terms of the Merger Agreement.</w:t>
      </w:r>
    </w:p>
    <w:p>
      <w:pPr>
        <w:spacing w:after="0" w:line="18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color w:val="231F20"/>
        </w:rPr>
        <w:t>the legal form of the Business Combination pursuant to the Merger Agreement, the Business Combination was accounted for as a</w:t>
      </w:r>
      <w:r>
        <w:rPr>
          <w:rFonts w:ascii="Arial" w:cs="Arial" w:eastAsia="Arial" w:hAnsi="Arial"/>
          <w:sz w:val="18"/>
          <w:szCs w:val="18"/>
          <w:color w:val="auto"/>
        </w:rPr>
        <w:t xml:space="preserve"> </w:t>
      </w:r>
      <w:r>
        <w:rPr>
          <w:rFonts w:ascii="Arial" w:cs="Arial" w:eastAsia="Arial" w:hAnsi="Arial"/>
          <w:sz w:val="18"/>
          <w:szCs w:val="18"/>
          <w:color w:val="231F20"/>
        </w:rPr>
        <w:t>reverse recapitalization in accordance with GAAP. Under this method of accounting, Vesper was treated as the “acquired” company for financial reporting purposes. This determination was primarily based on the following:</w:t>
      </w:r>
    </w:p>
    <w:p>
      <w:pPr>
        <w:spacing w:after="0" w:line="82" w:lineRule="exact"/>
        <w:rPr>
          <w:sz w:val="20"/>
          <w:szCs w:val="20"/>
          <w:color w:val="auto"/>
        </w:rPr>
      </w:pPr>
    </w:p>
    <w:p>
      <w:pPr>
        <w:ind w:left="640" w:right="680" w:hanging="316"/>
        <w:spacing w:after="0" w:line="264" w:lineRule="auto"/>
        <w:tabs>
          <w:tab w:leader="none" w:pos="63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HydraFacial’s existing shareholders were expected to have the largest minority interest of the voting power in the combined entity under the minimum and maximum redemption scenarios;</w:t>
      </w:r>
    </w:p>
    <w:p>
      <w:pPr>
        <w:spacing w:after="0" w:line="74" w:lineRule="exact"/>
        <w:rPr>
          <w:rFonts w:ascii="Arial" w:cs="Arial" w:eastAsia="Arial" w:hAnsi="Arial"/>
          <w:sz w:val="18"/>
          <w:szCs w:val="18"/>
          <w:color w:val="231F20"/>
        </w:rPr>
      </w:pPr>
    </w:p>
    <w:p>
      <w:pPr>
        <w:ind w:left="640" w:hanging="316"/>
        <w:spacing w:after="0"/>
        <w:tabs>
          <w:tab w:leader="none" w:pos="6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HydraFacial’s operations prior to the acquisition comprise the only ongoing operations of the combined entity;</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HydraFacial senior management were retained and compose the majority of the senior management of the combined entity;</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HydraFacial’s relative valuation and results of operations compared to Vesper; and</w:t>
      </w:r>
    </w:p>
    <w:p>
      <w:pPr>
        <w:spacing w:after="0" w:line="111" w:lineRule="exact"/>
        <w:rPr>
          <w:rFonts w:ascii="Arial" w:cs="Arial" w:eastAsia="Arial" w:hAnsi="Arial"/>
          <w:sz w:val="18"/>
          <w:szCs w:val="18"/>
          <w:color w:val="231F20"/>
        </w:rPr>
      </w:pPr>
    </w:p>
    <w:p>
      <w:pPr>
        <w:ind w:left="640" w:right="60" w:hanging="316"/>
        <w:spacing w:after="0" w:line="264" w:lineRule="auto"/>
        <w:tabs>
          <w:tab w:leader="none" w:pos="63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pursuant to the Investor Rights Agreement, HydraFacial was given the right to designate certain initial members of the board of directors of the post-combination company immediately after giving effect to the transactions.</w:t>
      </w:r>
    </w:p>
    <w:p>
      <w:pPr>
        <w:spacing w:after="0" w:line="207" w:lineRule="exact"/>
        <w:rPr>
          <w:sz w:val="20"/>
          <w:szCs w:val="20"/>
          <w:color w:val="auto"/>
        </w:rPr>
      </w:pPr>
    </w:p>
    <w:p>
      <w:pPr>
        <w:jc w:val="both"/>
        <w:ind w:right="120" w:firstLine="318"/>
        <w:spacing w:after="0" w:line="309" w:lineRule="auto"/>
        <w:rPr>
          <w:sz w:val="20"/>
          <w:szCs w:val="20"/>
          <w:color w:val="auto"/>
        </w:rPr>
      </w:pPr>
      <w:r>
        <w:rPr>
          <w:rFonts w:ascii="Arial" w:cs="Arial" w:eastAsia="Arial" w:hAnsi="Arial"/>
          <w:sz w:val="15"/>
          <w:szCs w:val="15"/>
          <w:color w:val="231F20"/>
        </w:rPr>
        <w:t>Consideration was given to the fact that Vesper paid a purchase price consisting of a combination of cash and equity consideration and its shareholders would have significant voting power. However, based on the aforementioned factors of management, board representation, largest minority shareholder, and the continuation of the HydraFacial business as well as size it was determined that accounting for the Business Combination as a reverse recapitalization was appropriate. Accordingly, for accounting purposes, the financial statements of the combined entity will represent a continuation of the financial statements of HydraFacial with the acquisition being treated as the equivalent of HydraFacial issuing stock for the net assets of Vesper, accompanied by a recapitalization. The net assets of Vesper were stated at historical cost, with no goodwill or other intangible assets recorded.</w:t>
      </w:r>
    </w:p>
    <w:p>
      <w:pPr>
        <w:spacing w:after="0" w:line="17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Following the consummation of the Business Combination, we became an SEC-registered and Nasdaq-listed company, which required us to hire additional staff and implement procedures and processes to address public company regulatory requirements and customary practices. We have incurred and expect to incur additional annual expenses for, among other things, directors’ and officers’ liability insurance, director fees and additional internal and external accounting, legal and administrative resources and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Market Trends</w:t>
      </w:r>
    </w:p>
    <w:p>
      <w:pPr>
        <w:spacing w:after="0" w:line="24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231F20"/>
        </w:rPr>
        <w:t>HydraFacial is a pioneer in the attractive and growing beauty-health industry and there are several emerging market trends that we believe will play a key role in shaping the future of this industry. Recent growth in the skincare industry has been driven by an emphasis on skincare rather than cosmetics and HydraFacial is poised to capture a larger share of wallet from consumers. Further, HydraFacial’s market research conducted in 2019 demonstrated that consumers are increasingly willing to spend on high-end beauty health products. To the extent disposable income grows, we expect impacts of this trend to be amplified. We believe these favorable market trends will continue and strengthen going forward. However, we operate in the beauty health industry, which is highly competitive and changes rapidly. Our operating results could be significantly affected by our ability to develop new products and find new distribution channels for new and existing product.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4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231F20"/>
        </w:rPr>
        <w:t>The COVID-19 pandemic has had, and may continue to have adverse impacts on our business. As government authorities around the world continue to implement significant measures intended to control the spread of the virus and institute restrictions on commercial operations, while simultaneously implementing policies designed to reopen certain markets, we are working to ensure our compliance and maintain business continuity for essential operations. The majority of our customers are in the medical, (dermatologists and plastic surgeons), a/esthetician, and beauty retail industry. During economic downturns, we have seen consolidations in such industries.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 These factors may adversely impact consumer, business, and government spending as well as</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231F20"/>
        </w:rPr>
        <w:t>customers’ ability to pay for our products and services on an ongoing basis. As a result, our growth rate could be affected by consolidation and downsizing in the medical, esthetician, and beauty retail industry.</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231F20"/>
        </w:rPr>
        <w:t>The COVID-19 pandemic caused us to experience several adverse impacts primarily in the first and second quarters of fiscal year 2020, including extended sales cycles to close new orders for our products, delays in shipping and installing orders due to closed facilities and travel limitations and delays and failures in collecting accounts receivable. The rapid development and uncertainty of the impacts of the COVID-19 pandemic precludes any prediction as to the ultimate adverse impact of the COVID-19 pandemic on our business. However, the COVID-19 pandemic, the measures we may be required to implement to contain the virus, and the resulting impact, such as closure of providers, restrictions on performing personal services, consumer perceptions about the safety of HydraFacial’s services, disruption in the supply chain of raw materials and components, and inefficiencies in the manufacturing of products due to social distancing and hygiene protocols, present material uncertainty and risk with respect to our performance and financial results. Disruptions in the capital markets as a result of the COVID-19 pandemic may also adversely affect our business if these impacts continue for a prolonged period and we need additional liquidity.</w:t>
      </w:r>
    </w:p>
    <w:p>
      <w:pPr>
        <w:spacing w:after="0" w:line="21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During the year ended December 31, 2020, we took and may continue to take, actions to mitigate the impact of the COVID-19 pandemic on our cash flow and results of operations and financial condition. Starting in April 2020, after the government mandated shutdowns, we experienced a significant decline in sales during the second quarter of 2020, and took certain corrective measures. HydraFacial furloughed a majority of its workforce and went through a restructuring process, which included the write-off of certain product lines, and incurred costs for assistance provided by third-party consultants to assist in managing the downturn. Subsequent to the downturn experienced during the second quarter of 2020, our revenues increased, and we returned to having positive Adjusted EBITDA in the latter half of 2020. This trend continued into and throughout 2021. We successfully managed the variable portion of our cost structure to better align with revenue, which was significantly reduced during the downturn. Additionally, all of our furloughed employees have returned to work.</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Demographics</w:t>
      </w:r>
    </w:p>
    <w:p>
      <w:pPr>
        <w:spacing w:after="0" w:line="24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231F20"/>
        </w:rPr>
        <w:t>HydraFacial benefits from a large, young and diverse customer base and the ability to serve a large percentage of the population given that HydraFacial’s patented technology addresses all skin, regardless of type, age or gender. At the intersection of the medical and consumer retail markets, the large potential customer base should provide significant upside to drive top-line growth. HydraFacial over indexes with males, significantly increasing the Total Addressable Market (TAM) compared to peers and the mix of male customers is growing at two times the rate of female customers. HydraFacial customers are young; approximately 50% of HydraFacial customers are Millennials, and approximately 30% of HydraFacial’s beauty retail customers are under the age of 24. As the Millennial and Gen Z consumers age, they appear to be taking skincare more seriously and willing to invest in premium treatments, such as those offered by HydraFacial.</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Marketing</w:t>
      </w:r>
    </w:p>
    <w:p>
      <w:pPr>
        <w:spacing w:after="0" w:line="24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231F20"/>
        </w:rPr>
        <w:t>Effective marketing is vital to our ability to drive growth. We plan to further our successful demand-generating activities through educational campaigns that focus on our brand, values, and quality, as well as enhancing our digitally integrated media campaigns.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Innovation</w:t>
      </w:r>
    </w:p>
    <w:p>
      <w:pPr>
        <w:spacing w:after="0" w:line="244" w:lineRule="exact"/>
        <w:rPr>
          <w:sz w:val="20"/>
          <w:szCs w:val="20"/>
          <w:color w:val="auto"/>
        </w:rPr>
      </w:pPr>
    </w:p>
    <w:p>
      <w:pPr>
        <w:ind w:right="440" w:firstLine="318"/>
        <w:spacing w:after="0" w:line="365" w:lineRule="auto"/>
        <w:rPr>
          <w:sz w:val="20"/>
          <w:szCs w:val="20"/>
          <w:color w:val="auto"/>
        </w:rPr>
      </w:pPr>
      <w:r>
        <w:rPr>
          <w:rFonts w:ascii="Arial" w:cs="Arial" w:eastAsia="Arial" w:hAnsi="Arial"/>
          <w:sz w:val="15"/>
          <w:szCs w:val="15"/>
          <w:color w:val="231F20"/>
        </w:rPr>
        <w:t>Our strategy involves innovating our current product offering while also diversifying into attractive adjacent categories where we can leverage our strengths, capabilities and community. We intend to maintain investment in research and development to stay at the forefront of cutting-edge technology.</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Technology</w:t>
      </w:r>
    </w:p>
    <w:p>
      <w:pPr>
        <w:spacing w:after="0" w:line="244"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231F20"/>
        </w:rPr>
        <w:t>Our investments in technology enhance the HydraFacial experience for consumers while capturing valuable and leverageable data. As we expand our capabilities, we hope to enable the world’s largest skin health database. We believe this data will allow us to drive habituation by enhancing personalization, access, trend identification and consumer education.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Geographic Expansion</w:t>
      </w:r>
    </w:p>
    <w:p>
      <w:pPr>
        <w:spacing w:after="0" w:line="24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231F20"/>
        </w:rPr>
        <w:t>HydraFacial’s recent growth has been driven in part by our international strategy. 35% of HydraFacial’s total revenue during the fourth quarter of fiscal year 2021 came from outside the United States and Canada. Our diverse distribution channels</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231F20"/>
        </w:rPr>
        <w:t>create a significant opportunity within our existing retail and wholesale channels, as well as new locations abroad. We plan to expand our global footprint, building out our team and infrastructure for further penetration across Asia, Europe and Latin America.</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Regulation</w:t>
      </w:r>
    </w:p>
    <w:p>
      <w:pPr>
        <w:spacing w:after="0" w:line="244"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231F20"/>
        </w:rPr>
        <w:t>It remains unclear how governmental authorities, including the FDA, will regulate the products that we sell, and in the case of the FDA, whether and when it will propose or implement new or additional regulations. Unforeseen regulatory obstacles or compliance costs may hinder our business in both the short and long-term as well.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50" w:lineRule="exact"/>
        <w:rPr>
          <w:sz w:val="20"/>
          <w:szCs w:val="20"/>
          <w:color w:val="auto"/>
        </w:rPr>
      </w:pPr>
    </w:p>
    <w:p>
      <w:pPr>
        <w:ind w:right="140" w:firstLine="318"/>
        <w:spacing w:after="0" w:line="315" w:lineRule="auto"/>
        <w:rPr>
          <w:sz w:val="20"/>
          <w:szCs w:val="20"/>
          <w:color w:val="auto"/>
        </w:rPr>
      </w:pPr>
      <w:r>
        <w:rPr>
          <w:rFonts w:ascii="Arial" w:cs="Arial" w:eastAsia="Arial" w:hAnsi="Arial"/>
          <w:sz w:val="15"/>
          <w:szCs w:val="15"/>
          <w:color w:val="231F20"/>
        </w:rPr>
        <w:t>In addition to the measures presented in our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231F20"/>
              </w:rPr>
              <w:t>Year Ended December 31,</w:t>
            </w:r>
          </w:p>
        </w:tc>
      </w:tr>
      <w:tr>
        <w:trPr>
          <w:trHeight w:val="185"/>
        </w:trPr>
        <w:tc>
          <w:tcPr>
            <w:tcW w:w="76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231F20"/>
              </w:rPr>
              <w:t>(dollars in millions)</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231F20"/>
              </w:rPr>
              <w:t>2020</w:t>
            </w:r>
          </w:p>
        </w:tc>
      </w:tr>
      <w:tr>
        <w:trPr>
          <w:trHeight w:val="239"/>
        </w:trPr>
        <w:tc>
          <w:tcPr>
            <w:tcW w:w="76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231F20"/>
              </w:rPr>
              <w:t>Delivery Systems net sales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139.5</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231F20"/>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53.4</w:t>
            </w:r>
          </w:p>
        </w:tc>
      </w:tr>
      <w:tr>
        <w:trPr>
          <w:trHeight w:val="225"/>
        </w:trPr>
        <w:tc>
          <w:tcPr>
            <w:tcW w:w="76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231F20"/>
              </w:rPr>
              <w:t>Consumables net sales</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120.6</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65.7</w:t>
            </w:r>
          </w:p>
        </w:tc>
      </w:tr>
      <w:tr>
        <w:trPr>
          <w:trHeight w:val="219"/>
        </w:trPr>
        <w:tc>
          <w:tcPr>
            <w:tcW w:w="76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Total net sales</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260.1</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119.1</w:t>
            </w:r>
          </w:p>
        </w:tc>
      </w:tr>
      <w:tr>
        <w:trPr>
          <w:trHeight w:val="218"/>
        </w:trPr>
        <w:tc>
          <w:tcPr>
            <w:tcW w:w="7600" w:type="dxa"/>
            <w:vAlign w:val="bottom"/>
          </w:tcPr>
          <w:p>
            <w:pPr>
              <w:ind w:left="380"/>
              <w:spacing w:after="0" w:line="204" w:lineRule="exact"/>
              <w:rPr>
                <w:sz w:val="20"/>
                <w:szCs w:val="20"/>
                <w:color w:val="auto"/>
              </w:rPr>
            </w:pPr>
            <w:r>
              <w:rPr>
                <w:rFonts w:ascii="Arial" w:cs="Arial" w:eastAsia="Arial" w:hAnsi="Arial"/>
                <w:sz w:val="18"/>
                <w:szCs w:val="18"/>
                <w:color w:val="231F20"/>
              </w:rPr>
              <w:t>Gross profit</w:t>
            </w:r>
          </w:p>
        </w:tc>
        <w:tc>
          <w:tcPr>
            <w:tcW w:w="64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181.8</w:t>
            </w:r>
          </w:p>
        </w:tc>
        <w:tc>
          <w:tcPr>
            <w:tcW w:w="8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67.2</w:t>
            </w:r>
          </w:p>
        </w:tc>
      </w:tr>
      <w:tr>
        <w:trPr>
          <w:trHeight w:val="226"/>
        </w:trPr>
        <w:tc>
          <w:tcPr>
            <w:tcW w:w="76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Gross margin</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69.9%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56.4%</w:t>
            </w:r>
          </w:p>
        </w:tc>
      </w:tr>
      <w:tr>
        <w:trPr>
          <w:trHeight w:val="225"/>
        </w:trPr>
        <w:tc>
          <w:tcPr>
            <w:tcW w:w="7600" w:type="dxa"/>
            <w:vAlign w:val="bottom"/>
          </w:tcPr>
          <w:p>
            <w:pPr>
              <w:ind w:left="380"/>
              <w:spacing w:after="0"/>
              <w:rPr>
                <w:sz w:val="20"/>
                <w:szCs w:val="20"/>
                <w:color w:val="auto"/>
              </w:rPr>
            </w:pPr>
            <w:r>
              <w:rPr>
                <w:rFonts w:ascii="Arial" w:cs="Arial" w:eastAsia="Arial" w:hAnsi="Arial"/>
                <w:sz w:val="18"/>
                <w:szCs w:val="18"/>
                <w:color w:val="231F20"/>
              </w:rPr>
              <w:t>Net loss</w:t>
            </w:r>
          </w:p>
        </w:tc>
        <w:tc>
          <w:tcPr>
            <w:tcW w:w="64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1020" w:type="dxa"/>
            <w:vAlign w:val="bottom"/>
          </w:tcPr>
          <w:p>
            <w:pPr>
              <w:jc w:val="right"/>
              <w:spacing w:after="0"/>
              <w:rPr>
                <w:sz w:val="20"/>
                <w:szCs w:val="20"/>
                <w:color w:val="auto"/>
              </w:rPr>
            </w:pPr>
            <w:r>
              <w:rPr>
                <w:rFonts w:ascii="Arial" w:cs="Arial" w:eastAsia="Arial" w:hAnsi="Arial"/>
                <w:sz w:val="18"/>
                <w:szCs w:val="18"/>
                <w:color w:val="231F20"/>
              </w:rPr>
              <w:t>(375.1)</w:t>
            </w:r>
          </w:p>
        </w:tc>
        <w:tc>
          <w:tcPr>
            <w:tcW w:w="8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(29.2)</w:t>
            </w:r>
          </w:p>
        </w:tc>
      </w:tr>
      <w:tr>
        <w:trPr>
          <w:trHeight w:val="226"/>
        </w:trPr>
        <w:tc>
          <w:tcPr>
            <w:tcW w:w="76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EBITDA</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w:t>
            </w:r>
          </w:p>
        </w:tc>
      </w:tr>
      <w:tr>
        <w:trPr>
          <w:trHeight w:val="225"/>
        </w:trPr>
        <w:tc>
          <w:tcPr>
            <w:tcW w:w="7600" w:type="dxa"/>
            <w:vAlign w:val="bottom"/>
          </w:tcPr>
          <w:p>
            <w:pPr>
              <w:ind w:left="380"/>
              <w:spacing w:after="0"/>
              <w:rPr>
                <w:sz w:val="20"/>
                <w:szCs w:val="20"/>
                <w:color w:val="auto"/>
              </w:rPr>
            </w:pPr>
            <w:r>
              <w:rPr>
                <w:rFonts w:ascii="Arial" w:cs="Arial" w:eastAsia="Arial" w:hAnsi="Arial"/>
                <w:sz w:val="18"/>
                <w:szCs w:val="18"/>
                <w:color w:val="231F20"/>
              </w:rPr>
              <w:t>Adjusted EBITDA margin</w:t>
            </w:r>
          </w:p>
        </w:tc>
        <w:tc>
          <w:tcPr>
            <w:tcW w:w="64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231F20"/>
              </w:rPr>
              <w:t>12.6%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6.5%</w:t>
            </w:r>
          </w:p>
        </w:tc>
      </w:tr>
      <w:tr>
        <w:trPr>
          <w:trHeight w:val="226"/>
        </w:trPr>
        <w:tc>
          <w:tcPr>
            <w:tcW w:w="76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gross profit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192.5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78.0</w:t>
            </w:r>
          </w:p>
        </w:tc>
      </w:tr>
      <w:tr>
        <w:trPr>
          <w:trHeight w:val="225"/>
        </w:trPr>
        <w:tc>
          <w:tcPr>
            <w:tcW w:w="7600" w:type="dxa"/>
            <w:vAlign w:val="bottom"/>
          </w:tcPr>
          <w:p>
            <w:pPr>
              <w:ind w:left="380"/>
              <w:spacing w:after="0"/>
              <w:rPr>
                <w:sz w:val="20"/>
                <w:szCs w:val="20"/>
                <w:color w:val="auto"/>
              </w:rPr>
            </w:pPr>
            <w:r>
              <w:rPr>
                <w:rFonts w:ascii="Arial" w:cs="Arial" w:eastAsia="Arial" w:hAnsi="Arial"/>
                <w:sz w:val="18"/>
                <w:szCs w:val="18"/>
                <w:color w:val="231F20"/>
              </w:rPr>
              <w:t>Adjusted gross margin</w:t>
            </w:r>
          </w:p>
        </w:tc>
        <w:tc>
          <w:tcPr>
            <w:tcW w:w="64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231F20"/>
              </w:rPr>
              <w:t>74.0%</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65.5%</w:t>
            </w:r>
          </w:p>
        </w:tc>
      </w:tr>
      <w:tr>
        <w:trPr>
          <w:trHeight w:val="226"/>
        </w:trPr>
        <w:tc>
          <w:tcPr>
            <w:tcW w:w="76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net income (loss)</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Adjusted Net Income (Loss), Adjusted EBITDA (Loss) and Adjusted EBITDA Margin</w:t>
      </w:r>
    </w:p>
    <w:p>
      <w:pPr>
        <w:spacing w:after="0" w:line="2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231F20"/>
        </w:rPr>
        <w:t>Adjusted net income (loss), adjusted EBITDA (loss) and adjusted EBITDA margin are key performance measures that our management uses to assess our operating performance. See the section titled “</w:t>
      </w:r>
      <w:r>
        <w:rPr>
          <w:rFonts w:ascii="Arial" w:cs="Arial" w:eastAsia="Arial" w:hAnsi="Arial"/>
          <w:sz w:val="18"/>
          <w:szCs w:val="18"/>
          <w:i w:val="1"/>
          <w:iCs w:val="1"/>
          <w:color w:val="231F20"/>
        </w:rPr>
        <w:t>Non-GAAP Financial Measures—adjusted net income (loss), adjusted EBITDA (loss) and adjusted EBITDA</w:t>
      </w:r>
      <w:r>
        <w:rPr>
          <w:rFonts w:ascii="Arial" w:cs="Arial" w:eastAsia="Arial" w:hAnsi="Arial"/>
          <w:sz w:val="18"/>
          <w:szCs w:val="18"/>
          <w:color w:val="231F20"/>
        </w:rPr>
        <w:t xml:space="preserve"> </w:t>
      </w:r>
      <w:r>
        <w:rPr>
          <w:rFonts w:ascii="Arial" w:cs="Arial" w:eastAsia="Arial" w:hAnsi="Arial"/>
          <w:sz w:val="18"/>
          <w:szCs w:val="18"/>
          <w:i w:val="1"/>
          <w:iCs w:val="1"/>
          <w:color w:val="231F20"/>
        </w:rPr>
        <w:t>margin</w:t>
      </w:r>
      <w:r>
        <w:rPr>
          <w:rFonts w:ascii="Arial" w:cs="Arial" w:eastAsia="Arial" w:hAnsi="Arial"/>
          <w:sz w:val="18"/>
          <w:szCs w:val="18"/>
          <w:color w:val="231F20"/>
        </w:rPr>
        <w:t>” for information regarding our use of adjusted net income (loss) and adjusted EBITDA and reconciliations of adjusted net income (loss) and adjusted</w:t>
      </w:r>
      <w:r>
        <w:rPr>
          <w:rFonts w:ascii="Arial" w:cs="Arial" w:eastAsia="Arial" w:hAnsi="Arial"/>
          <w:sz w:val="18"/>
          <w:szCs w:val="18"/>
          <w:i w:val="1"/>
          <w:iCs w:val="1"/>
          <w:color w:val="231F20"/>
        </w:rPr>
        <w:t xml:space="preserve"> </w:t>
      </w:r>
      <w:r>
        <w:rPr>
          <w:rFonts w:ascii="Arial" w:cs="Arial" w:eastAsia="Arial" w:hAnsi="Arial"/>
          <w:sz w:val="18"/>
          <w:szCs w:val="18"/>
          <w:color w:val="231F20"/>
        </w:rPr>
        <w:t>EBITDA to net loss.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Adjusted Gross Profit and Adjusted Gross Margin</w:t>
      </w:r>
    </w:p>
    <w:p>
      <w:pPr>
        <w:spacing w:after="0" w:line="24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We use adjusted gross profit and adjusted gross margin to measure our profitability and ability to scale and leverage the costs of our Delivery Systems and Consumables sales. See the section titled “</w:t>
      </w:r>
      <w:r>
        <w:rPr>
          <w:rFonts w:ascii="Arial" w:cs="Arial" w:eastAsia="Arial" w:hAnsi="Arial"/>
          <w:sz w:val="18"/>
          <w:szCs w:val="18"/>
          <w:i w:val="1"/>
          <w:iCs w:val="1"/>
          <w:color w:val="231F20"/>
        </w:rPr>
        <w:t>Non-GAAP Financial Measures—adjusted gross profit and adjusted gross margin</w:t>
      </w:r>
      <w:r>
        <w:rPr>
          <w:rFonts w:ascii="Arial" w:cs="Arial" w:eastAsia="Arial" w:hAnsi="Arial"/>
          <w:sz w:val="18"/>
          <w:szCs w:val="18"/>
          <w:color w:val="231F20"/>
        </w:rPr>
        <w:t>” for information regarding our use of adjusted gross profit and a reconciliation of adjusted gross profit to gross profit.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Net Sales</w:t>
      </w:r>
    </w:p>
    <w:p>
      <w:pPr>
        <w:spacing w:after="0" w:line="244"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231F20"/>
        </w:rPr>
        <w:t>Net sales consists of the sale of products to retail and wholesale customers through e-commerce and distributor sales. HydraFacial generates revenue through manufacturing and selling HydraFacial Delivery Systems (“</w:t>
      </w:r>
      <w:r>
        <w:rPr>
          <w:rFonts w:ascii="Arial" w:cs="Arial" w:eastAsia="Arial" w:hAnsi="Arial"/>
          <w:sz w:val="17"/>
          <w:szCs w:val="17"/>
          <w:i w:val="1"/>
          <w:iCs w:val="1"/>
          <w:color w:val="231F20"/>
        </w:rPr>
        <w:t>Delivery Systems</w:t>
      </w:r>
      <w:r>
        <w:rPr>
          <w:rFonts w:ascii="Arial" w:cs="Arial" w:eastAsia="Arial" w:hAnsi="Arial"/>
          <w:sz w:val="17"/>
          <w:szCs w:val="17"/>
          <w:color w:val="231F20"/>
        </w:rPr>
        <w:t>”). In conjunction with the sale of Delivery Systems, HydraFacial also sells its serum solutions and consumables (collectively “</w:t>
      </w:r>
      <w:r>
        <w:rPr>
          <w:rFonts w:ascii="Arial" w:cs="Arial" w:eastAsia="Arial" w:hAnsi="Arial"/>
          <w:sz w:val="17"/>
          <w:szCs w:val="17"/>
          <w:i w:val="1"/>
          <w:iCs w:val="1"/>
          <w:color w:val="231F20"/>
        </w:rPr>
        <w:t>Consumables</w:t>
      </w:r>
      <w:r>
        <w:rPr>
          <w:rFonts w:ascii="Arial" w:cs="Arial" w:eastAsia="Arial" w:hAnsi="Arial"/>
          <w:sz w:val="17"/>
          <w:szCs w:val="17"/>
          <w:color w:val="231F20"/>
        </w:rPr>
        <w:t>”).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231F20"/>
        </w:rPr>
        <w:t>HydraFacial’s cost of sales consists of Delivery Systems and Consumables product costs, including the cost of materials, labor costs, overhead, depreciation and amortization of developed technology, shipping and handling costs, and the costs associated with excess and obsolete inventory. As we launch new products and expand our presence internationally, we expect to incur higher cost of sales as a percentage of net sales because we have not yet achieved economies of scale with these items.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24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231F20"/>
        </w:rPr>
        <w:t>Selling and marketing expense consists of personnel-related expenses, sales commissions, travel costs, training and advertising expenses incurred in connection with the sale of our products. We intend to continue to invest in our sales and marketing capabilities in the future and expect this expense to increase in absolute dollars in future periods as we release new products, grow our global footprint, and drive consumer demand in the ecosystem. Selling and marketing expense as a percentage of net sales may fluctuate from period to period based on net sales and the timing of our investments in our sales and marketing functions as these investments may vary in scope and scale over future periods.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24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231F20"/>
        </w:rPr>
        <w:t>Research and development expense primarily consists of personnel-related expenses, tooling and prototype materials, technology investments, and other expenses incurred in connection with the development of new products and internal technologies. We expect our research and development expenses to vary from period to period as a percentage of net sales, as HydraFacial plans to continue to innovate and invest in new technologies and to enhance existing technologies to fuel future growth as a category creator.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4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231F20"/>
        </w:rPr>
        <w:t>General and administrative expenses include personnel-related expenses, professional fees, credit card and wire fees and facilities-related costs primarily for our executive, finance, accounting, legal, human resources, and IT functions. General and administrative expense also includes fees for professional services principally comprising legal, audit, tax and accounting services and insurance.</w:t>
      </w:r>
    </w:p>
    <w:p>
      <w:pPr>
        <w:spacing w:after="0" w:line="21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231F20"/>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we expect to continue to incur additional IT expenses as we scale HydraFacial and enhance our ecommerce, digital and data utilization capabilities. As a result, we expect that our general and administrative expenses will increase in absolute dollars in future periods and vary from period to period as a percentage of net sales.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231F20"/>
        </w:rPr>
        <w:t>Other income (expense) consists of the change in fair value of both the Public and Private Placement Warrants and earn-out shares liability, interest expense, deferred financing write-off costs and prepayment penalties related to the repayment of our long-term debt, foreign currency transaction gains and losses and investment income. Foreign currency transaction gains and losses are generated by settlements of intercompany balances and invoices denominated in other currencies other than the reporting currency. We expect other income (expense) to increase in absolute dollars as we grow internationally and obtain additional financing. Other income (expense) as a percentage of revenue will fluctuate period to period along with interest rates, exchange rates and other factors not related to normal business operations.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Income Tax Provision (Benefit)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provision for income taxes consists primarily of income taxes related to federal, state and foreign jurisdictions in which we conduct business.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year ended December 31, 2021 and December 31, 2020 have been derived from the consolidated financial statements included elsewhere in this Form 10-K. Amounts and percentages may not foot due to rounding.</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Year Ended December 31, 2021 to Year Ended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jc w:val="right"/>
              <w:ind w:right="793"/>
              <w:spacing w:after="0"/>
              <w:rPr>
                <w:sz w:val="20"/>
                <w:szCs w:val="20"/>
                <w:color w:val="auto"/>
              </w:rPr>
            </w:pPr>
            <w:r>
              <w:rPr>
                <w:rFonts w:ascii="Arial" w:cs="Arial" w:eastAsia="Arial" w:hAnsi="Arial"/>
                <w:sz w:val="14"/>
                <w:szCs w:val="14"/>
                <w:b w:val="1"/>
                <w:bCs w:val="1"/>
                <w:color w:val="231F20"/>
              </w:rPr>
              <w:t>Year Ended December 31,</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231F20"/>
              </w:rPr>
              <w:t>(in millions)</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409"/>
              <w:spacing w:after="0"/>
              <w:rPr>
                <w:sz w:val="20"/>
                <w:szCs w:val="20"/>
                <w:color w:val="auto"/>
              </w:rPr>
            </w:pPr>
            <w:r>
              <w:rPr>
                <w:rFonts w:ascii="Arial" w:cs="Arial" w:eastAsia="Arial" w:hAnsi="Arial"/>
                <w:sz w:val="14"/>
                <w:szCs w:val="14"/>
                <w:b w:val="1"/>
                <w:bCs w:val="1"/>
                <w:color w:val="231F20"/>
              </w:rPr>
              <w:t>2021</w:t>
            </w:r>
          </w:p>
        </w:tc>
        <w:tc>
          <w:tcPr>
            <w:tcW w:w="16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05"/>
        </w:trPr>
        <w:tc>
          <w:tcPr>
            <w:tcW w:w="5020" w:type="dxa"/>
            <w:vAlign w:val="bottom"/>
          </w:tcPr>
          <w:p>
            <w:pPr>
              <w:ind w:left="60"/>
              <w:spacing w:after="0" w:line="205" w:lineRule="exact"/>
              <w:rPr>
                <w:sz w:val="20"/>
                <w:szCs w:val="20"/>
                <w:color w:val="auto"/>
              </w:rPr>
            </w:pPr>
            <w:r>
              <w:rPr>
                <w:rFonts w:ascii="Arial" w:cs="Arial" w:eastAsia="Arial" w:hAnsi="Arial"/>
                <w:sz w:val="18"/>
                <w:szCs w:val="18"/>
                <w:b w:val="1"/>
                <w:bCs w:val="1"/>
                <w:color w:val="231F20"/>
              </w:rPr>
              <w:t>Consolidated Statement of Operations</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sales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260.1</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119.1</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Cost of sales</w:t>
            </w: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231F20"/>
              </w:rPr>
              <w:t>78.3</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51.9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231F20"/>
              </w:rPr>
              <w:t>Gross profit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181.8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67.2</w:t>
            </w:r>
          </w:p>
        </w:tc>
        <w:tc>
          <w:tcPr>
            <w:tcW w:w="0" w:type="dxa"/>
            <w:vAlign w:val="bottom"/>
          </w:tcPr>
          <w:p>
            <w:pPr>
              <w:spacing w:after="0"/>
              <w:rPr>
                <w:sz w:val="1"/>
                <w:szCs w:val="1"/>
                <w:color w:val="auto"/>
              </w:rPr>
            </w:pPr>
          </w:p>
        </w:tc>
      </w:tr>
      <w:tr>
        <w:trPr>
          <w:trHeight w:val="225"/>
        </w:trPr>
        <w:tc>
          <w:tcPr>
            <w:tcW w:w="5020" w:type="dxa"/>
            <w:vAlign w:val="bottom"/>
          </w:tcPr>
          <w:p>
            <w:pPr>
              <w:ind w:left="60"/>
              <w:spacing w:after="0"/>
              <w:rPr>
                <w:sz w:val="20"/>
                <w:szCs w:val="20"/>
                <w:color w:val="auto"/>
              </w:rPr>
            </w:pPr>
            <w:r>
              <w:rPr>
                <w:rFonts w:ascii="Arial" w:cs="Arial" w:eastAsia="Arial" w:hAnsi="Arial"/>
                <w:sz w:val="18"/>
                <w:szCs w:val="18"/>
                <w:color w:val="231F20"/>
              </w:rPr>
              <w:t>Operating expenses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Selling and marketing</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111.6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50.3</w:t>
            </w:r>
          </w:p>
        </w:tc>
        <w:tc>
          <w:tcPr>
            <w:tcW w:w="0" w:type="dxa"/>
            <w:vAlign w:val="bottom"/>
          </w:tcPr>
          <w:p>
            <w:pPr>
              <w:spacing w:after="0"/>
              <w:rPr>
                <w:sz w:val="1"/>
                <w:szCs w:val="1"/>
                <w:color w:val="auto"/>
              </w:rPr>
            </w:pPr>
          </w:p>
        </w:tc>
      </w:tr>
      <w:tr>
        <w:trPr>
          <w:trHeight w:val="225"/>
        </w:trPr>
        <w:tc>
          <w:tcPr>
            <w:tcW w:w="5020" w:type="dxa"/>
            <w:vAlign w:val="bottom"/>
          </w:tcPr>
          <w:p>
            <w:pPr>
              <w:ind w:left="560"/>
              <w:spacing w:after="0"/>
              <w:rPr>
                <w:sz w:val="20"/>
                <w:szCs w:val="20"/>
                <w:color w:val="auto"/>
              </w:rPr>
            </w:pPr>
            <w:r>
              <w:rPr>
                <w:rFonts w:ascii="Arial" w:cs="Arial" w:eastAsia="Arial" w:hAnsi="Arial"/>
                <w:sz w:val="18"/>
                <w:szCs w:val="18"/>
                <w:color w:val="231F20"/>
              </w:rPr>
              <w:t>Research and development</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231F20"/>
              </w:rPr>
              <w:t>8.2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231F20"/>
              </w:rPr>
              <w:t>3.4</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General and administrative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98.7</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30.6</w:t>
            </w:r>
          </w:p>
        </w:tc>
        <w:tc>
          <w:tcPr>
            <w:tcW w:w="0" w:type="dxa"/>
            <w:vAlign w:val="bottom"/>
          </w:tcPr>
          <w:p>
            <w:pPr>
              <w:spacing w:after="0"/>
              <w:rPr>
                <w:sz w:val="1"/>
                <w:szCs w:val="1"/>
                <w:color w:val="auto"/>
              </w:rPr>
            </w:pPr>
          </w:p>
        </w:tc>
      </w:tr>
      <w:tr>
        <w:trPr>
          <w:trHeight w:val="218"/>
        </w:trPr>
        <w:tc>
          <w:tcPr>
            <w:tcW w:w="5020" w:type="dxa"/>
            <w:vAlign w:val="bottom"/>
          </w:tcPr>
          <w:p>
            <w:pPr>
              <w:ind w:left="880"/>
              <w:spacing w:after="0" w:line="204" w:lineRule="exact"/>
              <w:rPr>
                <w:sz w:val="20"/>
                <w:szCs w:val="20"/>
                <w:color w:val="auto"/>
              </w:rPr>
            </w:pPr>
            <w:r>
              <w:rPr>
                <w:rFonts w:ascii="Arial" w:cs="Arial" w:eastAsia="Arial" w:hAnsi="Arial"/>
                <w:sz w:val="18"/>
                <w:szCs w:val="18"/>
                <w:color w:val="231F20"/>
              </w:rPr>
              <w:t>Total operating expenses</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231F20"/>
              </w:rPr>
              <w:t>218.5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231F20"/>
              </w:rPr>
              <w:t>84.4</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Loss from operations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(17.2)</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Total other expense</w:t>
            </w: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231F20"/>
              </w:rPr>
              <w:t>340.7</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21.3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Loss before provision for income taxes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(377.4)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(38.5)</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Income tax benefit</w:t>
            </w: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231F20"/>
              </w:rPr>
              <w:t>(2.2)</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231F20"/>
              </w:rPr>
              <w:t>(9.3)</w:t>
            </w:r>
          </w:p>
        </w:tc>
        <w:tc>
          <w:tcPr>
            <w:tcW w:w="0" w:type="dxa"/>
            <w:vAlign w:val="bottom"/>
          </w:tcPr>
          <w:p>
            <w:pPr>
              <w:spacing w:after="0"/>
              <w:rPr>
                <w:sz w:val="1"/>
                <w:szCs w:val="1"/>
                <w:color w:val="auto"/>
              </w:rPr>
            </w:pPr>
          </w:p>
        </w:tc>
      </w:tr>
      <w:tr>
        <w:trPr>
          <w:trHeight w:val="238"/>
        </w:trPr>
        <w:tc>
          <w:tcPr>
            <w:tcW w:w="50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Net loss</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(375.1)</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(29.2)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Percentage of Net Sales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60"/>
              <w:spacing w:after="0"/>
              <w:rPr>
                <w:sz w:val="20"/>
                <w:szCs w:val="20"/>
                <w:color w:val="auto"/>
              </w:rPr>
            </w:pPr>
            <w:r>
              <w:rPr>
                <w:rFonts w:ascii="Arial" w:cs="Arial" w:eastAsia="Arial" w:hAnsi="Arial"/>
                <w:sz w:val="18"/>
                <w:szCs w:val="18"/>
                <w:color w:val="231F20"/>
              </w:rPr>
              <w:t>Net sales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231F20"/>
              </w:rPr>
              <w:t>100.0 %</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30.1</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43.6</w:t>
            </w:r>
          </w:p>
        </w:tc>
        <w:tc>
          <w:tcPr>
            <w:tcW w:w="0" w:type="dxa"/>
            <w:vAlign w:val="bottom"/>
          </w:tcPr>
          <w:p>
            <w:pPr>
              <w:spacing w:after="0"/>
              <w:rPr>
                <w:sz w:val="1"/>
                <w:szCs w:val="1"/>
                <w:color w:val="auto"/>
              </w:rPr>
            </w:pPr>
          </w:p>
        </w:tc>
      </w:tr>
      <w:tr>
        <w:trPr>
          <w:trHeight w:val="218"/>
        </w:trPr>
        <w:tc>
          <w:tcPr>
            <w:tcW w:w="5020" w:type="dxa"/>
            <w:vAlign w:val="bottom"/>
          </w:tcPr>
          <w:p>
            <w:pPr>
              <w:ind w:left="560"/>
              <w:spacing w:after="0" w:line="204" w:lineRule="exact"/>
              <w:rPr>
                <w:sz w:val="20"/>
                <w:szCs w:val="20"/>
                <w:color w:val="auto"/>
              </w:rPr>
            </w:pPr>
            <w:r>
              <w:rPr>
                <w:rFonts w:ascii="Arial" w:cs="Arial" w:eastAsia="Arial" w:hAnsi="Arial"/>
                <w:sz w:val="18"/>
                <w:szCs w:val="18"/>
                <w:color w:val="231F20"/>
              </w:rPr>
              <w:t>Gross profit</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231F20"/>
              </w:rPr>
              <w:t>69.9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231F20"/>
              </w:rPr>
              <w:t>56.4</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 expenses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560"/>
              <w:spacing w:after="0"/>
              <w:rPr>
                <w:sz w:val="20"/>
                <w:szCs w:val="20"/>
                <w:color w:val="auto"/>
              </w:rPr>
            </w:pPr>
            <w:r>
              <w:rPr>
                <w:rFonts w:ascii="Arial" w:cs="Arial" w:eastAsia="Arial" w:hAnsi="Arial"/>
                <w:sz w:val="18"/>
                <w:szCs w:val="18"/>
                <w:color w:val="231F20"/>
              </w:rPr>
              <w:t>Selling and marketing</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231F20"/>
              </w:rPr>
              <w:t>42.9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231F20"/>
              </w:rPr>
              <w:t>42.3</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Research and development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2.9</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231F20"/>
              </w:rPr>
              <w:t>General and administrative</w:t>
            </w: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231F20"/>
              </w:rPr>
              <w:t>37.9</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25.7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880"/>
              <w:spacing w:after="0" w:line="205" w:lineRule="exact"/>
              <w:rPr>
                <w:sz w:val="20"/>
                <w:szCs w:val="20"/>
                <w:color w:val="auto"/>
              </w:rPr>
            </w:pPr>
            <w:r>
              <w:rPr>
                <w:rFonts w:ascii="Arial" w:cs="Arial" w:eastAsia="Arial" w:hAnsi="Arial"/>
                <w:sz w:val="18"/>
                <w:szCs w:val="18"/>
                <w:color w:val="231F20"/>
              </w:rPr>
              <w:t>Total operating expenses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84.0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70.9</w:t>
            </w:r>
          </w:p>
        </w:tc>
        <w:tc>
          <w:tcPr>
            <w:tcW w:w="0" w:type="dxa"/>
            <w:vAlign w:val="bottom"/>
          </w:tcPr>
          <w:p>
            <w:pPr>
              <w:spacing w:after="0"/>
              <w:rPr>
                <w:sz w:val="1"/>
                <w:szCs w:val="1"/>
                <w:color w:val="auto"/>
              </w:rPr>
            </w:pPr>
          </w:p>
        </w:tc>
      </w:tr>
      <w:tr>
        <w:trPr>
          <w:trHeight w:val="225"/>
        </w:trPr>
        <w:tc>
          <w:tcPr>
            <w:tcW w:w="5020" w:type="dxa"/>
            <w:vAlign w:val="bottom"/>
          </w:tcPr>
          <w:p>
            <w:pPr>
              <w:ind w:left="60"/>
              <w:spacing w:after="0"/>
              <w:rPr>
                <w:sz w:val="20"/>
                <w:szCs w:val="20"/>
                <w:color w:val="auto"/>
              </w:rPr>
            </w:pPr>
            <w:r>
              <w:rPr>
                <w:rFonts w:ascii="Arial" w:cs="Arial" w:eastAsia="Arial" w:hAnsi="Arial"/>
                <w:sz w:val="18"/>
                <w:szCs w:val="18"/>
                <w:color w:val="231F20"/>
              </w:rPr>
              <w:t>Loss from operations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231F20"/>
              </w:rPr>
              <w:t>(14.1)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231F20"/>
              </w:rPr>
              <w:t>(14.4)</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Other expense, net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131.0</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17.9</w:t>
            </w:r>
          </w:p>
        </w:tc>
        <w:tc>
          <w:tcPr>
            <w:tcW w:w="0" w:type="dxa"/>
            <w:vAlign w:val="bottom"/>
          </w:tcPr>
          <w:p>
            <w:pPr>
              <w:spacing w:after="0"/>
              <w:rPr>
                <w:sz w:val="1"/>
                <w:szCs w:val="1"/>
                <w:color w:val="auto"/>
              </w:rPr>
            </w:pPr>
          </w:p>
        </w:tc>
      </w:tr>
      <w:tr>
        <w:trPr>
          <w:trHeight w:val="218"/>
        </w:trPr>
        <w:tc>
          <w:tcPr>
            <w:tcW w:w="5020" w:type="dxa"/>
            <w:vAlign w:val="bottom"/>
          </w:tcPr>
          <w:p>
            <w:pPr>
              <w:ind w:left="60"/>
              <w:spacing w:after="0" w:line="204" w:lineRule="exact"/>
              <w:rPr>
                <w:sz w:val="20"/>
                <w:szCs w:val="20"/>
                <w:color w:val="auto"/>
              </w:rPr>
            </w:pPr>
            <w:r>
              <w:rPr>
                <w:rFonts w:ascii="Arial" w:cs="Arial" w:eastAsia="Arial" w:hAnsi="Arial"/>
                <w:sz w:val="18"/>
                <w:szCs w:val="18"/>
                <w:color w:val="231F20"/>
              </w:rPr>
              <w:t>Loss before provision for income tax</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231F20"/>
              </w:rPr>
              <w:t>(145.1)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231F20"/>
              </w:rPr>
              <w:t>(32.3)</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Income tax benefit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(0.9)</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231F20"/>
              </w:rPr>
              <w:t>(7.8)</w:t>
            </w:r>
          </w:p>
        </w:tc>
        <w:tc>
          <w:tcPr>
            <w:tcW w:w="0" w:type="dxa"/>
            <w:vAlign w:val="bottom"/>
          </w:tcPr>
          <w:p>
            <w:pPr>
              <w:spacing w:after="0"/>
              <w:rPr>
                <w:sz w:val="1"/>
                <w:szCs w:val="1"/>
                <w:color w:val="auto"/>
              </w:rPr>
            </w:pPr>
          </w:p>
        </w:tc>
      </w:tr>
      <w:tr>
        <w:trPr>
          <w:trHeight w:val="218"/>
        </w:trPr>
        <w:tc>
          <w:tcPr>
            <w:tcW w:w="5020" w:type="dxa"/>
            <w:vAlign w:val="bottom"/>
          </w:tcPr>
          <w:p>
            <w:pPr>
              <w:ind w:left="60"/>
              <w:spacing w:after="0" w:line="204" w:lineRule="exact"/>
              <w:rPr>
                <w:sz w:val="20"/>
                <w:szCs w:val="20"/>
                <w:color w:val="auto"/>
              </w:rPr>
            </w:pPr>
            <w:r>
              <w:rPr>
                <w:rFonts w:ascii="Arial" w:cs="Arial" w:eastAsia="Arial" w:hAnsi="Arial"/>
                <w:sz w:val="18"/>
                <w:szCs w:val="18"/>
                <w:color w:val="231F20"/>
              </w:rPr>
              <w:t>Net loss</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231F20"/>
              </w:rPr>
              <w:t>(144.2)%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(24.5)%</w:t>
            </w:r>
          </w:p>
        </w:tc>
        <w:tc>
          <w:tcPr>
            <w:tcW w:w="0" w:type="dxa"/>
            <w:vAlign w:val="bottom"/>
          </w:tcPr>
          <w:p>
            <w:pPr>
              <w:spacing w:after="0"/>
              <w:rPr>
                <w:sz w:val="1"/>
                <w:szCs w:val="1"/>
                <w:color w:val="auto"/>
              </w:rPr>
            </w:pPr>
          </w:p>
        </w:tc>
      </w:tr>
      <w:tr>
        <w:trPr>
          <w:trHeight w:val="21"/>
        </w:trPr>
        <w:tc>
          <w:tcPr>
            <w:tcW w:w="5020" w:type="dxa"/>
            <w:vAlign w:val="bottom"/>
            <w:vMerge w:val="restart"/>
          </w:tcPr>
          <w:p>
            <w:pPr>
              <w:ind w:left="160"/>
              <w:spacing w:after="0"/>
              <w:rPr>
                <w:sz w:val="20"/>
                <w:szCs w:val="20"/>
                <w:color w:val="auto"/>
              </w:rPr>
            </w:pPr>
            <w:r>
              <w:rPr>
                <w:rFonts w:ascii="Arial" w:cs="Arial" w:eastAsia="Arial" w:hAnsi="Arial"/>
                <w:sz w:val="18"/>
                <w:szCs w:val="18"/>
                <w:b w:val="1"/>
                <w:bCs w:val="1"/>
                <w:i w:val="1"/>
                <w:iCs w:val="1"/>
                <w:color w:val="231F20"/>
              </w:rPr>
              <w:t>Net Sales</w:t>
            </w: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5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231F20"/>
              </w:rPr>
              <w:t>Year Ended December 31,</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231F20"/>
              </w:rPr>
              <w:t>Change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20" w:type="dxa"/>
            <w:vAlign w:val="bottom"/>
          </w:tcPr>
          <w:p>
            <w:pPr>
              <w:ind w:left="180"/>
              <w:spacing w:after="0"/>
              <w:rPr>
                <w:sz w:val="20"/>
                <w:szCs w:val="20"/>
                <w:color w:val="auto"/>
              </w:rPr>
            </w:pPr>
            <w:r>
              <w:rPr>
                <w:rFonts w:ascii="Arial" w:cs="Arial" w:eastAsia="Arial" w:hAnsi="Arial"/>
                <w:sz w:val="14"/>
                <w:szCs w:val="14"/>
                <w:b w:val="1"/>
                <w:bCs w:val="1"/>
                <w:color w:val="231F20"/>
              </w:rPr>
              <w:t>(in millions)</w:t>
            </w:r>
          </w:p>
        </w:tc>
        <w:tc>
          <w:tcPr>
            <w:tcW w:w="5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231F20"/>
              </w:rPr>
              <w:t>2020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6"/>
          </w:tcPr>
          <w:p>
            <w:pPr>
              <w:ind w:left="600"/>
              <w:spacing w:after="0"/>
              <w:rPr>
                <w:sz w:val="20"/>
                <w:szCs w:val="20"/>
                <w:color w:val="auto"/>
              </w:rPr>
            </w:pPr>
            <w:r>
              <w:rPr>
                <w:rFonts w:ascii="Arial" w:cs="Arial" w:eastAsia="Arial" w:hAnsi="Arial"/>
                <w:sz w:val="14"/>
                <w:szCs w:val="14"/>
                <w:b w:val="1"/>
                <w:bCs w:val="1"/>
                <w:color w:val="231F20"/>
              </w:rPr>
              <w:t>Amount</w:t>
            </w: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06"/>
        </w:trPr>
        <w:tc>
          <w:tcPr>
            <w:tcW w:w="5020" w:type="dxa"/>
            <w:vAlign w:val="bottom"/>
            <w:tcBorders>
              <w:top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231F20"/>
              </w:rPr>
              <w:t>Net sales</w:t>
            </w: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540"/>
              <w:spacing w:after="0"/>
              <w:rPr>
                <w:sz w:val="20"/>
                <w:szCs w:val="20"/>
                <w:color w:val="auto"/>
              </w:rPr>
            </w:pPr>
            <w:r>
              <w:rPr>
                <w:rFonts w:ascii="Arial" w:cs="Arial" w:eastAsia="Arial" w:hAnsi="Arial"/>
                <w:sz w:val="18"/>
                <w:szCs w:val="18"/>
                <w:color w:val="231F20"/>
              </w:rPr>
              <w:t>Delivery Systems</w:t>
            </w:r>
          </w:p>
        </w:tc>
        <w:tc>
          <w:tcPr>
            <w:tcW w:w="50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1040" w:type="dxa"/>
            <w:vAlign w:val="bottom"/>
          </w:tcPr>
          <w:p>
            <w:pPr>
              <w:jc w:val="right"/>
              <w:spacing w:after="0"/>
              <w:rPr>
                <w:sz w:val="20"/>
                <w:szCs w:val="20"/>
                <w:color w:val="auto"/>
              </w:rPr>
            </w:pPr>
            <w:r>
              <w:rPr>
                <w:rFonts w:ascii="Arial" w:cs="Arial" w:eastAsia="Arial" w:hAnsi="Arial"/>
                <w:sz w:val="18"/>
                <w:szCs w:val="18"/>
                <w:color w:val="231F20"/>
              </w:rPr>
              <w:t>139.5</w:t>
            </w:r>
          </w:p>
        </w:tc>
        <w:tc>
          <w:tcPr>
            <w:tcW w:w="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231F20"/>
              </w:rPr>
              <w:t>53.4</w:t>
            </w:r>
          </w:p>
        </w:tc>
        <w:tc>
          <w:tcPr>
            <w:tcW w:w="1140" w:type="dxa"/>
            <w:vAlign w:val="bottom"/>
            <w:gridSpan w:val="2"/>
          </w:tcPr>
          <w:p>
            <w:pPr>
              <w:jc w:val="right"/>
              <w:ind w:right="709"/>
              <w:spacing w:after="0"/>
              <w:rPr>
                <w:sz w:val="20"/>
                <w:szCs w:val="20"/>
                <w:color w:val="auto"/>
              </w:rPr>
            </w:pPr>
            <w:r>
              <w:rPr>
                <w:rFonts w:ascii="Arial" w:cs="Arial" w:eastAsia="Arial" w:hAnsi="Arial"/>
                <w:sz w:val="18"/>
                <w:szCs w:val="18"/>
                <w:color w:val="231F20"/>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231F20"/>
              </w:rPr>
              <w:t>86.1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161.3%</w:t>
            </w: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ind w:left="620"/>
              <w:spacing w:after="0"/>
              <w:rPr>
                <w:sz w:val="20"/>
                <w:szCs w:val="20"/>
                <w:color w:val="auto"/>
              </w:rPr>
            </w:pPr>
            <w:r>
              <w:rPr>
                <w:rFonts w:ascii="Arial" w:cs="Arial" w:eastAsia="Arial" w:hAnsi="Arial"/>
                <w:sz w:val="18"/>
                <w:szCs w:val="18"/>
                <w:color w:val="231F20"/>
              </w:rPr>
              <w:t>Consumables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120.6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65.7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231F20"/>
              </w:rPr>
              <w:t>54.9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83.5%</w:t>
            </w:r>
          </w:p>
        </w:tc>
        <w:tc>
          <w:tcPr>
            <w:tcW w:w="0" w:type="dxa"/>
            <w:vAlign w:val="bottom"/>
          </w:tcPr>
          <w:p>
            <w:pPr>
              <w:spacing w:after="0"/>
              <w:rPr>
                <w:sz w:val="1"/>
                <w:szCs w:val="1"/>
                <w:color w:val="auto"/>
              </w:rPr>
            </w:pPr>
          </w:p>
        </w:tc>
      </w:tr>
      <w:tr>
        <w:trPr>
          <w:trHeight w:val="218"/>
        </w:trPr>
        <w:tc>
          <w:tcPr>
            <w:tcW w:w="5020" w:type="dxa"/>
            <w:vAlign w:val="bottom"/>
          </w:tcPr>
          <w:p>
            <w:pPr>
              <w:ind w:left="940"/>
              <w:spacing w:after="0" w:line="204" w:lineRule="exact"/>
              <w:rPr>
                <w:sz w:val="20"/>
                <w:szCs w:val="20"/>
                <w:color w:val="auto"/>
              </w:rPr>
            </w:pPr>
            <w:r>
              <w:rPr>
                <w:rFonts w:ascii="Arial" w:cs="Arial" w:eastAsia="Arial" w:hAnsi="Arial"/>
                <w:sz w:val="18"/>
                <w:szCs w:val="18"/>
                <w:color w:val="231F20"/>
              </w:rPr>
              <w:t>Total net sales</w:t>
            </w:r>
          </w:p>
        </w:tc>
        <w:tc>
          <w:tcPr>
            <w:tcW w:w="50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1040" w:type="dxa"/>
            <w:vAlign w:val="bottom"/>
          </w:tcPr>
          <w:p>
            <w:pPr>
              <w:jc w:val="right"/>
              <w:spacing w:after="0"/>
              <w:rPr>
                <w:sz w:val="20"/>
                <w:szCs w:val="20"/>
                <w:color w:val="auto"/>
              </w:rPr>
            </w:pPr>
            <w:r>
              <w:rPr>
                <w:rFonts w:ascii="Arial" w:cs="Arial" w:eastAsia="Arial" w:hAnsi="Arial"/>
                <w:sz w:val="18"/>
                <w:szCs w:val="18"/>
                <w:color w:val="231F20"/>
              </w:rPr>
              <w:t>260.1</w:t>
            </w:r>
          </w:p>
        </w:tc>
        <w:tc>
          <w:tcPr>
            <w:tcW w:w="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231F20"/>
              </w:rPr>
              <w:t>119.1</w:t>
            </w:r>
          </w:p>
        </w:tc>
        <w:tc>
          <w:tcPr>
            <w:tcW w:w="1140" w:type="dxa"/>
            <w:vAlign w:val="bottom"/>
            <w:gridSpan w:val="2"/>
          </w:tcPr>
          <w:p>
            <w:pPr>
              <w:jc w:val="right"/>
              <w:ind w:right="709"/>
              <w:spacing w:after="0"/>
              <w:rPr>
                <w:sz w:val="20"/>
                <w:szCs w:val="20"/>
                <w:color w:val="auto"/>
              </w:rPr>
            </w:pPr>
            <w:r>
              <w:rPr>
                <w:rFonts w:ascii="Arial" w:cs="Arial" w:eastAsia="Arial" w:hAnsi="Arial"/>
                <w:sz w:val="18"/>
                <w:szCs w:val="18"/>
                <w:color w:val="231F20"/>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231F20"/>
                <w:w w:val="88"/>
              </w:rPr>
              <w:t>141.0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118.4%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2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231F20"/>
              </w:rPr>
              <w:t>Percentage of net sales</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500"/>
              <w:spacing w:after="0"/>
              <w:rPr>
                <w:sz w:val="20"/>
                <w:szCs w:val="20"/>
                <w:color w:val="auto"/>
              </w:rPr>
            </w:pPr>
            <w:r>
              <w:rPr>
                <w:rFonts w:ascii="Arial" w:cs="Arial" w:eastAsia="Arial" w:hAnsi="Arial"/>
                <w:sz w:val="18"/>
                <w:szCs w:val="18"/>
                <w:color w:val="231F20"/>
              </w:rPr>
              <w:t>Delivery Systems</w:t>
            </w:r>
          </w:p>
        </w:tc>
        <w:tc>
          <w:tcPr>
            <w:tcW w:w="50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231F20"/>
              </w:rPr>
              <w:t>53.6%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231F20"/>
              </w:rPr>
              <w:t>44.8%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Consumables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231F20"/>
              </w:rPr>
              <w:t>46.4%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55.2%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900"/>
              <w:spacing w:after="0" w:line="204" w:lineRule="exact"/>
              <w:rPr>
                <w:sz w:val="20"/>
                <w:szCs w:val="20"/>
                <w:color w:val="auto"/>
              </w:rPr>
            </w:pPr>
            <w:r>
              <w:rPr>
                <w:rFonts w:ascii="Arial" w:cs="Arial" w:eastAsia="Arial" w:hAnsi="Arial"/>
                <w:sz w:val="18"/>
                <w:szCs w:val="18"/>
                <w:color w:val="231F20"/>
              </w:rPr>
              <w:t>Total</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231F20"/>
              </w:rPr>
              <w:t>100.0%</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231F20"/>
        </w:rPr>
        <w:t xml:space="preserve">Total net sales for the year ended </w:t>
      </w:r>
      <w:r>
        <w:rPr>
          <w:rFonts w:ascii="Arial" w:cs="Arial" w:eastAsia="Arial" w:hAnsi="Arial"/>
          <w:sz w:val="18"/>
          <w:szCs w:val="18"/>
          <w:color w:val="000000"/>
        </w:rPr>
        <w:t>December 31, 2021</w:t>
      </w:r>
      <w:r>
        <w:rPr>
          <w:rFonts w:ascii="Arial" w:cs="Arial" w:eastAsia="Arial" w:hAnsi="Arial"/>
          <w:sz w:val="18"/>
          <w:szCs w:val="18"/>
          <w:color w:val="231F20"/>
        </w:rPr>
        <w:t xml:space="preserve"> increased $141.0 million, or 118.4%, compared to the year ended December 31, 2020. Delivery Systems sales for the year ended </w:t>
      </w:r>
      <w:r>
        <w:rPr>
          <w:rFonts w:ascii="Arial" w:cs="Arial" w:eastAsia="Arial" w:hAnsi="Arial"/>
          <w:sz w:val="18"/>
          <w:szCs w:val="18"/>
          <w:color w:val="000000"/>
        </w:rPr>
        <w:t>December 31, 2021</w:t>
      </w:r>
      <w:r>
        <w:rPr>
          <w:rFonts w:ascii="Arial" w:cs="Arial" w:eastAsia="Arial" w:hAnsi="Arial"/>
          <w:sz w:val="18"/>
          <w:szCs w:val="18"/>
          <w:color w:val="231F20"/>
        </w:rPr>
        <w:t xml:space="preserve"> increased $86.1 million, or 161.3%, compared to the year ended December 31, 2020. Delivery Systems units sold for the year ended December 31, 2020 increased primarily due to continued sequential improvement in system sales, with the greatest relative year over year growth coming</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231F20"/>
        </w:rPr>
        <w:t xml:space="preserve">from the Asia-Pacific region. Similarly, Consumables sales for the year ended </w:t>
      </w:r>
      <w:r>
        <w:rPr>
          <w:rFonts w:ascii="Arial" w:cs="Arial" w:eastAsia="Arial" w:hAnsi="Arial"/>
          <w:sz w:val="18"/>
          <w:szCs w:val="18"/>
          <w:color w:val="000000"/>
        </w:rPr>
        <w:t>December 31, 2021</w:t>
      </w:r>
      <w:r>
        <w:rPr>
          <w:rFonts w:ascii="Arial" w:cs="Arial" w:eastAsia="Arial" w:hAnsi="Arial"/>
          <w:sz w:val="18"/>
          <w:szCs w:val="18"/>
          <w:color w:val="231F20"/>
        </w:rPr>
        <w:t xml:space="preserve"> increased $54.9 million, or 83.5%, compared to the year ended December 31, 2020. The increase in Consumables sales was primarily attributable to rebounding sales volume and an increase in the number of units sold following slowdowns in relation to the COVID-19 pandemic.</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231F20"/>
              </w:rPr>
              <w:t>Year Ended December 31,</w:t>
            </w: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900" w:type="dxa"/>
            <w:vAlign w:val="bottom"/>
            <w:tcBorders>
              <w:bottom w:val="single" w:sz="8" w:color="auto"/>
            </w:tcBorders>
          </w:tcPr>
          <w:p>
            <w:pPr>
              <w:spacing w:after="0"/>
              <w:rPr>
                <w:sz w:val="16"/>
                <w:szCs w:val="16"/>
                <w:color w:val="auto"/>
              </w:rPr>
            </w:pPr>
          </w:p>
        </w:tc>
      </w:tr>
      <w:tr>
        <w:trPr>
          <w:trHeight w:val="185"/>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231F20"/>
              </w:rPr>
              <w:t>(in millions)</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231F20"/>
              </w:rPr>
              <w:t>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231F20"/>
                <w:w w:val="83"/>
              </w:rPr>
              <w:t>2020</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231F20"/>
              </w:rPr>
              <w:t>%</w:t>
            </w:r>
          </w:p>
        </w:tc>
      </w:tr>
      <w:tr>
        <w:trPr>
          <w:trHeight w:val="233"/>
        </w:trPr>
        <w:tc>
          <w:tcPr>
            <w:tcW w:w="458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231F20"/>
              </w:rPr>
              <w:t>Cost of sales</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231F20"/>
              </w:rPr>
              <w:t>78.3</w:t>
            </w: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231F20"/>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231F20"/>
              </w:rPr>
              <w:t>51.9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26.4</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50.8%</w:t>
            </w:r>
          </w:p>
        </w:tc>
      </w:tr>
      <w:tr>
        <w:trPr>
          <w:trHeight w:val="231"/>
        </w:trPr>
        <w:tc>
          <w:tcPr>
            <w:tcW w:w="4580" w:type="dxa"/>
            <w:vAlign w:val="bottom"/>
          </w:tcPr>
          <w:p>
            <w:pPr>
              <w:ind w:left="180"/>
              <w:spacing w:after="0"/>
              <w:rPr>
                <w:sz w:val="20"/>
                <w:szCs w:val="20"/>
                <w:color w:val="auto"/>
              </w:rPr>
            </w:pPr>
            <w:r>
              <w:rPr>
                <w:rFonts w:ascii="Arial" w:cs="Arial" w:eastAsia="Arial" w:hAnsi="Arial"/>
                <w:sz w:val="18"/>
                <w:szCs w:val="18"/>
                <w:color w:val="231F20"/>
              </w:rPr>
              <w:t>Gross profit</w:t>
            </w:r>
          </w:p>
        </w:tc>
        <w:tc>
          <w:tcPr>
            <w:tcW w:w="540" w:type="dxa"/>
            <w:vAlign w:val="bottom"/>
          </w:tcPr>
          <w:p>
            <w:pPr>
              <w:jc w:val="right"/>
              <w:ind w:right="192"/>
              <w:spacing w:after="0"/>
              <w:rPr>
                <w:sz w:val="20"/>
                <w:szCs w:val="20"/>
                <w:color w:val="auto"/>
              </w:rPr>
            </w:pPr>
            <w:r>
              <w:rPr>
                <w:rFonts w:ascii="Arial" w:cs="Arial" w:eastAsia="Arial" w:hAnsi="Arial"/>
                <w:sz w:val="18"/>
                <w:szCs w:val="18"/>
                <w:color w:val="231F20"/>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231F20"/>
              </w:rPr>
              <w:t>181.8</w:t>
            </w: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231F20"/>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231F20"/>
              </w:rPr>
              <w:t>67.2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231F20"/>
              </w:rPr>
              <w:t>114.6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31F20"/>
              </w:rPr>
              <w:t>170.6%</w:t>
            </w:r>
          </w:p>
        </w:tc>
      </w:tr>
      <w:tr>
        <w:trPr>
          <w:trHeight w:val="232"/>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Gross margin</w:t>
            </w: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231F20"/>
              </w:rPr>
              <w:t>69.9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231F20"/>
              </w:rPr>
              <w:t>56.4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bl>
    <w:p>
      <w:pPr>
        <w:spacing w:after="0" w:line="319" w:lineRule="exact"/>
        <w:rPr>
          <w:sz w:val="20"/>
          <w:szCs w:val="20"/>
          <w:color w:val="auto"/>
        </w:rPr>
      </w:pPr>
    </w:p>
    <w:p>
      <w:pPr>
        <w:jc w:val="both"/>
        <w:ind w:right="140" w:firstLine="318"/>
        <w:spacing w:after="0" w:line="330" w:lineRule="auto"/>
        <w:rPr>
          <w:sz w:val="20"/>
          <w:szCs w:val="20"/>
          <w:color w:val="auto"/>
        </w:rPr>
      </w:pPr>
      <w:r>
        <w:rPr>
          <w:rFonts w:ascii="Arial" w:cs="Arial" w:eastAsia="Arial" w:hAnsi="Arial"/>
          <w:sz w:val="15"/>
          <w:szCs w:val="15"/>
          <w:color w:val="231F20"/>
        </w:rPr>
        <w:t xml:space="preserve">Cost of sales increased 50.8% driven by increased sales volume and a shift in the product mix to HydraFacial Delivery Systems. Gross margin increased from 56.4% during the year ended December 31, 2020 to 69.9% during the year ended </w:t>
      </w:r>
      <w:r>
        <w:rPr>
          <w:rFonts w:ascii="Arial" w:cs="Arial" w:eastAsia="Arial" w:hAnsi="Arial"/>
          <w:sz w:val="15"/>
          <w:szCs w:val="15"/>
          <w:color w:val="000000"/>
        </w:rPr>
        <w:t>December 31, 2021</w:t>
      </w:r>
      <w:r>
        <w:rPr>
          <w:rFonts w:ascii="Arial" w:cs="Arial" w:eastAsia="Arial" w:hAnsi="Arial"/>
          <w:sz w:val="15"/>
          <w:szCs w:val="15"/>
          <w:color w:val="231F20"/>
        </w:rPr>
        <w:t>, primarily due to fixed cost leverage from higher sales volumes coupled with cost saving initiatives and margin accretion from distributor acquisitions, partially offset by higher logistics costs.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Year Ended December 31,</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349"/>
              <w:spacing w:after="0"/>
              <w:rPr>
                <w:sz w:val="20"/>
                <w:szCs w:val="20"/>
                <w:color w:val="auto"/>
              </w:rPr>
            </w:pPr>
            <w:r>
              <w:rPr>
                <w:rFonts w:ascii="Arial" w:cs="Arial" w:eastAsia="Arial" w:hAnsi="Arial"/>
                <w:sz w:val="14"/>
                <w:szCs w:val="14"/>
                <w:b w:val="1"/>
                <w:bCs w:val="1"/>
                <w:color w:val="231F20"/>
                <w:w w:val="93"/>
              </w:rPr>
              <w:t>Change</w:t>
            </w:r>
          </w:p>
        </w:tc>
      </w:tr>
      <w:tr>
        <w:trPr>
          <w:trHeight w:val="185"/>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231F20"/>
              </w:rPr>
              <w:t>(in millions)</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231F20"/>
              </w:rPr>
              <w:t>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231F20"/>
                <w:w w:val="89"/>
              </w:rPr>
              <w:t>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231F20"/>
              </w:rPr>
              <w:t>%</w:t>
            </w:r>
          </w:p>
        </w:tc>
      </w:tr>
      <w:tr>
        <w:trPr>
          <w:trHeight w:val="233"/>
        </w:trPr>
        <w:tc>
          <w:tcPr>
            <w:tcW w:w="412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231F20"/>
              </w:rPr>
              <w:t>Selling and marketing</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231F20"/>
              </w:rPr>
              <w:t>111.6</w:t>
            </w: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231F20"/>
              </w:rPr>
              <w:t>50.3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121.7   %</w:t>
            </w:r>
          </w:p>
        </w:tc>
      </w:tr>
      <w:tr>
        <w:trPr>
          <w:trHeight w:val="224"/>
        </w:trPr>
        <w:tc>
          <w:tcPr>
            <w:tcW w:w="4120" w:type="dxa"/>
            <w:vAlign w:val="bottom"/>
          </w:tcPr>
          <w:p>
            <w:pPr>
              <w:ind w:left="180"/>
              <w:spacing w:after="0"/>
              <w:rPr>
                <w:sz w:val="20"/>
                <w:szCs w:val="20"/>
                <w:color w:val="auto"/>
              </w:rPr>
            </w:pPr>
            <w:r>
              <w:rPr>
                <w:rFonts w:ascii="Arial" w:cs="Arial" w:eastAsia="Arial" w:hAnsi="Arial"/>
                <w:sz w:val="18"/>
                <w:szCs w:val="18"/>
                <w:i w:val="1"/>
                <w:iCs w:val="1"/>
                <w:color w:val="231F20"/>
              </w:rPr>
              <w:t>As a percentage of net sales</w:t>
            </w:r>
          </w:p>
        </w:tc>
        <w:tc>
          <w:tcPr>
            <w:tcW w:w="54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231F20"/>
              </w:rPr>
              <w:t>42.9</w:t>
            </w: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38"/>
              <w:spacing w:after="0"/>
              <w:rPr>
                <w:sz w:val="20"/>
                <w:szCs w:val="20"/>
                <w:color w:val="auto"/>
              </w:rPr>
            </w:pPr>
            <w:r>
              <w:rPr>
                <w:rFonts w:ascii="Arial" w:cs="Arial" w:eastAsia="Arial" w:hAnsi="Arial"/>
                <w:sz w:val="18"/>
                <w:szCs w:val="18"/>
                <w:color w:val="231F20"/>
              </w:rPr>
              <w:t>42.3</w:t>
            </w: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307"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231F20"/>
        </w:rPr>
        <w:t xml:space="preserve">Selling and marketing expense for the year ended December 31, 2021 increased $61.3 million, or 121.7%, compared to the year ended December 31, 2020. Selling and marketing expenses as a </w:t>
      </w:r>
      <w:r>
        <w:rPr>
          <w:rFonts w:ascii="Arial" w:cs="Arial" w:eastAsia="Arial" w:hAnsi="Arial"/>
          <w:sz w:val="15"/>
          <w:szCs w:val="15"/>
          <w:color w:val="000000"/>
        </w:rPr>
        <w:t>percentage of net sales has remained consistent with the increase in sales. The overall year-over-year increase</w:t>
      </w:r>
      <w:r>
        <w:rPr>
          <w:rFonts w:ascii="Arial" w:cs="Arial" w:eastAsia="Arial" w:hAnsi="Arial"/>
          <w:sz w:val="15"/>
          <w:szCs w:val="15"/>
          <w:color w:val="231F20"/>
        </w:rPr>
        <w:t xml:space="preserve"> was due to an increase in sales commissions of $19.4 million, which includes an increase of $1.8 million in sales commissions from international operations, compared to the year ended December 31, 2020. In addition, personnel-related expenses increased by $18.6 million, which included a $6.9 million increase from our international operations, which is primarily attributable to increased headcount. Stock-based compensation expense increased by $3.5 million, personnel-related training and certification expenses increased by $4.2 million and marketing spend increased by $4.8 million.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Year Ended December 31,</w:t>
            </w: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349"/>
              <w:spacing w:after="0"/>
              <w:rPr>
                <w:sz w:val="20"/>
                <w:szCs w:val="20"/>
                <w:color w:val="auto"/>
              </w:rPr>
            </w:pPr>
            <w:r>
              <w:rPr>
                <w:rFonts w:ascii="Arial" w:cs="Arial" w:eastAsia="Arial" w:hAnsi="Arial"/>
                <w:sz w:val="14"/>
                <w:szCs w:val="14"/>
                <w:b w:val="1"/>
                <w:bCs w:val="1"/>
                <w:color w:val="231F20"/>
                <w:w w:val="93"/>
              </w:rPr>
              <w:t>Change</w:t>
            </w:r>
          </w:p>
        </w:tc>
      </w:tr>
      <w:tr>
        <w:trPr>
          <w:trHeight w:val="185"/>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231F20"/>
              </w:rPr>
              <w:t>(in millions)</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2021</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231F20"/>
                <w:w w:val="89"/>
              </w:rPr>
              <w:t>2020</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231F20"/>
              </w:rPr>
              <w:t>%</w:t>
            </w:r>
          </w:p>
        </w:tc>
      </w:tr>
      <w:tr>
        <w:trPr>
          <w:trHeight w:val="233"/>
        </w:trPr>
        <w:tc>
          <w:tcPr>
            <w:tcW w:w="406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231F20"/>
              </w:rPr>
              <w:t>Research and development</w:t>
            </w:r>
          </w:p>
        </w:tc>
        <w:tc>
          <w:tcPr>
            <w:tcW w:w="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231F20"/>
              </w:rPr>
              <w:t>8.2</w:t>
            </w: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231F20"/>
              </w:rPr>
              <w:t>3.4</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140.4   %</w:t>
            </w:r>
          </w:p>
        </w:tc>
      </w:tr>
      <w:tr>
        <w:trPr>
          <w:trHeight w:val="224"/>
        </w:trPr>
        <w:tc>
          <w:tcPr>
            <w:tcW w:w="4060" w:type="dxa"/>
            <w:vAlign w:val="bottom"/>
          </w:tcPr>
          <w:p>
            <w:pPr>
              <w:ind w:left="180"/>
              <w:spacing w:after="0"/>
              <w:rPr>
                <w:sz w:val="20"/>
                <w:szCs w:val="20"/>
                <w:color w:val="auto"/>
              </w:rPr>
            </w:pPr>
            <w:r>
              <w:rPr>
                <w:rFonts w:ascii="Arial" w:cs="Arial" w:eastAsia="Arial" w:hAnsi="Arial"/>
                <w:sz w:val="18"/>
                <w:szCs w:val="18"/>
                <w:i w:val="1"/>
                <w:iCs w:val="1"/>
                <w:color w:val="231F20"/>
              </w:rPr>
              <w:t>As a percentage of net sales</w:t>
            </w:r>
          </w:p>
        </w:tc>
        <w:tc>
          <w:tcPr>
            <w:tcW w:w="5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8"/>
                <w:szCs w:val="18"/>
                <w:color w:val="231F20"/>
              </w:rPr>
              <w:t>3.2</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8"/>
                <w:szCs w:val="18"/>
                <w:color w:val="231F20"/>
              </w:rPr>
              <w:t>2.9</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320"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231F20"/>
        </w:rPr>
        <w:t xml:space="preserve">Research and development expense for the year ended December 31, 2021 increased $4.8 million, or 140.4%, compared to the year ended December 31, 2020. </w:t>
      </w:r>
      <w:r>
        <w:rPr>
          <w:rFonts w:ascii="Arial" w:cs="Arial" w:eastAsia="Arial" w:hAnsi="Arial"/>
          <w:sz w:val="15"/>
          <w:szCs w:val="15"/>
          <w:color w:val="000000"/>
        </w:rPr>
        <w:t>The increase was primarily due to increased year-over-year expenses related to investments in new skincare treatment technologies of $3.4 million.</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231F20"/>
              </w:rPr>
              <w:t>Year Ended December 31,</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389"/>
              <w:spacing w:after="0"/>
              <w:rPr>
                <w:sz w:val="20"/>
                <w:szCs w:val="20"/>
                <w:color w:val="auto"/>
              </w:rPr>
            </w:pPr>
            <w:r>
              <w:rPr>
                <w:rFonts w:ascii="Arial" w:cs="Arial" w:eastAsia="Arial" w:hAnsi="Arial"/>
                <w:sz w:val="14"/>
                <w:szCs w:val="14"/>
                <w:b w:val="1"/>
                <w:bCs w:val="1"/>
                <w:color w:val="231F20"/>
                <w:w w:val="93"/>
              </w:rPr>
              <w:t>Change</w:t>
            </w:r>
          </w:p>
        </w:tc>
      </w:tr>
      <w:tr>
        <w:trPr>
          <w:trHeight w:val="185"/>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231F20"/>
              </w:rPr>
              <w:t>(in millions)</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231F20"/>
              </w:rPr>
              <w:t>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231F20"/>
                <w:w w:val="83"/>
              </w:rPr>
              <w:t>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231F20"/>
              </w:rPr>
              <w:t>%</w:t>
            </w:r>
          </w:p>
        </w:tc>
      </w:tr>
      <w:tr>
        <w:trPr>
          <w:trHeight w:val="233"/>
        </w:trPr>
        <w:tc>
          <w:tcPr>
            <w:tcW w:w="40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231F20"/>
              </w:rPr>
              <w:t>General and administrative</w:t>
            </w:r>
          </w:p>
        </w:tc>
        <w:tc>
          <w:tcPr>
            <w:tcW w:w="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231F20"/>
              </w:rPr>
              <w:t>98.7</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231F20"/>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231F20"/>
              </w:rPr>
              <w:t>30.6</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68.1</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222.0   %</w:t>
            </w:r>
          </w:p>
        </w:tc>
      </w:tr>
      <w:tr>
        <w:trPr>
          <w:trHeight w:val="224"/>
        </w:trPr>
        <w:tc>
          <w:tcPr>
            <w:tcW w:w="4040" w:type="dxa"/>
            <w:vAlign w:val="bottom"/>
          </w:tcPr>
          <w:p>
            <w:pPr>
              <w:ind w:left="180"/>
              <w:spacing w:after="0"/>
              <w:rPr>
                <w:sz w:val="20"/>
                <w:szCs w:val="20"/>
                <w:color w:val="auto"/>
              </w:rPr>
            </w:pPr>
            <w:r>
              <w:rPr>
                <w:rFonts w:ascii="Arial" w:cs="Arial" w:eastAsia="Arial" w:hAnsi="Arial"/>
                <w:sz w:val="18"/>
                <w:szCs w:val="18"/>
                <w:i w:val="1"/>
                <w:iCs w:val="1"/>
                <w:color w:val="231F20"/>
              </w:rPr>
              <w:t>As a percentage of net sales</w:t>
            </w:r>
          </w:p>
        </w:tc>
        <w:tc>
          <w:tcPr>
            <w:tcW w:w="5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231F20"/>
              </w:rPr>
              <w:t>37.9</w:t>
            </w: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38"/>
              <w:spacing w:after="0"/>
              <w:rPr>
                <w:sz w:val="20"/>
                <w:szCs w:val="20"/>
                <w:color w:val="auto"/>
              </w:rPr>
            </w:pPr>
            <w:r>
              <w:rPr>
                <w:rFonts w:ascii="Arial" w:cs="Arial" w:eastAsia="Arial" w:hAnsi="Arial"/>
                <w:sz w:val="18"/>
                <w:szCs w:val="18"/>
                <w:color w:val="231F20"/>
              </w:rPr>
              <w:t>25.7</w:t>
            </w: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32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231F20"/>
        </w:rPr>
        <w:t>General and administrative expense for the year ended December 31, 2021 increased $68.1 million, or 222.0%, compared to the year ended December 31, 2020. This increase is primarily attributable to increased transaction costs of $33.0 million related to the consummation of the Business Combination consisting of $21.0 million paid to the former owner of HydraFacial as well as professional fees for financial advisory, legal and accounting services. The consummation of the Business Combination during the year ended December 31, 2021 also drove an increase of $8.0 million in stock-based compensation which includes $1.4 million related to accelerated vesting due to the Business Combination. Personnel-related expenses increased by $10.4 million primarily due to increased headcount and higher sales.</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231F20"/>
              </w:rPr>
              <w:t>Year Ended 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429"/>
              <w:spacing w:after="0"/>
              <w:rPr>
                <w:sz w:val="20"/>
                <w:szCs w:val="20"/>
                <w:color w:val="auto"/>
              </w:rPr>
            </w:pPr>
            <w:r>
              <w:rPr>
                <w:rFonts w:ascii="Arial" w:cs="Arial" w:eastAsia="Arial" w:hAnsi="Arial"/>
                <w:sz w:val="14"/>
                <w:szCs w:val="14"/>
                <w:b w:val="1"/>
                <w:bCs w:val="1"/>
                <w:color w:val="231F20"/>
                <w:w w:val="97"/>
              </w:rPr>
              <w:t>Change</w:t>
            </w:r>
          </w:p>
        </w:tc>
      </w:tr>
      <w:tr>
        <w:trPr>
          <w:trHeight w:val="185"/>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231F20"/>
              </w:rPr>
              <w:t>(in millions)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231F20"/>
              </w:rPr>
              <w:t>%</w:t>
            </w:r>
          </w:p>
        </w:tc>
      </w:tr>
      <w:tr>
        <w:trPr>
          <w:trHeight w:val="233"/>
        </w:trPr>
        <w:tc>
          <w:tcPr>
            <w:tcW w:w="44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231F20"/>
              </w:rPr>
              <w:t>Total other expense</w:t>
            </w:r>
          </w:p>
        </w:tc>
        <w:tc>
          <w:tcPr>
            <w:tcW w:w="1060" w:type="dxa"/>
            <w:vAlign w:val="bottom"/>
            <w:shd w:val="clear" w:color="auto" w:fill="CCEEFF"/>
          </w:tcPr>
          <w:p>
            <w:pPr>
              <w:jc w:val="right"/>
              <w:ind w:right="723"/>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340.7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6"/>
              </w:rPr>
              <w:t>21.3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319.4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1499.5   %</w:t>
            </w:r>
          </w:p>
        </w:tc>
      </w:tr>
    </w:tbl>
    <w:p>
      <w:pPr>
        <w:spacing w:after="0" w:line="319" w:lineRule="exact"/>
        <w:rPr>
          <w:sz w:val="20"/>
          <w:szCs w:val="20"/>
          <w:color w:val="auto"/>
        </w:rPr>
      </w:pPr>
    </w:p>
    <w:p>
      <w:pPr>
        <w:jc w:val="both"/>
        <w:ind w:right="280" w:firstLine="318"/>
        <w:spacing w:after="0" w:line="271" w:lineRule="auto"/>
        <w:rPr>
          <w:sz w:val="20"/>
          <w:szCs w:val="20"/>
          <w:color w:val="auto"/>
        </w:rPr>
      </w:pPr>
      <w:r>
        <w:rPr>
          <w:rFonts w:ascii="Arial" w:cs="Arial" w:eastAsia="Arial" w:hAnsi="Arial"/>
          <w:sz w:val="17"/>
          <w:szCs w:val="17"/>
          <w:color w:val="231F20"/>
        </w:rPr>
        <w:t>Other expense, net, was $340.7 million for the year ended December 31, 2021 compared to $21.3 million for the year ended December 31, 2020. The increase was primarily driven by the changes in the fair values of our Warrant liability (as defined below) and earn-out share liability of $277.3 million and $47.1 million, respectively. In connection with the consummation of the Business Combination, we repaid all long-term borrowings and incurred a total of $4.3 million in prepayment penalties and deferred financing cost write-offs.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231F20"/>
              </w:rPr>
              <w:t>Year Ended December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429"/>
              <w:spacing w:after="0"/>
              <w:rPr>
                <w:sz w:val="20"/>
                <w:szCs w:val="20"/>
                <w:color w:val="auto"/>
              </w:rPr>
            </w:pPr>
            <w:r>
              <w:rPr>
                <w:rFonts w:ascii="Arial" w:cs="Arial" w:eastAsia="Arial" w:hAnsi="Arial"/>
                <w:sz w:val="14"/>
                <w:szCs w:val="14"/>
                <w:b w:val="1"/>
                <w:bCs w:val="1"/>
                <w:color w:val="231F20"/>
                <w:w w:val="89"/>
              </w:rPr>
              <w:t>Change</w:t>
            </w:r>
          </w:p>
        </w:tc>
      </w:tr>
      <w:tr>
        <w:trPr>
          <w:trHeight w:val="18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231F20"/>
              </w:rPr>
              <w:t>(in millions)</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231F20"/>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231F20"/>
              </w:rPr>
              <w:t>2020</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231F20"/>
              </w:rPr>
              <w:t>%</w:t>
            </w:r>
          </w:p>
        </w:tc>
      </w:tr>
      <w:tr>
        <w:trPr>
          <w:trHeight w:val="233"/>
        </w:trPr>
        <w:tc>
          <w:tcPr>
            <w:tcW w:w="4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Income tax benefit</w:t>
            </w: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231F20"/>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31F20"/>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w:t>
            </w:r>
          </w:p>
        </w:tc>
      </w:tr>
    </w:tbl>
    <w:p>
      <w:pPr>
        <w:spacing w:after="0" w:line="306"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231F20"/>
        </w:rPr>
        <w:t>Income tax benefit decreased primarily due to an increase in valuation allowance and various non-deductible expenses which include the revaluation of the warrants and contingent considerations from the business acquisitions lowering the effective tax rate of the benefit from 24.1% in December 31, 2020 to 0.6% on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right="240" w:firstLine="318"/>
        <w:spacing w:after="0" w:line="309" w:lineRule="auto"/>
        <w:rPr>
          <w:sz w:val="20"/>
          <w:szCs w:val="20"/>
          <w:color w:val="auto"/>
        </w:rPr>
      </w:pPr>
      <w:r>
        <w:rPr>
          <w:rFonts w:ascii="Arial" w:cs="Arial" w:eastAsia="Arial" w:hAnsi="Arial"/>
          <w:sz w:val="15"/>
          <w:szCs w:val="15"/>
          <w:color w:val="231F20"/>
        </w:rPr>
        <w:t xml:space="preserve">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Warrants. As of December 31, 2021, we had cash and cash equivalents of approximately $901.9 million. On September 14, 2021, we issued $750 million aggregate principal amount of our Notes. On October 4, 2021, we delivered a Notice of Redemption for all of our outstanding Public Warrants to purchase shares of our Class A Common Stock. On November 8, 2021, we announced 16.2 million Public Warrants were exercised for total cash proceeds of $185.4 million. </w:t>
      </w:r>
      <w:r>
        <w:rPr>
          <w:rFonts w:ascii="Arial" w:cs="Arial" w:eastAsia="Arial" w:hAnsi="Arial"/>
          <w:sz w:val="15"/>
          <w:szCs w:val="15"/>
          <w:color w:val="000000"/>
        </w:rPr>
        <w:t>In addition, 0.3 million of Private Placement Warrants were exercised for total cash proceeds of $3.0 million.</w:t>
      </w:r>
    </w:p>
    <w:p>
      <w:pPr>
        <w:spacing w:after="0" w:line="17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0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expect capital expenditures of up to $20.0 million for the year ended December 31, 2022. Based on our sources of capital (including the cash consideration received from the consummation of the Business Combination and the cash received from the issuance of the Notes), management believes that we have sufficient liquidity to satisfy our anticipated working capital requirements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12"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ind w:right="440"/>
        <w:spacing w:after="0" w:line="252" w:lineRule="auto"/>
        <w:rPr>
          <w:sz w:val="20"/>
          <w:szCs w:val="20"/>
          <w:color w:val="auto"/>
        </w:rPr>
      </w:pPr>
      <w:r>
        <w:rPr>
          <w:rFonts w:ascii="Arial" w:cs="Arial" w:eastAsia="Arial" w:hAnsi="Arial"/>
          <w:sz w:val="18"/>
          <w:szCs w:val="18"/>
          <w:color w:val="auto"/>
        </w:rPr>
        <w:t>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On December 30, 2021, Edge Systems LLC, a California limited liability company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as guarantors (the “Guarantors” and, together with the Borrower, the “Loan Parties”), and JPMorgan Chase Bank, N.A., as administrative agent.</w:t>
      </w:r>
    </w:p>
    <w:p>
      <w:pPr>
        <w:spacing w:after="0" w:line="177"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Arial" w:cs="Arial" w:eastAsia="Arial" w:hAnsi="Arial"/>
          <w:sz w:val="18"/>
          <w:szCs w:val="18"/>
          <w:color w:val="231F20"/>
        </w:rPr>
        <w:t>December 31, 2021,</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1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12"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On September 14, 2021, we issued $750 million aggregate principal amount of Notes in a private placement to qualified institutional buyers pursuant to Rule 144A under the Securities Act of 1933, as amended. The Notes were issued pursuant to, and are governed by, an indenture, dated as of September 14, 2021, between the Company and U.S. Bank National Association, as trustee. The Notes accrue interest at a rate of 1.25% per annum, payable semi-annually in arrears on April 1 and October 1 of each year, beginning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We used $90.2 million of the net proceeds from the sale of the Notes to fund the cost of entering into capped call transactions. The net proceeds from the issuance of the Notes were approximately $638.7 million, net of capped call transaction costs of $90.2 million and debt issuance costs totaling $21.3 million. See Note 10 - Debt, to the Notes to Consolidated Financial Statements included elsewhere in this report.</w:t>
      </w: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Capped call transactions cover the aggregate number of shares of our Class A Common Stock that will initially underlie the Notes, and generally reduce potential dilution to our common stock upon any conversion of Notes and/or 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Consolidated Financial Statements included elsewhere in this report.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Contractual Obligations and Other Commercial Commitments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discloses our material cash requirements as of </w:t>
      </w:r>
      <w:r>
        <w:rPr>
          <w:rFonts w:ascii="Arial" w:cs="Arial" w:eastAsia="Arial" w:hAnsi="Arial"/>
          <w:sz w:val="18"/>
          <w:szCs w:val="18"/>
          <w:color w:val="231F20"/>
        </w:rPr>
        <w:t>December 31, 2021. In regards to future capital expenditures, we intend to use cash-on-hand and cash from operations to help satisfy future requirements.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374"/>
              <w:spacing w:after="0"/>
              <w:rPr>
                <w:sz w:val="20"/>
                <w:szCs w:val="20"/>
                <w:color w:val="auto"/>
              </w:rPr>
            </w:pPr>
            <w:r>
              <w:rPr>
                <w:rFonts w:ascii="Arial" w:cs="Arial" w:eastAsia="Arial" w:hAnsi="Arial"/>
                <w:sz w:val="14"/>
                <w:szCs w:val="14"/>
                <w:b w:val="1"/>
                <w:bCs w:val="1"/>
                <w:color w:val="231F20"/>
                <w:w w:val="89"/>
              </w:rPr>
              <w:t>Payments Due by Fiscal Period</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5"/>
        </w:trPr>
        <w:tc>
          <w:tcPr>
            <w:tcW w:w="4860" w:type="dxa"/>
            <w:vAlign w:val="bottom"/>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231F20"/>
              </w:rPr>
              <w:t>Total</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231F20"/>
              </w:rPr>
              <w:t>Less Than 1 Year</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231F20"/>
                <w:w w:val="88"/>
              </w:rPr>
              <w:t>1-3 years</w:t>
            </w:r>
          </w:p>
        </w:tc>
        <w:tc>
          <w:tcPr>
            <w:tcW w:w="3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231F20"/>
              </w:rPr>
              <w:t>3-5 Years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231F20"/>
                <w:w w:val="96"/>
              </w:rPr>
              <w:t>More than 5 Years</w:t>
            </w:r>
          </w:p>
        </w:tc>
      </w:tr>
      <w:tr>
        <w:trPr>
          <w:trHeight w:val="219"/>
        </w:trPr>
        <w:tc>
          <w:tcPr>
            <w:tcW w:w="4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 xml:space="preserve">Notes and interest on the Notes </w:t>
            </w:r>
            <w:r>
              <w:rPr>
                <w:rFonts w:ascii="Arial" w:cs="Arial" w:eastAsia="Arial" w:hAnsi="Arial"/>
                <w:sz w:val="15"/>
                <w:szCs w:val="15"/>
                <w:color w:val="231F20"/>
              </w:rPr>
              <w:t>(1)</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231F20"/>
              </w:rPr>
              <w:t>Operating leases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 xml:space="preserve">Purchase commitments </w:t>
            </w:r>
            <w:r>
              <w:rPr>
                <w:rFonts w:ascii="Arial" w:cs="Arial" w:eastAsia="Arial" w:hAnsi="Arial"/>
                <w:sz w:val="15"/>
                <w:szCs w:val="15"/>
                <w:color w:val="231F20"/>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231F20"/>
              </w:rPr>
              <w:t>Contingent consideration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 xml:space="preserve">Notes payable to seller </w:t>
            </w:r>
            <w:r>
              <w:rPr>
                <w:rFonts w:ascii="Arial" w:cs="Arial" w:eastAsia="Arial" w:hAnsi="Arial"/>
                <w:sz w:val="15"/>
                <w:szCs w:val="15"/>
                <w:color w:val="231F20"/>
              </w:rPr>
              <w:t>(3)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860" w:type="dxa"/>
            <w:vAlign w:val="bottom"/>
          </w:tcPr>
          <w:p>
            <w:pPr>
              <w:ind w:left="20"/>
              <w:spacing w:after="0" w:line="204" w:lineRule="exact"/>
              <w:rPr>
                <w:sz w:val="20"/>
                <w:szCs w:val="20"/>
                <w:color w:val="auto"/>
              </w:rPr>
            </w:pPr>
            <w:r>
              <w:rPr>
                <w:rFonts w:ascii="Arial" w:cs="Arial" w:eastAsia="Arial" w:hAnsi="Arial"/>
                <w:sz w:val="18"/>
                <w:szCs w:val="18"/>
                <w:color w:val="231F20"/>
              </w:rPr>
              <w:t>Total contractual obligations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6" w:lineRule="exact"/>
        <w:rPr>
          <w:sz w:val="20"/>
          <w:szCs w:val="20"/>
          <w:color w:val="auto"/>
        </w:rPr>
      </w:pPr>
    </w:p>
    <w:p>
      <w:pPr>
        <w:ind w:left="320" w:right="140" w:hanging="314"/>
        <w:spacing w:after="0" w:line="241" w:lineRule="auto"/>
        <w:tabs>
          <w:tab w:leader="none" w:pos="3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Notes will mature on October 1, 2026 and are due either in cash or shares of the Company’s Class A Common Stock. From and after April 1, 2026, noteholders may convert their Notes into shares until the close of business on the second scheduled trading day immediately before the maturity date.</w:t>
      </w:r>
    </w:p>
    <w:p>
      <w:pPr>
        <w:spacing w:after="0" w:line="1" w:lineRule="exact"/>
        <w:rPr>
          <w:rFonts w:ascii="Arial" w:cs="Arial" w:eastAsia="Arial" w:hAnsi="Arial"/>
          <w:sz w:val="16"/>
          <w:szCs w:val="16"/>
          <w:color w:val="auto"/>
        </w:rPr>
      </w:pPr>
    </w:p>
    <w:p>
      <w:pPr>
        <w:ind w:left="360" w:hanging="354"/>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purchase commitments for software and services.</w:t>
      </w:r>
    </w:p>
    <w:p>
      <w:pPr>
        <w:spacing w:after="0" w:line="1" w:lineRule="exact"/>
        <w:rPr>
          <w:rFonts w:ascii="Arial" w:cs="Arial" w:eastAsia="Arial" w:hAnsi="Arial"/>
          <w:sz w:val="16"/>
          <w:szCs w:val="16"/>
          <w:color w:val="auto"/>
        </w:rPr>
      </w:pPr>
    </w:p>
    <w:p>
      <w:pPr>
        <w:ind w:left="340" w:hanging="33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amounts relate to amounts payable to the former owner of Ecomedic.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activities from our statements of cash flows. Amounts may not foot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231F20"/>
                <w:w w:val="97"/>
              </w:rPr>
              <w:t>Year Ended December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1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2019</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beginning of period</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loss</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line="204" w:lineRule="exact"/>
              <w:rPr>
                <w:sz w:val="20"/>
                <w:szCs w:val="20"/>
                <w:color w:val="auto"/>
              </w:rPr>
            </w:pPr>
            <w:r>
              <w:rPr>
                <w:rFonts w:ascii="Arial" w:cs="Arial" w:eastAsia="Arial" w:hAnsi="Arial"/>
                <w:sz w:val="18"/>
                <w:szCs w:val="18"/>
                <w:color w:val="231F20"/>
              </w:rPr>
              <w:t>Net cash flows used in operating activities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(28.4)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flows used in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cash flows from financing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Net change in cash and cash equivalents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end of period</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44"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231F20"/>
        </w:rPr>
        <w:t>Net cash used in operating activities of $28.4 million for the year ended December 31, 2021 was primarily due to the net loss of $375.1 million. The net loss was impacted by non-cash adjustments of $365.4 million, primarily related to fair value adjustments to earn-out shares liability and warrant liabilities, partially offset by a decrease in net change in working capital of $18.7 million. The total increase in net operating assets and liabilities was primarily due to the increase in accounts receivable of $31.0 million and offset by an increase in accrued payroll and taxes.</w:t>
      </w:r>
    </w:p>
    <w:p>
      <w:pPr>
        <w:spacing w:after="0" w:line="20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231F20"/>
        </w:rPr>
        <w:t>Net cash used in operating activities of $12.4 million for the year ended December 31, 2020 was primarily due to the net loss of $29.2 million. The net loss was impacted by non-cash adjustments of $19.3 million primarily related to depreciation and amortization, partially offset by a decrease in net change in working capital of $2.6 million. The total increase in net operating</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231F20"/>
        </w:rPr>
        <w:t>assets and liabilities was primarily due to a $4.6 million increase in income tax receivables and a $0.1 million decrease in accrued payroll and other expenses offset by a $3.7 million decrease in accounts receivable.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4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231F20"/>
        </w:rPr>
        <w:t>Cash used in investing activities for the year ended December 31, 2021 of $37.7 million was primarily related to our business acquisitions of distributors in Australia, Germany, Mexico and France with cash paid of $22.9 million, net of cash acquired, $11.2 million in capital expenditures and $4.4 million in capitalized software.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Cash used in investing activities for the year ended December 31, 2020 of $3.8 million was related to capital expenditures.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4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231F20"/>
        </w:rPr>
        <w:t>Net cash from financing activities of $959.0 million for the year ended December 31, 2021 was primarily related to the proceeds received from the issuance of convertible senior notes and Business Combination. In addition, we received $188.4 million in proceeds for the exercise of the warrants as a result of the exercise of the redemption feature for the Public Warrants, and related to the exercise of Private Placement Warrants. The proceeds were offset by the payoff of long-term debt of $225.5 million and proceeds from our issuance of convertible senior notes.</w:t>
      </w:r>
    </w:p>
    <w:p>
      <w:pPr>
        <w:spacing w:after="0" w:line="204" w:lineRule="exact"/>
        <w:rPr>
          <w:sz w:val="20"/>
          <w:szCs w:val="20"/>
          <w:color w:val="auto"/>
        </w:rPr>
      </w:pPr>
    </w:p>
    <w:p>
      <w:pPr>
        <w:ind w:right="740" w:firstLine="318"/>
        <w:spacing w:after="0" w:line="264" w:lineRule="auto"/>
        <w:rPr>
          <w:sz w:val="20"/>
          <w:szCs w:val="20"/>
          <w:color w:val="auto"/>
        </w:rPr>
      </w:pPr>
      <w:r>
        <w:rPr>
          <w:rFonts w:ascii="Arial" w:cs="Arial" w:eastAsia="Arial" w:hAnsi="Arial"/>
          <w:sz w:val="18"/>
          <w:szCs w:val="18"/>
          <w:color w:val="231F20"/>
        </w:rPr>
        <w:t>Net cash from financing activities of $18.3 million for the year ended December 31, 2020 was primarily related to proceeds from borrowings of $36.5 million, net of debt repayments and issuance costs of $16.8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We elected to adopt the new revenue recognition standard using the full retrospective method as of January 1, 2019. The adoption of the new standard did not have a significant effect on earnings or on the timing of our transactions and, therefore, the effect of applying the new guidance was not material. As such, there were no adjustments to the prior periods. In accordance with ASU 2014-09, we determine the amount of revenue to be recognized through application of the following steps:</w:t>
      </w:r>
    </w:p>
    <w:p>
      <w:pPr>
        <w:spacing w:after="0" w:line="85"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Identify the customer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Identify the performance obligations in the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Determine the transaction price;</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Allocate the transaction price to the performance obligations in the contract; and</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Recognize revenue as the performance obligations are satisfied.</w:t>
      </w:r>
    </w:p>
    <w:p>
      <w:pPr>
        <w:spacing w:after="0" w:line="24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u w:val="single" w:color="auto"/>
          <w:color w:val="231F20"/>
        </w:rPr>
        <w:t>Subjective Estimates and Judgements</w:t>
      </w:r>
      <w:r>
        <w:rPr>
          <w:rFonts w:ascii="Arial" w:cs="Arial" w:eastAsia="Arial" w:hAnsi="Arial"/>
          <w:sz w:val="15"/>
          <w:szCs w:val="15"/>
          <w:color w:val="231F20"/>
        </w:rPr>
        <w:t>: The determination of the reduction of the transaction price for variable consideration requires that we make certain estimates and assumptions that affect the timing and amounts of revenue recognized. We estimate the variable consideration by taking into account factors such as historical information, current trends, forecasts, and availability of actual results and expectations of customer and consumer behavior.</w:t>
      </w:r>
    </w:p>
    <w:p>
      <w:pPr>
        <w:spacing w:after="0" w:line="163"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u w:val="single" w:color="auto"/>
          <w:color w:val="auto"/>
        </w:rPr>
        <w:t>Impact if Actual Results Differ from Estimates and Judgements</w:t>
      </w:r>
      <w:r>
        <w:rPr>
          <w:rFonts w:ascii="Arial" w:cs="Arial" w:eastAsia="Arial" w:hAnsi="Arial"/>
          <w:sz w:val="17"/>
          <w:szCs w:val="17"/>
          <w:color w:val="auto"/>
        </w:rPr>
        <w:t>: A more optimistic outlook on future demand can result in lower expected returns and reduced likelihood of price adjustments necessary to sell the product. This outlook will reduce the provision against revenue.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We measure and recognize compensation expenses for stock options, RSUs, and PSUs to employees on a straight-line basis over the vesting period based on their grant date fair values.</w:t>
      </w:r>
    </w:p>
    <w:p>
      <w:pPr>
        <w:spacing w:after="0" w:line="207"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We estimate the fair value of stock options on the date of grant using the Black-Scholes option pricing model and the fair value of PSUs on the date of grant using a Monte Carlo simulation. The fair value of the RSUs is based on the closing price of our common stock on the grant date.</w:t>
      </w:r>
    </w:p>
    <w:p>
      <w:pPr>
        <w:spacing w:after="0" w:line="215" w:lineRule="exact"/>
        <w:rPr>
          <w:sz w:val="20"/>
          <w:szCs w:val="20"/>
          <w:color w:val="auto"/>
        </w:rPr>
      </w:pPr>
    </w:p>
    <w:p>
      <w:pPr>
        <w:jc w:val="both"/>
        <w:ind w:right="60" w:firstLine="318"/>
        <w:spacing w:after="0" w:line="277" w:lineRule="auto"/>
        <w:rPr>
          <w:sz w:val="20"/>
          <w:szCs w:val="20"/>
          <w:color w:val="auto"/>
        </w:rPr>
      </w:pPr>
      <w:r>
        <w:rPr>
          <w:rFonts w:ascii="Arial" w:cs="Arial" w:eastAsia="Arial" w:hAnsi="Arial"/>
          <w:sz w:val="17"/>
          <w:szCs w:val="17"/>
          <w:u w:val="single" w:color="auto"/>
          <w:color w:val="auto"/>
        </w:rPr>
        <w:t>Impact if Actual Results Differ from Estimates and Judgements</w:t>
      </w:r>
      <w:r>
        <w:rPr>
          <w:rFonts w:ascii="Arial" w:cs="Arial" w:eastAsia="Arial" w:hAnsi="Arial"/>
          <w:sz w:val="17"/>
          <w:szCs w:val="17"/>
          <w:color w:val="auto"/>
        </w:rPr>
        <w:t>: If key inputs differ, the fair value of stock options and PSUs will be impacted. A higher fair value of the stock options and PSUs will result in higher share-based compensation expense over the vesting period of the grants and a lower fair value of the options will result in an understatement of share-based compensation expense over the vesting period.</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u w:val="single" w:color="auto"/>
          <w:color w:val="231F20"/>
        </w:rPr>
        <w:t>Management’s Policy</w:t>
      </w:r>
      <w:r>
        <w:rPr>
          <w:rFonts w:ascii="Arial" w:cs="Arial" w:eastAsia="Arial" w:hAnsi="Arial"/>
          <w:sz w:val="15"/>
          <w:szCs w:val="15"/>
          <w:color w:val="231F20"/>
        </w:rPr>
        <w:t>: 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We have one reporting unit and management evaluates the carrying value of goodwill annually at the end of our fiscal year or whenever events or changes in circumstances indicate that an impairment may exist.</w:t>
      </w:r>
    </w:p>
    <w:p>
      <w:pPr>
        <w:spacing w:after="0" w:line="172"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u w:val="single" w:color="auto"/>
          <w:color w:val="231F20"/>
        </w:rPr>
        <w:t>Subjective Estimates and Judgements</w:t>
      </w:r>
      <w:r>
        <w:rPr>
          <w:rFonts w:ascii="Arial" w:cs="Arial" w:eastAsia="Arial" w:hAnsi="Arial"/>
          <w:sz w:val="17"/>
          <w:szCs w:val="17"/>
          <w:color w:val="231F20"/>
        </w:rPr>
        <w:t>: 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our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conclude that it is more likely than not that the fair value of a reporting unit is less than its carrying amount, we are required to perform a quantitative impairment test.</w:t>
      </w:r>
    </w:p>
    <w:p>
      <w:pPr>
        <w:spacing w:after="0" w:line="206"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231F20"/>
        </w:rPr>
        <w:t>Quantitative impairment testing for goodwill is based upon the fair value of a reporting unit as compared to its carrying value. Under a quantitative impairment test, we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217"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231F20"/>
        </w:rPr>
        <w:t>Testing goodwill for impairment requires us to estimate the fair value of our reporting unit using significant estimates and assumptions. The assumptions made will impact the outcome and ultimate results of the testing. We will use industry accepted valuation models and set criteria that are reviewed and approved by various levels of management and, in certain instances, we will engage independent third-party valuation specialists for advice.</w:t>
      </w:r>
    </w:p>
    <w:p>
      <w:pPr>
        <w:spacing w:after="0" w:line="163"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231F20"/>
        </w:rPr>
        <w:t>The key estimates and factors used in the valuation models would include revenue growth rates and profit margins based on our internal forecasts, our specific weighted average cost of capital used to discount future cash flows, as well as our historical operating trends. Certain future events and circumstances, including deterioration of market conditions, higher cost of capital or a decline in actual and/or expected consumer consumption and demand,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financial statements.</w:t>
      </w:r>
    </w:p>
    <w:p>
      <w:pPr>
        <w:spacing w:after="0" w:line="177"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231F20"/>
        </w:rPr>
        <w:t>We performed a qualitative assessment as of December 31, 2021, based on which we determined that there is no indication of goodwill impairment. During the second quarter of 2020, our business was substantially impacted by the COVID-19 pandemic, which subsequently recovered and returned to having positive adjusted EBITDA during the third quarter of 2020. We evaluated our goodwill for impairment during the second quarter of 2020, and as a result of that assessment, concluded that our goodwill was not impaired.</w:t>
      </w:r>
    </w:p>
    <w:p>
      <w:pPr>
        <w:spacing w:after="0" w:line="217" w:lineRule="exact"/>
        <w:rPr>
          <w:sz w:val="20"/>
          <w:szCs w:val="20"/>
          <w:color w:val="auto"/>
        </w:rPr>
      </w:pPr>
    </w:p>
    <w:p>
      <w:pPr>
        <w:jc w:val="both"/>
        <w:ind w:right="140" w:firstLine="318"/>
        <w:spacing w:after="0" w:line="330" w:lineRule="auto"/>
        <w:rPr>
          <w:sz w:val="20"/>
          <w:szCs w:val="20"/>
          <w:color w:val="auto"/>
        </w:rPr>
      </w:pPr>
      <w:r>
        <w:rPr>
          <w:rFonts w:ascii="Arial" w:cs="Arial" w:eastAsia="Arial" w:hAnsi="Arial"/>
          <w:sz w:val="15"/>
          <w:szCs w:val="15"/>
          <w:u w:val="single" w:color="auto"/>
          <w:color w:val="auto"/>
        </w:rPr>
        <w:t>Impact if Actual Results Differ from Estimates and Judgements</w:t>
      </w:r>
      <w:r>
        <w:rPr>
          <w:rFonts w:ascii="Arial" w:cs="Arial" w:eastAsia="Arial" w:hAnsi="Arial"/>
          <w:sz w:val="15"/>
          <w:szCs w:val="15"/>
          <w:color w:val="auto"/>
        </w:rPr>
        <w:t>: Changes in qualitative factors assessed, changes to assumptions used in the impairment test, selection and weighting of the various fair value techniques, and downturns in economic or business conditions, could have a significant adverse impact on the carrying value of goodwill and could result in impairment losses which could have a material impact on our financial condition and earnings.</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4"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u w:val="single" w:color="auto"/>
          <w:color w:val="231F20"/>
        </w:rPr>
        <w:t>Management’s Policy</w:t>
      </w:r>
      <w:r>
        <w:rPr>
          <w:rFonts w:ascii="Arial" w:cs="Arial" w:eastAsia="Arial" w:hAnsi="Arial"/>
          <w:sz w:val="17"/>
          <w:szCs w:val="17"/>
          <w:color w:val="231F20"/>
        </w:rPr>
        <w:t>: 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If the assets have an indefinite life, these assets are assessed for impairment annually.</w:t>
      </w:r>
    </w:p>
    <w:p>
      <w:pPr>
        <w:spacing w:after="0" w:line="204"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u w:val="single" w:color="auto"/>
          <w:color w:val="231F20"/>
        </w:rPr>
        <w:t>Subjective Estimates and Judgements</w:t>
      </w:r>
      <w:r>
        <w:rPr>
          <w:rFonts w:ascii="Arial" w:cs="Arial" w:eastAsia="Arial" w:hAnsi="Arial"/>
          <w:sz w:val="17"/>
          <w:szCs w:val="17"/>
          <w:color w:val="231F20"/>
        </w:rPr>
        <w: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and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206" w:lineRule="exact"/>
        <w:rPr>
          <w:sz w:val="20"/>
          <w:szCs w:val="20"/>
          <w:color w:val="auto"/>
        </w:rPr>
      </w:pPr>
    </w:p>
    <w:p>
      <w:pPr>
        <w:jc w:val="both"/>
        <w:ind w:right="160" w:firstLine="318"/>
        <w:spacing w:after="0" w:line="330" w:lineRule="auto"/>
        <w:rPr>
          <w:sz w:val="20"/>
          <w:szCs w:val="20"/>
          <w:color w:val="auto"/>
        </w:rPr>
      </w:pPr>
      <w:r>
        <w:rPr>
          <w:rFonts w:ascii="Arial" w:cs="Arial" w:eastAsia="Arial" w:hAnsi="Arial"/>
          <w:sz w:val="15"/>
          <w:szCs w:val="15"/>
          <w:u w:val="single" w:color="auto"/>
          <w:color w:val="auto"/>
        </w:rPr>
        <w:t>Impact if Actual Results Differ from Estimates and Judgements</w:t>
      </w:r>
      <w:r>
        <w:rPr>
          <w:rFonts w:ascii="Arial" w:cs="Arial" w:eastAsia="Arial" w:hAnsi="Arial"/>
          <w:sz w:val="15"/>
          <w:szCs w:val="15"/>
          <w:color w:val="auto"/>
        </w:rPr>
        <w:t>: Changes in qualitative factors assessed, changes to assumptions used in the impairment test, selection and weighting of the various fair value techniques, and downturns in economic or business conditions, could have a significant adverse impact on the carrying value of intangible assets and could result in impairment losses which could have a material impact on our financial condition and earnings.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Inventories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Inventories are stated at the lower of cost (determined by the first-in, first-out method) or net realizable value.</w:t>
      </w:r>
    </w:p>
    <w:p>
      <w:pPr>
        <w:spacing w:after="0" w:line="244"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215"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u w:val="single" w:color="auto"/>
          <w:color w:val="auto"/>
        </w:rPr>
        <w:t>Impact if Actual Results Differ from Estimates and Judgements</w:t>
      </w:r>
      <w:r>
        <w:rPr>
          <w:rFonts w:ascii="Arial" w:cs="Arial" w:eastAsia="Arial" w:hAnsi="Arial"/>
          <w:sz w:val="15"/>
          <w:szCs w:val="15"/>
          <w:color w:val="auto"/>
        </w:rPr>
        <w:t>: If the assumptions around future demand for our inventory are more optimistic than actual future results, the net realizable value calculated using these assumptions may be overstated, resulting in an overstatement of the inventory balance.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u w:val="single" w:color="auto"/>
          <w:color w:val="auto"/>
        </w:rPr>
        <w:t>Management’s Policy</w:t>
      </w:r>
      <w:r>
        <w:rPr>
          <w:rFonts w:ascii="Arial" w:cs="Arial" w:eastAsia="Arial" w:hAnsi="Arial"/>
          <w:sz w:val="17"/>
          <w:szCs w:val="17"/>
          <w:color w:val="auto"/>
        </w:rPr>
        <w:t xml:space="preserve">: </w:t>
      </w:r>
      <w:r>
        <w:rPr>
          <w:rFonts w:ascii="Arial" w:cs="Arial" w:eastAsia="Arial" w:hAnsi="Arial"/>
          <w:sz w:val="17"/>
          <w:szCs w:val="17"/>
          <w:color w:val="231F20"/>
        </w:rPr>
        <w:t>We use the asset-and-liability method for income taxes. Under this method, deferred tax assets and liabilities are determined based</w:t>
      </w:r>
      <w:r>
        <w:rPr>
          <w:rFonts w:ascii="Arial" w:cs="Arial" w:eastAsia="Arial" w:hAnsi="Arial"/>
          <w:sz w:val="17"/>
          <w:szCs w:val="17"/>
          <w:color w:val="auto"/>
        </w:rPr>
        <w:t xml:space="preserve"> </w:t>
      </w:r>
      <w:r>
        <w:rPr>
          <w:rFonts w:ascii="Arial" w:cs="Arial" w:eastAsia="Arial" w:hAnsi="Arial"/>
          <w:sz w:val="17"/>
          <w:szCs w:val="17"/>
          <w:color w:val="231F20"/>
        </w:rPr>
        <w:t>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w:t>
      </w:r>
    </w:p>
    <w:p>
      <w:pPr>
        <w:spacing w:after="0" w:line="20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u w:val="single" w:color="auto"/>
          <w:color w:val="231F20"/>
        </w:rPr>
        <w:t>Subjective Estimates and Judgements</w:t>
      </w:r>
      <w:r>
        <w:rPr>
          <w:rFonts w:ascii="Arial" w:cs="Arial" w:eastAsia="Arial" w:hAnsi="Arial"/>
          <w:sz w:val="17"/>
          <w:szCs w:val="17"/>
          <w:color w:val="231F20"/>
        </w:rPr>
        <w:t>: Valuation allowances are established when necessary to reduce deferred tax assets to an amount that, in the opinion of management, is more likely than not to be realized. Significant judgement is required to determine if a valuation allowance is needed. As of December 31, 2021, we incurred cumulative pre-tax losses, and as a result, we do not rely on our projections as a source of income that would give us the ability to realize our deferred tax assets. In order to determine the realizability of our deferred income tax assets, we have pointed to the reversal of our taxable temporary differences as a source of income that will result in the realization of our deferred income tax assets. During the year ended December 31, 2020, and due to the pre-tax loss recorded, we began to accrue for a valuation allowance for the portion of deferred income tax assets that will not be realized through the reversal of taxable temporary differences.</w:t>
      </w:r>
    </w:p>
    <w:p>
      <w:pPr>
        <w:spacing w:after="0" w:line="212"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231F20"/>
        </w:rPr>
        <w:t>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We recognized interest accrued and penalties related to unrecognized tax benefits in our income tax expense.</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u w:val="single" w:color="auto"/>
          <w:color w:val="auto"/>
        </w:rPr>
        <w:t>Impact if Actual Results Differ From Estimates and Judgments</w:t>
      </w:r>
      <w:r>
        <w:rPr>
          <w:rFonts w:ascii="Arial" w:cs="Arial" w:eastAsia="Arial" w:hAnsi="Arial"/>
          <w:sz w:val="17"/>
          <w:szCs w:val="17"/>
          <w:color w:val="auto"/>
        </w:rPr>
        <w:t>: Although management believes that the judgments and estimates used are reasonable, should actual factors and conditions differ materially from those considered by management, the actual realization of the net deferred tax asset and tax positions taken could differ materially from the amounts recorded in the financial statements. If we are not able to realize all or part of our net deferred tax asset in the future or if a tax position is overturned by a taxing authority, an adjustment to the deferred tax asset valuation allowance would be charged to income tax expense in the period such determination was made which could have a material impact on our earnings.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u w:val="single" w:color="auto"/>
          <w:color w:val="auto"/>
        </w:rPr>
        <w:t>Management’s Policy</w:t>
      </w:r>
      <w:r>
        <w:rPr>
          <w:rFonts w:ascii="Arial" w:cs="Arial" w:eastAsia="Arial" w:hAnsi="Arial"/>
          <w:sz w:val="18"/>
          <w:szCs w:val="18"/>
          <w:color w:val="auto"/>
        </w:rPr>
        <w:t xml:space="preserve">: We classify the Public and Private Placement Warrants (“Warrant liabilities”) as liabilities on our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Warrant liabilities were initially recorded at fair value on the date of the Business Combination and at each reporting date thereafter. There were no Public Warrants outstanding as of December 31, 2021. The value of the Private Placement Warrants was determined at year end using the Monte Carlo simulation model. Changes in the fair value of these instruments are recognized within the Consolidated Statements of Comprehensive Loss.</w:t>
      </w:r>
    </w:p>
    <w:p>
      <w:pPr>
        <w:spacing w:after="0" w:line="2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The valuation technique requires assumptions and judgement around the inputs to be used. Specifically, there is a high degree of subjectivity and judgement in evaluating the determination of the expected share price volatility inputs used in the Monte Carlo model for the warrant derivative liability. Historical, implied, and peer group volatility levels provide a range of possible expected volatility inputs and the fair value estimates are sensitive to the expected volatility inputs.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u w:val="single" w:color="auto"/>
          <w:color w:val="auto"/>
        </w:rPr>
        <w:t>Impact if Actual Results Differ From Estimates and Judgments</w:t>
      </w:r>
      <w:r>
        <w:rPr>
          <w:rFonts w:ascii="Arial" w:cs="Arial" w:eastAsia="Arial" w:hAnsi="Arial"/>
          <w:sz w:val="18"/>
          <w:szCs w:val="18"/>
          <w:color w:val="auto"/>
        </w:rPr>
        <w:t>: Changes around share price volatility can result in an increase or decrease in fair value which can substantially impact the outstanding liability and the change in fair value of warrant liabilities in the Consolidated Statements of Comprehensive Loss.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u w:val="single" w:color="auto"/>
          <w:color w:val="auto"/>
        </w:rPr>
        <w:t>Management’s Policy</w:t>
      </w:r>
      <w:r>
        <w:rPr>
          <w:rFonts w:ascii="Arial" w:cs="Arial" w:eastAsia="Arial" w:hAnsi="Arial"/>
          <w:sz w:val="18"/>
          <w:szCs w:val="18"/>
          <w:color w:val="auto"/>
        </w:rPr>
        <w:t xml:space="preserve">: We consider the Notes in “Long-term liabilities” at face value net of issuance costs in accordance with </w:t>
      </w:r>
      <w:r>
        <w:rPr>
          <w:rFonts w:ascii="Arial" w:cs="Arial" w:eastAsia="Arial" w:hAnsi="Arial"/>
          <w:sz w:val="18"/>
          <w:szCs w:val="18"/>
          <w:i w:val="1"/>
          <w:iCs w:val="1"/>
          <w:color w:val="auto"/>
        </w:rPr>
        <w:t>ASC 470-20, Debt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Conversion and Other Options </w:t>
      </w:r>
      <w:r>
        <w:rPr>
          <w:rFonts w:ascii="Arial" w:cs="Arial" w:eastAsia="Arial" w:hAnsi="Arial"/>
          <w:sz w:val="18"/>
          <w:szCs w:val="18"/>
          <w:color w:val="auto"/>
        </w:rPr>
        <w:t>and Derivatives and Hedging—Contracts in Entity's Own Equity (“ASU 2020-06”). If any of the conditions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convertibility of the Notes is satisfied, or the Notes become due within one year, we may be required under applicable accounting standards to reclassify the liability carrying value of the Notes as a current, rather than a long-term, liability.</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The Notes required significant judgements around determining if any features of the Notes require bifurcation and whether to be treated as a free standing derivative financial instrument.</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u w:val="single" w:color="auto"/>
          <w:color w:val="auto"/>
        </w:rPr>
        <w:t>Impact if Actual Results Differ From Estimates and Judgments</w:t>
      </w:r>
      <w:r>
        <w:rPr>
          <w:rFonts w:ascii="Arial" w:cs="Arial" w:eastAsia="Arial" w:hAnsi="Arial"/>
          <w:sz w:val="18"/>
          <w:szCs w:val="18"/>
          <w:color w:val="auto"/>
        </w:rPr>
        <w:t>: If the decisions relating to the conversion option were misinterpreted it can have a material impact on the Consolidated Statement of Stockholder’s Equity.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u w:val="single" w:color="auto"/>
          <w:color w:val="auto"/>
        </w:rPr>
        <w:t>Management’s Policy</w:t>
      </w:r>
      <w:r>
        <w:rPr>
          <w:rFonts w:ascii="Arial" w:cs="Arial" w:eastAsia="Arial" w:hAnsi="Arial"/>
          <w:sz w:val="18"/>
          <w:szCs w:val="18"/>
          <w:color w:val="auto"/>
        </w:rPr>
        <w:t xml:space="preserve">: We consider the freestanding capped call option contracts to qualify as equity under the accounting guidance on indexation and equity classification, and recognized the contract by recording an entry to “Additional paid-in capital” (“APIC”) in stockholders’ equity in the consolidated balance sheet. We also determined that the capped call option contracts meet the definition of a derivative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but are not required to be accounted for as a derivative as they meet the scope exception outlined in ASC 815. Instead, the capped call options are recorded in APIC and not remeasured.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The capped call transactions required significant judgement on whether it would qualify as equity or as an asset or liability.</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u w:val="single" w:color="auto"/>
          <w:color w:val="auto"/>
        </w:rPr>
        <w:t>Impact if Actual Results Differ From Estimates and Judgments</w:t>
      </w:r>
      <w:r>
        <w:rPr>
          <w:rFonts w:ascii="Arial" w:cs="Arial" w:eastAsia="Arial" w:hAnsi="Arial"/>
          <w:sz w:val="18"/>
          <w:szCs w:val="18"/>
          <w:color w:val="auto"/>
        </w:rPr>
        <w:t>: If the decisions relating to the capped call transactions were misinterpreted and required classification as asset or liability, there could be a material impact on the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2</w:t>
      </w:r>
      <w:r>
        <w:rPr>
          <w:rFonts w:ascii="Arial" w:cs="Arial" w:eastAsia="Arial" w:hAnsi="Arial"/>
          <w:sz w:val="18"/>
          <w:szCs w:val="18"/>
          <w:color w:val="231F20"/>
        </w:rPr>
        <w:t xml:space="preserve"> of the notes to our Consolidated Financial Statements in the section titled “—Recently Issued Accounting Pronouncements” in our Note </w:t>
      </w:r>
      <w:r>
        <w:rPr>
          <w:rFonts w:ascii="Arial" w:cs="Arial" w:eastAsia="Arial" w:hAnsi="Arial"/>
          <w:sz w:val="18"/>
          <w:szCs w:val="18"/>
          <w:color w:val="000000"/>
        </w:rPr>
        <w:t>2</w:t>
      </w:r>
      <w:r>
        <w:rPr>
          <w:rFonts w:ascii="Arial" w:cs="Arial" w:eastAsia="Arial" w:hAnsi="Arial"/>
          <w:sz w:val="18"/>
          <w:szCs w:val="18"/>
          <w:color w:val="231F20"/>
        </w:rPr>
        <w:t xml:space="preserve"> to our consolidated financial statements included elsewhere in this Annual Report on Form 10-K for a discussion about new accounting pronouncements adopted and not yet adopted.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or Uncertainties</w:t>
      </w:r>
    </w:p>
    <w:p>
      <w:pPr>
        <w:spacing w:after="0" w:line="25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believe there are several emerging trends that may play a key role in shaping the future of the beauty health industry. Our market research demonstrated that consumers are increasingly willing to spend on high-end beauty health products. Some of the key industry trends identified by this market research are:</w:t>
      </w:r>
    </w:p>
    <w:p>
      <w:pPr>
        <w:spacing w:after="0" w:line="215" w:lineRule="exact"/>
        <w:rPr>
          <w:sz w:val="20"/>
          <w:szCs w:val="20"/>
          <w:color w:val="auto"/>
        </w:rPr>
      </w:pPr>
    </w:p>
    <w:p>
      <w:pPr>
        <w:ind w:left="640" w:right="40" w:hanging="316"/>
        <w:spacing w:after="0" w:line="277" w:lineRule="auto"/>
        <w:tabs>
          <w:tab w:leader="none" w:pos="635"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Millennials/Gen Z aging</w:t>
      </w:r>
      <w:r>
        <w:rPr>
          <w:rFonts w:ascii="Arial" w:cs="Arial" w:eastAsia="Arial" w:hAnsi="Arial"/>
          <w:sz w:val="17"/>
          <w:szCs w:val="17"/>
          <w:color w:val="auto"/>
        </w:rPr>
        <w:t>: HydraFacial customers are young; approximately 50% of HydraFacial customers are Millennials, and approximately 30%</w:t>
      </w:r>
      <w:r>
        <w:rPr>
          <w:rFonts w:ascii="Arial" w:cs="Arial" w:eastAsia="Arial" w:hAnsi="Arial"/>
          <w:sz w:val="17"/>
          <w:szCs w:val="17"/>
          <w:i w:val="1"/>
          <w:iCs w:val="1"/>
          <w:color w:val="auto"/>
        </w:rPr>
        <w:t xml:space="preserve"> </w:t>
      </w:r>
      <w:r>
        <w:rPr>
          <w:rFonts w:ascii="Arial" w:cs="Arial" w:eastAsia="Arial" w:hAnsi="Arial"/>
          <w:sz w:val="17"/>
          <w:szCs w:val="17"/>
          <w:color w:val="auto"/>
        </w:rPr>
        <w:t>of HydraFacial’s beauty retail customers are under the age of 24. As the Millennial and Gen Z consumers age, they appear to be taking skincare more seriously and willing to invest in premium experiences, such as those offered by HydraFacial.</w:t>
      </w:r>
    </w:p>
    <w:p>
      <w:pPr>
        <w:spacing w:after="0" w:line="197" w:lineRule="exact"/>
        <w:rPr>
          <w:rFonts w:ascii="Arial" w:cs="Arial" w:eastAsia="Arial" w:hAnsi="Arial"/>
          <w:sz w:val="17"/>
          <w:szCs w:val="17"/>
          <w:i w:val="1"/>
          <w:iCs w:val="1"/>
          <w:color w:val="auto"/>
        </w:rPr>
      </w:pPr>
    </w:p>
    <w:p>
      <w:pPr>
        <w:ind w:left="640" w:right="20" w:hanging="316"/>
        <w:spacing w:after="0" w:line="264" w:lineRule="auto"/>
        <w:tabs>
          <w:tab w:leader="none" w:pos="63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Influencers and social media driving purchase decisions</w:t>
      </w:r>
      <w:r>
        <w:rPr>
          <w:rFonts w:ascii="Arial" w:cs="Arial" w:eastAsia="Arial" w:hAnsi="Arial"/>
          <w:sz w:val="18"/>
          <w:szCs w:val="18"/>
          <w:color w:val="auto"/>
        </w:rPr>
        <w:t>: Social media personalities are increasingly opining and having an effect on skin care,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gained more prominence in the age of selfies.</w:t>
      </w:r>
    </w:p>
    <w:p>
      <w:pPr>
        <w:spacing w:after="0" w:line="207" w:lineRule="exact"/>
        <w:rPr>
          <w:rFonts w:ascii="Arial" w:cs="Arial" w:eastAsia="Arial" w:hAnsi="Arial"/>
          <w:sz w:val="18"/>
          <w:szCs w:val="18"/>
          <w:i w:val="1"/>
          <w:iCs w:val="1"/>
          <w:color w:val="auto"/>
        </w:rPr>
      </w:pPr>
    </w:p>
    <w:p>
      <w:pPr>
        <w:ind w:left="640" w:hanging="316"/>
        <w:spacing w:after="0"/>
        <w:tabs>
          <w:tab w:leader="none" w:pos="64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Growth in disposable income</w:t>
      </w:r>
      <w:r>
        <w:rPr>
          <w:rFonts w:ascii="Arial" w:cs="Arial" w:eastAsia="Arial" w:hAnsi="Arial"/>
          <w:sz w:val="17"/>
          <w:szCs w:val="17"/>
          <w:color w:val="auto"/>
        </w:rPr>
        <w:t>: As the global economy grows, consumers have more disposable income to spend on premium products.</w:t>
      </w:r>
    </w:p>
    <w:p>
      <w:pPr>
        <w:spacing w:after="0" w:line="255" w:lineRule="exact"/>
        <w:rPr>
          <w:rFonts w:ascii="Arial" w:cs="Arial" w:eastAsia="Arial" w:hAnsi="Arial"/>
          <w:sz w:val="17"/>
          <w:szCs w:val="17"/>
          <w:i w:val="1"/>
          <w:iCs w:val="1"/>
          <w:color w:val="auto"/>
        </w:rPr>
      </w:pPr>
    </w:p>
    <w:p>
      <w:pPr>
        <w:ind w:left="640" w:hanging="316"/>
        <w:spacing w:after="0"/>
        <w:tabs>
          <w:tab w:leader="none" w:pos="640" w:val="left"/>
        </w:tabs>
        <w:numPr>
          <w:ilvl w:val="0"/>
          <w:numId w:val="28"/>
        </w:numPr>
        <w:rPr>
          <w:rFonts w:ascii="Arial" w:cs="Arial" w:eastAsia="Arial" w:hAnsi="Arial"/>
          <w:sz w:val="15"/>
          <w:szCs w:val="15"/>
          <w:i w:val="1"/>
          <w:iCs w:val="1"/>
          <w:color w:val="auto"/>
        </w:rPr>
      </w:pPr>
      <w:r>
        <w:rPr>
          <w:rFonts w:ascii="Arial" w:cs="Arial" w:eastAsia="Arial" w:hAnsi="Arial"/>
          <w:sz w:val="15"/>
          <w:szCs w:val="15"/>
          <w:i w:val="1"/>
          <w:iCs w:val="1"/>
          <w:color w:val="auto"/>
        </w:rPr>
        <w:t>Shift in spend from makeup to skin care</w:t>
      </w:r>
      <w:r>
        <w:rPr>
          <w:rFonts w:ascii="Arial" w:cs="Arial" w:eastAsia="Arial" w:hAnsi="Arial"/>
          <w:sz w:val="15"/>
          <w:szCs w:val="15"/>
          <w:color w:val="auto"/>
        </w:rPr>
        <w:t>: There appears to be an increasing movement towards treating underlying skin to make it healthy and reveal</w:t>
      </w:r>
    </w:p>
    <w:p>
      <w:pPr>
        <w:spacing w:after="0" w:line="50" w:lineRule="exact"/>
        <w:rPr>
          <w:rFonts w:ascii="Arial" w:cs="Arial" w:eastAsia="Arial" w:hAnsi="Arial"/>
          <w:sz w:val="15"/>
          <w:szCs w:val="15"/>
          <w:i w:val="1"/>
          <w:iCs w:val="1"/>
          <w:color w:val="auto"/>
        </w:rPr>
      </w:pPr>
    </w:p>
    <w:p>
      <w:pPr>
        <w:ind w:left="640" w:right="100"/>
        <w:spacing w:after="0" w:line="322" w:lineRule="auto"/>
        <w:rPr>
          <w:rFonts w:ascii="Arial" w:cs="Arial" w:eastAsia="Arial" w:hAnsi="Arial"/>
          <w:sz w:val="15"/>
          <w:szCs w:val="15"/>
          <w:i w:val="1"/>
          <w:iCs w:val="1"/>
          <w:color w:val="auto"/>
        </w:rPr>
      </w:pPr>
      <w:r>
        <w:rPr>
          <w:rFonts w:ascii="Arial" w:cs="Arial" w:eastAsia="Arial" w:hAnsi="Arial"/>
          <w:sz w:val="15"/>
          <w:szCs w:val="15"/>
          <w:color w:val="auto"/>
        </w:rPr>
        <w:t>it (i.e.: “clean beauty”), as opposed to using products such as make up to cover it. Clean beauty places an emphasis on unveiling fresh, naked skin as the star, as opposed to covering it up. The HydraFacial experience not only physically cleanses skin with vortex suction, exfoliation and extraction, and removal of debris, but it also actively infuses the skin with innovative, clean ingredients to nourish and hydrate the newly cleaned skin canvas.</w:t>
      </w:r>
    </w:p>
    <w:p>
      <w:pPr>
        <w:spacing w:after="0" w:line="168" w:lineRule="exact"/>
        <w:rPr>
          <w:rFonts w:ascii="Arial" w:cs="Arial" w:eastAsia="Arial" w:hAnsi="Arial"/>
          <w:sz w:val="15"/>
          <w:szCs w:val="15"/>
          <w:i w:val="1"/>
          <w:iCs w:val="1"/>
          <w:color w:val="auto"/>
        </w:rPr>
      </w:pPr>
    </w:p>
    <w:p>
      <w:pPr>
        <w:ind w:left="640" w:right="320" w:hanging="316"/>
        <w:spacing w:after="0" w:line="264" w:lineRule="auto"/>
        <w:tabs>
          <w:tab w:leader="none" w:pos="63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Growth in multi-brand and online retailers</w:t>
      </w:r>
      <w:r>
        <w:rPr>
          <w:rFonts w:ascii="Arial" w:cs="Arial" w:eastAsia="Arial" w:hAnsi="Arial"/>
          <w:sz w:val="18"/>
          <w:szCs w:val="18"/>
          <w:color w:val="auto"/>
        </w:rPr>
        <w:t>: Multi-brand retailers and digital native brands play an important role in captivating the consumer and</w:t>
      </w:r>
      <w:r>
        <w:rPr>
          <w:rFonts w:ascii="Arial" w:cs="Arial" w:eastAsia="Arial" w:hAnsi="Arial"/>
          <w:sz w:val="18"/>
          <w:szCs w:val="18"/>
          <w:i w:val="1"/>
          <w:iCs w:val="1"/>
          <w:color w:val="auto"/>
        </w:rPr>
        <w:t xml:space="preserve"> </w:t>
      </w:r>
      <w:r>
        <w:rPr>
          <w:rFonts w:ascii="Arial" w:cs="Arial" w:eastAsia="Arial" w:hAnsi="Arial"/>
          <w:sz w:val="18"/>
          <w:szCs w:val="18"/>
          <w:color w:val="auto"/>
        </w:rPr>
        <w:t>pushing innovation.</w:t>
      </w:r>
    </w:p>
    <w:p>
      <w:pPr>
        <w:spacing w:after="0" w:line="207" w:lineRule="exact"/>
        <w:rPr>
          <w:rFonts w:ascii="Arial" w:cs="Arial" w:eastAsia="Arial" w:hAnsi="Arial"/>
          <w:sz w:val="18"/>
          <w:szCs w:val="18"/>
          <w:i w:val="1"/>
          <w:iCs w:val="1"/>
          <w:color w:val="auto"/>
        </w:rPr>
      </w:pPr>
    </w:p>
    <w:p>
      <w:pPr>
        <w:ind w:left="640" w:right="60" w:hanging="316"/>
        <w:spacing w:after="0" w:line="264" w:lineRule="auto"/>
        <w:tabs>
          <w:tab w:leader="none" w:pos="63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Consumers shopping across mass and premium brands</w:t>
      </w:r>
      <w:r>
        <w:rPr>
          <w:rFonts w:ascii="Arial" w:cs="Arial" w:eastAsia="Arial" w:hAnsi="Arial"/>
          <w:sz w:val="18"/>
          <w:szCs w:val="18"/>
          <w:color w:val="auto"/>
        </w:rPr>
        <w:t>: Consumers appear to be willing to shop across mass and premium brands in order to allocate</w:t>
      </w:r>
      <w:r>
        <w:rPr>
          <w:rFonts w:ascii="Arial" w:cs="Arial" w:eastAsia="Arial" w:hAnsi="Arial"/>
          <w:sz w:val="18"/>
          <w:szCs w:val="18"/>
          <w:i w:val="1"/>
          <w:iCs w:val="1"/>
          <w:color w:val="auto"/>
        </w:rPr>
        <w:t xml:space="preserve"> </w:t>
      </w:r>
      <w:r>
        <w:rPr>
          <w:rFonts w:ascii="Arial" w:cs="Arial" w:eastAsia="Arial" w:hAnsi="Arial"/>
          <w:sz w:val="18"/>
          <w:szCs w:val="18"/>
          <w:color w:val="auto"/>
        </w:rPr>
        <w:t>more money towards trending categories and products that help make them look and feel better.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 Adjusted EBITDA and Adjusted EBITDA Margin</w:t>
      </w:r>
    </w:p>
    <w:p>
      <w:pPr>
        <w:spacing w:after="0" w:line="250" w:lineRule="exact"/>
        <w:rPr>
          <w:sz w:val="20"/>
          <w:szCs w:val="20"/>
          <w:color w:val="auto"/>
        </w:rPr>
      </w:pPr>
    </w:p>
    <w:p>
      <w:pPr>
        <w:ind w:right="800" w:firstLine="318"/>
        <w:spacing w:after="0" w:line="264" w:lineRule="auto"/>
        <w:rPr>
          <w:sz w:val="20"/>
          <w:szCs w:val="20"/>
          <w:color w:val="auto"/>
        </w:rPr>
      </w:pPr>
      <w:r>
        <w:rPr>
          <w:rFonts w:ascii="Arial" w:cs="Arial" w:eastAsia="Arial" w:hAnsi="Arial"/>
          <w:sz w:val="18"/>
          <w:szCs w:val="18"/>
          <w:color w:val="auto"/>
        </w:rPr>
        <w:t>Adjusted net income (loss), adjusted EBITDA and adjusted EBITDA margin are key performance measures that we use to assess our operating performance. Because adjusted net income (loss), adjusted EBITDA and adjusted EBITDA margin</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facilitate internal comparisons of our historical operating performance on a more consistent basis, we use these measures for business planning purposes.</w:t>
      </w:r>
    </w:p>
    <w:p>
      <w:pPr>
        <w:spacing w:after="0" w:line="278" w:lineRule="exact"/>
        <w:rPr>
          <w:sz w:val="20"/>
          <w:szCs w:val="20"/>
          <w:color w:val="auto"/>
        </w:rPr>
      </w:pPr>
    </w:p>
    <w:p>
      <w:pPr>
        <w:ind w:right="380" w:firstLine="318"/>
        <w:spacing w:after="0" w:line="365" w:lineRule="auto"/>
        <w:rPr>
          <w:sz w:val="20"/>
          <w:szCs w:val="20"/>
          <w:color w:val="auto"/>
        </w:rPr>
      </w:pPr>
      <w:r>
        <w:rPr>
          <w:rFonts w:ascii="Arial" w:cs="Arial" w:eastAsia="Arial" w:hAnsi="Arial"/>
          <w:sz w:val="15"/>
          <w:szCs w:val="15"/>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operating leverage.</w:t>
      </w:r>
    </w:p>
    <w:p>
      <w:pPr>
        <w:spacing w:after="0" w:line="13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calculate adjusted net income (loss) as net income (loss) adjusted to exclude: change in fair value of Public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20"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We calculate adjusted EBITDA as net income (loss) adjusted to exclude: change in fair value of Public and Private Placement Warrants, change in fair value of earn-out shares liability, other expense (income), net; interest expense; income tax benefit (expense); depreciation and amortization expense; stock-based compensation expense; foreign currency (gain) loss; management fees incurred from our historical private equity owners; one-time or non-recurring items such as transaction costs (including transactions costs with respect to the Business Combination); and restructuring costs (including those associated with COVID-19).</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loss to adjusted net income (loss)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r>
      <w:tr>
        <w:trPr>
          <w:trHeight w:val="225"/>
        </w:trPr>
        <w:tc>
          <w:tcPr>
            <w:tcW w:w="81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00" w:type="dxa"/>
            <w:vAlign w:val="bottom"/>
          </w:tcPr>
          <w:p>
            <w:pPr>
              <w:ind w:left="20"/>
              <w:spacing w:after="0"/>
              <w:rPr>
                <w:sz w:val="20"/>
                <w:szCs w:val="20"/>
                <w:color w:val="auto"/>
              </w:rPr>
            </w:pPr>
            <w:r>
              <w:rPr>
                <w:rFonts w:ascii="Arial" w:cs="Arial" w:eastAsia="Arial" w:hAnsi="Arial"/>
                <w:sz w:val="18"/>
                <w:szCs w:val="18"/>
                <w:color w:val="auto"/>
              </w:rPr>
              <w:t>Change in fair value of earn-out shares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w:t>
            </w:r>
          </w:p>
        </w:tc>
      </w:tr>
      <w:tr>
        <w:trPr>
          <w:trHeight w:val="225"/>
        </w:trPr>
        <w:tc>
          <w:tcPr>
            <w:tcW w:w="81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Management fees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Transaction related costs </w:t>
            </w:r>
            <w:r>
              <w:rPr>
                <w:rFonts w:ascii="Arial" w:cs="Arial" w:eastAsia="Arial" w:hAnsi="Arial"/>
                <w:sz w:val="15"/>
                <w:szCs w:val="15"/>
                <w:color w:val="auto"/>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5"/>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Other non-recurring and one-time fees </w:t>
            </w:r>
            <w:r>
              <w:rPr>
                <w:rFonts w:ascii="Arial" w:cs="Arial" w:eastAsia="Arial" w:hAnsi="Arial"/>
                <w:sz w:val="15"/>
                <w:szCs w:val="15"/>
                <w:color w:val="auto"/>
              </w:rPr>
              <w:t>(3)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4,298</w:t>
            </w:r>
          </w:p>
        </w:tc>
      </w:tr>
      <w:tr>
        <w:trPr>
          <w:trHeight w:val="225"/>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adjustment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19"/>
        </w:trPr>
        <w:tc>
          <w:tcPr>
            <w:tcW w:w="8100" w:type="dxa"/>
            <w:vAlign w:val="bottom"/>
          </w:tcPr>
          <w:p>
            <w:pPr>
              <w:ind w:left="20"/>
              <w:spacing w:after="0"/>
              <w:rPr>
                <w:sz w:val="20"/>
                <w:szCs w:val="20"/>
                <w:color w:val="auto"/>
              </w:rPr>
            </w:pPr>
            <w:r>
              <w:rPr>
                <w:rFonts w:ascii="Arial" w:cs="Arial" w:eastAsia="Arial" w:hAnsi="Arial"/>
                <w:sz w:val="18"/>
                <w:szCs w:val="18"/>
                <w:color w:val="auto"/>
              </w:rPr>
              <w:t>Adjusted net income (loss)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loss to adjusted EBITDA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231F20"/>
              </w:rPr>
              <w:t>Year Ended December 31,</w:t>
            </w:r>
          </w:p>
        </w:tc>
        <w:tc>
          <w:tcPr>
            <w:tcW w:w="880" w:type="dxa"/>
            <w:vAlign w:val="bottom"/>
            <w:tcBorders>
              <w:bottom w:val="single" w:sz="8" w:color="auto"/>
            </w:tcBorders>
          </w:tcPr>
          <w:p>
            <w:pPr>
              <w:spacing w:after="0"/>
              <w:rPr>
                <w:sz w:val="16"/>
                <w:szCs w:val="16"/>
                <w:color w:val="auto"/>
              </w:rPr>
            </w:pPr>
          </w:p>
        </w:tc>
      </w:tr>
      <w:tr>
        <w:trPr>
          <w:trHeight w:val="185"/>
        </w:trPr>
        <w:tc>
          <w:tcPr>
            <w:tcW w:w="758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2020</w:t>
            </w:r>
          </w:p>
        </w:tc>
      </w:tr>
      <w:tr>
        <w:trPr>
          <w:trHeight w:val="219"/>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r>
      <w:tr>
        <w:trPr>
          <w:trHeight w:val="225"/>
        </w:trPr>
        <w:tc>
          <w:tcPr>
            <w:tcW w:w="7580" w:type="dxa"/>
            <w:vAlign w:val="bottom"/>
          </w:tcPr>
          <w:p>
            <w:pPr>
              <w:ind w:left="400"/>
              <w:spacing w:after="0"/>
              <w:rPr>
                <w:sz w:val="20"/>
                <w:szCs w:val="20"/>
                <w:color w:val="auto"/>
              </w:rPr>
            </w:pPr>
            <w:r>
              <w:rPr>
                <w:rFonts w:ascii="Arial" w:cs="Arial" w:eastAsia="Arial" w:hAnsi="Arial"/>
                <w:sz w:val="18"/>
                <w:szCs w:val="18"/>
                <w:color w:val="auto"/>
              </w:rPr>
              <w:t>Adjusted to exclude the following:</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fair value of warrant liability</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80" w:type="dxa"/>
            <w:vAlign w:val="bottom"/>
          </w:tcPr>
          <w:p>
            <w:pPr>
              <w:ind w:left="400"/>
              <w:spacing w:after="0"/>
              <w:rPr>
                <w:sz w:val="20"/>
                <w:szCs w:val="20"/>
                <w:color w:val="auto"/>
              </w:rPr>
            </w:pPr>
            <w:r>
              <w:rPr>
                <w:rFonts w:ascii="Arial" w:cs="Arial" w:eastAsia="Arial" w:hAnsi="Arial"/>
                <w:sz w:val="18"/>
                <w:szCs w:val="18"/>
                <w:color w:val="auto"/>
              </w:rPr>
              <w:t>Change in fair value of earn-out shares liability</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expense</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w:t>
            </w:r>
          </w:p>
        </w:tc>
      </w:tr>
      <w:tr>
        <w:trPr>
          <w:trHeight w:val="225"/>
        </w:trPr>
        <w:tc>
          <w:tcPr>
            <w:tcW w:w="75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6"/>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21,275</w:t>
            </w:r>
          </w:p>
        </w:tc>
      </w:tr>
      <w:tr>
        <w:trPr>
          <w:trHeight w:val="225"/>
        </w:trPr>
        <w:tc>
          <w:tcPr>
            <w:tcW w:w="7580" w:type="dxa"/>
            <w:vAlign w:val="bottom"/>
          </w:tcPr>
          <w:p>
            <w:pPr>
              <w:ind w:left="400"/>
              <w:spacing w:after="0"/>
              <w:rPr>
                <w:sz w:val="20"/>
                <w:szCs w:val="20"/>
                <w:color w:val="auto"/>
              </w:rPr>
            </w:pPr>
            <w:r>
              <w:rPr>
                <w:rFonts w:ascii="Arial" w:cs="Arial" w:eastAsia="Arial" w:hAnsi="Arial"/>
                <w:sz w:val="18"/>
                <w:szCs w:val="18"/>
                <w:color w:val="auto"/>
              </w:rPr>
              <w:t>Income tax benefit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(9,308)</w:t>
            </w:r>
          </w:p>
        </w:tc>
      </w:tr>
      <w:tr>
        <w:trPr>
          <w:trHeight w:val="226"/>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expense (income)</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7580" w:type="dxa"/>
            <w:vAlign w:val="bottom"/>
          </w:tcPr>
          <w:p>
            <w:pPr>
              <w:ind w:left="400"/>
              <w:spacing w:after="0"/>
              <w:rPr>
                <w:sz w:val="20"/>
                <w:szCs w:val="20"/>
                <w:color w:val="auto"/>
              </w:rPr>
            </w:pPr>
            <w:r>
              <w:rPr>
                <w:rFonts w:ascii="Arial" w:cs="Arial" w:eastAsia="Arial" w:hAnsi="Arial"/>
                <w:sz w:val="18"/>
                <w:szCs w:val="18"/>
                <w:color w:val="auto"/>
              </w:rPr>
              <w:t>Foreign currency (gain) loss, net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6"/>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Management fees </w:t>
            </w:r>
            <w:r>
              <w:rPr>
                <w:rFonts w:ascii="Arial" w:cs="Arial" w:eastAsia="Arial" w:hAnsi="Arial"/>
                <w:sz w:val="15"/>
                <w:szCs w:val="15"/>
                <w:color w:val="auto"/>
              </w:rPr>
              <w:t>(1)</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25"/>
        </w:trPr>
        <w:tc>
          <w:tcPr>
            <w:tcW w:w="7580" w:type="dxa"/>
            <w:vAlign w:val="bottom"/>
          </w:tcPr>
          <w:p>
            <w:pPr>
              <w:ind w:left="400"/>
              <w:spacing w:after="0"/>
              <w:rPr>
                <w:sz w:val="20"/>
                <w:szCs w:val="20"/>
                <w:color w:val="auto"/>
              </w:rPr>
            </w:pPr>
            <w:r>
              <w:rPr>
                <w:rFonts w:ascii="Arial" w:cs="Arial" w:eastAsia="Arial" w:hAnsi="Arial"/>
                <w:sz w:val="18"/>
                <w:szCs w:val="18"/>
                <w:color w:val="auto"/>
              </w:rPr>
              <w:t xml:space="preserve">Transaction related costs </w:t>
            </w:r>
            <w:r>
              <w:rPr>
                <w:rFonts w:ascii="Arial" w:cs="Arial" w:eastAsia="Arial" w:hAnsi="Arial"/>
                <w:sz w:val="15"/>
                <w:szCs w:val="15"/>
                <w:color w:val="auto"/>
              </w:rPr>
              <w:t>(2)</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34,913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4,223</w:t>
            </w:r>
          </w:p>
        </w:tc>
      </w:tr>
      <w:tr>
        <w:trPr>
          <w:trHeight w:val="225"/>
        </w:trPr>
        <w:tc>
          <w:tcPr>
            <w:tcW w:w="7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Other non-recurring and one-time fees </w:t>
            </w:r>
            <w:r>
              <w:rPr>
                <w:rFonts w:ascii="Arial" w:cs="Arial" w:eastAsia="Arial" w:hAnsi="Arial"/>
                <w:sz w:val="15"/>
                <w:szCs w:val="15"/>
                <w:color w:val="auto"/>
              </w:rPr>
              <w:t>(3)</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r>
      <w:tr>
        <w:trPr>
          <w:trHeight w:val="219"/>
        </w:trPr>
        <w:tc>
          <w:tcPr>
            <w:tcW w:w="7580" w:type="dxa"/>
            <w:vAlign w:val="bottom"/>
          </w:tcPr>
          <w:p>
            <w:pPr>
              <w:ind w:left="400"/>
              <w:spacing w:after="0"/>
              <w:rPr>
                <w:sz w:val="20"/>
                <w:szCs w:val="20"/>
                <w:color w:val="auto"/>
              </w:rPr>
            </w:pPr>
            <w:r>
              <w:rPr>
                <w:rFonts w:ascii="Arial" w:cs="Arial" w:eastAsia="Arial" w:hAnsi="Arial"/>
                <w:sz w:val="18"/>
                <w:szCs w:val="18"/>
                <w:color w:val="auto"/>
              </w:rPr>
              <w:t>Adjusted EBITDA</w:t>
            </w: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3"/>
        </w:trPr>
        <w:tc>
          <w:tcPr>
            <w:tcW w:w="7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Adjusted EBITDA margin</w:t>
            </w: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20" w:right="240" w:hanging="314"/>
        <w:spacing w:after="0" w:line="245" w:lineRule="auto"/>
        <w:tabs>
          <w:tab w:leader="none" w:pos="3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quarterly management fees paid to the majority shareholder of HydraFacial based on a pre-determined formula. Following the Business Combination, these fees are no longer paid.</w:t>
      </w:r>
    </w:p>
    <w:p>
      <w:pPr>
        <w:ind w:left="320" w:right="120" w:hanging="314"/>
        <w:spacing w:after="0" w:line="241" w:lineRule="auto"/>
        <w:tabs>
          <w:tab w:leader="none" w:pos="3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year ended December 31, 2021 such amount primarily represents direct costs incurred with the Business Combination, including $21.0 million paid to the former owner of HydraFacial, and to prepare HydraFacial to be marketed for sale by HydraFacial’s shareholders in previous periods.</w:t>
      </w:r>
    </w:p>
    <w:p>
      <w:pPr>
        <w:spacing w:after="0" w:line="1" w:lineRule="exact"/>
        <w:rPr>
          <w:rFonts w:ascii="Arial" w:cs="Arial" w:eastAsia="Arial" w:hAnsi="Arial"/>
          <w:sz w:val="16"/>
          <w:szCs w:val="16"/>
          <w:color w:val="auto"/>
        </w:rPr>
      </w:pPr>
    </w:p>
    <w:p>
      <w:pPr>
        <w:ind w:left="320" w:right="220" w:hanging="314"/>
        <w:spacing w:after="0" w:line="244" w:lineRule="auto"/>
        <w:tabs>
          <w:tab w:leader="none" w:pos="3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year ended December 31, 2021 such costs primarily represent recruiting fees for executive officers, severance and one-time retention awards related to the distributor acquisitions. For the year ended December 31, 2020 such costs primarily represent COVID-19 related restructuring cost of $1.2 million and $3.1 million including write-off of expired Consumables, discontinued product lines, human capital and cash management consultants, and, to a lesser extent, costs associated with a former warehouse and assembly facility during the transition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5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use adjusted gross profit and adjusted gross margin to measure profitability and the ability to scale and leverage the costs of Delivery Systems and Consumables. The continued growth of Delivery Systems is expected to improve adjusted gross margin, as additional Delivery Systems sold will increase our recurring Consumables net sales, which has higher margins.</w:t>
      </w:r>
    </w:p>
    <w:p>
      <w:pPr>
        <w:spacing w:after="0" w:line="215"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We believe adjusted gross profit and adjusted gross margin are useful measures to us and to our investors to assist in evaluating our operating performance because they provide consistency and direct comparability with past financial performance and between fiscal periods, as the metric eliminates the effects of amortization and depreciation and stock-based compensation expense,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3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reconciles gross profit to adjusted gross profit for the periods indicated. </w:t>
      </w:r>
      <w:r>
        <w:rPr>
          <w:rFonts w:ascii="Arial" w:cs="Arial" w:eastAsia="Arial" w:hAnsi="Arial"/>
          <w:sz w:val="15"/>
          <w:szCs w:val="15"/>
          <w:color w:val="231F20"/>
        </w:rPr>
        <w:t>Amounts and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000" w:type="dxa"/>
            <w:vAlign w:val="bottom"/>
            <w:tcBorders>
              <w:bottom w:val="single" w:sz="8" w:color="CFF0FC"/>
            </w:tcBorders>
          </w:tcPr>
          <w:p>
            <w:pPr>
              <w:ind w:left="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9"/>
        </w:trPr>
        <w:tc>
          <w:tcPr>
            <w:tcW w:w="800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r>
      <w:tr>
        <w:trPr>
          <w:trHeight w:val="225"/>
        </w:trPr>
        <w:tc>
          <w:tcPr>
            <w:tcW w:w="80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44"/>
        </w:trPr>
        <w:tc>
          <w:tcPr>
            <w:tcW w:w="8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r>
        <w:trPr>
          <w:trHeight w:val="198"/>
        </w:trPr>
        <w:tc>
          <w:tcPr>
            <w:tcW w:w="8000" w:type="dxa"/>
            <w:vAlign w:val="bottom"/>
          </w:tcPr>
          <w:p>
            <w:pPr>
              <w:ind w:left="80"/>
              <w:spacing w:after="0" w:line="198" w:lineRule="exact"/>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
              <w:spacing w:after="0" w:line="198" w:lineRule="exact"/>
              <w:rPr>
                <w:sz w:val="20"/>
                <w:szCs w:val="20"/>
                <w:color w:val="auto"/>
              </w:rPr>
            </w:pPr>
            <w:r>
              <w:rPr>
                <w:rFonts w:ascii="Arial" w:cs="Arial" w:eastAsia="Arial" w:hAnsi="Arial"/>
                <w:sz w:val="18"/>
                <w:szCs w:val="18"/>
                <w:color w:val="231F20"/>
              </w:rPr>
              <w:t>69.9%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line="198" w:lineRule="exact"/>
              <w:rPr>
                <w:sz w:val="20"/>
                <w:szCs w:val="20"/>
                <w:color w:val="auto"/>
              </w:rPr>
            </w:pPr>
            <w:r>
              <w:rPr>
                <w:rFonts w:ascii="Arial" w:cs="Arial" w:eastAsia="Arial" w:hAnsi="Arial"/>
                <w:sz w:val="18"/>
                <w:szCs w:val="18"/>
                <w:color w:val="231F20"/>
              </w:rPr>
              <w:t>56.4%</w:t>
            </w:r>
          </w:p>
        </w:tc>
      </w:tr>
      <w:tr>
        <w:trPr>
          <w:trHeight w:val="20"/>
        </w:trPr>
        <w:tc>
          <w:tcPr>
            <w:tcW w:w="80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8000" w:type="dxa"/>
            <w:vAlign w:val="bottom"/>
            <w:shd w:val="clear" w:color="auto" w:fill="CFF0FC"/>
          </w:tcPr>
          <w:p>
            <w:pPr>
              <w:ind w:left="80"/>
              <w:spacing w:after="0" w:line="192" w:lineRule="exact"/>
              <w:rPr>
                <w:sz w:val="20"/>
                <w:szCs w:val="20"/>
                <w:color w:val="auto"/>
              </w:rPr>
            </w:pPr>
            <w:r>
              <w:rPr>
                <w:rFonts w:ascii="Arial" w:cs="Arial" w:eastAsia="Arial" w:hAnsi="Arial"/>
                <w:sz w:val="18"/>
                <w:szCs w:val="18"/>
                <w:color w:val="auto"/>
              </w:rPr>
              <w:t>Adjusted to exclude the following:</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225"/>
        </w:trPr>
        <w:tc>
          <w:tcPr>
            <w:tcW w:w="8000" w:type="dxa"/>
            <w:vAlign w:val="bottom"/>
          </w:tcPr>
          <w:p>
            <w:pPr>
              <w:ind w:left="80"/>
              <w:spacing w:after="0"/>
              <w:rPr>
                <w:sz w:val="20"/>
                <w:szCs w:val="20"/>
                <w:color w:val="auto"/>
              </w:rPr>
            </w:pPr>
            <w:r>
              <w:rPr>
                <w:rFonts w:ascii="Arial" w:cs="Arial" w:eastAsia="Arial" w:hAnsi="Arial"/>
                <w:sz w:val="18"/>
                <w:szCs w:val="18"/>
                <w:color w:val="auto"/>
              </w:rPr>
              <w:t>Stock-based compensation expense included in cost of sales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expense included in cost of sales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8"/>
        </w:trPr>
        <w:tc>
          <w:tcPr>
            <w:tcW w:w="8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Adjusted gross profit</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r>
      <w:tr>
        <w:trPr>
          <w:trHeight w:val="244"/>
        </w:trPr>
        <w:tc>
          <w:tcPr>
            <w:tcW w:w="8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gross margin</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 xml:space="preserve">We had cash and cash equivalents of approximately </w:t>
      </w:r>
      <w:r>
        <w:rPr>
          <w:rFonts w:ascii="Arial" w:cs="Arial" w:eastAsia="Arial" w:hAnsi="Arial"/>
          <w:sz w:val="15"/>
          <w:szCs w:val="15"/>
          <w:color w:val="231F20"/>
        </w:rPr>
        <w:t>$901.9 million</w:t>
      </w:r>
      <w:r>
        <w:rPr>
          <w:rFonts w:ascii="Arial" w:cs="Arial" w:eastAsia="Arial" w:hAnsi="Arial"/>
          <w:sz w:val="15"/>
          <w:szCs w:val="15"/>
          <w:color w:val="auto"/>
        </w:rPr>
        <w:t xml:space="preserve"> as of December 31, 2021.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163"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We are primarily potentially exposed to changes in short-term interest rates with respect to our cost of borrowing under our Credit Agreement, from which we have yet to draw on. Our debt obligations related to the Notes are long-term in nature with fixed interest rates. We monitor our cost of borrowing, taking into account our funding requirements, and our expectations for short-term rates in the future. A hypothetical 10% change in the interest rate on our Credit Agreement for all periods presented would not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w:t>
      </w:r>
    </w:p>
    <w:p>
      <w:pPr>
        <w:spacing w:after="0" w:line="217"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As of December 31, 2021, the effect of a hypothetical 10% change in foreign currency exchange rates would not have had a material impact to our consolidated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5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 xml:space="preserve">Table of </w:t>
              </w:r>
            </w:hyperlink>
            <w:r>
              <w:rPr>
                <w:rFonts w:ascii="Arial" w:cs="Arial" w:eastAsia="Arial" w:hAnsi="Arial"/>
                <w:sz w:val="18"/>
                <w:szCs w:val="18"/>
                <w:color w:val="0000FF"/>
                <w:w w:val="87"/>
              </w:rPr>
              <w:t>Contents</w:t>
            </w:r>
          </w:p>
        </w:tc>
        <w:tc>
          <w:tcPr>
            <w:tcW w:w="898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41"/>
        </w:trPr>
        <w:tc>
          <w:tcPr>
            <w:tcW w:w="102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jc w:val="right"/>
              <w:ind w:right="2892"/>
              <w:spacing w:after="0"/>
              <w:rPr>
                <w:sz w:val="20"/>
                <w:szCs w:val="20"/>
                <w:color w:val="auto"/>
              </w:rPr>
            </w:pPr>
            <w:r>
              <w:rPr>
                <w:rFonts w:ascii="Arial" w:cs="Arial" w:eastAsia="Arial" w:hAnsi="Arial"/>
                <w:sz w:val="18"/>
                <w:szCs w:val="18"/>
                <w:b w:val="1"/>
                <w:bCs w:val="1"/>
                <w:color w:val="auto"/>
                <w:w w:val="95"/>
              </w:rPr>
              <w:t>Index to Consolidated Financial Statements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2"/>
        </w:trPr>
        <w:tc>
          <w:tcPr>
            <w:tcW w:w="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5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640" w:type="dxa"/>
            <w:vAlign w:val="bottom"/>
            <w:tcBorders>
              <w:bottom w:val="single" w:sz="8" w:color="0000FF"/>
            </w:tcBorders>
            <w:gridSpan w:val="6"/>
            <w:shd w:val="clear" w:color="auto" w:fill="CCEEFF"/>
          </w:tcPr>
          <w:p>
            <w:pPr>
              <w:spacing w:after="0" w:line="146" w:lineRule="exact"/>
              <w:rPr>
                <w:rFonts w:ascii="Arial" w:cs="Arial" w:eastAsia="Arial" w:hAnsi="Arial"/>
                <w:sz w:val="15"/>
                <w:szCs w:val="15"/>
                <w:color w:val="0000FF"/>
              </w:rPr>
            </w:pPr>
            <w:hyperlink w:anchor="page79">
              <w:r>
                <w:rPr>
                  <w:rFonts w:ascii="Arial" w:cs="Arial" w:eastAsia="Arial" w:hAnsi="Arial"/>
                  <w:sz w:val="15"/>
                  <w:szCs w:val="15"/>
                  <w:color w:val="0000FF"/>
                </w:rPr>
                <w:t>Report of Independent Registered Accounting Firm</w:t>
              </w:r>
            </w:hyperlink>
          </w:p>
        </w:tc>
        <w:tc>
          <w:tcPr>
            <w:tcW w:w="6580" w:type="dxa"/>
            <w:vAlign w:val="bottom"/>
            <w:tcBorders>
              <w:bottom w:val="single" w:sz="8" w:color="CCEEFF"/>
            </w:tcBorders>
            <w:shd w:val="clear" w:color="auto" w:fill="CCEEFF"/>
          </w:tcPr>
          <w:p>
            <w:pPr>
              <w:jc w:val="right"/>
              <w:ind w:right="4972"/>
              <w:spacing w:after="0" w:line="166" w:lineRule="exact"/>
              <w:rPr>
                <w:sz w:val="20"/>
                <w:szCs w:val="20"/>
                <w:color w:val="auto"/>
              </w:rPr>
            </w:pPr>
            <w:r>
              <w:rPr>
                <w:rFonts w:ascii="Arial" w:cs="Arial" w:eastAsia="Arial" w:hAnsi="Arial"/>
                <w:sz w:val="18"/>
                <w:szCs w:val="18"/>
                <w:color w:val="auto"/>
                <w:w w:val="96"/>
              </w:rPr>
              <w:t>(PCAOB ID No. 34)</w:t>
            </w:r>
          </w:p>
        </w:tc>
        <w:tc>
          <w:tcPr>
            <w:tcW w:w="1000" w:type="dxa"/>
            <w:vAlign w:val="bottom"/>
            <w:tcBorders>
              <w:bottom w:val="single" w:sz="8" w:color="CCEEFF"/>
            </w:tcBorders>
            <w:gridSpan w:val="3"/>
            <w:shd w:val="clear" w:color="auto" w:fill="CCEEFF"/>
          </w:tcPr>
          <w:p>
            <w:pPr>
              <w:jc w:val="center"/>
              <w:spacing w:after="0" w:line="166" w:lineRule="exact"/>
              <w:rPr>
                <w:rFonts w:ascii="Arial" w:cs="Arial" w:eastAsia="Arial" w:hAnsi="Arial"/>
                <w:sz w:val="18"/>
                <w:szCs w:val="18"/>
                <w:color w:val="0000FF"/>
                <w:w w:val="79"/>
              </w:rPr>
            </w:pPr>
            <w:hyperlink w:anchor="page79">
              <w:r>
                <w:rPr>
                  <w:rFonts w:ascii="Arial" w:cs="Arial" w:eastAsia="Arial" w:hAnsi="Arial"/>
                  <w:sz w:val="18"/>
                  <w:szCs w:val="18"/>
                  <w:color w:val="0000FF"/>
                  <w:w w:val="79"/>
                </w:rPr>
                <w:t>79</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060" w:type="dxa"/>
            <w:vAlign w:val="bottom"/>
            <w:gridSpan w:val="2"/>
          </w:tcPr>
          <w:p>
            <w:pPr>
              <w:spacing w:after="0" w:line="178" w:lineRule="exact"/>
              <w:rPr>
                <w:rFonts w:ascii="Arial" w:cs="Arial" w:eastAsia="Arial" w:hAnsi="Arial"/>
                <w:sz w:val="18"/>
                <w:szCs w:val="18"/>
                <w:color w:val="0000FF"/>
                <w:w w:val="86"/>
              </w:rPr>
            </w:pPr>
            <w:hyperlink w:anchor="page81">
              <w:r>
                <w:rPr>
                  <w:rFonts w:ascii="Arial" w:cs="Arial" w:eastAsia="Arial" w:hAnsi="Arial"/>
                  <w:sz w:val="18"/>
                  <w:szCs w:val="18"/>
                  <w:color w:val="0000FF"/>
                  <w:w w:val="86"/>
                </w:rPr>
                <w:t>Consolidated Balance Sheets</w:t>
              </w:r>
            </w:hyperlink>
          </w:p>
        </w:tc>
        <w:tc>
          <w:tcPr>
            <w:tcW w:w="8160" w:type="dxa"/>
            <w:vAlign w:val="bottom"/>
            <w:gridSpan w:val="5"/>
          </w:tcPr>
          <w:p>
            <w:pPr>
              <w:spacing w:after="0"/>
              <w:rPr>
                <w:sz w:val="15"/>
                <w:szCs w:val="15"/>
                <w:color w:val="auto"/>
              </w:rPr>
            </w:pPr>
          </w:p>
        </w:tc>
        <w:tc>
          <w:tcPr>
            <w:tcW w:w="1000" w:type="dxa"/>
            <w:vAlign w:val="bottom"/>
            <w:gridSpan w:val="3"/>
          </w:tcPr>
          <w:p>
            <w:pPr>
              <w:jc w:val="center"/>
              <w:spacing w:after="0" w:line="178" w:lineRule="exact"/>
              <w:rPr>
                <w:rFonts w:ascii="Arial" w:cs="Arial" w:eastAsia="Arial" w:hAnsi="Arial"/>
                <w:sz w:val="18"/>
                <w:szCs w:val="18"/>
                <w:color w:val="0000FF"/>
                <w:w w:val="79"/>
              </w:rPr>
            </w:pPr>
            <w:hyperlink w:anchor="page81">
              <w:r>
                <w:rPr>
                  <w:rFonts w:ascii="Arial" w:cs="Arial" w:eastAsia="Arial" w:hAnsi="Arial"/>
                  <w:sz w:val="18"/>
                  <w:szCs w:val="18"/>
                  <w:color w:val="0000FF"/>
                  <w:w w:val="79"/>
                </w:rPr>
                <w:t>81</w:t>
              </w:r>
            </w:hyperlink>
          </w:p>
        </w:tc>
      </w:tr>
      <w:tr>
        <w:trPr>
          <w:trHeight w:val="30"/>
        </w:trPr>
        <w:tc>
          <w:tcPr>
            <w:tcW w:w="20" w:type="dxa"/>
            <w:vAlign w:val="bottom"/>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500" w:type="dxa"/>
            <w:vAlign w:val="bottom"/>
            <w:tcBorders>
              <w:right w:val="single" w:sz="8" w:color="CCEEFF"/>
            </w:tcBorders>
            <w:gridSpan w:val="5"/>
            <w:shd w:val="clear" w:color="auto" w:fill="CCEEFF"/>
          </w:tcPr>
          <w:p>
            <w:pPr>
              <w:spacing w:after="0" w:line="195" w:lineRule="exact"/>
              <w:rPr>
                <w:rFonts w:ascii="Arial" w:cs="Arial" w:eastAsia="Arial" w:hAnsi="Arial"/>
                <w:sz w:val="18"/>
                <w:szCs w:val="18"/>
                <w:color w:val="0000FF"/>
                <w:w w:val="87"/>
              </w:rPr>
            </w:pPr>
            <w:hyperlink w:anchor="page81">
              <w:r>
                <w:rPr>
                  <w:rFonts w:ascii="Arial" w:cs="Arial" w:eastAsia="Arial" w:hAnsi="Arial"/>
                  <w:sz w:val="18"/>
                  <w:szCs w:val="18"/>
                  <w:color w:val="0000FF"/>
                  <w:w w:val="87"/>
                </w:rPr>
                <w:t>Consolidated Statements of Comprehensive Loss</w:t>
              </w:r>
            </w:hyperlink>
          </w:p>
        </w:tc>
        <w:tc>
          <w:tcPr>
            <w:tcW w:w="6720" w:type="dxa"/>
            <w:vAlign w:val="bottom"/>
            <w:gridSpan w:val="2"/>
            <w:shd w:val="clear" w:color="auto" w:fill="CCEEFF"/>
          </w:tcPr>
          <w:p>
            <w:pPr>
              <w:spacing w:after="0"/>
              <w:rPr>
                <w:sz w:val="16"/>
                <w:szCs w:val="16"/>
                <w:color w:val="auto"/>
              </w:rPr>
            </w:pPr>
          </w:p>
        </w:tc>
        <w:tc>
          <w:tcPr>
            <w:tcW w:w="1000" w:type="dxa"/>
            <w:vAlign w:val="bottom"/>
            <w:gridSpan w:val="3"/>
            <w:shd w:val="clear" w:color="auto" w:fill="CCEEFF"/>
          </w:tcPr>
          <w:p>
            <w:pPr>
              <w:jc w:val="center"/>
              <w:spacing w:after="0" w:line="195" w:lineRule="exact"/>
              <w:rPr>
                <w:rFonts w:ascii="Arial" w:cs="Arial" w:eastAsia="Arial" w:hAnsi="Arial"/>
                <w:sz w:val="18"/>
                <w:szCs w:val="18"/>
                <w:color w:val="0000FF"/>
                <w:w w:val="79"/>
              </w:rPr>
            </w:pPr>
            <w:hyperlink w:anchor="page81">
              <w:r>
                <w:rPr>
                  <w:rFonts w:ascii="Arial" w:cs="Arial" w:eastAsia="Arial" w:hAnsi="Arial"/>
                  <w:sz w:val="18"/>
                  <w:szCs w:val="18"/>
                  <w:color w:val="0000FF"/>
                  <w:w w:val="79"/>
                </w:rPr>
                <w:t>82</w:t>
              </w:r>
            </w:hyperlink>
          </w:p>
        </w:tc>
      </w:tr>
      <w:tr>
        <w:trPr>
          <w:trHeight w:val="40"/>
        </w:trPr>
        <w:tc>
          <w:tcPr>
            <w:tcW w:w="20" w:type="dxa"/>
            <w:vAlign w:val="bottom"/>
            <w:shd w:val="clear" w:color="auto" w:fill="CCEE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5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220" w:type="dxa"/>
            <w:vAlign w:val="bottom"/>
            <w:gridSpan w:val="7"/>
          </w:tcPr>
          <w:p>
            <w:pPr>
              <w:spacing w:after="0" w:line="186" w:lineRule="exact"/>
              <w:rPr>
                <w:rFonts w:ascii="Arial" w:cs="Arial" w:eastAsia="Arial" w:hAnsi="Arial"/>
                <w:sz w:val="18"/>
                <w:szCs w:val="18"/>
                <w:color w:val="0000FF"/>
              </w:rPr>
            </w:pPr>
            <w:hyperlink w:anchor="page82">
              <w:r>
                <w:rPr>
                  <w:rFonts w:ascii="Arial" w:cs="Arial" w:eastAsia="Arial" w:hAnsi="Arial"/>
                  <w:sz w:val="18"/>
                  <w:szCs w:val="18"/>
                  <w:color w:val="0000FF"/>
                </w:rPr>
                <w:t>Consolidated Statements of Stockholders’ Deficit</w:t>
              </w:r>
            </w:hyperlink>
          </w:p>
        </w:tc>
        <w:tc>
          <w:tcPr>
            <w:tcW w:w="1000" w:type="dxa"/>
            <w:vAlign w:val="bottom"/>
            <w:gridSpan w:val="3"/>
          </w:tcPr>
          <w:p>
            <w:pPr>
              <w:jc w:val="center"/>
              <w:spacing w:after="0" w:line="186" w:lineRule="exact"/>
              <w:rPr>
                <w:rFonts w:ascii="Arial" w:cs="Arial" w:eastAsia="Arial" w:hAnsi="Arial"/>
                <w:sz w:val="18"/>
                <w:szCs w:val="18"/>
                <w:color w:val="0000FF"/>
                <w:w w:val="79"/>
              </w:rPr>
            </w:pPr>
            <w:hyperlink w:anchor="page82">
              <w:r>
                <w:rPr>
                  <w:rFonts w:ascii="Arial" w:cs="Arial" w:eastAsia="Arial" w:hAnsi="Arial"/>
                  <w:sz w:val="18"/>
                  <w:szCs w:val="18"/>
                  <w:color w:val="0000FF"/>
                  <w:w w:val="79"/>
                </w:rPr>
                <w:t>83</w:t>
              </w:r>
            </w:hyperlink>
          </w:p>
        </w:tc>
      </w:tr>
      <w:tr>
        <w:trPr>
          <w:trHeight w:val="30"/>
        </w:trPr>
        <w:tc>
          <w:tcPr>
            <w:tcW w:w="20" w:type="dxa"/>
            <w:vAlign w:val="bottom"/>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820" w:type="dxa"/>
            <w:vAlign w:val="bottom"/>
            <w:gridSpan w:val="3"/>
            <w:shd w:val="clear" w:color="auto" w:fill="CCEEFF"/>
          </w:tcPr>
          <w:p>
            <w:pPr>
              <w:spacing w:after="0" w:line="195" w:lineRule="exact"/>
              <w:rPr>
                <w:rFonts w:ascii="Arial" w:cs="Arial" w:eastAsia="Arial" w:hAnsi="Arial"/>
                <w:sz w:val="18"/>
                <w:szCs w:val="18"/>
                <w:color w:val="0000FF"/>
                <w:w w:val="87"/>
              </w:rPr>
            </w:pPr>
            <w:hyperlink w:anchor="page83">
              <w:r>
                <w:rPr>
                  <w:rFonts w:ascii="Arial" w:cs="Arial" w:eastAsia="Arial" w:hAnsi="Arial"/>
                  <w:sz w:val="18"/>
                  <w:szCs w:val="18"/>
                  <w:color w:val="0000FF"/>
                  <w:w w:val="87"/>
                </w:rPr>
                <w:t>Consolidated Statements of Cash Flows</w:t>
              </w:r>
            </w:hyperlink>
          </w:p>
        </w:tc>
        <w:tc>
          <w:tcPr>
            <w:tcW w:w="680" w:type="dxa"/>
            <w:vAlign w:val="bottom"/>
            <w:tcBorders>
              <w:right w:val="single" w:sz="8" w:color="CCEEFF"/>
            </w:tcBorders>
            <w:gridSpan w:val="2"/>
            <w:shd w:val="clear" w:color="auto" w:fill="CCEEFF"/>
          </w:tcPr>
          <w:p>
            <w:pPr>
              <w:spacing w:after="0"/>
              <w:rPr>
                <w:sz w:val="16"/>
                <w:szCs w:val="16"/>
                <w:color w:val="auto"/>
              </w:rPr>
            </w:pPr>
          </w:p>
        </w:tc>
        <w:tc>
          <w:tcPr>
            <w:tcW w:w="6720" w:type="dxa"/>
            <w:vAlign w:val="bottom"/>
            <w:gridSpan w:val="2"/>
            <w:shd w:val="clear" w:color="auto" w:fill="CCEEFF"/>
          </w:tcPr>
          <w:p>
            <w:pPr>
              <w:spacing w:after="0"/>
              <w:rPr>
                <w:sz w:val="16"/>
                <w:szCs w:val="16"/>
                <w:color w:val="auto"/>
              </w:rPr>
            </w:pPr>
          </w:p>
        </w:tc>
        <w:tc>
          <w:tcPr>
            <w:tcW w:w="1000" w:type="dxa"/>
            <w:vAlign w:val="bottom"/>
            <w:gridSpan w:val="3"/>
            <w:shd w:val="clear" w:color="auto" w:fill="CCEEFF"/>
          </w:tcPr>
          <w:p>
            <w:pPr>
              <w:jc w:val="center"/>
              <w:spacing w:after="0" w:line="195" w:lineRule="exact"/>
              <w:rPr>
                <w:rFonts w:ascii="Arial" w:cs="Arial" w:eastAsia="Arial" w:hAnsi="Arial"/>
                <w:sz w:val="18"/>
                <w:szCs w:val="18"/>
                <w:color w:val="0000FF"/>
                <w:w w:val="79"/>
              </w:rPr>
            </w:pPr>
            <w:hyperlink w:anchor="page83">
              <w:r>
                <w:rPr>
                  <w:rFonts w:ascii="Arial" w:cs="Arial" w:eastAsia="Arial" w:hAnsi="Arial"/>
                  <w:sz w:val="18"/>
                  <w:szCs w:val="18"/>
                  <w:color w:val="0000FF"/>
                  <w:w w:val="79"/>
                </w:rPr>
                <w:t>84</w:t>
              </w:r>
            </w:hyperlink>
          </w:p>
        </w:tc>
      </w:tr>
      <w:tr>
        <w:trPr>
          <w:trHeight w:val="40"/>
        </w:trPr>
        <w:tc>
          <w:tcPr>
            <w:tcW w:w="20" w:type="dxa"/>
            <w:vAlign w:val="bottom"/>
            <w:shd w:val="clear" w:color="auto" w:fill="CCEE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5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100" w:type="dxa"/>
            <w:vAlign w:val="bottom"/>
            <w:gridSpan w:val="4"/>
          </w:tcPr>
          <w:p>
            <w:pPr>
              <w:spacing w:after="0" w:line="186" w:lineRule="exact"/>
              <w:rPr>
                <w:rFonts w:ascii="Arial" w:cs="Arial" w:eastAsia="Arial" w:hAnsi="Arial"/>
                <w:sz w:val="18"/>
                <w:szCs w:val="18"/>
                <w:color w:val="0000FF"/>
                <w:w w:val="87"/>
              </w:rPr>
            </w:pPr>
            <w:hyperlink w:anchor="page85">
              <w:r>
                <w:rPr>
                  <w:rFonts w:ascii="Arial" w:cs="Arial" w:eastAsia="Arial" w:hAnsi="Arial"/>
                  <w:sz w:val="18"/>
                  <w:szCs w:val="18"/>
                  <w:color w:val="0000FF"/>
                  <w:w w:val="87"/>
                </w:rPr>
                <w:t>Notes to Consolidated Financial Statements</w:t>
              </w:r>
            </w:hyperlink>
          </w:p>
        </w:tc>
        <w:tc>
          <w:tcPr>
            <w:tcW w:w="7120" w:type="dxa"/>
            <w:vAlign w:val="bottom"/>
            <w:gridSpan w:val="3"/>
          </w:tcPr>
          <w:p>
            <w:pPr>
              <w:spacing w:after="0"/>
              <w:rPr>
                <w:sz w:val="16"/>
                <w:szCs w:val="16"/>
                <w:color w:val="auto"/>
              </w:rPr>
            </w:pPr>
          </w:p>
        </w:tc>
        <w:tc>
          <w:tcPr>
            <w:tcW w:w="1000" w:type="dxa"/>
            <w:vAlign w:val="bottom"/>
            <w:gridSpan w:val="3"/>
          </w:tcPr>
          <w:p>
            <w:pPr>
              <w:jc w:val="center"/>
              <w:spacing w:after="0" w:line="186"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86</w:t>
              </w:r>
            </w:hyperlink>
          </w:p>
        </w:tc>
      </w:tr>
      <w:tr>
        <w:trPr>
          <w:trHeight w:val="748"/>
        </w:trPr>
        <w:tc>
          <w:tcPr>
            <w:tcW w:w="2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4"/>
                <w:szCs w:val="24"/>
                <w:color w:val="auto"/>
              </w:rPr>
            </w:pPr>
          </w:p>
        </w:tc>
        <w:tc>
          <w:tcPr>
            <w:tcW w:w="7120" w:type="dxa"/>
            <w:vAlign w:val="bottom"/>
            <w:gridSpan w:val="3"/>
          </w:tcPr>
          <w:p>
            <w:pPr>
              <w:jc w:val="right"/>
              <w:ind w:right="4272"/>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ind w:right="5060"/>
        <w:spacing w:after="0" w:line="230" w:lineRule="auto"/>
        <w:rPr>
          <w:sz w:val="20"/>
          <w:szCs w:val="20"/>
          <w:color w:val="auto"/>
        </w:rPr>
      </w:pPr>
      <w:r>
        <w:rPr>
          <w:rFonts w:ascii="Arial" w:cs="Arial" w:eastAsia="Arial" w:hAnsi="Arial"/>
          <w:sz w:val="18"/>
          <w:szCs w:val="18"/>
          <w:color w:val="auto"/>
        </w:rPr>
        <w:t>To the Stockholders and the Board of Directors of The Beauty Health Company Long Beach, California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We have audited the accompanying consolidated balance sheets of The Beauty Health Company and its consolidated subsidiaries ("Company") as of December 31, 2021 and 2020, the related consolidated statements of comprehensive loss,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3"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39"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As discussed in Note 1 and Note 3 to the financial statements, the Company consummated a merger on May 4, 2021, which has been accounted for as a reverse recapitalization. The Company’s common stock was adjusted retroactively to give effect to the exchange ratio.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and Capped Call Transactions — Refer to Notes 2 and 10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5"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September 2021, the Company issued an aggregate of $750 million in principal amount of its 1.25% Convertible Senior Notes due 2026 (the “Notes”), which, upon conversion, permit the Company to pay or deliver cash, shares of its common stock, or a combination of cash and shares of common stock at the Company’s election. In connection with the offering of the Notes, the Company entered into separate capped call transactions (the “Capped Call Transactions”), to reduce potential dilution to the Company’s common stock or offset any cash payments the Company may make in excess of the principal amount upon conversion of the Notes.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Auditing the Company’s accounting for the Notes and Capped Call Transactions was complex due to the significant accounting judgments made by management in determining the balance sheet classification of the Capped Call Transactions, the identification of the features within the Notes that may require bifurcation, and the identification of whether any derivatives that required separate accounting under applicable accounting guidance were present in the Notes and Capped Call Transactions. Significant audit effort by specialized and experienced individuals was required given the complexity of the accounting guidance.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audit procedures related to accounting for the Convertible Senior Notes and Capped Call Transactions included the following, among others:</w:t>
      </w:r>
    </w:p>
    <w:p>
      <w:pPr>
        <w:spacing w:after="0" w:line="40" w:lineRule="exact"/>
        <w:rPr>
          <w:sz w:val="20"/>
          <w:szCs w:val="20"/>
          <w:color w:val="auto"/>
        </w:rPr>
      </w:pPr>
    </w:p>
    <w:p>
      <w:pPr>
        <w:jc w:val="both"/>
        <w:ind w:left="640" w:right="460" w:hanging="316"/>
        <w:spacing w:after="0" w:line="230" w:lineRule="auto"/>
        <w:tabs>
          <w:tab w:leader="none" w:pos="6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read the underlying agreements and evaluated the Company’s accounting analysis of the initial accounting of the Notes and Capped Call Transactions, including the determination of the balance sheet classification, identification of the features requiring bifurcation and separate accounting, and identification of any derivatives included in the arrangements.</w:t>
      </w:r>
    </w:p>
    <w:p>
      <w:pPr>
        <w:spacing w:after="0" w:line="1" w:lineRule="exact"/>
        <w:rPr>
          <w:rFonts w:ascii="Arial" w:cs="Arial" w:eastAsia="Arial" w:hAnsi="Arial"/>
          <w:sz w:val="18"/>
          <w:szCs w:val="18"/>
          <w:color w:val="auto"/>
        </w:rPr>
      </w:pPr>
    </w:p>
    <w:p>
      <w:pPr>
        <w:ind w:left="640" w:right="280" w:hanging="316"/>
        <w:spacing w:after="0" w:line="235" w:lineRule="auto"/>
        <w:tabs>
          <w:tab w:leader="none" w:pos="6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With the assistance of professionals in our firm having expertise in convertible notes, capped call transactions, and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evaluated the Company’s conclusions regarding the accounting guidance and treatment of the Notes and Capped Call Transactions.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CONSOLIDATED BALANCE SHEETS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Current assets: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Cash and cash equivalents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901,886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9,486</w:t>
            </w:r>
          </w:p>
        </w:tc>
        <w:tc>
          <w:tcPr>
            <w:tcW w:w="0" w:type="dxa"/>
            <w:vAlign w:val="bottom"/>
          </w:tcPr>
          <w:p>
            <w:pPr>
              <w:spacing w:after="0"/>
              <w:rPr>
                <w:sz w:val="1"/>
                <w:szCs w:val="1"/>
                <w:color w:val="auto"/>
              </w:rPr>
            </w:pPr>
          </w:p>
        </w:tc>
      </w:tr>
      <w:tr>
        <w:trPr>
          <w:trHeight w:val="173"/>
        </w:trPr>
        <w:tc>
          <w:tcPr>
            <w:tcW w:w="7260" w:type="dxa"/>
            <w:vAlign w:val="bottom"/>
          </w:tcPr>
          <w:p>
            <w:pPr>
              <w:ind w:left="340"/>
              <w:spacing w:after="0" w:line="173" w:lineRule="exact"/>
              <w:rPr>
                <w:sz w:val="20"/>
                <w:szCs w:val="20"/>
                <w:color w:val="auto"/>
              </w:rPr>
            </w:pPr>
            <w:r>
              <w:rPr>
                <w:rFonts w:ascii="Arial" w:cs="Arial" w:eastAsia="Arial" w:hAnsi="Arial"/>
                <w:sz w:val="18"/>
                <w:szCs w:val="18"/>
                <w:color w:val="231F20"/>
              </w:rPr>
              <w:t>Accounts receivable, net of allowances for doubtful accounts of $2,681 and $2,032 at</w:t>
            </w:r>
          </w:p>
        </w:tc>
        <w:tc>
          <w:tcPr>
            <w:tcW w:w="22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231F20"/>
              </w:rPr>
              <w:t>46,824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231F20"/>
              </w:rPr>
              <w:t>18,576</w:t>
            </w:r>
          </w:p>
        </w:tc>
        <w:tc>
          <w:tcPr>
            <w:tcW w:w="0" w:type="dxa"/>
            <w:vAlign w:val="bottom"/>
          </w:tcPr>
          <w:p>
            <w:pPr>
              <w:spacing w:after="0"/>
              <w:rPr>
                <w:sz w:val="1"/>
                <w:szCs w:val="1"/>
                <w:color w:val="auto"/>
              </w:rPr>
            </w:pPr>
          </w:p>
        </w:tc>
      </w:tr>
      <w:tr>
        <w:trPr>
          <w:trHeight w:val="224"/>
        </w:trPr>
        <w:tc>
          <w:tcPr>
            <w:tcW w:w="7260" w:type="dxa"/>
            <w:vAlign w:val="bottom"/>
          </w:tcPr>
          <w:p>
            <w:pPr>
              <w:ind w:left="580"/>
              <w:spacing w:after="0"/>
              <w:rPr>
                <w:sz w:val="20"/>
                <w:szCs w:val="20"/>
                <w:color w:val="auto"/>
              </w:rPr>
            </w:pPr>
            <w:r>
              <w:rPr>
                <w:rFonts w:ascii="Arial" w:cs="Arial" w:eastAsia="Arial" w:hAnsi="Arial"/>
                <w:sz w:val="18"/>
                <w:szCs w:val="18"/>
                <w:color w:val="231F20"/>
              </w:rPr>
              <w:t>December 31, 2021 and December 31, 2020, respectively</w:t>
            </w:r>
          </w:p>
        </w:tc>
        <w:tc>
          <w:tcPr>
            <w:tcW w:w="2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Prepaid expenses and other current assets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3,220</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Income tax receivable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4,599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4,611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Inventories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35,261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23,202</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Total current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1,000,892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59,095</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and equipment,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9,191</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Right-of-use assets,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14,992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Intangible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50,935</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Goodwill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123,694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98,531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income tax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6,705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4,813</w:t>
            </w: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231F20"/>
              </w:rPr>
              <w:t>TOTAL ASSETS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222,835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231F20"/>
              </w:rPr>
              <w:t>LIABILITIES AND STOCKHOLDERS’ EQUITY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Accounts payable</w:t>
            </w: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231F20"/>
              </w:rPr>
              <w:t>29,049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18,485</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Accrued payroll-related expenses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9,475</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Other accrued expenses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14,722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2,458</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Lease liabilities, current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Income tax payable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Current portion of long-term debt due to related parties</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512</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8"/>
                <w:szCs w:val="18"/>
                <w:color w:val="231F20"/>
              </w:rPr>
              <w:t>Total current liabilities</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76,437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30,930</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Other long-term liabilities</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1,854</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Lease liabilities, non-current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Long-term debt due to related parties, net of current portion</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216,024</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Deferred income tax liabilities,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3,561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3,987</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Warrant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Convertible senior notes, net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729,914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916,509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252,795</w:t>
            </w:r>
          </w:p>
        </w:tc>
        <w:tc>
          <w:tcPr>
            <w:tcW w:w="0" w:type="dxa"/>
            <w:vAlign w:val="bottom"/>
          </w:tcPr>
          <w:p>
            <w:pPr>
              <w:spacing w:after="0"/>
              <w:rPr>
                <w:sz w:val="1"/>
                <w:szCs w:val="1"/>
                <w:color w:val="auto"/>
              </w:rPr>
            </w:pPr>
          </w:p>
        </w:tc>
      </w:tr>
      <w:tr>
        <w:trPr>
          <w:trHeight w:val="205"/>
        </w:trPr>
        <w:tc>
          <w:tcPr>
            <w:tcW w:w="7260" w:type="dxa"/>
            <w:vAlign w:val="bottom"/>
          </w:tcPr>
          <w:p>
            <w:pPr>
              <w:ind w:left="20"/>
              <w:spacing w:after="0" w:line="204" w:lineRule="exact"/>
              <w:rPr>
                <w:sz w:val="20"/>
                <w:szCs w:val="20"/>
                <w:color w:val="auto"/>
              </w:rPr>
            </w:pPr>
            <w:r>
              <w:rPr>
                <w:rFonts w:ascii="Arial" w:cs="Arial" w:eastAsia="Arial" w:hAnsi="Arial"/>
                <w:sz w:val="18"/>
                <w:szCs w:val="18"/>
                <w:color w:val="auto"/>
              </w:rPr>
              <w:t>Commitments (Note 14)</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Stockholders’ equity (deficit):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260" w:type="dxa"/>
            <w:vAlign w:val="bottom"/>
          </w:tcPr>
          <w:p>
            <w:pPr>
              <w:ind w:left="340"/>
              <w:spacing w:after="0" w:line="173" w:lineRule="exact"/>
              <w:rPr>
                <w:sz w:val="20"/>
                <w:szCs w:val="20"/>
                <w:color w:val="auto"/>
              </w:rPr>
            </w:pPr>
            <w:r>
              <w:rPr>
                <w:rFonts w:ascii="Arial" w:cs="Arial" w:eastAsia="Arial" w:hAnsi="Arial"/>
                <w:sz w:val="18"/>
                <w:szCs w:val="18"/>
                <w:color w:val="231F20"/>
                <w:w w:val="92"/>
              </w:rPr>
              <w:t>Class A Common Stock, $0.0001 par value; 320,000,000 shares authorized; 150,598,047 and</w:t>
            </w: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ind w:left="500"/>
              <w:spacing w:after="0" w:line="172" w:lineRule="exact"/>
              <w:rPr>
                <w:sz w:val="20"/>
                <w:szCs w:val="20"/>
                <w:color w:val="auto"/>
              </w:rPr>
            </w:pPr>
            <w:r>
              <w:rPr>
                <w:rFonts w:ascii="Arial" w:cs="Arial" w:eastAsia="Arial" w:hAnsi="Arial"/>
                <w:sz w:val="18"/>
                <w:szCs w:val="18"/>
                <w:color w:val="231F20"/>
                <w:w w:val="92"/>
              </w:rPr>
              <w:t>35,501,743 shares issued and outstanding at December 31, 2021 and December 31, 2020,</w:t>
            </w:r>
          </w:p>
        </w:tc>
        <w:tc>
          <w:tcPr>
            <w:tcW w:w="22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231F20"/>
              </w:rPr>
              <w:t>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224"/>
        </w:trPr>
        <w:tc>
          <w:tcPr>
            <w:tcW w:w="7260" w:type="dxa"/>
            <w:vAlign w:val="bottom"/>
          </w:tcPr>
          <w:p>
            <w:pPr>
              <w:ind w:left="500"/>
              <w:spacing w:after="0"/>
              <w:rPr>
                <w:sz w:val="20"/>
                <w:szCs w:val="20"/>
                <w:color w:val="auto"/>
              </w:rPr>
            </w:pPr>
            <w:r>
              <w:rPr>
                <w:rFonts w:ascii="Arial" w:cs="Arial" w:eastAsia="Arial" w:hAnsi="Arial"/>
                <w:sz w:val="18"/>
                <w:szCs w:val="18"/>
                <w:color w:val="231F20"/>
              </w:rPr>
              <w:t>respectively</w:t>
            </w:r>
          </w:p>
        </w:tc>
        <w:tc>
          <w:tcPr>
            <w:tcW w:w="2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2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231F20"/>
                <w:w w:val="98"/>
              </w:rPr>
              <w:t>Preferred Stock, $0.0001 par value; 1,000,000 shares authorized; no shares issued and</w:t>
            </w:r>
          </w:p>
        </w:tc>
        <w:tc>
          <w:tcPr>
            <w:tcW w:w="220" w:type="dxa"/>
            <w:vAlign w:val="bottom"/>
            <w:shd w:val="clear" w:color="auto" w:fill="CCEEFF"/>
          </w:tcPr>
          <w:p>
            <w:pPr>
              <w:spacing w:after="0"/>
              <w:rPr>
                <w:sz w:val="15"/>
                <w:szCs w:val="15"/>
                <w:color w:val="auto"/>
              </w:rPr>
            </w:pPr>
          </w:p>
        </w:tc>
        <w:tc>
          <w:tcPr>
            <w:tcW w:w="1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4"/>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outstanding at December 31, 2021 and December 31, 2020</w:t>
            </w:r>
          </w:p>
        </w:tc>
        <w:tc>
          <w:tcPr>
            <w:tcW w:w="220" w:type="dxa"/>
            <w:vAlign w:val="bottom"/>
            <w:shd w:val="clear" w:color="auto" w:fill="CCEEFF"/>
          </w:tcPr>
          <w:p>
            <w:pPr>
              <w:spacing w:after="0"/>
              <w:rPr>
                <w:sz w:val="19"/>
                <w:szCs w:val="19"/>
                <w:color w:val="auto"/>
              </w:rPr>
            </w:pPr>
          </w:p>
        </w:tc>
        <w:tc>
          <w:tcPr>
            <w:tcW w:w="1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Additional paid-in capital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722,250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13,952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Note receivable from stockholder</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(554)</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Accumulated other comprehensive (loss) income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242</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(418,712)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(43,604)</w:t>
            </w:r>
          </w:p>
        </w:tc>
        <w:tc>
          <w:tcPr>
            <w:tcW w:w="0" w:type="dxa"/>
            <w:vAlign w:val="bottom"/>
          </w:tcPr>
          <w:p>
            <w:pPr>
              <w:spacing w:after="0"/>
              <w:rPr>
                <w:sz w:val="1"/>
                <w:szCs w:val="1"/>
                <w:color w:val="auto"/>
              </w:rPr>
            </w:pPr>
          </w:p>
        </w:tc>
      </w:tr>
      <w:tr>
        <w:trPr>
          <w:trHeight w:val="219"/>
        </w:trPr>
        <w:tc>
          <w:tcPr>
            <w:tcW w:w="7260" w:type="dxa"/>
            <w:vAlign w:val="bottom"/>
          </w:tcPr>
          <w:p>
            <w:pPr>
              <w:ind w:left="500"/>
              <w:spacing w:after="0"/>
              <w:rPr>
                <w:sz w:val="20"/>
                <w:szCs w:val="20"/>
                <w:color w:val="auto"/>
              </w:rPr>
            </w:pPr>
            <w:r>
              <w:rPr>
                <w:rFonts w:ascii="Arial" w:cs="Arial" w:eastAsia="Arial" w:hAnsi="Arial"/>
                <w:sz w:val="18"/>
                <w:szCs w:val="18"/>
                <w:b w:val="1"/>
                <w:bCs w:val="1"/>
                <w:color w:val="231F20"/>
              </w:rPr>
              <w:t>Total stockholders’ equity (deficit)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302,297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(29,960)</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231F20"/>
              </w:rPr>
              <w:t>LIABILITIES AND STOCKHOLDERS’ EQUITY (DEFICIT)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222,835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CONSOLIDATED STATEMENTS OF COMPREHENSIVE LOSS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231F20"/>
                <w:w w:val="94"/>
              </w:rPr>
              <w:t>Year Ended December 31,</w:t>
            </w:r>
          </w:p>
        </w:tc>
        <w:tc>
          <w:tcPr>
            <w:tcW w:w="1100" w:type="dxa"/>
            <w:vAlign w:val="bottom"/>
          </w:tcPr>
          <w:p>
            <w:pPr>
              <w:spacing w:after="0"/>
              <w:rPr>
                <w:sz w:val="15"/>
                <w:szCs w:val="15"/>
                <w:color w:val="auto"/>
              </w:rPr>
            </w:pPr>
          </w:p>
        </w:tc>
      </w:tr>
      <w:tr>
        <w:trPr>
          <w:trHeight w:val="24"/>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8"/>
        </w:trPr>
        <w:tc>
          <w:tcPr>
            <w:tcW w:w="6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2020</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231F20"/>
              </w:rPr>
              <w:t>2019</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sales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260,086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119,092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166,623</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Cost of sales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78,259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51,893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60,111</w:t>
            </w:r>
          </w:p>
        </w:tc>
      </w:tr>
      <w:tr>
        <w:trPr>
          <w:trHeight w:val="219"/>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231F20"/>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181,827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67,199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106,512</w:t>
            </w:r>
          </w:p>
        </w:tc>
      </w:tr>
      <w:tr>
        <w:trPr>
          <w:trHeight w:val="205"/>
        </w:trPr>
        <w:tc>
          <w:tcPr>
            <w:tcW w:w="6740" w:type="dxa"/>
            <w:vAlign w:val="bottom"/>
          </w:tcPr>
          <w:p>
            <w:pPr>
              <w:ind w:left="20"/>
              <w:spacing w:after="0" w:line="204" w:lineRule="exact"/>
              <w:rPr>
                <w:sz w:val="20"/>
                <w:szCs w:val="20"/>
                <w:color w:val="auto"/>
              </w:rPr>
            </w:pPr>
            <w:r>
              <w:rPr>
                <w:rFonts w:ascii="Arial" w:cs="Arial" w:eastAsia="Arial" w:hAnsi="Arial"/>
                <w:sz w:val="18"/>
                <w:szCs w:val="18"/>
                <w:color w:val="231F20"/>
              </w:rPr>
              <w:t>Operating expenses: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Selling and marketing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111,583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50,323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61,774</w:t>
            </w:r>
          </w:p>
        </w:tc>
      </w:tr>
      <w:tr>
        <w:trPr>
          <w:trHeight w:val="225"/>
        </w:trPr>
        <w:tc>
          <w:tcPr>
            <w:tcW w:w="6740" w:type="dxa"/>
            <w:vAlign w:val="bottom"/>
          </w:tcPr>
          <w:p>
            <w:pPr>
              <w:ind w:left="420"/>
              <w:spacing w:after="0"/>
              <w:rPr>
                <w:sz w:val="20"/>
                <w:szCs w:val="20"/>
                <w:color w:val="auto"/>
              </w:rPr>
            </w:pPr>
            <w:r>
              <w:rPr>
                <w:rFonts w:ascii="Arial" w:cs="Arial" w:eastAsia="Arial" w:hAnsi="Arial"/>
                <w:sz w:val="18"/>
                <w:szCs w:val="18"/>
                <w:color w:val="231F20"/>
              </w:rPr>
              <w:t>Research and development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8,195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3,409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4,614</w:t>
            </w:r>
          </w:p>
        </w:tc>
      </w:tr>
      <w:tr>
        <w:trPr>
          <w:trHeight w:val="226"/>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98,688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30,649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26,662</w:t>
            </w:r>
          </w:p>
        </w:tc>
      </w:tr>
      <w:tr>
        <w:trPr>
          <w:trHeight w:val="218"/>
        </w:trPr>
        <w:tc>
          <w:tcPr>
            <w:tcW w:w="67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231F20"/>
              </w:rPr>
              <w:t>Total operating expenses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218,466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84,381</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93,050</w:t>
            </w:r>
          </w:p>
        </w:tc>
      </w:tr>
      <w:tr>
        <w:trPr>
          <w:trHeight w:val="29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income from operations</w:t>
            </w: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(36,639)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(17,182)</w:t>
            </w:r>
          </w:p>
        </w:tc>
        <w:tc>
          <w:tcPr>
            <w:tcW w:w="16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13,462</w:t>
            </w:r>
          </w:p>
        </w:tc>
      </w:tr>
      <w:tr>
        <w:trPr>
          <w:trHeight w:val="205"/>
        </w:trPr>
        <w:tc>
          <w:tcPr>
            <w:tcW w:w="6740" w:type="dxa"/>
            <w:vAlign w:val="bottom"/>
          </w:tcPr>
          <w:p>
            <w:pPr>
              <w:ind w:left="20"/>
              <w:spacing w:after="0" w:line="204" w:lineRule="exact"/>
              <w:rPr>
                <w:sz w:val="20"/>
                <w:szCs w:val="20"/>
                <w:color w:val="auto"/>
              </w:rPr>
            </w:pPr>
            <w:r>
              <w:rPr>
                <w:rFonts w:ascii="Arial" w:cs="Arial" w:eastAsia="Arial" w:hAnsi="Arial"/>
                <w:sz w:val="18"/>
                <w:szCs w:val="18"/>
                <w:color w:val="231F20"/>
              </w:rPr>
              <w:t>Other (income) expense: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Interest expense,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21,275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17,092</w:t>
            </w:r>
          </w:p>
        </w:tc>
      </w:tr>
      <w:tr>
        <w:trPr>
          <w:trHeight w:val="225"/>
        </w:trPr>
        <w:tc>
          <w:tcPr>
            <w:tcW w:w="6740" w:type="dxa"/>
            <w:vAlign w:val="bottom"/>
          </w:tcPr>
          <w:p>
            <w:pPr>
              <w:ind w:left="420"/>
              <w:spacing w:after="0"/>
              <w:rPr>
                <w:sz w:val="20"/>
                <w:szCs w:val="20"/>
                <w:color w:val="auto"/>
              </w:rPr>
            </w:pPr>
            <w:r>
              <w:rPr>
                <w:rFonts w:ascii="Arial" w:cs="Arial" w:eastAsia="Arial" w:hAnsi="Arial"/>
                <w:sz w:val="18"/>
                <w:szCs w:val="18"/>
                <w:color w:val="231F20"/>
              </w:rPr>
              <w:t>Other expense (income),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47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(535)</w:t>
            </w:r>
          </w:p>
        </w:tc>
      </w:tr>
      <w:tr>
        <w:trPr>
          <w:trHeight w:val="226"/>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Change in fair value of warrant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277,315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6740" w:type="dxa"/>
            <w:vAlign w:val="bottom"/>
          </w:tcPr>
          <w:p>
            <w:pPr>
              <w:ind w:left="420"/>
              <w:spacing w:after="0"/>
              <w:rPr>
                <w:sz w:val="20"/>
                <w:szCs w:val="20"/>
                <w:color w:val="auto"/>
              </w:rPr>
            </w:pPr>
            <w:r>
              <w:rPr>
                <w:rFonts w:ascii="Arial" w:cs="Arial" w:eastAsia="Arial" w:hAnsi="Arial"/>
                <w:sz w:val="18"/>
                <w:szCs w:val="18"/>
                <w:color w:val="231F20"/>
              </w:rPr>
              <w:t>Change in fair value of earn-out shares liability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Foreign currency transaction loss (gain),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(160)</w:t>
            </w:r>
          </w:p>
        </w:tc>
      </w:tr>
      <w:tr>
        <w:trPr>
          <w:trHeight w:val="218"/>
        </w:trPr>
        <w:tc>
          <w:tcPr>
            <w:tcW w:w="6740" w:type="dxa"/>
            <w:vAlign w:val="bottom"/>
          </w:tcPr>
          <w:p>
            <w:pPr>
              <w:ind w:left="820"/>
              <w:spacing w:after="0"/>
              <w:rPr>
                <w:sz w:val="20"/>
                <w:szCs w:val="20"/>
                <w:color w:val="auto"/>
              </w:rPr>
            </w:pPr>
            <w:r>
              <w:rPr>
                <w:rFonts w:ascii="Arial" w:cs="Arial" w:eastAsia="Arial" w:hAnsi="Arial"/>
                <w:sz w:val="18"/>
                <w:szCs w:val="18"/>
                <w:color w:val="231F20"/>
              </w:rPr>
              <w:t>Total other expense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340,711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21,301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16,397</w:t>
            </w:r>
          </w:p>
        </w:tc>
      </w:tr>
      <w:tr>
        <w:trPr>
          <w:trHeight w:val="29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before provision for income taxes</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(377,350)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(38,483)</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(2,935)</w:t>
            </w:r>
          </w:p>
        </w:tc>
      </w:tr>
      <w:tr>
        <w:trPr>
          <w:trHeight w:val="225"/>
        </w:trPr>
        <w:tc>
          <w:tcPr>
            <w:tcW w:w="67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231F20"/>
              </w:rPr>
              <w:t>Income tax benefit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(9,308)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(1,297)</w:t>
            </w:r>
          </w:p>
        </w:tc>
      </w:tr>
      <w:tr>
        <w:trPr>
          <w:trHeight w:val="29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(375,108)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(29,175)</w:t>
            </w:r>
          </w:p>
        </w:tc>
        <w:tc>
          <w:tcPr>
            <w:tcW w:w="16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(1,638)</w:t>
            </w:r>
          </w:p>
        </w:tc>
      </w:tr>
      <w:tr>
        <w:trPr>
          <w:trHeight w:val="205"/>
        </w:trPr>
        <w:tc>
          <w:tcPr>
            <w:tcW w:w="6740" w:type="dxa"/>
            <w:vAlign w:val="bottom"/>
          </w:tcPr>
          <w:p>
            <w:pPr>
              <w:ind w:left="20"/>
              <w:spacing w:after="0" w:line="205" w:lineRule="exact"/>
              <w:rPr>
                <w:sz w:val="20"/>
                <w:szCs w:val="20"/>
                <w:color w:val="auto"/>
              </w:rPr>
            </w:pPr>
            <w:r>
              <w:rPr>
                <w:rFonts w:ascii="Arial" w:cs="Arial" w:eastAsia="Arial" w:hAnsi="Arial"/>
                <w:sz w:val="18"/>
                <w:szCs w:val="18"/>
                <w:b w:val="1"/>
                <w:bCs w:val="1"/>
                <w:color w:val="231F20"/>
              </w:rPr>
              <w:t>Comprehensive loss, net of tax:</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33</w:t>
            </w:r>
          </w:p>
        </w:tc>
      </w:tr>
      <w:tr>
        <w:trPr>
          <w:trHeight w:val="271"/>
        </w:trPr>
        <w:tc>
          <w:tcPr>
            <w:tcW w:w="6740" w:type="dxa"/>
            <w:vAlign w:val="bottom"/>
          </w:tcPr>
          <w:p>
            <w:pPr>
              <w:ind w:left="20"/>
              <w:spacing w:after="0"/>
              <w:rPr>
                <w:sz w:val="20"/>
                <w:szCs w:val="20"/>
                <w:color w:val="auto"/>
              </w:rPr>
            </w:pPr>
            <w:r>
              <w:rPr>
                <w:rFonts w:ascii="Arial" w:cs="Arial" w:eastAsia="Arial" w:hAnsi="Arial"/>
                <w:sz w:val="18"/>
                <w:szCs w:val="18"/>
                <w:b w:val="1"/>
                <w:bCs w:val="1"/>
                <w:color w:val="231F20"/>
              </w:rPr>
              <w:t>Comprehensive loss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(376,607)</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(29,096)</w:t>
            </w:r>
          </w:p>
        </w:tc>
        <w:tc>
          <w:tcPr>
            <w:tcW w:w="160" w:type="dxa"/>
            <w:vAlign w:val="bottom"/>
          </w:tcPr>
          <w:p>
            <w:pPr>
              <w:spacing w:after="0"/>
              <w:rPr>
                <w:sz w:val="23"/>
                <w:szCs w:val="23"/>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(1,605)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 xml:space="preserve">Net loss per share </w:t>
            </w:r>
            <w:r>
              <w:rPr>
                <w:rFonts w:ascii="Arial" w:cs="Arial" w:eastAsia="Arial" w:hAnsi="Arial"/>
                <w:sz w:val="18"/>
                <w:szCs w:val="18"/>
                <w:color w:val="221F1F"/>
              </w:rPr>
              <w:t>–</w:t>
            </w:r>
            <w:r>
              <w:rPr>
                <w:rFonts w:ascii="Arial" w:cs="Arial" w:eastAsia="Arial" w:hAnsi="Arial"/>
                <w:sz w:val="18"/>
                <w:szCs w:val="18"/>
                <w:color w:val="231F20"/>
              </w:rPr>
              <w:t xml:space="preserve"> basic and 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(0.85)</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r>
      <w:tr>
        <w:trPr>
          <w:trHeight w:val="277"/>
        </w:trPr>
        <w:tc>
          <w:tcPr>
            <w:tcW w:w="6740" w:type="dxa"/>
            <w:vAlign w:val="bottom"/>
          </w:tcPr>
          <w:p>
            <w:pPr>
              <w:ind w:left="20"/>
              <w:spacing w:after="0"/>
              <w:rPr>
                <w:sz w:val="20"/>
                <w:szCs w:val="20"/>
                <w:color w:val="auto"/>
              </w:rPr>
            </w:pPr>
            <w:r>
              <w:rPr>
                <w:rFonts w:ascii="Arial" w:cs="Arial" w:eastAsia="Arial" w:hAnsi="Arial"/>
                <w:sz w:val="18"/>
                <w:szCs w:val="18"/>
                <w:color w:val="231F20"/>
              </w:rPr>
              <w:t xml:space="preserve">Weighted average common shares outstanding </w:t>
            </w:r>
            <w:r>
              <w:rPr>
                <w:rFonts w:ascii="Arial" w:cs="Arial" w:eastAsia="Arial" w:hAnsi="Arial"/>
                <w:sz w:val="18"/>
                <w:szCs w:val="18"/>
                <w:color w:val="221F1F"/>
              </w:rPr>
              <w:t>–</w:t>
            </w:r>
            <w:r>
              <w:rPr>
                <w:rFonts w:ascii="Arial" w:cs="Arial" w:eastAsia="Arial" w:hAnsi="Arial"/>
                <w:sz w:val="18"/>
                <w:szCs w:val="18"/>
                <w:color w:val="231F20"/>
              </w:rPr>
              <w:t xml:space="preserve"> basic and diluted</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w w:val="97"/>
              </w:rPr>
              <w:t>102,114,949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34,293,271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32,136,203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20" w:type="dxa"/>
            <w:vAlign w:val="bottom"/>
          </w:tcPr>
          <w:p>
            <w:pPr>
              <w:spacing w:after="0"/>
              <w:rPr>
                <w:sz w:val="14"/>
                <w:szCs w:val="1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Legacy Common</w:t>
            </w:r>
          </w:p>
        </w:tc>
        <w:tc>
          <w:tcPr>
            <w:tcW w:w="12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6"/>
              </w:rPr>
              <w:t>Legacy Preferred</w:t>
            </w:r>
          </w:p>
        </w:tc>
        <w:tc>
          <w:tcPr>
            <w:tcW w:w="16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Note</w:t>
            </w: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6"/>
        </w:trPr>
        <w:tc>
          <w:tcPr>
            <w:tcW w:w="2020" w:type="dxa"/>
            <w:vAlign w:val="bottom"/>
          </w:tcPr>
          <w:p>
            <w:pPr>
              <w:spacing w:after="0"/>
              <w:rPr>
                <w:sz w:val="5"/>
                <w:szCs w:val="5"/>
                <w:color w:val="auto"/>
              </w:rPr>
            </w:pPr>
          </w:p>
        </w:tc>
        <w:tc>
          <w:tcPr>
            <w:tcW w:w="860" w:type="dxa"/>
            <w:vAlign w:val="bottom"/>
            <w:gridSpan w:val="3"/>
          </w:tcPr>
          <w:p>
            <w:pPr>
              <w:ind w:left="420"/>
              <w:spacing w:after="0" w:line="67" w:lineRule="exact"/>
              <w:rPr>
                <w:sz w:val="20"/>
                <w:szCs w:val="20"/>
                <w:color w:val="auto"/>
              </w:rPr>
            </w:pPr>
            <w:r>
              <w:rPr>
                <w:rFonts w:ascii="Arial" w:cs="Arial" w:eastAsia="Arial" w:hAnsi="Arial"/>
                <w:sz w:val="7"/>
                <w:szCs w:val="7"/>
                <w:b w:val="1"/>
                <w:bCs w:val="1"/>
                <w:color w:val="auto"/>
              </w:rPr>
              <w:t>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tcPr>
          <w:p>
            <w:pPr>
              <w:jc w:val="right"/>
              <w:ind w:right="49"/>
              <w:spacing w:after="0" w:line="67" w:lineRule="exact"/>
              <w:rPr>
                <w:sz w:val="20"/>
                <w:szCs w:val="20"/>
                <w:color w:val="auto"/>
              </w:rPr>
            </w:pPr>
            <w:r>
              <w:rPr>
                <w:rFonts w:ascii="Arial" w:cs="Arial" w:eastAsia="Arial" w:hAnsi="Arial"/>
                <w:sz w:val="7"/>
                <w:szCs w:val="7"/>
                <w:b w:val="1"/>
                <w:bCs w:val="1"/>
                <w:color w:val="auto"/>
              </w:rPr>
              <w:t>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5"/>
                <w:szCs w:val="5"/>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rPr>
              <w:t>Paid-in</w:t>
            </w: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28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w w:val="98"/>
              </w:rPr>
              <w:t>Stockholders’Equity</w:t>
            </w:r>
          </w:p>
        </w:tc>
        <w:tc>
          <w:tcPr>
            <w:tcW w:w="0" w:type="dxa"/>
            <w:vAlign w:val="bottom"/>
          </w:tcPr>
          <w:p>
            <w:pPr>
              <w:spacing w:after="0"/>
              <w:rPr>
                <w:sz w:val="1"/>
                <w:szCs w:val="1"/>
                <w:color w:val="auto"/>
              </w:rPr>
            </w:pPr>
          </w:p>
        </w:tc>
      </w:tr>
      <w:tr>
        <w:trPr>
          <w:trHeight w:val="59"/>
        </w:trPr>
        <w:tc>
          <w:tcPr>
            <w:tcW w:w="2020" w:type="dxa"/>
            <w:vAlign w:val="bottom"/>
          </w:tcPr>
          <w:p>
            <w:pPr>
              <w:spacing w:after="0"/>
              <w:rPr>
                <w:sz w:val="5"/>
                <w:szCs w:val="5"/>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5"/>
                <w:szCs w:val="5"/>
                <w:color w:val="auto"/>
              </w:rPr>
            </w:pPr>
          </w:p>
        </w:tc>
        <w:tc>
          <w:tcPr>
            <w:tcW w:w="680" w:type="dxa"/>
            <w:vAlign w:val="bottom"/>
            <w:gridSpan w:val="2"/>
          </w:tcPr>
          <w:p>
            <w:pPr>
              <w:jc w:val="center"/>
              <w:ind w:right="260"/>
              <w:spacing w:after="0" w:line="60" w:lineRule="exact"/>
              <w:rPr>
                <w:sz w:val="20"/>
                <w:szCs w:val="20"/>
                <w:color w:val="auto"/>
              </w:rPr>
            </w:pPr>
            <w:r>
              <w:rPr>
                <w:rFonts w:ascii="Arial" w:cs="Arial" w:eastAsia="Arial" w:hAnsi="Arial"/>
                <w:sz w:val="6"/>
                <w:szCs w:val="6"/>
                <w:b w:val="1"/>
                <w:bCs w:val="1"/>
                <w:color w:val="auto"/>
              </w:rPr>
              <w:t>from</w:t>
            </w:r>
          </w:p>
        </w:tc>
        <w:tc>
          <w:tcPr>
            <w:tcW w:w="1060" w:type="dxa"/>
            <w:vAlign w:val="bottom"/>
            <w:gridSpan w:val="3"/>
          </w:tcPr>
          <w:p>
            <w:pPr>
              <w:ind w:left="20"/>
              <w:spacing w:after="0" w:line="60" w:lineRule="exact"/>
              <w:rPr>
                <w:sz w:val="20"/>
                <w:szCs w:val="20"/>
                <w:color w:val="auto"/>
              </w:rPr>
            </w:pPr>
            <w:r>
              <w:rPr>
                <w:rFonts w:ascii="Arial" w:cs="Arial" w:eastAsia="Arial" w:hAnsi="Arial"/>
                <w:sz w:val="6"/>
                <w:szCs w:val="6"/>
                <w:b w:val="1"/>
                <w:bCs w:val="1"/>
                <w:color w:val="auto"/>
              </w:rPr>
              <w:t>Comprehensive</w:t>
            </w:r>
          </w:p>
        </w:tc>
        <w:tc>
          <w:tcPr>
            <w:tcW w:w="160" w:type="dxa"/>
            <w:vAlign w:val="bottom"/>
          </w:tcPr>
          <w:p>
            <w:pPr>
              <w:spacing w:after="0"/>
              <w:rPr>
                <w:sz w:val="5"/>
                <w:szCs w:val="5"/>
                <w:color w:val="auto"/>
              </w:rPr>
            </w:pPr>
          </w:p>
        </w:tc>
        <w:tc>
          <w:tcPr>
            <w:tcW w:w="780" w:type="dxa"/>
            <w:vAlign w:val="bottom"/>
            <w:gridSpan w:val="2"/>
          </w:tcPr>
          <w:p>
            <w:pPr>
              <w:ind w:left="60"/>
              <w:spacing w:after="0" w:line="60" w:lineRule="exact"/>
              <w:rPr>
                <w:sz w:val="20"/>
                <w:szCs w:val="20"/>
                <w:color w:val="auto"/>
              </w:rPr>
            </w:pPr>
            <w:r>
              <w:rPr>
                <w:rFonts w:ascii="Arial" w:cs="Arial" w:eastAsia="Arial" w:hAnsi="Arial"/>
                <w:sz w:val="6"/>
                <w:szCs w:val="6"/>
                <w:b w:val="1"/>
                <w:bCs w:val="1"/>
                <w:color w:val="auto"/>
              </w:rPr>
              <w:t>Deficit</w:t>
            </w:r>
          </w:p>
        </w:tc>
        <w:tc>
          <w:tcPr>
            <w:tcW w:w="240" w:type="dxa"/>
            <w:vAlign w:val="bottom"/>
          </w:tcPr>
          <w:p>
            <w:pPr>
              <w:spacing w:after="0"/>
              <w:rPr>
                <w:sz w:val="5"/>
                <w:szCs w:val="5"/>
                <w:color w:val="auto"/>
              </w:rPr>
            </w:pPr>
          </w:p>
        </w:tc>
        <w:tc>
          <w:tcPr>
            <w:tcW w:w="10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18"/>
        </w:trPr>
        <w:tc>
          <w:tcPr>
            <w:tcW w:w="20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rPr>
              <w:t>Retroactive application of</w:t>
            </w:r>
          </w:p>
        </w:tc>
        <w:tc>
          <w:tcPr>
            <w:tcW w:w="560" w:type="dxa"/>
            <w:vAlign w:val="bottom"/>
            <w:vMerge w:val="restart"/>
          </w:tcPr>
          <w:p>
            <w:pPr>
              <w:ind w:left="40"/>
              <w:spacing w:after="0"/>
              <w:rPr>
                <w:sz w:val="20"/>
                <w:szCs w:val="20"/>
                <w:color w:val="auto"/>
              </w:rPr>
            </w:pPr>
            <w:r>
              <w:rPr>
                <w:rFonts w:ascii="Arial" w:cs="Arial" w:eastAsia="Arial" w:hAnsi="Arial"/>
                <w:sz w:val="14"/>
                <w:szCs w:val="14"/>
                <w:color w:val="auto"/>
                <w:w w:val="95"/>
              </w:rPr>
              <w:t>(49,205)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32,136,203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recapitalization</w:t>
            </w: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CEEFF"/>
          </w:tcPr>
          <w:p>
            <w:pPr>
              <w:ind w:left="180"/>
              <w:spacing w:after="0" w:line="116" w:lineRule="exact"/>
              <w:rPr>
                <w:sz w:val="20"/>
                <w:szCs w:val="20"/>
                <w:color w:val="auto"/>
              </w:rPr>
            </w:pPr>
            <w:r>
              <w:rPr>
                <w:rFonts w:ascii="Arial" w:cs="Arial" w:eastAsia="Arial" w:hAnsi="Arial"/>
                <w:sz w:val="13"/>
                <w:szCs w:val="13"/>
                <w:color w:val="auto"/>
              </w:rPr>
              <w:t>Adjusted balance, beginning of</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32,136,203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13,641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(12,791)</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period</w:t>
            </w:r>
          </w:p>
        </w:tc>
        <w:tc>
          <w:tcPr>
            <w:tcW w:w="6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 translation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2020" w:type="dxa"/>
            <w:vAlign w:val="bottom"/>
          </w:tcPr>
          <w:p>
            <w:pPr>
              <w:ind w:left="340"/>
              <w:spacing w:after="0"/>
              <w:rPr>
                <w:sz w:val="20"/>
                <w:szCs w:val="20"/>
                <w:color w:val="auto"/>
              </w:rPr>
            </w:pPr>
            <w:r>
              <w:rPr>
                <w:rFonts w:ascii="Arial" w:cs="Arial" w:eastAsia="Arial" w:hAnsi="Arial"/>
                <w:sz w:val="14"/>
                <w:szCs w:val="14"/>
                <w:color w:val="auto"/>
              </w:rPr>
              <w:t>adjustment</w:t>
            </w: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32,136,203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rPr>
              <w:t>Issuance of 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3,482,446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shares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(29,175)</w:t>
            </w: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 translation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3"/>
        </w:trPr>
        <w:tc>
          <w:tcPr>
            <w:tcW w:w="2020" w:type="dxa"/>
            <w:vAlign w:val="bottom"/>
          </w:tcPr>
          <w:p>
            <w:pPr>
              <w:ind w:left="340"/>
              <w:spacing w:after="0"/>
              <w:rPr>
                <w:sz w:val="20"/>
                <w:szCs w:val="20"/>
                <w:color w:val="auto"/>
              </w:rPr>
            </w:pPr>
            <w:r>
              <w:rPr>
                <w:rFonts w:ascii="Arial" w:cs="Arial" w:eastAsia="Arial" w:hAnsi="Arial"/>
                <w:sz w:val="14"/>
                <w:szCs w:val="14"/>
                <w:color w:val="auto"/>
              </w:rPr>
              <w:t>adjustment</w:t>
            </w: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35,501,743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(43,604)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(29,960)</w:t>
            </w: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w w:val="98"/>
              </w:rPr>
              <w:t>Issuance of Class A Common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340"/>
              <w:spacing w:after="0" w:line="133" w:lineRule="exact"/>
              <w:rPr>
                <w:sz w:val="20"/>
                <w:szCs w:val="20"/>
                <w:color w:val="auto"/>
              </w:rPr>
            </w:pPr>
            <w:r>
              <w:rPr>
                <w:rFonts w:ascii="Arial" w:cs="Arial" w:eastAsia="Arial" w:hAnsi="Arial"/>
                <w:sz w:val="14"/>
                <w:szCs w:val="14"/>
                <w:color w:val="auto"/>
              </w:rPr>
              <w:t>Stock in connection with</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590,099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9,341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9,341</w:t>
            </w:r>
          </w:p>
        </w:tc>
        <w:tc>
          <w:tcPr>
            <w:tcW w:w="0" w:type="dxa"/>
            <w:vAlign w:val="bottom"/>
          </w:tcPr>
          <w:p>
            <w:pPr>
              <w:spacing w:after="0"/>
              <w:rPr>
                <w:sz w:val="1"/>
                <w:szCs w:val="1"/>
                <w:color w:val="auto"/>
              </w:rPr>
            </w:pPr>
          </w:p>
        </w:tc>
      </w:tr>
      <w:tr>
        <w:trPr>
          <w:trHeight w:val="183"/>
        </w:trPr>
        <w:tc>
          <w:tcPr>
            <w:tcW w:w="2020" w:type="dxa"/>
            <w:vAlign w:val="bottom"/>
          </w:tcPr>
          <w:p>
            <w:pPr>
              <w:ind w:left="340"/>
              <w:spacing w:after="0"/>
              <w:rPr>
                <w:sz w:val="20"/>
                <w:szCs w:val="20"/>
                <w:color w:val="auto"/>
              </w:rPr>
            </w:pPr>
            <w:r>
              <w:rPr>
                <w:rFonts w:ascii="Arial" w:cs="Arial" w:eastAsia="Arial" w:hAnsi="Arial"/>
                <w:sz w:val="14"/>
                <w:szCs w:val="14"/>
                <w:color w:val="auto"/>
              </w:rPr>
              <w:t>business acquisitions</w:t>
            </w: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earn-out shares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136,575</w:t>
            </w: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w w:val="97"/>
              </w:rPr>
              <w:t>Issuance of common stock for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340"/>
              <w:spacing w:after="0" w:line="133" w:lineRule="exact"/>
              <w:rPr>
                <w:sz w:val="20"/>
                <w:szCs w:val="20"/>
                <w:color w:val="auto"/>
              </w:rPr>
            </w:pPr>
            <w:r>
              <w:rPr>
                <w:rFonts w:ascii="Arial" w:cs="Arial" w:eastAsia="Arial" w:hAnsi="Arial"/>
                <w:sz w:val="14"/>
                <w:szCs w:val="14"/>
                <w:color w:val="auto"/>
                <w:w w:val="93"/>
              </w:rPr>
              <w:t>settlement of restricted stock</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30,963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20" w:type="dxa"/>
            <w:vAlign w:val="bottom"/>
          </w:tcPr>
          <w:p>
            <w:pPr>
              <w:ind w:left="340"/>
              <w:spacing w:after="0"/>
              <w:rPr>
                <w:sz w:val="20"/>
                <w:szCs w:val="20"/>
                <w:color w:val="auto"/>
              </w:rPr>
            </w:pPr>
            <w:r>
              <w:rPr>
                <w:rFonts w:ascii="Arial" w:cs="Arial" w:eastAsia="Arial" w:hAnsi="Arial"/>
                <w:sz w:val="14"/>
                <w:szCs w:val="14"/>
                <w:color w:val="auto"/>
              </w:rPr>
              <w:t>units</w:t>
            </w: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Shares canceled for tax</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withholdings on vested</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restricted stock units</w:t>
            </w:r>
          </w:p>
        </w:tc>
        <w:tc>
          <w:tcPr>
            <w:tcW w:w="6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rPr>
              <w:t>Reverse recapitalization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89,898,170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182,397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182,960</w:t>
            </w:r>
          </w:p>
        </w:tc>
        <w:tc>
          <w:tcPr>
            <w:tcW w:w="0" w:type="dxa"/>
            <w:vAlign w:val="bottom"/>
          </w:tcPr>
          <w:p>
            <w:pPr>
              <w:spacing w:after="0"/>
              <w:rPr>
                <w:sz w:val="1"/>
                <w:szCs w:val="1"/>
                <w:color w:val="auto"/>
              </w:rPr>
            </w:pPr>
          </w:p>
        </w:tc>
      </w:tr>
      <w:tr>
        <w:trPr>
          <w:trHeight w:val="183"/>
        </w:trPr>
        <w:tc>
          <w:tcPr>
            <w:tcW w:w="2020" w:type="dxa"/>
            <w:vAlign w:val="bottom"/>
          </w:tcPr>
          <w:p>
            <w:pPr>
              <w:ind w:left="340"/>
              <w:spacing w:after="0"/>
              <w:rPr>
                <w:sz w:val="20"/>
                <w:szCs w:val="20"/>
                <w:color w:val="auto"/>
              </w:rPr>
            </w:pPr>
            <w:r>
              <w:rPr>
                <w:rFonts w:ascii="Arial" w:cs="Arial" w:eastAsia="Arial" w:hAnsi="Arial"/>
                <w:sz w:val="14"/>
                <w:szCs w:val="14"/>
                <w:color w:val="auto"/>
              </w:rPr>
              <w:t>transaction, net</w:t>
            </w: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w w:val="89"/>
              </w:rPr>
              <w:t>Purchase of capped calls related</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to Convertible Senior Notes</w:t>
            </w:r>
          </w:p>
        </w:tc>
        <w:tc>
          <w:tcPr>
            <w:tcW w:w="6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180"/>
              <w:spacing w:after="0" w:line="133" w:lineRule="exact"/>
              <w:rPr>
                <w:sz w:val="20"/>
                <w:szCs w:val="20"/>
                <w:color w:val="auto"/>
              </w:rPr>
            </w:pPr>
            <w:r>
              <w:rPr>
                <w:rFonts w:ascii="Arial" w:cs="Arial" w:eastAsia="Arial" w:hAnsi="Arial"/>
                <w:sz w:val="14"/>
                <w:szCs w:val="14"/>
                <w:color w:val="auto"/>
                <w:w w:val="98"/>
              </w:rPr>
              <w:t>Issuance of Class A Common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340"/>
              <w:spacing w:after="0" w:line="133" w:lineRule="exact"/>
              <w:rPr>
                <w:sz w:val="20"/>
                <w:szCs w:val="20"/>
                <w:color w:val="auto"/>
              </w:rPr>
            </w:pPr>
            <w:r>
              <w:rPr>
                <w:rFonts w:ascii="Arial" w:cs="Arial" w:eastAsia="Arial" w:hAnsi="Arial"/>
                <w:sz w:val="14"/>
                <w:szCs w:val="14"/>
                <w:color w:val="auto"/>
                <w:w w:val="95"/>
              </w:rPr>
              <w:t>Stock in connection with the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340"/>
              <w:spacing w:after="0" w:line="133" w:lineRule="exact"/>
              <w:rPr>
                <w:sz w:val="20"/>
                <w:szCs w:val="20"/>
                <w:color w:val="auto"/>
              </w:rPr>
            </w:pPr>
            <w:r>
              <w:rPr>
                <w:rFonts w:ascii="Arial" w:cs="Arial" w:eastAsia="Arial" w:hAnsi="Arial"/>
                <w:sz w:val="14"/>
                <w:szCs w:val="14"/>
                <w:color w:val="auto"/>
                <w:w w:val="99"/>
              </w:rPr>
              <w:t>Public and Private Warrant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17,083,884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457,718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457,720</w:t>
            </w:r>
          </w:p>
        </w:tc>
        <w:tc>
          <w:tcPr>
            <w:tcW w:w="0" w:type="dxa"/>
            <w:vAlign w:val="bottom"/>
          </w:tcPr>
          <w:p>
            <w:pPr>
              <w:spacing w:after="0"/>
              <w:rPr>
                <w:sz w:val="1"/>
                <w:szCs w:val="1"/>
                <w:color w:val="auto"/>
              </w:rPr>
            </w:pPr>
          </w:p>
        </w:tc>
      </w:tr>
      <w:tr>
        <w:trPr>
          <w:trHeight w:val="183"/>
        </w:trPr>
        <w:tc>
          <w:tcPr>
            <w:tcW w:w="2020" w:type="dxa"/>
            <w:vAlign w:val="bottom"/>
          </w:tcPr>
          <w:p>
            <w:pPr>
              <w:ind w:left="340"/>
              <w:spacing w:after="0"/>
              <w:rPr>
                <w:sz w:val="20"/>
                <w:szCs w:val="20"/>
                <w:color w:val="auto"/>
              </w:rPr>
            </w:pPr>
            <w:r>
              <w:rPr>
                <w:rFonts w:ascii="Arial" w:cs="Arial" w:eastAsia="Arial" w:hAnsi="Arial"/>
                <w:sz w:val="14"/>
                <w:szCs w:val="14"/>
                <w:color w:val="auto"/>
              </w:rPr>
              <w:t>exercises</w:t>
            </w: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(375,108)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(375,108)</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Foreign currency translation</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w:t>
            </w:r>
          </w:p>
        </w:tc>
        <w:tc>
          <w:tcPr>
            <w:tcW w:w="6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150,598,047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722,250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(418,712)</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302,297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(in thousands)</w:t>
      </w:r>
    </w:p>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231F20"/>
                <w:w w:val="91"/>
              </w:rPr>
              <w:t>Year Ended December 31,</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231F20"/>
              </w:rPr>
              <w:t>2020</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231F20"/>
              </w:rPr>
              <w:t>2019</w:t>
            </w:r>
          </w:p>
        </w:tc>
      </w:tr>
      <w:tr>
        <w:trPr>
          <w:trHeight w:val="193"/>
        </w:trPr>
        <w:tc>
          <w:tcPr>
            <w:tcW w:w="58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5"/>
        </w:trPr>
        <w:tc>
          <w:tcPr>
            <w:tcW w:w="5880" w:type="dxa"/>
            <w:vAlign w:val="bottom"/>
          </w:tcPr>
          <w:p>
            <w:pPr>
              <w:ind w:left="340"/>
              <w:spacing w:after="0"/>
              <w:rPr>
                <w:sz w:val="20"/>
                <w:szCs w:val="20"/>
                <w:color w:val="auto"/>
              </w:rPr>
            </w:pPr>
            <w:r>
              <w:rPr>
                <w:rFonts w:ascii="Arial" w:cs="Arial" w:eastAsia="Arial" w:hAnsi="Arial"/>
                <w:sz w:val="14"/>
                <w:szCs w:val="14"/>
                <w:b w:val="1"/>
                <w:bCs w:val="1"/>
                <w:color w:val="231F20"/>
              </w:rPr>
              <w:t>Cash flows from operating activities:</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6"/>
        </w:trPr>
        <w:tc>
          <w:tcPr>
            <w:tcW w:w="5880" w:type="dxa"/>
            <w:vAlign w:val="bottom"/>
            <w:shd w:val="clear" w:color="auto" w:fill="CCEEFF"/>
          </w:tcPr>
          <w:p>
            <w:pPr>
              <w:ind w:left="340"/>
              <w:spacing w:after="0"/>
              <w:rPr>
                <w:sz w:val="20"/>
                <w:szCs w:val="20"/>
                <w:color w:val="auto"/>
              </w:rPr>
            </w:pPr>
            <w:r>
              <w:rPr>
                <w:rFonts w:ascii="Arial" w:cs="Arial" w:eastAsia="Arial" w:hAnsi="Arial"/>
                <w:sz w:val="14"/>
                <w:szCs w:val="14"/>
                <w:color w:val="231F20"/>
              </w:rPr>
              <w:t>Net loss</w:t>
            </w: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(375,108)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(29,175)</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5880" w:type="dxa"/>
            <w:vAlign w:val="bottom"/>
          </w:tcPr>
          <w:p>
            <w:pPr>
              <w:ind w:left="340"/>
              <w:spacing w:after="0"/>
              <w:rPr>
                <w:sz w:val="20"/>
                <w:szCs w:val="20"/>
                <w:color w:val="auto"/>
              </w:rPr>
            </w:pPr>
            <w:r>
              <w:rPr>
                <w:rFonts w:ascii="Arial" w:cs="Arial" w:eastAsia="Arial" w:hAnsi="Arial"/>
                <w:sz w:val="14"/>
                <w:szCs w:val="14"/>
                <w:color w:val="231F20"/>
              </w:rPr>
              <w:t>Adjustments to reconcile net loss to net cash from operating</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Depreciation of property and equipment</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Provision for doubtful accounts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Amortization of right-of-use assets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Amortization of intangible assets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13,297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11,849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Amortization of other assets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Amortization of deferred financing costs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Stock-based compensation</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Amortization of unfavorable lease terms</w:t>
            </w:r>
          </w:p>
        </w:tc>
        <w:tc>
          <w:tcPr>
            <w:tcW w:w="6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Write-off of unfavorable lease</w:t>
            </w: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(Gain) Loss on sale and disposal of assets</w:t>
            </w:r>
          </w:p>
        </w:tc>
        <w:tc>
          <w:tcPr>
            <w:tcW w:w="6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In-kind interest</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Deferred income tax benefit</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(3,763)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(4,341)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Change in fair value of earn-out shares liability</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Change in fair value adjustment of warrant liabilities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277,315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Debt prepayment expense</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340"/>
              <w:spacing w:after="0"/>
              <w:rPr>
                <w:sz w:val="20"/>
                <w:szCs w:val="20"/>
                <w:color w:val="auto"/>
              </w:rPr>
            </w:pPr>
            <w:r>
              <w:rPr>
                <w:rFonts w:ascii="Arial" w:cs="Arial" w:eastAsia="Arial" w:hAnsi="Arial"/>
                <w:sz w:val="14"/>
                <w:szCs w:val="14"/>
                <w:color w:val="231F20"/>
              </w:rPr>
              <w:t>Changes in operating assets and liabilities:</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Accounts receivable</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Prepaid expense and other current assets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(5,434)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Income taxes receivable</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Inventory</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(9,443)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Other assets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Accounts payable</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4,889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Accrued payroll and other expenses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3"/>
        </w:trPr>
        <w:tc>
          <w:tcPr>
            <w:tcW w:w="5880" w:type="dxa"/>
            <w:vAlign w:val="bottom"/>
          </w:tcPr>
          <w:p>
            <w:pPr>
              <w:ind w:left="740"/>
              <w:spacing w:after="0"/>
              <w:rPr>
                <w:sz w:val="20"/>
                <w:szCs w:val="20"/>
                <w:color w:val="auto"/>
              </w:rPr>
            </w:pPr>
            <w:r>
              <w:rPr>
                <w:rFonts w:ascii="Arial" w:cs="Arial" w:eastAsia="Arial" w:hAnsi="Arial"/>
                <w:sz w:val="14"/>
                <w:szCs w:val="14"/>
                <w:color w:val="231F20"/>
              </w:rPr>
              <w:t>Other long-term liabilities</w:t>
            </w:r>
          </w:p>
        </w:tc>
        <w:tc>
          <w:tcPr>
            <w:tcW w:w="6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5880" w:type="dxa"/>
            <w:vAlign w:val="bottom"/>
            <w:shd w:val="clear" w:color="auto" w:fill="CCEEFF"/>
          </w:tcPr>
          <w:p>
            <w:pPr>
              <w:ind w:left="740"/>
              <w:spacing w:after="0"/>
              <w:rPr>
                <w:sz w:val="20"/>
                <w:szCs w:val="20"/>
                <w:color w:val="auto"/>
              </w:rPr>
            </w:pPr>
            <w:r>
              <w:rPr>
                <w:rFonts w:ascii="Arial" w:cs="Arial" w:eastAsia="Arial" w:hAnsi="Arial"/>
                <w:sz w:val="14"/>
                <w:szCs w:val="14"/>
                <w:color w:val="231F20"/>
              </w:rPr>
              <w:t>Lease liabilities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88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231F20"/>
              </w:rPr>
              <w:t>Income taxes payable</w:t>
            </w: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(2,964)</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82"/>
        </w:trPr>
        <w:tc>
          <w:tcPr>
            <w:tcW w:w="5880" w:type="dxa"/>
            <w:vAlign w:val="bottom"/>
            <w:shd w:val="clear" w:color="auto" w:fill="CCEEFF"/>
          </w:tcPr>
          <w:p>
            <w:pPr>
              <w:ind w:left="1140"/>
              <w:spacing w:after="0"/>
              <w:rPr>
                <w:sz w:val="20"/>
                <w:szCs w:val="20"/>
                <w:color w:val="auto"/>
              </w:rPr>
            </w:pPr>
            <w:r>
              <w:rPr>
                <w:rFonts w:ascii="Arial" w:cs="Arial" w:eastAsia="Arial" w:hAnsi="Arial"/>
                <w:sz w:val="14"/>
                <w:szCs w:val="14"/>
                <w:color w:val="231F20"/>
              </w:rPr>
              <w:t>Net cash (used in) provided by operating activities</w:t>
            </w:r>
          </w:p>
        </w:tc>
        <w:tc>
          <w:tcPr>
            <w:tcW w:w="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(28,361)</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(12,436)</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1,7</w:t>
            </w:r>
          </w:p>
        </w:tc>
      </w:tr>
      <w:tr>
        <w:trPr>
          <w:trHeight w:val="168"/>
        </w:trPr>
        <w:tc>
          <w:tcPr>
            <w:tcW w:w="5880" w:type="dxa"/>
            <w:vAlign w:val="bottom"/>
          </w:tcPr>
          <w:p>
            <w:pPr>
              <w:ind w:left="380"/>
              <w:spacing w:after="0"/>
              <w:rPr>
                <w:sz w:val="20"/>
                <w:szCs w:val="20"/>
                <w:color w:val="auto"/>
              </w:rPr>
            </w:pPr>
            <w:r>
              <w:rPr>
                <w:rFonts w:ascii="Arial" w:cs="Arial" w:eastAsia="Arial" w:hAnsi="Arial"/>
                <w:sz w:val="14"/>
                <w:szCs w:val="14"/>
                <w:b w:val="1"/>
                <w:bCs w:val="1"/>
                <w:color w:val="231F20"/>
              </w:rPr>
              <w:t>Cash flows used in investing activities:</w:t>
            </w: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
        </w:trPr>
        <w:tc>
          <w:tcPr>
            <w:tcW w:w="5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5"/>
        </w:trPr>
        <w:tc>
          <w:tcPr>
            <w:tcW w:w="588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Cash paid for business acquisitions, net of cash acquired</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5880" w:type="dxa"/>
            <w:vAlign w:val="bottom"/>
          </w:tcPr>
          <w:p>
            <w:pPr>
              <w:ind w:left="760"/>
              <w:spacing w:after="0"/>
              <w:rPr>
                <w:sz w:val="20"/>
                <w:szCs w:val="20"/>
                <w:color w:val="auto"/>
              </w:rPr>
            </w:pPr>
            <w:r>
              <w:rPr>
                <w:rFonts w:ascii="Arial" w:cs="Arial" w:eastAsia="Arial" w:hAnsi="Arial"/>
                <w:sz w:val="14"/>
                <w:szCs w:val="14"/>
                <w:color w:val="231F20"/>
              </w:rPr>
              <w:t>Repayment of notes receivables from shareholders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88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Capital expenditures for intangible assets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588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231F20"/>
              </w:rPr>
              <w:t>Capital expenditures for property and equipment</w:t>
            </w: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79"/>
        </w:trPr>
        <w:tc>
          <w:tcPr>
            <w:tcW w:w="5880" w:type="dxa"/>
            <w:vAlign w:val="bottom"/>
            <w:shd w:val="clear" w:color="auto" w:fill="CCEEFF"/>
          </w:tcPr>
          <w:p>
            <w:pPr>
              <w:ind w:left="1160"/>
              <w:spacing w:after="0"/>
              <w:rPr>
                <w:sz w:val="20"/>
                <w:szCs w:val="20"/>
                <w:color w:val="auto"/>
              </w:rPr>
            </w:pPr>
            <w:r>
              <w:rPr>
                <w:rFonts w:ascii="Arial" w:cs="Arial" w:eastAsia="Arial" w:hAnsi="Arial"/>
                <w:sz w:val="14"/>
                <w:szCs w:val="14"/>
                <w:color w:val="231F20"/>
              </w:rPr>
              <w:t>Net cash used in investing activities</w:t>
            </w:r>
          </w:p>
        </w:tc>
        <w:tc>
          <w:tcPr>
            <w:tcW w:w="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(37,731)</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bl>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CONSOLIDATED STATEMENTS OF CASH FLOWS (continued)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(in thousands)</w:t>
      </w:r>
    </w:p>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231F20"/>
                <w:w w:val="91"/>
              </w:rPr>
              <w:t>Year Ended December 31,</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231F20"/>
              </w:rPr>
              <w:t>2020</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231F20"/>
              </w:rPr>
              <w:t>2019</w:t>
            </w:r>
          </w:p>
        </w:tc>
      </w:tr>
      <w:tr>
        <w:trPr>
          <w:trHeight w:val="166"/>
        </w:trPr>
        <w:tc>
          <w:tcPr>
            <w:tcW w:w="590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231F20"/>
              </w:rPr>
              <w:t>Cash flows from financing activities:</w:t>
            </w:r>
          </w:p>
        </w:tc>
        <w:tc>
          <w:tcPr>
            <w:tcW w:w="6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3"/>
        </w:trPr>
        <w:tc>
          <w:tcPr>
            <w:tcW w:w="5900" w:type="dxa"/>
            <w:vAlign w:val="bottom"/>
          </w:tcPr>
          <w:p>
            <w:pPr>
              <w:ind w:left="760"/>
              <w:spacing w:after="0"/>
              <w:rPr>
                <w:sz w:val="20"/>
                <w:szCs w:val="20"/>
                <w:color w:val="auto"/>
              </w:rPr>
            </w:pPr>
            <w:r>
              <w:rPr>
                <w:rFonts w:ascii="Arial" w:cs="Arial" w:eastAsia="Arial" w:hAnsi="Arial"/>
                <w:sz w:val="14"/>
                <w:szCs w:val="14"/>
                <w:color w:val="231F20"/>
              </w:rPr>
              <w:t>Proceeds from issuance of convertible senior notes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90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Purchase of capped calls related to convertible senior notes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900" w:type="dxa"/>
            <w:vAlign w:val="bottom"/>
          </w:tcPr>
          <w:p>
            <w:pPr>
              <w:ind w:left="760"/>
              <w:spacing w:after="0"/>
              <w:rPr>
                <w:sz w:val="20"/>
                <w:szCs w:val="20"/>
                <w:color w:val="auto"/>
              </w:rPr>
            </w:pPr>
            <w:r>
              <w:rPr>
                <w:rFonts w:ascii="Arial" w:cs="Arial" w:eastAsia="Arial" w:hAnsi="Arial"/>
                <w:sz w:val="14"/>
                <w:szCs w:val="14"/>
                <w:color w:val="231F20"/>
              </w:rPr>
              <w:t>Repurchase of shares</w:t>
            </w:r>
          </w:p>
        </w:tc>
        <w:tc>
          <w:tcPr>
            <w:tcW w:w="6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90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Proceeds from exercise of warrants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188,378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900" w:type="dxa"/>
            <w:vAlign w:val="bottom"/>
          </w:tcPr>
          <w:p>
            <w:pPr>
              <w:ind w:left="760"/>
              <w:spacing w:after="0"/>
              <w:rPr>
                <w:sz w:val="20"/>
                <w:szCs w:val="20"/>
                <w:color w:val="auto"/>
              </w:rPr>
            </w:pPr>
            <w:r>
              <w:rPr>
                <w:rFonts w:ascii="Arial" w:cs="Arial" w:eastAsia="Arial" w:hAnsi="Arial"/>
                <w:sz w:val="14"/>
                <w:szCs w:val="14"/>
                <w:color w:val="231F20"/>
              </w:rPr>
              <w:t>Proceeds from revolving facility</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6,500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188"/>
        </w:trPr>
        <w:tc>
          <w:tcPr>
            <w:tcW w:w="590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Repayment of revolving facility</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83"/>
        </w:trPr>
        <w:tc>
          <w:tcPr>
            <w:tcW w:w="5900" w:type="dxa"/>
            <w:vAlign w:val="bottom"/>
          </w:tcPr>
          <w:p>
            <w:pPr>
              <w:ind w:left="760"/>
              <w:spacing w:after="0"/>
              <w:rPr>
                <w:sz w:val="20"/>
                <w:szCs w:val="20"/>
                <w:color w:val="auto"/>
              </w:rPr>
            </w:pPr>
            <w:r>
              <w:rPr>
                <w:rFonts w:ascii="Arial" w:cs="Arial" w:eastAsia="Arial" w:hAnsi="Arial"/>
                <w:sz w:val="14"/>
                <w:szCs w:val="14"/>
                <w:color w:val="231F20"/>
              </w:rPr>
              <w:t>Proceeds from term loan</w:t>
            </w:r>
          </w:p>
        </w:tc>
        <w:tc>
          <w:tcPr>
            <w:tcW w:w="6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8"/>
        </w:trPr>
        <w:tc>
          <w:tcPr>
            <w:tcW w:w="590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Payment of debt issuance costs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5900" w:type="dxa"/>
            <w:vAlign w:val="bottom"/>
          </w:tcPr>
          <w:p>
            <w:pPr>
              <w:ind w:left="760"/>
              <w:spacing w:after="0"/>
              <w:rPr>
                <w:sz w:val="20"/>
                <w:szCs w:val="20"/>
                <w:color w:val="auto"/>
              </w:rPr>
            </w:pPr>
            <w:r>
              <w:rPr>
                <w:rFonts w:ascii="Arial" w:cs="Arial" w:eastAsia="Arial" w:hAnsi="Arial"/>
                <w:sz w:val="14"/>
                <w:szCs w:val="14"/>
                <w:color w:val="231F20"/>
              </w:rPr>
              <w:t>Repayment of term loan</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(225,486)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90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Deferred payment for acquisition</w:t>
            </w: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900" w:type="dxa"/>
            <w:vAlign w:val="bottom"/>
          </w:tcPr>
          <w:p>
            <w:pPr>
              <w:ind w:left="760"/>
              <w:spacing w:after="0"/>
              <w:rPr>
                <w:sz w:val="20"/>
                <w:szCs w:val="20"/>
                <w:color w:val="auto"/>
              </w:rPr>
            </w:pPr>
            <w:r>
              <w:rPr>
                <w:rFonts w:ascii="Arial" w:cs="Arial" w:eastAsia="Arial" w:hAnsi="Arial"/>
                <w:sz w:val="14"/>
                <w:szCs w:val="14"/>
                <w:color w:val="231F20"/>
              </w:rPr>
              <w:t>Proceeds from Business Combination, net of transaction costs (See Note 3)</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357,634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8"/>
        </w:trPr>
        <w:tc>
          <w:tcPr>
            <w:tcW w:w="5900" w:type="dxa"/>
            <w:vAlign w:val="bottom"/>
            <w:shd w:val="clear" w:color="auto" w:fill="CCEEFF"/>
          </w:tcPr>
          <w:p>
            <w:pPr>
              <w:ind w:left="760"/>
              <w:spacing w:after="0"/>
              <w:rPr>
                <w:sz w:val="20"/>
                <w:szCs w:val="20"/>
                <w:color w:val="auto"/>
              </w:rPr>
            </w:pPr>
            <w:r>
              <w:rPr>
                <w:rFonts w:ascii="Arial" w:cs="Arial" w:eastAsia="Arial" w:hAnsi="Arial"/>
                <w:sz w:val="14"/>
                <w:szCs w:val="14"/>
                <w:color w:val="231F20"/>
              </w:rPr>
              <w:t>Payments for transaction costs</w:t>
            </w: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6"/>
        </w:trPr>
        <w:tc>
          <w:tcPr>
            <w:tcW w:w="5900" w:type="dxa"/>
            <w:vAlign w:val="bottom"/>
            <w:tcBorders>
              <w:bottom w:val="single" w:sz="8" w:color="CCEEFF"/>
            </w:tcBorders>
          </w:tcPr>
          <w:p>
            <w:pPr>
              <w:ind w:left="1160"/>
              <w:spacing w:after="0"/>
              <w:rPr>
                <w:sz w:val="20"/>
                <w:szCs w:val="20"/>
                <w:color w:val="auto"/>
              </w:rPr>
            </w:pPr>
            <w:r>
              <w:rPr>
                <w:rFonts w:ascii="Arial" w:cs="Arial" w:eastAsia="Arial" w:hAnsi="Arial"/>
                <w:sz w:val="14"/>
                <w:szCs w:val="14"/>
                <w:color w:val="231F20"/>
              </w:rPr>
              <w:t>Net cash provided by financing activities</w:t>
            </w:r>
          </w:p>
        </w:tc>
        <w:tc>
          <w:tcPr>
            <w:tcW w:w="6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959,035</w:t>
            </w:r>
          </w:p>
        </w:tc>
        <w:tc>
          <w:tcPr>
            <w:tcW w:w="10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18,273</w:t>
            </w:r>
          </w:p>
        </w:tc>
        <w:tc>
          <w:tcPr>
            <w:tcW w:w="12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182"/>
        </w:trPr>
        <w:tc>
          <w:tcPr>
            <w:tcW w:w="5900" w:type="dxa"/>
            <w:vAlign w:val="bottom"/>
            <w:shd w:val="clear" w:color="auto" w:fill="CCEEFF"/>
          </w:tcPr>
          <w:p>
            <w:pPr>
              <w:ind w:left="380"/>
              <w:spacing w:after="0"/>
              <w:rPr>
                <w:sz w:val="20"/>
                <w:szCs w:val="20"/>
                <w:color w:val="auto"/>
              </w:rPr>
            </w:pPr>
            <w:r>
              <w:rPr>
                <w:rFonts w:ascii="Arial" w:cs="Arial" w:eastAsia="Arial" w:hAnsi="Arial"/>
                <w:sz w:val="14"/>
                <w:szCs w:val="14"/>
                <w:color w:val="231F20"/>
              </w:rPr>
              <w:t>Net increase in cash and cash equivalents</w:t>
            </w: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892,943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3"/>
        </w:trPr>
        <w:tc>
          <w:tcPr>
            <w:tcW w:w="5900" w:type="dxa"/>
            <w:vAlign w:val="bottom"/>
          </w:tcPr>
          <w:p>
            <w:pPr>
              <w:ind w:left="380"/>
              <w:spacing w:after="0"/>
              <w:rPr>
                <w:sz w:val="20"/>
                <w:szCs w:val="20"/>
                <w:color w:val="auto"/>
              </w:rPr>
            </w:pPr>
            <w:r>
              <w:rPr>
                <w:rFonts w:ascii="Arial" w:cs="Arial" w:eastAsia="Arial" w:hAnsi="Arial"/>
                <w:sz w:val="14"/>
                <w:szCs w:val="14"/>
                <w:color w:val="231F20"/>
              </w:rPr>
              <w:t>Effect of foreign currency translation on cash</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900" w:type="dxa"/>
            <w:vAlign w:val="bottom"/>
            <w:shd w:val="clear" w:color="auto" w:fill="CCEEFF"/>
          </w:tcPr>
          <w:p>
            <w:pPr>
              <w:ind w:left="380"/>
              <w:spacing w:after="0"/>
              <w:rPr>
                <w:sz w:val="20"/>
                <w:szCs w:val="20"/>
                <w:color w:val="auto"/>
              </w:rPr>
            </w:pPr>
            <w:r>
              <w:rPr>
                <w:rFonts w:ascii="Arial" w:cs="Arial" w:eastAsia="Arial" w:hAnsi="Arial"/>
                <w:sz w:val="14"/>
                <w:szCs w:val="14"/>
                <w:color w:val="231F20"/>
              </w:rPr>
              <w:t>Cash and cash equivalents, beginning of period</w:t>
            </w:r>
          </w:p>
        </w:tc>
        <w:tc>
          <w:tcPr>
            <w:tcW w:w="6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9,486</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7,307</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2"/>
        </w:trPr>
        <w:tc>
          <w:tcPr>
            <w:tcW w:w="5900" w:type="dxa"/>
            <w:vAlign w:val="bottom"/>
          </w:tcPr>
          <w:p>
            <w:pPr>
              <w:ind w:left="380"/>
              <w:spacing w:after="0"/>
              <w:rPr>
                <w:sz w:val="20"/>
                <w:szCs w:val="20"/>
                <w:color w:val="auto"/>
              </w:rPr>
            </w:pPr>
            <w:r>
              <w:rPr>
                <w:rFonts w:ascii="Arial" w:cs="Arial" w:eastAsia="Arial" w:hAnsi="Arial"/>
                <w:sz w:val="14"/>
                <w:szCs w:val="14"/>
                <w:color w:val="231F20"/>
              </w:rPr>
              <w:t>Cash and cash equivalents, end of period</w:t>
            </w: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901,886</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9,486</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90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b w:val="1"/>
                <w:bCs w:val="1"/>
                <w:color w:val="231F20"/>
                <w:w w:val="92"/>
              </w:rPr>
              <w:t>Supplemental disclosures of cash flow information and non-cash investing and financing</w:t>
            </w:r>
          </w:p>
        </w:tc>
        <w:tc>
          <w:tcPr>
            <w:tcW w:w="6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95"/>
        </w:trPr>
        <w:tc>
          <w:tcPr>
            <w:tcW w:w="59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231F20"/>
              </w:rPr>
              <w:t>activities: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900" w:type="dxa"/>
            <w:vAlign w:val="bottom"/>
          </w:tcPr>
          <w:p>
            <w:pPr>
              <w:ind w:left="800"/>
              <w:spacing w:after="0"/>
              <w:rPr>
                <w:sz w:val="20"/>
                <w:szCs w:val="20"/>
                <w:color w:val="auto"/>
              </w:rPr>
            </w:pPr>
            <w:r>
              <w:rPr>
                <w:rFonts w:ascii="Arial" w:cs="Arial" w:eastAsia="Arial" w:hAnsi="Arial"/>
                <w:sz w:val="14"/>
                <w:szCs w:val="14"/>
                <w:color w:val="231F20"/>
              </w:rPr>
              <w:t>Cash paid for interest</w:t>
            </w:r>
          </w:p>
        </w:tc>
        <w:tc>
          <w:tcPr>
            <w:tcW w:w="6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10,249</w:t>
            </w:r>
          </w:p>
        </w:tc>
        <w:tc>
          <w:tcPr>
            <w:tcW w:w="10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13,536</w:t>
            </w:r>
          </w:p>
        </w:tc>
        <w:tc>
          <w:tcPr>
            <w:tcW w:w="12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88"/>
        </w:trPr>
        <w:tc>
          <w:tcPr>
            <w:tcW w:w="5900" w:type="dxa"/>
            <w:vAlign w:val="bottom"/>
            <w:shd w:val="clear" w:color="auto" w:fill="CCEEFF"/>
          </w:tcPr>
          <w:p>
            <w:pPr>
              <w:ind w:left="800"/>
              <w:spacing w:after="0"/>
              <w:rPr>
                <w:sz w:val="20"/>
                <w:szCs w:val="20"/>
                <w:color w:val="auto"/>
              </w:rPr>
            </w:pPr>
            <w:r>
              <w:rPr>
                <w:rFonts w:ascii="Arial" w:cs="Arial" w:eastAsia="Arial" w:hAnsi="Arial"/>
                <w:sz w:val="14"/>
                <w:szCs w:val="14"/>
                <w:color w:val="231F20"/>
              </w:rPr>
              <w:t>Cash paid for income taxes</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5900" w:type="dxa"/>
            <w:vAlign w:val="bottom"/>
          </w:tcPr>
          <w:p>
            <w:pPr>
              <w:ind w:left="800"/>
              <w:spacing w:after="0"/>
              <w:rPr>
                <w:sz w:val="20"/>
                <w:szCs w:val="20"/>
                <w:color w:val="auto"/>
              </w:rPr>
            </w:pPr>
            <w:r>
              <w:rPr>
                <w:rFonts w:ascii="Arial" w:cs="Arial" w:eastAsia="Arial" w:hAnsi="Arial"/>
                <w:sz w:val="14"/>
                <w:szCs w:val="14"/>
                <w:color w:val="231F20"/>
              </w:rPr>
              <w:t>Issuance of earn-out shares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136,575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900" w:type="dxa"/>
            <w:vAlign w:val="bottom"/>
            <w:shd w:val="clear" w:color="auto" w:fill="CCEEFF"/>
          </w:tcPr>
          <w:p>
            <w:pPr>
              <w:ind w:left="800"/>
              <w:spacing w:after="0"/>
              <w:rPr>
                <w:sz w:val="20"/>
                <w:szCs w:val="20"/>
                <w:color w:val="auto"/>
              </w:rPr>
            </w:pPr>
            <w:r>
              <w:rPr>
                <w:rFonts w:ascii="Arial" w:cs="Arial" w:eastAsia="Arial" w:hAnsi="Arial"/>
                <w:sz w:val="14"/>
                <w:szCs w:val="14"/>
                <w:color w:val="231F20"/>
              </w:rPr>
              <w:t>Trade receivables due from seller</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900" w:type="dxa"/>
            <w:vAlign w:val="bottom"/>
          </w:tcPr>
          <w:p>
            <w:pPr>
              <w:ind w:left="800"/>
              <w:spacing w:after="0"/>
              <w:rPr>
                <w:sz w:val="20"/>
                <w:szCs w:val="20"/>
                <w:color w:val="auto"/>
              </w:rPr>
            </w:pPr>
            <w:r>
              <w:rPr>
                <w:rFonts w:ascii="Arial" w:cs="Arial" w:eastAsia="Arial" w:hAnsi="Arial"/>
                <w:sz w:val="14"/>
                <w:szCs w:val="14"/>
                <w:color w:val="231F20"/>
              </w:rPr>
              <w:t>Notes payable to seller</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2,153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900" w:type="dxa"/>
            <w:vAlign w:val="bottom"/>
            <w:shd w:val="clear" w:color="auto" w:fill="CCEEFF"/>
          </w:tcPr>
          <w:p>
            <w:pPr>
              <w:ind w:left="800"/>
              <w:spacing w:after="0"/>
              <w:rPr>
                <w:sz w:val="20"/>
                <w:szCs w:val="20"/>
                <w:color w:val="auto"/>
              </w:rPr>
            </w:pPr>
            <w:r>
              <w:rPr>
                <w:rFonts w:ascii="Arial" w:cs="Arial" w:eastAsia="Arial" w:hAnsi="Arial"/>
                <w:sz w:val="14"/>
                <w:szCs w:val="14"/>
                <w:color w:val="231F20"/>
              </w:rPr>
              <w:t>Contingent consideration</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5900" w:type="dxa"/>
            <w:vAlign w:val="bottom"/>
          </w:tcPr>
          <w:p>
            <w:pPr>
              <w:ind w:left="800"/>
              <w:spacing w:after="0"/>
              <w:rPr>
                <w:sz w:val="20"/>
                <w:szCs w:val="20"/>
                <w:color w:val="auto"/>
              </w:rPr>
            </w:pPr>
            <w:r>
              <w:rPr>
                <w:rFonts w:ascii="Arial" w:cs="Arial" w:eastAsia="Arial" w:hAnsi="Arial"/>
                <w:sz w:val="14"/>
                <w:szCs w:val="14"/>
                <w:color w:val="231F20"/>
              </w:rPr>
              <w:t>Issuance of Class A Common Stock in connection with business acquisitions</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9,341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5900" w:type="dxa"/>
            <w:vAlign w:val="bottom"/>
            <w:shd w:val="clear" w:color="auto" w:fill="CCEEFF"/>
          </w:tcPr>
          <w:p>
            <w:pPr>
              <w:ind w:left="800"/>
              <w:spacing w:after="0"/>
              <w:rPr>
                <w:sz w:val="20"/>
                <w:szCs w:val="20"/>
                <w:color w:val="auto"/>
              </w:rPr>
            </w:pPr>
            <w:r>
              <w:rPr>
                <w:rFonts w:ascii="Arial" w:cs="Arial" w:eastAsia="Arial" w:hAnsi="Arial"/>
                <w:sz w:val="14"/>
                <w:szCs w:val="14"/>
                <w:color w:val="231F20"/>
              </w:rPr>
              <w:t>Capital expenditures included in accounts payable</w:t>
            </w: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5900" w:type="dxa"/>
            <w:vAlign w:val="bottom"/>
          </w:tcPr>
          <w:p>
            <w:pPr>
              <w:ind w:left="800"/>
              <w:spacing w:after="0"/>
              <w:rPr>
                <w:sz w:val="20"/>
                <w:szCs w:val="20"/>
                <w:color w:val="auto"/>
              </w:rPr>
            </w:pPr>
            <w:r>
              <w:rPr>
                <w:rFonts w:ascii="Arial" w:cs="Arial" w:eastAsia="Arial" w:hAnsi="Arial"/>
                <w:sz w:val="14"/>
                <w:szCs w:val="14"/>
                <w:color w:val="231F20"/>
              </w:rPr>
              <w:t>Deferred payment due to seller related business acquisition</w:t>
            </w:r>
          </w:p>
        </w:tc>
        <w:tc>
          <w:tcPr>
            <w:tcW w:w="6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8"/>
        </w:trPr>
        <w:tc>
          <w:tcPr>
            <w:tcW w:w="5900" w:type="dxa"/>
            <w:vAlign w:val="bottom"/>
            <w:shd w:val="clear" w:color="auto" w:fill="CCEEFF"/>
          </w:tcPr>
          <w:p>
            <w:pPr>
              <w:ind w:left="800"/>
              <w:spacing w:after="0"/>
              <w:rPr>
                <w:sz w:val="20"/>
                <w:szCs w:val="20"/>
                <w:color w:val="auto"/>
              </w:rPr>
            </w:pPr>
            <w:r>
              <w:rPr>
                <w:rFonts w:ascii="Arial" w:cs="Arial" w:eastAsia="Arial" w:hAnsi="Arial"/>
                <w:sz w:val="14"/>
                <w:szCs w:val="14"/>
                <w:color w:val="231F20"/>
              </w:rPr>
              <w:t>Deferred unpaid offering costs</w:t>
            </w:r>
          </w:p>
        </w:tc>
        <w:tc>
          <w:tcPr>
            <w:tcW w:w="6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0"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The Beauty Health Company, formerly known as Vesper Healthcare Acquisition Corp. (the “Company” or “BeautyHealth”), was incorporated in Delaware on July 8, 2020. The Company was originally formed for the purpose of entering into a merger, capital stock exchange, asset acquisition, stock purchase, reorganization or similar business combination with one or more businesses.</w:t>
      </w:r>
    </w:p>
    <w:p>
      <w:pPr>
        <w:spacing w:after="0" w:line="215"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On May 4, 2021 (the “Closing Date”), the Company consummated the previously announced business combination pursuant to that certain Agreement and Plan of Merger, dated December 8, 2020 (the “Merger Agreement”), by and among Vesper Healthcare Acquisition Corp. (“Vesper”),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19"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connection with the Closing, the Company changed its name from “Vesper Healthcare Acquisition Corp.” to “The Beauty Health Company.” Following the Closing, on May 6, 2021, the Company’s Class A Common Stock and publicly traded warrants were listed on the Nasdaq Capital Market (“Nasdaq”) under the symbols, “SKIN” and “SKINW”, respectively. The transactions set forth in the Merger Agreement constitute a “Business Combination” as contemplated by Vesper’s Second Amended and Restated Certificate of Incorporation.</w:t>
      </w:r>
    </w:p>
    <w:p>
      <w:pPr>
        <w:spacing w:after="0" w:line="21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Unless the context otherwise requires, in this Annual Report on Form 10-K, the “Company” refers to Vesper Healthcare Acquisition Corp. prior to the closing of the Business Combination and to the combined company and its subsidiaries following the Closing and “HydraFacial” refers to the business of LCP Edge Intermediate, Inc. and its subsidiaries prior to the Closing. References to “Vesper” refer to Vesper Healthcare Acquisition Corp. prior to the consummation of the Business Combination.</w:t>
      </w:r>
    </w:p>
    <w:p>
      <w:pPr>
        <w:spacing w:after="0" w:line="21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Company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uses a unique delivery system to cleanse, extract, and hydrate with their patented hydradermabrasion technology and serums that are made with nourishing ingredients.</w:t>
      </w:r>
    </w:p>
    <w:p>
      <w:pPr>
        <w:spacing w:after="0" w:line="217"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The COVID-19 pandemic has had, and may continue to have adverse impacts on our business. As government authorities around the world continue to implement significant measures intended to control the spread of the virus and institute restrictions on commercial operations, while simultaneously implementing policies designed to reopen certain markets, we are working to ensure our compliance and maintain business continuity for essential operations.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w:t>
      </w:r>
    </w:p>
    <w:p>
      <w:pPr>
        <w:spacing w:after="0" w:line="222"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During the year ended December 31, 2020, we took and may continue to take, actions to mitigate the impact of the COVID-19 pandemic on our cash flow and results of operations and financial condition. Starting in April 2020, after the government mandated shutdowns, we experienced a significant decline in sales during the second quarter of 2020, and took certain corrective measures. Subsequent to the downturn experienced during the second quarter of 2020, our revenues increased, and we returned to having positive Adjusted EBITDA in the latter half of 2020. This trend continued into and</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throughout 2021. We successfully managed the variable portion of our cost structure to better align with revenue, which was significantly reduced during the downturn.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4" w:lineRule="exact"/>
        <w:rPr>
          <w:sz w:val="20"/>
          <w:szCs w:val="20"/>
          <w:color w:val="auto"/>
        </w:rPr>
      </w:pPr>
    </w:p>
    <w:p>
      <w:pPr>
        <w:ind w:right="380" w:firstLine="318"/>
        <w:spacing w:after="0" w:line="277"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of America (“GAAP”). Under this method of accounting, the Company is treated as the “acquired” company for financial reporting purposes and HydraFacial is treated as the accounting acquirer. This determination was primarily based on the following:</w:t>
      </w:r>
    </w:p>
    <w:p>
      <w:pPr>
        <w:spacing w:after="0" w:line="184" w:lineRule="exact"/>
        <w:rPr>
          <w:sz w:val="20"/>
          <w:szCs w:val="20"/>
          <w:color w:val="auto"/>
        </w:rPr>
      </w:pPr>
    </w:p>
    <w:p>
      <w:pPr>
        <w:ind w:left="640" w:right="160" w:hanging="316"/>
        <w:spacing w:after="0" w:line="230"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HydraFacial Stockholders as of immediately prior to the effective time of the First Merger considered in the aggregate have the largest minority interest of the voting power in the combined entity after taking into account actual redemptions;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operations of HydraFacial prior to the acquisition comprise the only ongoing operations of the post-combination company;</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management of HydraFacial comprises the senior management of the post-combination company;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size and valuation of HydraFacial compared to the Company; and</w:t>
      </w:r>
    </w:p>
    <w:p>
      <w:pPr>
        <w:spacing w:after="0" w:line="5"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that certain Investor Rights Agreement, dated as of May 4, 2021, by and between the Company and HydraFacial, HydraFacial was given the right to designate certain initial members of the board of directors of the Company immediately after giving effect to the transactions contemplated by the Merger Agreement.</w:t>
      </w:r>
    </w:p>
    <w:p>
      <w:pPr>
        <w:spacing w:after="0" w:line="221"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Consideration was also given to the fact that the Company paid a purchase price consisting of a combination of cash and equity consideration and its shareholders may have a significant amount of voting power, should the Company’s public stockholders be considered in the aggregate. However, based on the aforementioned factors of management, board representation, largest minority shareholder as noted above, and the continuation of the HydraFacial business as well as its size, it was determined that accounting for the Business Combination as a reverse recapitalization was appropriate.</w:t>
      </w:r>
    </w:p>
    <w:p>
      <w:pPr>
        <w:spacing w:after="0" w:line="172" w:lineRule="exact"/>
        <w:rPr>
          <w:sz w:val="20"/>
          <w:szCs w:val="20"/>
          <w:color w:val="auto"/>
        </w:rPr>
      </w:pPr>
    </w:p>
    <w:p>
      <w:pPr>
        <w:ind w:right="200" w:firstLine="318"/>
        <w:spacing w:after="0" w:line="277" w:lineRule="auto"/>
        <w:rPr>
          <w:sz w:val="20"/>
          <w:szCs w:val="20"/>
          <w:color w:val="auto"/>
        </w:rPr>
      </w:pPr>
      <w:r>
        <w:rPr>
          <w:rFonts w:ascii="Arial" w:cs="Arial" w:eastAsia="Arial" w:hAnsi="Arial"/>
          <w:sz w:val="17"/>
          <w:szCs w:val="17"/>
          <w:color w:val="auto"/>
        </w:rPr>
        <w:t>Accordingly, for accounting purposes, the financial statements of the Company represent a continuation of the financial statements of HydraFacial with the acquisition being treated as the equivalent of HydraFacial issuing stock for the net assets of the Company, accompanied by a recapitalization. The net assets of the Company are stated at historical cost, with no goodwill or other intangible assets recorded.</w:t>
      </w:r>
    </w:p>
    <w:p>
      <w:pPr>
        <w:spacing w:after="0" w:line="198"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In connection with the Business Combination each share of HydraFacial common stock outstanding immediately prior to the Business Combination converted into the right to receive 653.109 shares (the “Exchange Ratio”) of Class A Common Stock of the Company. The recapitalization of the number of shares of Common Stock attributable to HydraFacial is reflected retroactively to the earliest period presented based upon the Exchange Ratio and is utilized for calculating earnings per share in all prior periods presented.</w:t>
      </w:r>
    </w:p>
    <w:p>
      <w:pPr>
        <w:spacing w:after="0" w:line="21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Consolidated Financial Statements in this Annual Report on Form 10-K are presented in accordance with GAAP and include the Company’s consolidated domestic and international subsidiaries. Intercompany accounts and transactions have been eliminated. The Consolidated Financial Statements in this Annual Report on Form 10-K and the accompanying footnotes should be read in conjunction with the audited consolidated financial statements of BeautyHealth and HydraFacial as of and for the year ended December 31, 2020 presented in the Company’s Registration Statement on Form S-1 filed with the Securities and Exchange Commission (“SEC”) on July 19, 2021.</w:t>
      </w:r>
    </w:p>
    <w:p>
      <w:pPr>
        <w:spacing w:after="0" w:line="220"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Except as described elsewhere in this Note 2, there have been no material changes to the Company’s significant accounting policies as described in HydraFacial’s Consolidated Financial Statements as of and for the year ended December 31, 2021.</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Use of estimates and assumptions in preparing consolidated financial statements</w:t>
      </w:r>
    </w:p>
    <w:p>
      <w:pPr>
        <w:spacing w:after="0" w:line="244"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doubtful accounts, the realizability of inventory, fair value measurements including common stock, warrant liabilities and earn-out shares liability valuations, useful lives of property and equipment, goodwill and finite-lived intangible</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current estimates and those differences may be material.</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4" w:lineRule="exact"/>
        <w:rPr>
          <w:sz w:val="20"/>
          <w:szCs w:val="20"/>
          <w:color w:val="auto"/>
        </w:rPr>
      </w:pPr>
    </w:p>
    <w:p>
      <w:pPr>
        <w:ind w:right="440" w:firstLine="318"/>
        <w:spacing w:after="0" w:line="330" w:lineRule="auto"/>
        <w:rPr>
          <w:sz w:val="20"/>
          <w:szCs w:val="20"/>
          <w:color w:val="auto"/>
        </w:rPr>
      </w:pPr>
      <w:r>
        <w:rPr>
          <w:rFonts w:ascii="Arial" w:cs="Arial" w:eastAsia="Arial" w:hAnsi="Arial"/>
          <w:sz w:val="15"/>
          <w:szCs w:val="15"/>
          <w:color w:val="auto"/>
        </w:rPr>
        <w:t>All highly liquid investments, including credit card receivables due from banks, with original maturities of 90 days or less at date of purchase, are reported at fair value and are considered to be cash equivalents. The balances of cash at financial institutions may exceed the federally insured limit. The Company has not experienced any losses in such accounts and believes its cash and cash equivalents are not subject to any significant credit risk.</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4"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Accounts receivable primarily arise out of product purchases by customers from various distribution channels. Typical payment terms provide that customers pay within 30 to 120 days of the invoice. The allowance for doubtful accounts represents management's best estimate of probable credit losses in accounts receivable.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 Receivables are written off against the allowance when management believes that the amount receivable will not be recovered.</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Inventories</w:t>
      </w:r>
    </w:p>
    <w:p>
      <w:pPr>
        <w:spacing w:after="0" w:line="244"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Inventories are stated at the lower of cost (determined by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 Cost is determined using weighted-average costs, and includes all costs incurred to deliver inventory to the Company’s distribution centers including freight, non-refundable taxes, duty, and other landing costs.</w:t>
      </w:r>
    </w:p>
    <w:p>
      <w:pPr>
        <w:spacing w:after="0" w:line="172"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The Company periodically reviews its inventories and makes a provision as necessary to appropriately value goods that are obsolete, have quality issues, or are damaged. The amount of the provision is equal to the difference between the cost of the inventory and its net realizable value based upon assumptions about product quality, damages, future demand, selling prices, and market conditions. If changes in market conditions result in reductions in the estimated net realizable value of its inventory below its previous estimate, the Company would increase its reserve in the period in which it made such a determination.</w:t>
      </w:r>
    </w:p>
    <w:p>
      <w:pPr>
        <w:spacing w:after="0" w:line="172"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In addition, the Company provides for inventory shrinkage based on historical trends from actual physical inventory counts. Inventory shrinkage estimates are made to reduce the inventory value for lost or stolen items. The Company performs physical inventory counts and cycle counts throughout the year and adjusts the shrink reserve accordingly.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purchase price of an acquisition is measured as the aggregate of the fair value of the consideration transferred including the acquisition-date fair value of the Company’s previously held equity interests. The purchase price is allocated to the fair values of the tangible and intangible assets acquired and liabilities assumed, with any excess recorded as goodwill. These fair value determinations require judgment and may involve the use of significant estimates and assumptions. The purchase price allocation may be provisional during a measurement period of up to one year to provide reasonable time to obtain the information necessary to identify and measure the assets acquired and liabilities assumed. Any such measurement period adjustments are recognized in the period in which the adjustment amount is determined. Transaction costs associated with the acquisition are expensed as incurred.</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The Company has one reporting unit and management evaluates the carrying value of the Company’s goodwill annually at the end of its fiscal year or whenever events or changes in circumstances indicate that an impairment may exist.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When testing goodwill for impairment, management has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the qualitative assessment, management considers the extent to which unfavorable events or circumstances identified, such as changes in economic conditions, industry and market conditions or company specific events, could affect the comparison of the reporting unit’s fair value with its carrying amount. If management concludes that it is more likely than not that the fair value of a reporting unit is less than its carrying amount, management is required to perform a quantitative impairment test.</w:t>
      </w:r>
    </w:p>
    <w:p>
      <w:pPr>
        <w:spacing w:after="0" w:line="206"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Quantitative impairment testing for goodwill is based upon the fair value of a reporting unit as compared to its carrying value. Under a quantitative impairment test, management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217"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Testing goodwill for impairment requires management to estimate fair values of reporting units using significant estimates and assumptions. The assumptions made will impact the outcome and ultimate results of the testing. Management will use industry accepted valuation models and set criteria that are reviewed and approved by various levels of management and, in certain instances, we will engage independent third-party valuation specialists for advice.</w:t>
      </w:r>
    </w:p>
    <w:p>
      <w:pPr>
        <w:spacing w:after="0" w:line="163"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The key estimates and factors used in the valuation models would include revenue growth rates and profit margins based on our internal forecasts, our specific weighted-average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financial statements.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4"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Property and equipment is stated at cost less accumulated depreciation. Repair and maintenance costs are expensed as incurred. Depreciation commences when an asset is ready for its intended use. Depreciation is recorded on a straight-line basis over each asset’s estimated useful life. Leasehold improvements are depreciated on a straight-line basis over the lesser of the length of the lease and the estimated useful life of the improvement.</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4" w:lineRule="exact"/>
        <w:rPr>
          <w:sz w:val="20"/>
          <w:szCs w:val="20"/>
          <w:color w:val="auto"/>
        </w:rPr>
      </w:pPr>
    </w:p>
    <w:p>
      <w:pPr>
        <w:ind w:right="300" w:firstLine="318"/>
        <w:spacing w:after="0" w:line="268" w:lineRule="auto"/>
        <w:rPr>
          <w:sz w:val="20"/>
          <w:szCs w:val="20"/>
          <w:color w:val="auto"/>
        </w:rPr>
      </w:pPr>
      <w:r>
        <w:rPr>
          <w:rFonts w:ascii="Arial" w:cs="Arial" w:eastAsia="Arial" w:hAnsi="Arial"/>
          <w:sz w:val="17"/>
          <w:szCs w:val="17"/>
          <w:color w:val="auto"/>
        </w:rPr>
        <w:t>Long-lived assets, including intangible assets with finite lives, held for use are evaluated for impairment when the occurrence of events or a change in circumstances indicates that the carrying value of the assets may not be recoverable as measured by comparing their carrying value to the estimated undiscounted future cash flows generated by their use and eventual disposition. Impaired assets are recorded at fair value, determined principally by discounting the future cash flows expected from their use and eventual disposition. Reductions in asset values resulting from impairment valuations are recognized in income in the period that the impairment is determined.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Leased Property and Equipment</w:t>
      </w:r>
    </w:p>
    <w:p>
      <w:pPr>
        <w:spacing w:after="0" w:line="244" w:lineRule="exact"/>
        <w:rPr>
          <w:sz w:val="20"/>
          <w:szCs w:val="20"/>
          <w:color w:val="auto"/>
        </w:rPr>
      </w:pPr>
    </w:p>
    <w:p>
      <w:pPr>
        <w:ind w:right="160" w:firstLine="318"/>
        <w:spacing w:after="0" w:line="215" w:lineRule="exact"/>
        <w:rPr>
          <w:sz w:val="20"/>
          <w:szCs w:val="20"/>
          <w:color w:val="auto"/>
        </w:rPr>
      </w:pPr>
      <w:r>
        <w:rPr>
          <w:rFonts w:ascii="Arial" w:cs="Arial" w:eastAsia="Arial" w:hAnsi="Arial"/>
          <w:sz w:val="17"/>
          <w:szCs w:val="17"/>
          <w:color w:val="auto"/>
        </w:rPr>
        <w:t>Prior to the adoption of ASU No. 2016-02, Leases (“ASC 842”), the Company recognized rent expense for operating leases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(including the effect of reduced or free rent and rent escalations) over the lease term. The difference between the cash paid to the landlord and the amount recognized as rent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was recognized as an adjustment to deferred rent in the consolidated balance sheets. Cash reimbursements received from landlords for leasehold improvements and other cash payments received from landlords as lease incentives were recorded as an asset and depreciated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lease term as an offset to rent expense.</w:t>
      </w:r>
    </w:p>
    <w:p>
      <w:pPr>
        <w:spacing w:after="0" w:line="227"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Until December 31, 2021, the Company was an emerging growth company as defined by the JOBS Act. As the Company no longer qualifies as an emerging growth company this ASU instead became effective for the Company in this Annual Report on Form 10-K for the fiscal year ended December 31, 2021, with an effective date of January 1, 2021. Subsequent to the adoption of ASC 842 on January 1, 2021, the first day of fiscal 2021, operating and finance lease liabilities are recognized at the lease commencement date based on the present value of the fixed lease payments using the Company’s incremental borrowing rates for its population of leases. The Company uses an incremental borrowing rate to determine the present value of lease payments as the rate implicit in the lease is generally not readily determinable. The Company’s incremental borrowing rate is the rate of interest that it would have to pay to borrow an amount equal to the lease payments, on a collateralized basis and in a similar economic environment over a similar term.</w:t>
      </w:r>
    </w:p>
    <w:p>
      <w:pPr>
        <w:spacing w:after="0" w:line="183"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The Company determines if an arrangement is or contains a lease at inception. This determination depends on whether the arrangement conveys the right to control the use of an explicitly or implicitly identified asset for a period of time in exchange for consideration. Control of an underlying asset is conveyed if the Company obtains the right to direct the use of and obtains substantially all of the economic benefits from using the underlying asset.</w:t>
      </w:r>
    </w:p>
    <w:p>
      <w:pPr>
        <w:spacing w:after="0" w:line="163"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As a result of the adoption of the new accounting standard, the Company elected transition-related practical expedients as accounting policies which allowed it to not reassess, as of the adoption date, (1) whether any expired or existing contracts are or contain leases, (2) the classification of any expired or existing leases, and (3) if previously capitalized initial direct costs qualify for capitalization under ASC 842. The Company elected the practical expedient option to not separate lease and non-lease components for all of its leases, and also elected the short-term lease recognition exemption that keeps leases with an initial term of 12 months or less excluded from balance sheet capitalization. This results in recognizing those lease payments in the consolidated statements of operations on a straight-line basis over the lease term. Related operating and finance lease right-of-use assets are recognized based on the initial present value of the fixed lease payments, reduced by cash payments received from landlords as lease incentives, plus any prepaid rent and other direct costs from executing the leases. Amortization of both operating and finance lease right-of-use assets is performed on a straight-line basis and recorded as part of rent expense in cost of goods sold and selling, general and administrative expenses on the consolidated statements of operations. The interest expense amortization component of the finance lease liabilities is recorded within interest expense on the consolidated statements of operations.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 xml:space="preserve">On September 14, 2021, the Company issued an aggregate of $750 million in principal amount of its 1.25% Convertible Senior Notes due 2026 (the “Notes”) in a private placement to qualified institutional buyers pursuant to Rule 144 under the Securities Act of 1933, as amended. The Notes were issued pursuant to, and are governed by, an indenture (the “Indenture”), dated as of September 14, 2021, between the Company and U.S. Bank National Association, as trustee (the “Trustee”). The Company accounts for the Notes under Accounting Standards Codification (“ASC”) ASC 470-20 - </w:t>
      </w:r>
      <w:r>
        <w:rPr>
          <w:rFonts w:ascii="Arial" w:cs="Arial" w:eastAsia="Arial" w:hAnsi="Arial"/>
          <w:sz w:val="17"/>
          <w:szCs w:val="17"/>
          <w:i w:val="1"/>
          <w:iCs w:val="1"/>
          <w:color w:val="auto"/>
        </w:rPr>
        <w:t>Debt with Conversion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Options and Derivatives and Hedging—Contracts in Entity's Own Equity </w:t>
      </w:r>
      <w:r>
        <w:rPr>
          <w:rFonts w:ascii="Arial" w:cs="Arial" w:eastAsia="Arial" w:hAnsi="Arial"/>
          <w:sz w:val="17"/>
          <w:szCs w:val="17"/>
          <w:color w:val="auto"/>
        </w:rPr>
        <w:t>(“ASU 2020-06”), which the Company early adopted in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2021 concurrent with the issuance of the Notes. The Company records the Notes in “Long-term liabilities” at face value net of issuance costs. If any of the conditions to the convertibility of the Notes is satisfied, or the Notes become due within one year, then the Company may be required under applicable accounting standards to reclassify the carrying value of the Notes as a current, rather than a long-term, liability. Refer to Note 10—Long-term Debt for further detail.</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1"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equity in its Consolidated Balance Sheet. The Company also determined that the capped call option contracts meet the definition of a derivative under ASC 815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but are not required to be accounted for as a derivative as they meet the scope exception outlined in ASC 815. The capped call options are recorded in APIC and not remeasured.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Issuance Costs</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Issuance costs related to our Notes offering were capitalized and offset against proceeds from the Notes. Issuance costs consist of legal and other costs related to the issuance of the Notes and are amortized to interest expense over the term of the Notes. Refer to Note 10 – Long-term Debt for further detail.</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October 2020, in connection with Vesper’s initial public offering, the Company issued 15,333,333 Public Warrants to purchase shares of the Company’s common stock at $11.50 per share. Simultaneously, with the consummation of Vesper’s initial public offering, the Company issued 9,333,333 Private Placement Warrants to purchase shares of the Company’s common stock at $11.50 per share, to the Sponsor.</w:t>
      </w:r>
    </w:p>
    <w:p>
      <w:pPr>
        <w:spacing w:after="0" w:line="19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On October 4, 2021, the Company issued a press release stating that it would redeem all of the Public Warrants that remained outstanding on the Redemption Date. As of December 31, 2021, no Public Warrants outstanding and approximately 7 million Private Placement Warrants remain outstanding. As of December 31, 2021 the Private Placement Warrants are measured at fair value using a Monte Carlo simulation because these warrants are subject to redemption if the reference value of the common stock, as defined, is between $10.00 and $18.00 per share. The Private Placement Warrants are classified as a Level 3 financial instruments as of December 31, 2021.</w:t>
      </w:r>
    </w:p>
    <w:p>
      <w:pPr>
        <w:spacing w:after="0" w:line="22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classified the Public Warrants and currently classifies Private Placement Warrants as liabilities on its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In certain events outside of the Company’s control, the Public Warrant and Private Placement Warrant holders are entitled to receive cash while in certain scenarios the holders of the Company’s common stock are not entitled to receive cash or may receive less than 100% of any proceeds in cash, which precludes these instruments from being classified within equity pursuant to ASC 815-40. The Public and Private Placement Warrants were initially recorded at fair value on the date of the Business Combination and are subsequently adjusted to fair value at each subsequent reporting date. Changes in the fair value of these instruments are recognized within change in fair value of warrant liabilities in the Company’s </w:t>
      </w:r>
      <w:r>
        <w:rPr>
          <w:rFonts w:ascii="Arial" w:cs="Arial" w:eastAsia="Arial" w:hAnsi="Arial"/>
          <w:sz w:val="17"/>
          <w:szCs w:val="17"/>
          <w:color w:val="231F20"/>
        </w:rPr>
        <w:t>Consolidated Statements of Comprehensive Loss</w:t>
      </w:r>
      <w:r>
        <w:rPr>
          <w:rFonts w:ascii="Arial" w:cs="Arial" w:eastAsia="Arial" w:hAnsi="Arial"/>
          <w:sz w:val="17"/>
          <w:szCs w:val="17"/>
          <w:color w:val="000000"/>
        </w:rPr>
        <w: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Earn-out Shares Liability</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the consideration paid at the closing of the Business Combination, the former stockholders of HydraFacial received contingent consideration in the form of an aggregate of 7.5 million shares of the Company’s Class A Common Stock (the “Earn-out Shares”) as a result of the Company’s completion of the acquisitions of four target businesses, as contemplated by the Merger Agreement, in June and July 2021 that were identified by HydraFacial. With the closing of these four distributor acquisitions in Australia, France, Germany and Mexico, the 7.5 million Earn-out Shares were earned and subsequently issued on July 15, 2021.</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accounted for the Earn-out Shares liability as contingent consideration and recorded an Earn-out Shares liability for the Earn-out Shares in accordance with ASC 480 –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The liability was included as part of the consideration transferred in the Business Combination and was recorded at its then current fair value. The Earn-out Shares liability was recorded at fair value and remeasured at the end of each reporting period, with the corresponding gain or loss recorded in the Company’s Consolidated Statements of Comprehensive Loss as a component of </w:t>
      </w:r>
      <w:r>
        <w:rPr>
          <w:rFonts w:ascii="Arial" w:cs="Arial" w:eastAsia="Arial" w:hAnsi="Arial"/>
          <w:sz w:val="18"/>
          <w:szCs w:val="18"/>
          <w:color w:val="231F20"/>
        </w:rPr>
        <w:t>Other</w:t>
      </w:r>
      <w:r>
        <w:rPr>
          <w:rFonts w:ascii="Arial" w:cs="Arial" w:eastAsia="Arial" w:hAnsi="Arial"/>
          <w:sz w:val="18"/>
          <w:szCs w:val="18"/>
          <w:color w:val="auto"/>
        </w:rPr>
        <w:t xml:space="preserve"> </w:t>
      </w:r>
      <w:r>
        <w:rPr>
          <w:rFonts w:ascii="Arial" w:cs="Arial" w:eastAsia="Arial" w:hAnsi="Arial"/>
          <w:sz w:val="18"/>
          <w:szCs w:val="18"/>
          <w:color w:val="231F20"/>
        </w:rPr>
        <w:t>(income) expense, net.</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Effective January 1, 2019, HydraFacial adopted ASU No. 2014-09, Revenue from Contracts with Customers (Topic 606) (“ASU 2014-09”), which is the new comprehensive revenue recognition standard that supersedes all existing revenue recognition requirements under Accounting Standards Codification (“ASC”) 605, Revenue Recognition (“ASC 605”), as well as under all subsequently issued amendments to the new revenue recognition standard (“ASC 606”). HydraFacial elected to</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adopt the new revenue recognition standard using the full retrospective method as of January 1, 2019. The adoption of the new standard did not have a significant effect on earnings or on the timing of HydraFacial’s transactions and, therefore, the effect of applying the new guidance was not material. As such, there were no adjustments to the prior periods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accordance with ASU 2014-09, management determines the amount of revenue to be recognized through application of the following steps:</w:t>
      </w:r>
    </w:p>
    <w:p>
      <w:pPr>
        <w:spacing w:after="0" w:line="255" w:lineRule="exact"/>
        <w:rPr>
          <w:sz w:val="20"/>
          <w:szCs w:val="20"/>
          <w:color w:val="auto"/>
        </w:rPr>
      </w:pPr>
    </w:p>
    <w:p>
      <w:pPr>
        <w:ind w:left="440" w:hanging="11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16" w:lineRule="exact"/>
        <w:rPr>
          <w:rFonts w:ascii="Arial" w:cs="Arial" w:eastAsia="Arial" w:hAnsi="Arial"/>
          <w:sz w:val="18"/>
          <w:szCs w:val="18"/>
          <w:color w:val="auto"/>
        </w:rPr>
      </w:pPr>
    </w:p>
    <w:p>
      <w:pPr>
        <w:ind w:left="440" w:hanging="11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 w:lineRule="exact"/>
        <w:rPr>
          <w:rFonts w:ascii="Arial" w:cs="Arial" w:eastAsia="Arial" w:hAnsi="Arial"/>
          <w:sz w:val="18"/>
          <w:szCs w:val="18"/>
          <w:color w:val="auto"/>
        </w:rPr>
      </w:pPr>
    </w:p>
    <w:p>
      <w:pPr>
        <w:ind w:left="440" w:hanging="11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 w:lineRule="exact"/>
        <w:rPr>
          <w:rFonts w:ascii="Arial" w:cs="Arial" w:eastAsia="Arial" w:hAnsi="Arial"/>
          <w:sz w:val="18"/>
          <w:szCs w:val="18"/>
          <w:color w:val="auto"/>
        </w:rPr>
      </w:pPr>
    </w:p>
    <w:p>
      <w:pPr>
        <w:ind w:left="440" w:hanging="11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5" w:lineRule="exact"/>
        <w:rPr>
          <w:rFonts w:ascii="Arial" w:cs="Arial" w:eastAsia="Arial" w:hAnsi="Arial"/>
          <w:sz w:val="18"/>
          <w:szCs w:val="18"/>
          <w:color w:val="auto"/>
        </w:rPr>
      </w:pPr>
    </w:p>
    <w:p>
      <w:pPr>
        <w:ind w:left="440" w:hanging="11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32"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Net sales consists of the sale of products to retail and wholesale customers through e-commerce and distributor sales. The Company generates revenue through manufacturing and selling HydraFacial Delivery Systems (“Delivery Systems”). In conjunction with the sale of Delivery Systems, the Company also sells its serum solutions and consumables (collectively “Consumables”). Consumables are sold solely and exclusively by the Company and are available for purchase separately from the purchase of Delivery Systems. For both Delivery Systems and Consumables, revenue is recognized upon transfer of control to the customer, which generally takes place at the point of shipment.</w:t>
      </w:r>
    </w:p>
    <w:p>
      <w:pPr>
        <w:spacing w:after="0" w:line="20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The Company distributes products to customers both through national and international retailers as well as direct-to-consumers through its e-commerce and store channels. The Company sells to direct customers, including non-corporate customers (such as spas and dermatologist offices), corporate customers, and international distributors. For non-corporate customers, a contract exists when the customer initiates an order by submitting a purchase request. Such requests are accepted by the Company upon issuance of a corresponding invoice. For corporate customers, a contract exists when the customer submits a purchase order and is accepted upon issuance of a subsequent invoice. For distributors, a customer submits an order request which is processed in the system by a sales representative. This is also considered accepted upon the subsequent issuance of an invoice by the Company. For all customers, each invoice is considered a separate contract for accounting purposes.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Sales</w:t>
      </w:r>
    </w:p>
    <w:p>
      <w:pPr>
        <w:spacing w:after="0" w:line="24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The Company’s cost of sales consists of Delivery Systems and Consumables product costs, including the cost of materials, labor costs, overhead, depreciation and amortization of developed technology, shipping and handling costs, and the costs associated with excess and obsolete inventory. As the Company launches new products and expand presence internationally, the Company expects to incur higher cost of sales as a percentage of sales because we have not yet achieved economies of scale with these items.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4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Selling and marketing expense consists of personnel-related expenses, sales commissions, travel costs, and advertising expenses incurred in connection with the sale of our products. The Company intends to continue to invest in sales and marketing capabilities in the future and expect this expense to increase in absolute dollars in future periods as it releases new products, grow our global footprint, and drive consumer demand in the ecosystem. Selling and marketing expense as a percentage of total revenue may fluctuate from period to period based on total revenue and the timing of investments in sales and marketing functions as these investments may vary in scope and scale over future periods.</w:t>
      </w:r>
    </w:p>
    <w:p>
      <w:pPr>
        <w:spacing w:after="0" w:line="207"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Advertising costs are expensed in the period in which they are incurred. Total advertising costs, included in selling and marketing expenses on the Consolidated Statements of Comprehensive Loss, were $3.2 million, $3.3 million, and $4.7 million for each of the three years ending December 31, 2021, 2020, and 2019 respectively.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44" w:lineRule="exact"/>
        <w:rPr>
          <w:sz w:val="20"/>
          <w:szCs w:val="20"/>
          <w:color w:val="auto"/>
        </w:rPr>
      </w:pPr>
    </w:p>
    <w:p>
      <w:pPr>
        <w:jc w:val="both"/>
        <w:ind w:right="120" w:firstLine="318"/>
        <w:spacing w:after="0" w:line="318" w:lineRule="auto"/>
        <w:rPr>
          <w:sz w:val="20"/>
          <w:szCs w:val="20"/>
          <w:color w:val="auto"/>
        </w:rPr>
      </w:pPr>
      <w:r>
        <w:rPr>
          <w:rFonts w:ascii="Arial" w:cs="Arial" w:eastAsia="Arial" w:hAnsi="Arial"/>
          <w:sz w:val="15"/>
          <w:szCs w:val="15"/>
          <w:color w:val="auto"/>
        </w:rPr>
        <w:t>Research and development expense primarily consists of personnel-related expenses, tooling and prototype materials, technology investments, and other expenses incurred in connection with the development of new products and internal technologies. The Company expects research and development expenses to increase in absolute dollars in future periods and vary from period to period as a percentage of total revenue, as the Company plans to continue to innovate and invest in new technologies and to enhance existing technologies to fuel future growth as a category creator.</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4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General and administrative expense includes personnel-related expenses, professional fees, credit card and wire fees and facilities-related costs primarily for our executive, finance, accounting, legal, human resources, and IT functions. General and administrative expense also includes fees for professional services principally comprising legal, audit, tax and accounting services and insurance.</w:t>
      </w:r>
    </w:p>
    <w:p>
      <w:pPr>
        <w:spacing w:after="0" w:line="21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expects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the Company expects to continue to incur additional IT expenses as the Company scales and enhances its e-commerce, digital and data utilization capabilities. As a result, the Company expects that our general and administrative expenses will increase in absolute dollars in future periods and vary from period to period as a percentage of revenue.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w:t>
      </w:r>
    </w:p>
    <w:p>
      <w:pPr>
        <w:spacing w:after="0" w:line="24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Other expense consists of interest expense and foreign currency transaction gains and losses. Foreign currency transaction gains and losses are generated by settlements of intercompany balances and invoices denominated in currencies other than the reporting currency. The Company expects Other expense to increase in absolute dollars as the Company grows internationally and obtains more financing to support such growth. Other expense as a percentage of revenue will fluctuate period to period along with interest rates, exchange rates and other factors not related to normal business operations.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(DTA)s and deferred tax liabilities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22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recognizes DTAs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A valuation allowance is established, when necessary, to reduce deferred tax assets to the amount that is more likely than not to be realized based on currently available evidence. If the Company determines that it would be able to realize our DTAs in the future in excess of the net recorded amount, it would make an adjustment to the DTA valuation allowance, which would reduce the provision for income taxes.</w:t>
      </w:r>
    </w:p>
    <w:p>
      <w:pPr>
        <w:spacing w:after="0" w:line="206"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 would record uncertain tax positions in accordance with ASC 740 on the basis of a two-step process in which (1) it determined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If any, the Company recognizes interest and penalties related to unrecognized tax benefits in income tax expense.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functional currency for each entity included in these consolidated financial statements that is domiciled outside of the United States is generally the applicable local currency. Assets and liabilities of each foreign entity are translated into U.S. dollars at the exchange rate in effect on the balance sheet date. Net revenue and expenses are translated at the average rate in effect during the period. Unrealized translation gains and losses are recorded as a foreign currency translation adjustment, which is included in other comprehensive income or loss, which is a component of accumulated other comprehensive income or loss included in stockholders’ equity.</w:t>
      </w:r>
    </w:p>
    <w:p>
      <w:pPr>
        <w:spacing w:after="0" w:line="22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Foreign currency transactions denominated in a currency other than an entity’s functional currency are remeasured into the functional currency with any resulting gains and losses recognized in selling, general and administrative expenses, except for</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gains and losses arising on intercompany foreign currency transactions that are of a long-term investment nature, which are recorded as a foreign currency translation adjustment in other comprehensive income or loss.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and cash equivalents and accounts receivable. The Company primarily maintains its operating cash balance with a major financial institution. At times, cash balances may be in excess of Federal Deposit Insurance Corporation insurance limits. The Company has not experienced any losses in these accounts and does not believe it is exposed to any significant credit risk in this area. Accounts receivable are unsecured and the Company is at risk to the extent such amounts become uncollectible. Concentration of credit risk with respect to accounts receivable is generally mitigated by the Company performing ongoing credit evaluations of its customers.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Stock-based compensation is accounted for under FASB ASC Topic 718, Compensation—Stock Compensation (“ASC 718”). The Company accounts for all stock-based compensation transactions using a fair-value method and recognizes the fair value of each award as an expense over the service period. The Company estimates the fair value of stock options granted using the Black-Scholes option-pricing model. The use of the Black-Scholes model requires a number of estimates, including the expected option term, the expected volatility in the price of the Company’s common stock, the risk-free rate of interest and the dividend yield on the Company’s common stock. The fair value of the Company’s restricted stock units is the closing price of the Company’s common stock on the grant date. The fair value of the Company’s performance-based restricted stock units is estimated using a Monte Carlo simulation model. The consolidated financial statements include amounts that are based on the Company’s best estimates and judgments. The Company classifies compensation expense related to these awards in the consolidated statements of operations based on the department to which the recipient reports. The Company’s policy is to account for forfeitures in period that they occur.</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4" w:lineRule="exact"/>
        <w:rPr>
          <w:sz w:val="20"/>
          <w:szCs w:val="20"/>
          <w:color w:val="auto"/>
        </w:rPr>
      </w:pPr>
    </w:p>
    <w:p>
      <w:pPr>
        <w:ind w:right="220" w:firstLine="318"/>
        <w:spacing w:after="0" w:line="249" w:lineRule="auto"/>
        <w:rPr>
          <w:sz w:val="20"/>
          <w:szCs w:val="20"/>
          <w:color w:val="auto"/>
        </w:rPr>
      </w:pPr>
      <w:r>
        <w:rPr>
          <w:rFonts w:ascii="Arial" w:cs="Arial" w:eastAsia="Arial" w:hAnsi="Arial"/>
          <w:sz w:val="18"/>
          <w:szCs w:val="18"/>
          <w:color w:val="auto"/>
        </w:rPr>
        <w:t>Earnings per share is calculated using the weighted-average number of common and exchangeable shares outstanding during the period. Exchangeable shares are the equivalent of common shares in all material respects. All classes of stock have in effect the same rights and share equally in undistributed net income. Diluted earnings per share is calculated by dividing net income available to stockholders for the period by the diluted weighted-average number of shares outstanding during the period. Diluted earnings per share reflects the potential dilution from common shares issuable through stock options, performance-based restricted stock units that have satisfied their performance factor, restricted shares, and restricted stock units using the treasury stock method.</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4"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17"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43" w:lineRule="exact"/>
        <w:rPr>
          <w:rFonts w:ascii="Arial" w:cs="Arial" w:eastAsia="Arial" w:hAnsi="Arial"/>
          <w:sz w:val="18"/>
          <w:szCs w:val="18"/>
          <w:color w:val="auto"/>
        </w:rPr>
      </w:pPr>
    </w:p>
    <w:p>
      <w:pPr>
        <w:ind w:left="640" w:right="120" w:hanging="316"/>
        <w:spacing w:after="0" w:line="294"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83" w:lineRule="exact"/>
        <w:rPr>
          <w:rFonts w:ascii="Arial" w:cs="Arial" w:eastAsia="Arial" w:hAnsi="Arial"/>
          <w:sz w:val="17"/>
          <w:szCs w:val="17"/>
          <w:color w:val="auto"/>
        </w:rPr>
      </w:pPr>
    </w:p>
    <w:p>
      <w:pPr>
        <w:ind w:left="640" w:right="80" w:hanging="316"/>
        <w:spacing w:after="0" w:line="294"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 xml:space="preserve">The fair value of the Notes that are recorded at historical cost was $794 million as of December 31, 2021, and was determined using the last trade price in active markets. With the exception of the Company’s Notes, the fair value of the Company’s assets and liabilities that are recorded at historical amounts and that qualify as financial instruments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Company’s Consolidated Balance Sheets, primarily due to their short-term nature.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No. 2018-15, Intangibles-Goodwill and Other-Internal-Use Software (Subtopic 350-40): Customer’s Accounting for Implementation Costs Incurred in a Cloud Computing Arrangement that is a Service Contract (ASU 2018-15), which requires implementation costs incurred by customers in cloud computing arrangements (i.e. hosting arrangements) to be capitalized under the same premises of authoritative guidance for internal-use software, and deferred over the non-cancellable term of the cloud computing arrangements plus any optional renewal periods that are reasonably certain to be exercised by the customer or for which the exercise is controlled by the service provider. ASU 2018-15 is effective for fiscal years beginning after December 15, 2019, and interim periods within those fiscal years, with early adoption permitted. The Company adopted ASU 2018-15 on January 1, 2021 and the guidance did not have a material impact on its Consolidated Financial Statements.</w:t>
      </w:r>
    </w:p>
    <w:p>
      <w:pPr>
        <w:spacing w:after="0" w:line="208" w:lineRule="exact"/>
        <w:rPr>
          <w:sz w:val="20"/>
          <w:szCs w:val="20"/>
          <w:color w:val="auto"/>
        </w:rPr>
      </w:pPr>
    </w:p>
    <w:p>
      <w:pPr>
        <w:ind w:right="400" w:firstLine="318"/>
        <w:spacing w:after="0" w:line="250" w:lineRule="auto"/>
        <w:rPr>
          <w:sz w:val="20"/>
          <w:szCs w:val="20"/>
          <w:color w:val="auto"/>
        </w:rPr>
      </w:pPr>
      <w:r>
        <w:rPr>
          <w:rFonts w:ascii="Arial" w:cs="Arial" w:eastAsia="Arial" w:hAnsi="Arial"/>
          <w:sz w:val="18"/>
          <w:szCs w:val="18"/>
          <w:color w:val="auto"/>
        </w:rPr>
        <w:t xml:space="preserve">In December 2019,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The Company adopted ASU 2019-12 on January 1, 2021, as the Company no longer qualifies as an emerging growth company. The adoption did not have a material impact on its Consolidated Financial Statements.</w:t>
      </w:r>
    </w:p>
    <w:p>
      <w:pPr>
        <w:spacing w:after="0" w:line="220" w:lineRule="exact"/>
        <w:rPr>
          <w:sz w:val="20"/>
          <w:szCs w:val="20"/>
          <w:color w:val="auto"/>
        </w:rPr>
      </w:pPr>
    </w:p>
    <w:p>
      <w:pPr>
        <w:ind w:right="80" w:firstLine="318"/>
        <w:spacing w:after="0" w:line="302" w:lineRule="auto"/>
        <w:rPr>
          <w:sz w:val="20"/>
          <w:szCs w:val="20"/>
          <w:color w:val="auto"/>
        </w:rPr>
      </w:pPr>
      <w:r>
        <w:rPr>
          <w:rFonts w:ascii="Arial" w:cs="Arial" w:eastAsia="Arial" w:hAnsi="Arial"/>
          <w:sz w:val="15"/>
          <w:szCs w:val="15"/>
          <w:color w:val="auto"/>
        </w:rPr>
        <w:t xml:space="preserve">In August 2020, the FASB issued ASU No. 2020-06, </w:t>
      </w:r>
      <w:r>
        <w:rPr>
          <w:rFonts w:ascii="Arial" w:cs="Arial" w:eastAsia="Arial" w:hAnsi="Arial"/>
          <w:sz w:val="15"/>
          <w:szCs w:val="15"/>
          <w:i w:val="1"/>
          <w:iCs w:val="1"/>
          <w:color w:val="auto"/>
        </w:rPr>
        <w:t>Debt-Debt with Conversion and Other Options (Subtopic 470-20) and Derivatives and Hedging-Contracts in Entity’s Own Equity (Subtopic 815-40)</w:t>
      </w:r>
      <w:r>
        <w:rPr>
          <w:rFonts w:ascii="Arial" w:cs="Arial" w:eastAsia="Arial" w:hAnsi="Arial"/>
          <w:sz w:val="15"/>
          <w:szCs w:val="15"/>
          <w:color w:val="auto"/>
        </w:rPr>
        <w:t>:</w:t>
      </w:r>
      <w:r>
        <w:rPr>
          <w:rFonts w:ascii="Arial" w:cs="Arial" w:eastAsia="Arial" w:hAnsi="Arial"/>
          <w:sz w:val="15"/>
          <w:szCs w:val="15"/>
          <w:i w:val="1"/>
          <w:iCs w:val="1"/>
          <w:color w:val="auto"/>
        </w:rPr>
        <w:t xml:space="preserve"> Accounting for Convertible Instruments and Contracts in an Entity’s Own Equity </w:t>
      </w:r>
      <w:r>
        <w:rPr>
          <w:rFonts w:ascii="Arial" w:cs="Arial" w:eastAsia="Arial" w:hAnsi="Arial"/>
          <w:sz w:val="15"/>
          <w:szCs w:val="15"/>
          <w:color w:val="auto"/>
        </w:rPr>
        <w:t>(“ASU 2020-06”). The</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amendments eliminate two of the three accounting models that require separate accounting for convertible features of debt securities, simplify the contract settlement assessment for equity classification, require the use of the if-converted method for all convertible instruments in the diluted earnings per share calculation and expand disclosure requirements. The amendments are effective for our annual and interim reporting periods beginning after December 15, 2021, with early adoption permitted for reporting periods beginning after December 15, 2020. The guidance can be applied on a full retrospective basis to all periods presented or a modified retrospective basis with a cumulative effect adjustment to the opening balance of retained earnings during the period of adoption. The Company adopted ASU 2020-06 on January 1, 2021. There were no changes to the Company’s previously issued financial statements since the Company had no existing convertible notes prior to issuance of the Notes. With the adoption of ASU 2020-06, the Company recorded the issuance of the Notes at their face value net of issuance costs in long-term liabilities and the value of the capped call options in APIC.</w:t>
      </w:r>
    </w:p>
    <w:p>
      <w:pPr>
        <w:spacing w:after="0" w:line="18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In February 2016, the FASB issued ASU 2016-02, Leases (Topic 842), to increase transparency and comparability among organizations by recognizing lease assets and lease liabilities on the balance sheet and disclosing key information about leasing arrangements. In July 2018, ASU 2018-10, Codification Improvements to Topic 842, Leases, was issued to provide more detailed guidance and additional clarification for implementing ASU 2016-02. Furthermore, in July 2018, the FASB issued ASU 2018-11, Leases (Topic 842): Targeted Improvements, which provides an optional transition method in addition to the existing modified retrospective transition method by allowing a cumulative effect adjustment to the opening balance of retained earnings in the period of adoption.</w:t>
      </w:r>
    </w:p>
    <w:p>
      <w:pPr>
        <w:spacing w:after="0" w:line="20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Until December 31, 2021, the Company was an emerging growth company as defined by the JOBS Act. As the Company no longer qualifies as an emerging growth company this ASU instead became effective for the Company in this Annual Report on Form 10-K for the fiscal year ended December 31, 2021, with an effective date of January 1, 2021. The Company elected transition-related practical expedients as accounting policies which allowed it to not reassess, as of the adoption date, (1) whether any expired or existing contracts are or contain leases, (2) the classification of any expired or existing leases, and (3) if previously capitalized initial direct costs qualify for capitalization under ASC 842. The Company elected the practical expedient option to not separate lease and non-lease components for all of its leases and note that variable costs related to triple net leases are not material. The Company also elected the short-term lease recognition exemption that keeps leases with an initial term of 12 months or less excluded from balance sheet capitalization. The Company elected to adopt using the optional transition method which allows a cumulative effect adjustment to the opening balance of retained earnings in the period of adoption. The adoption of this standard resulted in the recognition of Operating Right-of-Use (ROU) assets and Operating ROU lease</w:t>
      </w: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liabilities on the consolidated balance sheet of $12.3 million and $13.5 million, respectively, and the elimination of deferred rent of $1.2 million. The adoption of this standard did not have an impact on beginning retained earnings. The adoption of this standard did not have a material impact on the consolidated statements of operations nor the consolidated statements of cash flows.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6, Leases, for further discussion of the adoption of ASC 842 and related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 — Reverse Recapitalization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left="640" w:right="20" w:hanging="316"/>
        <w:spacing w:after="0" w:line="25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for an aggregate purchase price of $350.0 million (the “PIPE Investment”). The PIPE Investment was consummated substantially concurrently with the Closing of the Business Combination.</w:t>
      </w:r>
    </w:p>
    <w:p>
      <w:pPr>
        <w:spacing w:after="0" w:line="217"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 of Founder Shares.</w:t>
      </w:r>
    </w:p>
    <w:p>
      <w:pPr>
        <w:spacing w:after="0" w:line="217" w:lineRule="exact"/>
        <w:rPr>
          <w:rFonts w:ascii="Arial" w:cs="Arial" w:eastAsia="Arial" w:hAnsi="Arial"/>
          <w:sz w:val="18"/>
          <w:szCs w:val="18"/>
          <w:color w:val="auto"/>
        </w:rPr>
      </w:pPr>
    </w:p>
    <w:p>
      <w:pPr>
        <w:ind w:left="640" w:right="6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Closing, holders of 2,672,690 shares of the Company’s Class A Common Stock exercised their rights for the Company to redeem their respective shares for cash at an approximate price of $10.00 per share, for an aggregate of approximately $26.7 million, which was paid to such holders at Closing.</w:t>
      </w:r>
    </w:p>
    <w:p>
      <w:pPr>
        <w:spacing w:after="0" w:line="21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the Merger and the PIPE Investment, there were 125,329,053 shares of the Company’s Class A Common Stock issued and outstanding.</w:t>
      </w:r>
    </w:p>
    <w:p>
      <w:pPr>
        <w:spacing w:after="0" w:line="207" w:lineRule="exact"/>
        <w:rPr>
          <w:rFonts w:ascii="Arial" w:cs="Arial" w:eastAsia="Arial" w:hAnsi="Arial"/>
          <w:sz w:val="18"/>
          <w:szCs w:val="18"/>
          <w:color w:val="auto"/>
        </w:rPr>
      </w:pPr>
    </w:p>
    <w:p>
      <w:pPr>
        <w:ind w:left="640" w:right="40" w:hanging="316"/>
        <w:spacing w:after="0" w:line="300"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w:t>
      </w:r>
    </w:p>
    <w:p>
      <w:pPr>
        <w:ind w:left="640" w:right="60"/>
        <w:spacing w:after="0" w:line="246" w:lineRule="auto"/>
        <w:rPr>
          <w:rFonts w:ascii="Arial" w:cs="Arial" w:eastAsia="Arial" w:hAnsi="Arial"/>
          <w:sz w:val="15"/>
          <w:szCs w:val="15"/>
          <w:color w:val="auto"/>
        </w:rPr>
      </w:pPr>
      <w:r>
        <w:rPr>
          <w:rFonts w:ascii="Arial" w:cs="Arial" w:eastAsia="Arial" w:hAnsi="Arial"/>
          <w:sz w:val="18"/>
          <w:szCs w:val="18"/>
          <w:color w:val="auto"/>
        </w:rPr>
        <w:t>$368 million, which consisted of cash payments made to the former shareholders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 subject to a working capital adjustment of $0.9 million. The Company also issued 70,860 shares related to the working capital adjustment.</w:t>
      </w:r>
    </w:p>
    <w:p>
      <w:pPr>
        <w:spacing w:after="0" w:line="226"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reconciles the elements of the Business Combination to the Company’s Consolidated Statements of Cash Flows and the Consolidated Statements of Stockholders’ Equity (Deficit) for the year ended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6"/>
                <w:szCs w:val="16"/>
                <w:color w:val="auto"/>
              </w:rPr>
            </w:pPr>
          </w:p>
        </w:tc>
        <w:tc>
          <w:tcPr>
            <w:tcW w:w="2120" w:type="dxa"/>
            <w:vAlign w:val="bottom"/>
          </w:tcPr>
          <w:p>
            <w:pPr>
              <w:jc w:val="right"/>
              <w:ind w:right="714"/>
              <w:spacing w:after="0"/>
              <w:rPr>
                <w:sz w:val="20"/>
                <w:szCs w:val="20"/>
                <w:color w:val="auto"/>
              </w:rPr>
            </w:pPr>
            <w:r>
              <w:rPr>
                <w:rFonts w:ascii="Arial" w:cs="Arial" w:eastAsia="Arial" w:hAnsi="Arial"/>
                <w:sz w:val="14"/>
                <w:szCs w:val="14"/>
                <w:b w:val="1"/>
                <w:bCs w:val="1"/>
                <w:color w:val="auto"/>
              </w:rPr>
              <w:t>Recapitalization</w:t>
            </w:r>
          </w:p>
        </w:tc>
      </w:tr>
      <w:tr>
        <w:trPr>
          <w:trHeight w:val="231"/>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trust, net of redemptions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433,382</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Cash — PIPE</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to Former Parent</w:t>
            </w: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(367,870)</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(56,976)</w:t>
            </w: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from net working capital adjustment related to acquisitions</w:t>
            </w:r>
          </w:p>
        </w:tc>
        <w:tc>
          <w:tcPr>
            <w:tcW w:w="4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19"/>
        </w:trPr>
        <w:tc>
          <w:tcPr>
            <w:tcW w:w="8660" w:type="dxa"/>
            <w:vAlign w:val="bottom"/>
          </w:tcPr>
          <w:p>
            <w:pPr>
              <w:ind w:left="20"/>
              <w:spacing w:after="0"/>
              <w:rPr>
                <w:sz w:val="20"/>
                <w:szCs w:val="20"/>
                <w:color w:val="auto"/>
              </w:rPr>
            </w:pPr>
            <w:r>
              <w:rPr>
                <w:rFonts w:ascii="Arial" w:cs="Arial" w:eastAsia="Arial" w:hAnsi="Arial"/>
                <w:sz w:val="18"/>
                <w:szCs w:val="18"/>
                <w:color w:val="auto"/>
              </w:rPr>
              <w:t>Net Cash Received from Business Combination</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357,634</w:t>
            </w:r>
          </w:p>
        </w:tc>
      </w:tr>
      <w:tr>
        <w:trPr>
          <w:trHeight w:val="20"/>
        </w:trPr>
        <w:tc>
          <w:tcPr>
            <w:tcW w:w="8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Class A Common Stock issued following the consummation of the Business Combination: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580" w:type="dxa"/>
            <w:vAlign w:val="bottom"/>
          </w:tcPr>
          <w:p>
            <w:pPr>
              <w:jc w:val="right"/>
              <w:ind w:right="653"/>
              <w:spacing w:after="0"/>
              <w:rPr>
                <w:sz w:val="20"/>
                <w:szCs w:val="20"/>
                <w:color w:val="auto"/>
              </w:rPr>
            </w:pPr>
            <w:r>
              <w:rPr>
                <w:rFonts w:ascii="Arial" w:cs="Arial" w:eastAsia="Arial" w:hAnsi="Arial"/>
                <w:sz w:val="14"/>
                <w:szCs w:val="14"/>
                <w:b w:val="1"/>
                <w:bCs w:val="1"/>
                <w:color w:val="auto"/>
              </w:rPr>
              <w:t>Number of Shares</w:t>
            </w:r>
          </w:p>
        </w:tc>
      </w:tr>
      <w:tr>
        <w:trPr>
          <w:trHeight w:val="231"/>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prior to Business Combination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Vesper Class A Common Stock</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(2,672,690)</w:t>
            </w: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of Vesper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43,327,310</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Founder shares (Vesper Class B Common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11,500,000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Shares</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r>
      <w:tr>
        <w:trPr>
          <w:trHeight w:val="218"/>
        </w:trPr>
        <w:tc>
          <w:tcPr>
            <w:tcW w:w="8660" w:type="dxa"/>
            <w:vAlign w:val="bottom"/>
          </w:tcPr>
          <w:p>
            <w:pPr>
              <w:ind w:left="20"/>
              <w:spacing w:after="0"/>
              <w:rPr>
                <w:sz w:val="20"/>
                <w:szCs w:val="20"/>
                <w:color w:val="auto"/>
              </w:rPr>
            </w:pPr>
            <w:r>
              <w:rPr>
                <w:rFonts w:ascii="Arial" w:cs="Arial" w:eastAsia="Arial" w:hAnsi="Arial"/>
                <w:sz w:val="18"/>
                <w:szCs w:val="18"/>
                <w:color w:val="auto"/>
              </w:rPr>
              <w:t>Business Combination and PIPE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89,827,310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Legacy HydraFacial shares </w:t>
            </w:r>
            <w:r>
              <w:rPr>
                <w:rFonts w:ascii="Arial" w:cs="Arial" w:eastAsia="Arial" w:hAnsi="Arial"/>
                <w:sz w:val="15"/>
                <w:szCs w:val="15"/>
                <w:color w:val="auto"/>
              </w:rPr>
              <w:t>(1)</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35,501,743</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 Class A Common Stock issued</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70,860</w:t>
            </w: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Class A Common Stock after Business Combination</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125,399,913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3" w:lineRule="exact"/>
        <w:rPr>
          <w:sz w:val="20"/>
          <w:szCs w:val="20"/>
          <w:color w:val="auto"/>
        </w:rPr>
      </w:pPr>
    </w:p>
    <w:p>
      <w:pPr>
        <w:ind w:left="320" w:right="400" w:hanging="314"/>
        <w:spacing w:after="0" w:line="267" w:lineRule="auto"/>
        <w:tabs>
          <w:tab w:leader="none" w:pos="3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Acquisitions</w:t>
      </w:r>
    </w:p>
    <w:p>
      <w:pPr>
        <w:spacing w:after="0" w:line="244"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color w:val="auto"/>
        </w:rPr>
        <w:t xml:space="preserve">On June 4, 2021, the Company acquired </w:t>
      </w:r>
      <w:r>
        <w:rPr>
          <w:rFonts w:ascii="Arial" w:cs="Arial" w:eastAsia="Arial" w:hAnsi="Arial"/>
          <w:sz w:val="18"/>
          <w:szCs w:val="18"/>
          <w:color w:val="231F20"/>
        </w:rPr>
        <w:t>High Tech Laser, Australia Pty Ltd (“HTL”), a distributor of the Company’s products in Australia. On July 1,</w:t>
      </w:r>
      <w:r>
        <w:rPr>
          <w:rFonts w:ascii="Arial" w:cs="Arial" w:eastAsia="Arial" w:hAnsi="Arial"/>
          <w:sz w:val="18"/>
          <w:szCs w:val="18"/>
          <w:color w:val="auto"/>
        </w:rPr>
        <w:t xml:space="preserve"> </w:t>
      </w:r>
      <w:r>
        <w:rPr>
          <w:rFonts w:ascii="Arial" w:cs="Arial" w:eastAsia="Arial" w:hAnsi="Arial"/>
          <w:sz w:val="18"/>
          <w:szCs w:val="18"/>
          <w:color w:val="231F20"/>
        </w:rPr>
        <w:t>2021, the Company acquired Wigmore Medical France (“Wigmore”), Ecomedic GmbH (“Ecomedic”) and Sistemas Dermatologicos Internacionales (“Sidermica”), distributors of the Company’s products in France, Germany and Mexico, respectively. Through these acquisitions, the Company plans to directly sell to the respective markets and improve services for its products.</w:t>
      </w:r>
    </w:p>
    <w:p>
      <w:pPr>
        <w:spacing w:after="0" w:line="21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 The transaction costs for the acquisitions totaled $0.8 million.</w:t>
      </w:r>
    </w:p>
    <w:p>
      <w:pPr>
        <w:spacing w:after="0" w:line="217"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231F20"/>
        </w:rPr>
        <w:t>The estimated fair values and preliminary purchase price allocation were based on information available at the time of acquisition and the Company continues to evaluate the underlying inputs and assumptions. Accordingly, these preliminary estimates are subject to retrospective adjustments during the measurement period, not to exceed one year, based upon new information obtained about facts and circumstances that existed as of the date of acquisition. The Company is currently in the process of finalizing the preliminary fair value allocations, and expects this to be completed prior to June 30, 2022.</w:t>
      </w:r>
    </w:p>
    <w:p>
      <w:pPr>
        <w:spacing w:after="0" w:line="172"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color w:val="231F20"/>
        </w:rPr>
        <w:t>The following table summarizes the consideration and estimated preliminary fair values assigned to the assets acquired and liabilities assumed at the dates of acquisition for the Wigmore, Ecomedic and Sidermica acquisitions and summarizes the HTL acquisition after measurement period adjustments.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7"/>
                <w:szCs w:val="17"/>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231F20"/>
              </w:rPr>
              <w:t>HTL</w:t>
            </w:r>
          </w:p>
        </w:tc>
        <w:tc>
          <w:tcPr>
            <w:tcW w:w="340" w:type="dxa"/>
            <w:vAlign w:val="bottom"/>
          </w:tcPr>
          <w:p>
            <w:pPr>
              <w:spacing w:after="0"/>
              <w:rPr>
                <w:sz w:val="17"/>
                <w:szCs w:val="17"/>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231F20"/>
              </w:rPr>
              <w:t xml:space="preserve">Wigmore </w:t>
            </w:r>
            <w:r>
              <w:rPr>
                <w:rFonts w:ascii="Arial" w:cs="Arial" w:eastAsia="Arial" w:hAnsi="Arial"/>
                <w:sz w:val="14"/>
                <w:szCs w:val="14"/>
                <w:color w:val="231F20"/>
              </w:rPr>
              <w:t>(2)</w:t>
            </w:r>
          </w:p>
        </w:tc>
        <w:tc>
          <w:tcPr>
            <w:tcW w:w="34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231F20"/>
              </w:rPr>
              <w:t>Ecomedic</w:t>
            </w:r>
          </w:p>
        </w:tc>
        <w:tc>
          <w:tcPr>
            <w:tcW w:w="340" w:type="dxa"/>
            <w:vAlign w:val="bottom"/>
          </w:tcPr>
          <w:p>
            <w:pPr>
              <w:spacing w:after="0"/>
              <w:rPr>
                <w:sz w:val="17"/>
                <w:szCs w:val="17"/>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231F20"/>
              </w:rPr>
              <w:t>Sidermica</w:t>
            </w:r>
          </w:p>
        </w:tc>
      </w:tr>
      <w:tr>
        <w:trPr>
          <w:trHeight w:val="211"/>
        </w:trPr>
        <w:tc>
          <w:tcPr>
            <w:tcW w:w="36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Consideration paid:</w:t>
            </w: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Cash, net of cash acquired</w:t>
            </w:r>
          </w:p>
        </w:tc>
        <w:tc>
          <w:tcPr>
            <w:tcW w:w="460" w:type="dxa"/>
            <w:vAlign w:val="bottom"/>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4,920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1,757</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231F20"/>
              </w:rPr>
              <w:t>11,338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231F20"/>
              </w:rPr>
              <w:t>4,881</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 xml:space="preserve">Class A Common Stock issued </w:t>
            </w:r>
            <w:r>
              <w:rPr>
                <w:rFonts w:ascii="Arial" w:cs="Arial" w:eastAsia="Arial" w:hAnsi="Arial"/>
                <w:sz w:val="15"/>
                <w:szCs w:val="15"/>
                <w:color w:val="231F20"/>
              </w:rPr>
              <w:t>(1)</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Contingent consideration</w:t>
            </w:r>
          </w:p>
        </w:tc>
        <w:tc>
          <w:tcPr>
            <w:tcW w:w="4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783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Trade receivables due from seller</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1,581</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Notes payable to seller</w:t>
            </w:r>
          </w:p>
        </w:tc>
        <w:tc>
          <w:tcPr>
            <w:tcW w:w="4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2,153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19"/>
        </w:trPr>
        <w:tc>
          <w:tcPr>
            <w:tcW w:w="36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7,504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5,332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21,683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7,277</w:t>
            </w:r>
          </w:p>
        </w:tc>
      </w:tr>
      <w:tr>
        <w:trPr>
          <w:trHeight w:val="205"/>
        </w:trPr>
        <w:tc>
          <w:tcPr>
            <w:tcW w:w="3660" w:type="dxa"/>
            <w:vAlign w:val="bottom"/>
          </w:tcPr>
          <w:p>
            <w:pPr>
              <w:ind w:left="60"/>
              <w:spacing w:after="0" w:line="204" w:lineRule="exact"/>
              <w:rPr>
                <w:sz w:val="20"/>
                <w:szCs w:val="20"/>
                <w:color w:val="auto"/>
              </w:rPr>
            </w:pPr>
            <w:r>
              <w:rPr>
                <w:rFonts w:ascii="Arial" w:cs="Arial" w:eastAsia="Arial" w:hAnsi="Arial"/>
                <w:sz w:val="18"/>
                <w:szCs w:val="18"/>
                <w:color w:val="231F20"/>
                <w:w w:val="88"/>
              </w:rPr>
              <w:t>Identifiable assets acquired and liabilities assumed</w:t>
            </w: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Accounts receivable</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1,657</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Non-compete agreement</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100</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Customer relationships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2,700</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Inventory and other assets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354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341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454</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Accounts payable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Deferred tax liabilities, net</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(675)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(842)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Accrued and 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18"/>
        </w:trPr>
        <w:tc>
          <w:tcPr>
            <w:tcW w:w="3660" w:type="dxa"/>
            <w:vAlign w:val="bottom"/>
            <w:tcBorders>
              <w:bottom w:val="single" w:sz="8" w:color="CCEEFF"/>
            </w:tcBorders>
          </w:tcPr>
          <w:p>
            <w:pPr>
              <w:ind w:left="60"/>
              <w:spacing w:after="0" w:line="204" w:lineRule="exact"/>
              <w:rPr>
                <w:sz w:val="20"/>
                <w:szCs w:val="20"/>
                <w:color w:val="auto"/>
              </w:rPr>
            </w:pPr>
            <w:r>
              <w:rPr>
                <w:rFonts w:ascii="Arial" w:cs="Arial" w:eastAsia="Arial" w:hAnsi="Arial"/>
                <w:sz w:val="18"/>
                <w:szCs w:val="18"/>
                <w:color w:val="231F20"/>
              </w:rPr>
              <w:t>Total identifiable net assets</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3,141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4,911</w:t>
            </w:r>
          </w:p>
        </w:tc>
      </w:tr>
      <w:tr>
        <w:trPr>
          <w:trHeight w:val="243"/>
        </w:trPr>
        <w:tc>
          <w:tcPr>
            <w:tcW w:w="36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Goodwill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4,766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2,191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17,277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2,366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60" w:lineRule="exact"/>
        <w:rPr>
          <w:sz w:val="20"/>
          <w:szCs w:val="20"/>
          <w:color w:val="auto"/>
        </w:rPr>
      </w:pPr>
    </w:p>
    <w:p>
      <w:pPr>
        <w:ind w:left="320" w:right="500" w:hanging="314"/>
        <w:spacing w:after="0" w:line="267" w:lineRule="auto"/>
        <w:tabs>
          <w:tab w:leader="none" w:pos="3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Class A Common Stock issued as consideration for the acquisitions was 110,726, 28,157, 401,021 and 50,195 shares for HTL, Wigmore, Ecomedic and Sidermica, respectively.</w:t>
      </w:r>
    </w:p>
    <w:p>
      <w:pPr>
        <w:spacing w:after="0" w:line="14" w:lineRule="exact"/>
        <w:rPr>
          <w:rFonts w:ascii="Arial" w:cs="Arial" w:eastAsia="Arial" w:hAnsi="Arial"/>
          <w:sz w:val="16"/>
          <w:szCs w:val="16"/>
          <w:color w:val="auto"/>
        </w:rPr>
      </w:pPr>
    </w:p>
    <w:p>
      <w:pPr>
        <w:ind w:left="320" w:right="180" w:hanging="314"/>
        <w:spacing w:after="0" w:line="267" w:lineRule="auto"/>
        <w:tabs>
          <w:tab w:leader="none" w:pos="3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fourth quarter of 2021, adjustments were made to the Wigmore valuation pertaining to contingent consideration and intangible assets. Goodwill was adjusted due to an increase of $0.3 million in contingent consideration and a decrease of $1.0 million in intangible assets.</w:t>
      </w:r>
    </w:p>
    <w:p>
      <w:pPr>
        <w:spacing w:after="0" w:line="131"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231F20"/>
        </w:rPr>
        <w:t>Intangible assets acquired included customer relationships and non-compete agreements.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weighted average amortization period of customer relationship was 5 years, while the non-compete agreements are amortized over 3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50"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231F20"/>
        </w:rPr>
        <w:t>The Company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the Company’s products generally transfers to the customer upon shipment of the products from the Company’s warehouse facility. Therefore, revenue associated with product purchases is recognized at a point in time upon shipment to the intended customer.</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Disaggregated Revenue</w:t>
      </w:r>
    </w:p>
    <w:p>
      <w:pPr>
        <w:spacing w:after="0" w:line="244" w:lineRule="exact"/>
        <w:rPr>
          <w:sz w:val="20"/>
          <w:szCs w:val="20"/>
          <w:color w:val="auto"/>
        </w:rPr>
      </w:pPr>
    </w:p>
    <w:p>
      <w:pPr>
        <w:ind w:right="240" w:firstLine="318"/>
        <w:spacing w:after="0" w:line="277" w:lineRule="auto"/>
        <w:rPr>
          <w:sz w:val="20"/>
          <w:szCs w:val="20"/>
          <w:color w:val="auto"/>
        </w:rPr>
      </w:pPr>
      <w:r>
        <w:rPr>
          <w:rFonts w:ascii="Arial" w:cs="Arial" w:eastAsia="Arial" w:hAnsi="Arial"/>
          <w:sz w:val="17"/>
          <w:szCs w:val="17"/>
          <w:color w:val="231F20"/>
        </w:rPr>
        <w:t>The Company generates revenue through manufacturing and selling Delivery Systems. In conjunction with the sale of Delivery Systems, the Company also sells Consumables that are used when customers provide a hydradermabrasion facial experience for their customers using a Delivery System. The Consumables are sold by the Company and are available for purchase separately from the purchase of a Delivery System.</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gridSpan w:val="2"/>
          </w:tcPr>
          <w:p>
            <w:pPr>
              <w:jc w:val="center"/>
              <w:ind w:left="293"/>
              <w:spacing w:after="0"/>
              <w:rPr>
                <w:sz w:val="20"/>
                <w:szCs w:val="20"/>
                <w:color w:val="auto"/>
              </w:rPr>
            </w:pPr>
            <w:r>
              <w:rPr>
                <w:rFonts w:ascii="Arial" w:cs="Arial" w:eastAsia="Arial" w:hAnsi="Arial"/>
                <w:sz w:val="18"/>
                <w:szCs w:val="18"/>
                <w:color w:val="231F20"/>
                <w:w w:val="86"/>
              </w:rPr>
              <w:t>139,464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231F20"/>
              </w:rPr>
              <w:t>53,372</w:t>
            </w:r>
          </w:p>
        </w:tc>
        <w:tc>
          <w:tcPr>
            <w:tcW w:w="8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81,467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Consumables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center"/>
              <w:ind w:left="293"/>
              <w:spacing w:after="0"/>
              <w:rPr>
                <w:sz w:val="20"/>
                <w:szCs w:val="20"/>
                <w:color w:val="auto"/>
              </w:rPr>
            </w:pPr>
            <w:r>
              <w:rPr>
                <w:rFonts w:ascii="Arial" w:cs="Arial" w:eastAsia="Arial" w:hAnsi="Arial"/>
                <w:sz w:val="18"/>
                <w:szCs w:val="18"/>
                <w:color w:val="231F20"/>
                <w:w w:val="86"/>
              </w:rPr>
              <w:t>120,622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65,720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85,156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980"/>
              <w:spacing w:after="0" w:line="204" w:lineRule="exact"/>
              <w:rPr>
                <w:sz w:val="20"/>
                <w:szCs w:val="20"/>
                <w:color w:val="auto"/>
              </w:rPr>
            </w:pPr>
            <w:r>
              <w:rPr>
                <w:rFonts w:ascii="Arial" w:cs="Arial" w:eastAsia="Arial" w:hAnsi="Arial"/>
                <w:sz w:val="18"/>
                <w:szCs w:val="18"/>
                <w:color w:val="231F20"/>
              </w:rPr>
              <w:t>Total net sales</w:t>
            </w: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gridSpan w:val="2"/>
          </w:tcPr>
          <w:p>
            <w:pPr>
              <w:jc w:val="center"/>
              <w:ind w:left="293"/>
              <w:spacing w:after="0"/>
              <w:rPr>
                <w:sz w:val="20"/>
                <w:szCs w:val="20"/>
                <w:color w:val="auto"/>
              </w:rPr>
            </w:pPr>
            <w:r>
              <w:rPr>
                <w:rFonts w:ascii="Arial" w:cs="Arial" w:eastAsia="Arial" w:hAnsi="Arial"/>
                <w:sz w:val="18"/>
                <w:szCs w:val="18"/>
                <w:color w:val="231F20"/>
                <w:w w:val="86"/>
              </w:rPr>
              <w:t>260,086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231F20"/>
              </w:rPr>
              <w:t>119,092</w:t>
            </w:r>
          </w:p>
        </w:tc>
        <w:tc>
          <w:tcPr>
            <w:tcW w:w="8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231F20"/>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166,623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18</w:t>
            </w:r>
            <w:r>
              <w:rPr>
                <w:rFonts w:ascii="Arial" w:cs="Arial" w:eastAsia="Arial" w:hAnsi="Arial"/>
                <w:sz w:val="18"/>
                <w:szCs w:val="18"/>
                <w:color w:val="231F20"/>
              </w:rPr>
              <w:t xml:space="preserve"> for revenue disaggregated by geographical region.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6"/>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760" w:type="dxa"/>
            <w:vAlign w:val="bottom"/>
          </w:tcPr>
          <w:p>
            <w:pPr>
              <w:spacing w:after="0"/>
              <w:rPr>
                <w:sz w:val="20"/>
                <w:szCs w:val="20"/>
                <w:color w:val="auto"/>
              </w:rPr>
            </w:pPr>
            <w:r>
              <w:rPr>
                <w:rFonts w:ascii="Arial" w:cs="Arial" w:eastAsia="Arial" w:hAnsi="Arial"/>
                <w:sz w:val="18"/>
                <w:szCs w:val="18"/>
                <w:b w:val="1"/>
                <w:bCs w:val="1"/>
                <w:color w:val="auto"/>
              </w:rPr>
              <w:t>Note 5 — Balance Sheet Components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760" w:type="dxa"/>
            <w:vAlign w:val="bottom"/>
          </w:tcPr>
          <w:p>
            <w:pPr>
              <w:ind w:left="320"/>
              <w:spacing w:after="0"/>
              <w:rPr>
                <w:sz w:val="20"/>
                <w:szCs w:val="20"/>
                <w:color w:val="auto"/>
              </w:rPr>
            </w:pPr>
            <w:r>
              <w:rPr>
                <w:rFonts w:ascii="Arial" w:cs="Arial" w:eastAsia="Arial" w:hAnsi="Arial"/>
                <w:sz w:val="18"/>
                <w:szCs w:val="18"/>
                <w:color w:val="231F20"/>
              </w:rPr>
              <w:t>Inventories consist of the following as of the periods indicated:</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231F20"/>
              </w:rPr>
              <w:t>December 31, 2021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231F20"/>
                <w:w w:val="88"/>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Raw materials</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Finished goods</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inventories</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35,261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231F20"/>
                <w:w w:val="95"/>
              </w:rPr>
              <w:t>Accrued payroll-related expenses consist of the following as of the periods indicated:</w:t>
            </w: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Accrued payroll taxes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sales commissions</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payroll-related expenses</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231F20"/>
              </w:rPr>
              <w:t>Other accrued expenses consist of the following as of the periods indicated:</w:t>
            </w: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231F20"/>
              </w:rPr>
              <w:t>December 31, 2021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231F20"/>
                <w:w w:val="88"/>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Sales and VAT tax payables</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60"/>
              <w:spacing w:after="0"/>
              <w:rPr>
                <w:sz w:val="20"/>
                <w:szCs w:val="20"/>
                <w:color w:val="auto"/>
              </w:rPr>
            </w:pPr>
            <w:r>
              <w:rPr>
                <w:rFonts w:ascii="Arial" w:cs="Arial" w:eastAsia="Arial" w:hAnsi="Arial"/>
                <w:sz w:val="18"/>
                <w:szCs w:val="18"/>
                <w:color w:val="231F20"/>
              </w:rPr>
              <w:t>Accrued interest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231F20"/>
              </w:rPr>
              <w:t>2,786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Contingent consideration</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60"/>
              <w:spacing w:after="0"/>
              <w:rPr>
                <w:sz w:val="20"/>
                <w:szCs w:val="20"/>
                <w:color w:val="auto"/>
              </w:rPr>
            </w:pPr>
            <w:r>
              <w:rPr>
                <w:rFonts w:ascii="Arial" w:cs="Arial" w:eastAsia="Arial" w:hAnsi="Arial"/>
                <w:sz w:val="18"/>
                <w:szCs w:val="18"/>
                <w:color w:val="231F20"/>
              </w:rPr>
              <w:t>Note payable due seller (Note 3)</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231F20"/>
              </w:rPr>
              <w:t>2,153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Royalty liabilities</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other accrued expenses</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14,722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50"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The Company does not own any real estate. The majority of the Company’s liability primarily consists of the Company’s international office spaces and warehouse all of which are classified as operating leases. The Company’s finance leases relate to leased equipment such as office and warehouse equipment. The finance lease balances are not material but are included in property and equipment, other accrued liabilities, and other long-term liabilities of the Consolidated Balance Sheets. Lease terms include the non-cancellable portion of the underlying leases along with any reasonably certain lease periods associated with available renewal periods, termination options and purchase options. The Company's leases do not contain significant restrictive provisions nor residual value guarantees.</w:t>
      </w:r>
    </w:p>
    <w:p>
      <w:pPr>
        <w:spacing w:after="0" w:line="222"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Operating and finance lease ROU liabilities are recognized at the lease commencement date based on the present value of the fixed lease payments using the Company’s incremental borrowing rates for its population of leases. Related operating and finance lease ROU assets are recognized based on the initial present value of the fixed lease payments, reduced by cash</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payments received from landlords as lease incentives, plus any prepaid rent and other direct costs from executing the leases. The interest expense amortization component of the finance lease ROU liabilities is recorded within interest expense on the Consolidated Statements of Comprehensive Loss. ROU assets are tested for impairment in the same manner as long-lived assets.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ROU assets and liabilities as of December 31, 2021 comprises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231F20"/>
              </w:rPr>
              <w:t>Assets</w:t>
            </w:r>
          </w:p>
        </w:tc>
        <w:tc>
          <w:tcPr>
            <w:tcW w:w="4300" w:type="dxa"/>
            <w:vAlign w:val="bottom"/>
            <w:tcBorders>
              <w:bottom w:val="single" w:sz="8" w:color="CCEEFF"/>
            </w:tcBorders>
          </w:tcPr>
          <w:p>
            <w:pPr>
              <w:jc w:val="center"/>
              <w:ind w:left="232"/>
              <w:spacing w:after="0"/>
              <w:rPr>
                <w:sz w:val="20"/>
                <w:szCs w:val="20"/>
                <w:color w:val="auto"/>
              </w:rPr>
            </w:pPr>
            <w:r>
              <w:rPr>
                <w:rFonts w:ascii="Arial" w:cs="Arial" w:eastAsia="Arial" w:hAnsi="Arial"/>
                <w:sz w:val="18"/>
                <w:szCs w:val="18"/>
                <w:b w:val="1"/>
                <w:bCs w:val="1"/>
                <w:color w:val="231F20"/>
                <w:w w:val="85"/>
              </w:rPr>
              <w:t>Balance Sheet Classification</w:t>
            </w:r>
          </w:p>
        </w:tc>
        <w:tc>
          <w:tcPr>
            <w:tcW w:w="6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4"/>
                <w:szCs w:val="14"/>
                <w:b w:val="1"/>
                <w:bCs w:val="1"/>
                <w:color w:val="231F20"/>
              </w:rPr>
              <w:t>December 31, 2021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Operating lease assets</w:t>
            </w:r>
          </w:p>
        </w:tc>
        <w:tc>
          <w:tcPr>
            <w:tcW w:w="4300" w:type="dxa"/>
            <w:vAlign w:val="bottom"/>
            <w:shd w:val="clear" w:color="auto" w:fill="CCEEFF"/>
          </w:tcPr>
          <w:p>
            <w:pPr>
              <w:jc w:val="center"/>
              <w:ind w:left="232"/>
              <w:spacing w:after="0" w:line="205" w:lineRule="exact"/>
              <w:rPr>
                <w:sz w:val="20"/>
                <w:szCs w:val="20"/>
                <w:color w:val="auto"/>
              </w:rPr>
            </w:pPr>
            <w:r>
              <w:rPr>
                <w:rFonts w:ascii="Arial" w:cs="Arial" w:eastAsia="Arial" w:hAnsi="Arial"/>
                <w:sz w:val="18"/>
                <w:szCs w:val="18"/>
                <w:color w:val="231F20"/>
                <w:w w:val="87"/>
              </w:rPr>
              <w:t>Right-of-use assets, net</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14,992</w:t>
            </w:r>
          </w:p>
        </w:tc>
        <w:tc>
          <w:tcPr>
            <w:tcW w:w="0" w:type="dxa"/>
            <w:vAlign w:val="bottom"/>
          </w:tcPr>
          <w:p>
            <w:pPr>
              <w:spacing w:after="0"/>
              <w:rPr>
                <w:sz w:val="1"/>
                <w:szCs w:val="1"/>
                <w:color w:val="auto"/>
              </w:rPr>
            </w:pPr>
          </w:p>
        </w:tc>
      </w:tr>
      <w:tr>
        <w:trPr>
          <w:trHeight w:val="252"/>
        </w:trPr>
        <w:tc>
          <w:tcPr>
            <w:tcW w:w="34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Liabilities</w:t>
            </w: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60"/>
              <w:spacing w:after="0"/>
              <w:rPr>
                <w:sz w:val="20"/>
                <w:szCs w:val="20"/>
                <w:color w:val="auto"/>
              </w:rPr>
            </w:pPr>
            <w:r>
              <w:rPr>
                <w:rFonts w:ascii="Arial" w:cs="Arial" w:eastAsia="Arial" w:hAnsi="Arial"/>
                <w:sz w:val="18"/>
                <w:szCs w:val="18"/>
                <w:color w:val="231F20"/>
              </w:rPr>
              <w:t>Operating</w:t>
            </w:r>
          </w:p>
        </w:tc>
        <w:tc>
          <w:tcPr>
            <w:tcW w:w="4300" w:type="dxa"/>
            <w:vAlign w:val="bottom"/>
          </w:tcPr>
          <w:p>
            <w:pPr>
              <w:jc w:val="center"/>
              <w:ind w:left="232"/>
              <w:spacing w:after="0"/>
              <w:rPr>
                <w:sz w:val="20"/>
                <w:szCs w:val="20"/>
                <w:color w:val="auto"/>
              </w:rPr>
            </w:pPr>
            <w:r>
              <w:rPr>
                <w:rFonts w:ascii="Arial" w:cs="Arial" w:eastAsia="Arial" w:hAnsi="Arial"/>
                <w:sz w:val="18"/>
                <w:szCs w:val="18"/>
                <w:color w:val="231F20"/>
                <w:w w:val="90"/>
              </w:rPr>
              <w:t>Lease liabilities, current</w:t>
            </w:r>
          </w:p>
        </w:tc>
        <w:tc>
          <w:tcPr>
            <w:tcW w:w="640" w:type="dxa"/>
            <w:vAlign w:val="bottom"/>
          </w:tcPr>
          <w:p>
            <w:pPr>
              <w:jc w:val="right"/>
              <w:ind w:right="452"/>
              <w:spacing w:after="0"/>
              <w:rPr>
                <w:sz w:val="20"/>
                <w:szCs w:val="20"/>
                <w:color w:val="auto"/>
              </w:rPr>
            </w:pPr>
            <w:r>
              <w:rPr>
                <w:rFonts w:ascii="Arial" w:cs="Arial" w:eastAsia="Arial" w:hAnsi="Arial"/>
                <w:sz w:val="18"/>
                <w:szCs w:val="18"/>
                <w:color w:val="231F20"/>
                <w:w w:val="79"/>
              </w:rPr>
              <w:t>$</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3,712</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w:t>
            </w:r>
          </w:p>
        </w:tc>
        <w:tc>
          <w:tcPr>
            <w:tcW w:w="430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231F20"/>
                <w:w w:val="90"/>
              </w:rPr>
              <w:t>Lease liabilities, non-current</w:t>
            </w: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12,781</w:t>
            </w:r>
          </w:p>
        </w:tc>
        <w:tc>
          <w:tcPr>
            <w:tcW w:w="0" w:type="dxa"/>
            <w:vAlign w:val="bottom"/>
          </w:tcPr>
          <w:p>
            <w:pPr>
              <w:spacing w:after="0"/>
              <w:rPr>
                <w:sz w:val="1"/>
                <w:szCs w:val="1"/>
                <w:color w:val="auto"/>
              </w:rPr>
            </w:pPr>
          </w:p>
        </w:tc>
      </w:tr>
      <w:tr>
        <w:trPr>
          <w:trHeight w:val="218"/>
        </w:trPr>
        <w:tc>
          <w:tcPr>
            <w:tcW w:w="3420" w:type="dxa"/>
            <w:vAlign w:val="bottom"/>
          </w:tcPr>
          <w:p>
            <w:pPr>
              <w:ind w:left="60"/>
              <w:spacing w:after="0"/>
              <w:rPr>
                <w:sz w:val="20"/>
                <w:szCs w:val="20"/>
                <w:color w:val="auto"/>
              </w:rPr>
            </w:pPr>
            <w:r>
              <w:rPr>
                <w:rFonts w:ascii="Arial" w:cs="Arial" w:eastAsia="Arial" w:hAnsi="Arial"/>
                <w:sz w:val="18"/>
                <w:szCs w:val="18"/>
                <w:b w:val="1"/>
                <w:bCs w:val="1"/>
                <w:color w:val="231F20"/>
              </w:rPr>
              <w:t>Total lease liabilities</w:t>
            </w:r>
          </w:p>
        </w:tc>
        <w:tc>
          <w:tcPr>
            <w:tcW w:w="43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16,493</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11240" w:type="dxa"/>
            <w:vAlign w:val="bottom"/>
            <w:gridSpan w:val="6"/>
          </w:tcPr>
          <w:p>
            <w:pPr>
              <w:ind w:left="320"/>
              <w:spacing w:after="0"/>
              <w:rPr>
                <w:sz w:val="20"/>
                <w:szCs w:val="20"/>
                <w:color w:val="auto"/>
              </w:rPr>
            </w:pPr>
            <w:r>
              <w:rPr>
                <w:rFonts w:ascii="Arial" w:cs="Arial" w:eastAsia="Arial" w:hAnsi="Arial"/>
                <w:sz w:val="18"/>
                <w:szCs w:val="18"/>
                <w:color w:val="auto"/>
                <w:w w:val="90"/>
              </w:rPr>
              <w:t>Total lease cost for the year ended December 31, 2021 is below. The variable lease costs were not included in the measurement of the lease liabilities.</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w w:val="94"/>
              </w:rPr>
              <w:t>These primarily include property taxes, property insurance, and common area maintenance expenses.</w:t>
            </w: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1"/>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4300" w:type="dxa"/>
            <w:vAlign w:val="bottom"/>
            <w:tcBorders>
              <w:bottom w:val="single" w:sz="8" w:color="CCEEFF"/>
            </w:tcBorders>
          </w:tcPr>
          <w:p>
            <w:pPr>
              <w:jc w:val="center"/>
              <w:ind w:left="232"/>
              <w:spacing w:after="0"/>
              <w:rPr>
                <w:sz w:val="20"/>
                <w:szCs w:val="20"/>
                <w:color w:val="auto"/>
              </w:rPr>
            </w:pPr>
            <w:r>
              <w:rPr>
                <w:rFonts w:ascii="Arial" w:cs="Arial" w:eastAsia="Arial" w:hAnsi="Arial"/>
                <w:sz w:val="18"/>
                <w:szCs w:val="18"/>
                <w:b w:val="1"/>
                <w:bCs w:val="1"/>
                <w:color w:val="231F20"/>
                <w:w w:val="87"/>
              </w:rPr>
              <w:t>Statement of Operations Classification</w:t>
            </w:r>
          </w:p>
        </w:tc>
        <w:tc>
          <w:tcPr>
            <w:tcW w:w="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4"/>
                <w:szCs w:val="14"/>
                <w:b w:val="1"/>
                <w:bCs w:val="1"/>
                <w:color w:val="231F20"/>
              </w:rPr>
              <w:t>December 31, 2021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b w:val="1"/>
                <w:bCs w:val="1"/>
                <w:color w:val="231F20"/>
              </w:rPr>
              <w:t>Operating lease cost</w:t>
            </w:r>
          </w:p>
        </w:tc>
        <w:tc>
          <w:tcPr>
            <w:tcW w:w="4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60"/>
              <w:spacing w:after="0"/>
              <w:rPr>
                <w:sz w:val="20"/>
                <w:szCs w:val="20"/>
                <w:color w:val="auto"/>
              </w:rPr>
            </w:pPr>
            <w:r>
              <w:rPr>
                <w:rFonts w:ascii="Arial" w:cs="Arial" w:eastAsia="Arial" w:hAnsi="Arial"/>
                <w:sz w:val="18"/>
                <w:szCs w:val="18"/>
                <w:color w:val="231F20"/>
              </w:rPr>
              <w:t>Operating lease cost</w:t>
            </w:r>
          </w:p>
        </w:tc>
        <w:tc>
          <w:tcPr>
            <w:tcW w:w="4300" w:type="dxa"/>
            <w:vAlign w:val="bottom"/>
          </w:tcPr>
          <w:p>
            <w:pPr>
              <w:jc w:val="center"/>
              <w:ind w:left="232"/>
              <w:spacing w:after="0"/>
              <w:rPr>
                <w:sz w:val="20"/>
                <w:szCs w:val="20"/>
                <w:color w:val="auto"/>
              </w:rPr>
            </w:pPr>
            <w:r>
              <w:rPr>
                <w:rFonts w:ascii="Arial" w:cs="Arial" w:eastAsia="Arial" w:hAnsi="Arial"/>
                <w:sz w:val="18"/>
                <w:szCs w:val="18"/>
                <w:color w:val="231F20"/>
                <w:w w:val="86"/>
              </w:rPr>
              <w:t>Cost of sales</w:t>
            </w:r>
          </w:p>
        </w:tc>
        <w:tc>
          <w:tcPr>
            <w:tcW w:w="640" w:type="dxa"/>
            <w:vAlign w:val="bottom"/>
          </w:tcPr>
          <w:p>
            <w:pPr>
              <w:jc w:val="right"/>
              <w:ind w:right="452"/>
              <w:spacing w:after="0"/>
              <w:rPr>
                <w:sz w:val="20"/>
                <w:szCs w:val="20"/>
                <w:color w:val="auto"/>
              </w:rPr>
            </w:pPr>
            <w:r>
              <w:rPr>
                <w:rFonts w:ascii="Arial" w:cs="Arial" w:eastAsia="Arial" w:hAnsi="Arial"/>
                <w:sz w:val="18"/>
                <w:szCs w:val="18"/>
                <w:color w:val="231F20"/>
                <w:w w:val="79"/>
              </w:rPr>
              <w:t>$</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811</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 lease cost</w:t>
            </w:r>
          </w:p>
        </w:tc>
        <w:tc>
          <w:tcPr>
            <w:tcW w:w="430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231F20"/>
                <w:w w:val="89"/>
              </w:rPr>
              <w:t>Selling, General and administrative</w:t>
            </w: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2,535</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3,346</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Short-term lease cost</w:t>
            </w: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Short-term lease cost</w:t>
            </w:r>
          </w:p>
        </w:tc>
        <w:tc>
          <w:tcPr>
            <w:tcW w:w="4300" w:type="dxa"/>
            <w:vAlign w:val="bottom"/>
            <w:tcBorders>
              <w:bottom w:val="single" w:sz="8" w:color="CCEEFF"/>
            </w:tcBorders>
          </w:tcPr>
          <w:p>
            <w:pPr>
              <w:jc w:val="center"/>
              <w:ind w:left="232"/>
              <w:spacing w:after="0"/>
              <w:rPr>
                <w:sz w:val="20"/>
                <w:szCs w:val="20"/>
                <w:color w:val="auto"/>
              </w:rPr>
            </w:pPr>
            <w:r>
              <w:rPr>
                <w:rFonts w:ascii="Arial" w:cs="Arial" w:eastAsia="Arial" w:hAnsi="Arial"/>
                <w:sz w:val="18"/>
                <w:szCs w:val="18"/>
                <w:color w:val="231F20"/>
                <w:w w:val="89"/>
              </w:rPr>
              <w:t>Selling, General and administrative</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879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879</w:t>
            </w:r>
          </w:p>
        </w:tc>
        <w:tc>
          <w:tcPr>
            <w:tcW w:w="0" w:type="dxa"/>
            <w:vAlign w:val="bottom"/>
          </w:tcPr>
          <w:p>
            <w:pPr>
              <w:spacing w:after="0"/>
              <w:rPr>
                <w:sz w:val="1"/>
                <w:szCs w:val="1"/>
                <w:color w:val="auto"/>
              </w:rPr>
            </w:pPr>
          </w:p>
        </w:tc>
      </w:tr>
      <w:tr>
        <w:trPr>
          <w:trHeight w:val="225"/>
        </w:trPr>
        <w:tc>
          <w:tcPr>
            <w:tcW w:w="3420" w:type="dxa"/>
            <w:vAlign w:val="bottom"/>
          </w:tcPr>
          <w:p>
            <w:pPr>
              <w:ind w:left="60"/>
              <w:spacing w:after="0"/>
              <w:rPr>
                <w:sz w:val="20"/>
                <w:szCs w:val="20"/>
                <w:color w:val="auto"/>
              </w:rPr>
            </w:pPr>
            <w:r>
              <w:rPr>
                <w:rFonts w:ascii="Arial" w:cs="Arial" w:eastAsia="Arial" w:hAnsi="Arial"/>
                <w:sz w:val="18"/>
                <w:szCs w:val="18"/>
                <w:b w:val="1"/>
                <w:bCs w:val="1"/>
                <w:color w:val="231F20"/>
              </w:rPr>
              <w:t>Variable lease cost</w:t>
            </w:r>
          </w:p>
        </w:tc>
        <w:tc>
          <w:tcPr>
            <w:tcW w:w="4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Variable lease cost</w:t>
            </w:r>
          </w:p>
        </w:tc>
        <w:tc>
          <w:tcPr>
            <w:tcW w:w="430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231F20"/>
                <w:w w:val="86"/>
              </w:rPr>
              <w:t>Cost of sales</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236</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Variable lease cost</w:t>
            </w:r>
          </w:p>
        </w:tc>
        <w:tc>
          <w:tcPr>
            <w:tcW w:w="4300" w:type="dxa"/>
            <w:vAlign w:val="bottom"/>
            <w:tcBorders>
              <w:bottom w:val="single" w:sz="8" w:color="CCEEFF"/>
            </w:tcBorders>
          </w:tcPr>
          <w:p>
            <w:pPr>
              <w:jc w:val="center"/>
              <w:ind w:left="232"/>
              <w:spacing w:after="0"/>
              <w:rPr>
                <w:sz w:val="20"/>
                <w:szCs w:val="20"/>
                <w:color w:val="auto"/>
              </w:rPr>
            </w:pPr>
            <w:r>
              <w:rPr>
                <w:rFonts w:ascii="Arial" w:cs="Arial" w:eastAsia="Arial" w:hAnsi="Arial"/>
                <w:sz w:val="18"/>
                <w:szCs w:val="18"/>
                <w:color w:val="231F20"/>
                <w:w w:val="89"/>
              </w:rPr>
              <w:t>Selling, General and administrative</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270</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506</w:t>
            </w:r>
          </w:p>
        </w:tc>
        <w:tc>
          <w:tcPr>
            <w:tcW w:w="0" w:type="dxa"/>
            <w:vAlign w:val="bottom"/>
          </w:tcPr>
          <w:p>
            <w:pPr>
              <w:spacing w:after="0"/>
              <w:rPr>
                <w:sz w:val="1"/>
                <w:szCs w:val="1"/>
                <w:color w:val="auto"/>
              </w:rPr>
            </w:pPr>
          </w:p>
        </w:tc>
      </w:tr>
      <w:tr>
        <w:trPr>
          <w:trHeight w:val="252"/>
        </w:trPr>
        <w:tc>
          <w:tcPr>
            <w:tcW w:w="3420" w:type="dxa"/>
            <w:vAlign w:val="bottom"/>
            <w:tcBorders>
              <w:bottom w:val="single" w:sz="8" w:color="CCEEFF"/>
            </w:tcBorders>
          </w:tcPr>
          <w:p>
            <w:pPr>
              <w:spacing w:after="0"/>
              <w:rPr>
                <w:sz w:val="21"/>
                <w:szCs w:val="21"/>
                <w:color w:val="auto"/>
              </w:rPr>
            </w:pPr>
          </w:p>
        </w:tc>
        <w:tc>
          <w:tcPr>
            <w:tcW w:w="43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231F20"/>
              </w:rPr>
              <w:t>Total operating lease cost</w:t>
            </w:r>
          </w:p>
        </w:tc>
        <w:tc>
          <w:tcPr>
            <w:tcW w:w="4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4,731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231F20"/>
              </w:rPr>
              <w:t>The following table summarizes future lease payments as of December 31, 2021:</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77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43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231F20"/>
              </w:rPr>
              <w:t>Operating Leases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2022</w:t>
            </w: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629"/>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4,117</w:t>
            </w:r>
          </w:p>
        </w:tc>
        <w:tc>
          <w:tcPr>
            <w:tcW w:w="0" w:type="dxa"/>
            <w:vAlign w:val="bottom"/>
          </w:tcPr>
          <w:p>
            <w:pPr>
              <w:spacing w:after="0"/>
              <w:rPr>
                <w:sz w:val="1"/>
                <w:szCs w:val="1"/>
                <w:color w:val="auto"/>
              </w:rPr>
            </w:pPr>
          </w:p>
        </w:tc>
      </w:tr>
      <w:tr>
        <w:trPr>
          <w:trHeight w:val="225"/>
        </w:trPr>
        <w:tc>
          <w:tcPr>
            <w:tcW w:w="3420" w:type="dxa"/>
            <w:vAlign w:val="bottom"/>
          </w:tcPr>
          <w:p>
            <w:pPr>
              <w:ind w:left="60"/>
              <w:spacing w:after="0"/>
              <w:rPr>
                <w:sz w:val="20"/>
                <w:szCs w:val="20"/>
                <w:color w:val="auto"/>
              </w:rPr>
            </w:pPr>
            <w:r>
              <w:rPr>
                <w:rFonts w:ascii="Arial" w:cs="Arial" w:eastAsia="Arial" w:hAnsi="Arial"/>
                <w:sz w:val="18"/>
                <w:szCs w:val="18"/>
                <w:color w:val="231F20"/>
              </w:rPr>
              <w:t>2023</w:t>
            </w:r>
          </w:p>
        </w:tc>
        <w:tc>
          <w:tcPr>
            <w:tcW w:w="4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4,023</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2024</w:t>
            </w: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3,294</w:t>
            </w:r>
          </w:p>
        </w:tc>
        <w:tc>
          <w:tcPr>
            <w:tcW w:w="0" w:type="dxa"/>
            <w:vAlign w:val="bottom"/>
          </w:tcPr>
          <w:p>
            <w:pPr>
              <w:spacing w:after="0"/>
              <w:rPr>
                <w:sz w:val="1"/>
                <w:szCs w:val="1"/>
                <w:color w:val="auto"/>
              </w:rPr>
            </w:pPr>
          </w:p>
        </w:tc>
      </w:tr>
      <w:tr>
        <w:trPr>
          <w:trHeight w:val="225"/>
        </w:trPr>
        <w:tc>
          <w:tcPr>
            <w:tcW w:w="3420" w:type="dxa"/>
            <w:vAlign w:val="bottom"/>
          </w:tcPr>
          <w:p>
            <w:pPr>
              <w:ind w:left="60"/>
              <w:spacing w:after="0"/>
              <w:rPr>
                <w:sz w:val="20"/>
                <w:szCs w:val="20"/>
                <w:color w:val="auto"/>
              </w:rPr>
            </w:pPr>
            <w:r>
              <w:rPr>
                <w:rFonts w:ascii="Arial" w:cs="Arial" w:eastAsia="Arial" w:hAnsi="Arial"/>
                <w:sz w:val="18"/>
                <w:szCs w:val="18"/>
                <w:color w:val="231F20"/>
              </w:rPr>
              <w:t>2025</w:t>
            </w:r>
          </w:p>
        </w:tc>
        <w:tc>
          <w:tcPr>
            <w:tcW w:w="4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981</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2026</w:t>
            </w: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885</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Thereafter</w:t>
            </w:r>
          </w:p>
        </w:tc>
        <w:tc>
          <w:tcPr>
            <w:tcW w:w="43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4,795</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w:t>
            </w:r>
          </w:p>
        </w:tc>
        <w:tc>
          <w:tcPr>
            <w:tcW w:w="4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18,095</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Less: Imputed Interest</w:t>
            </w:r>
          </w:p>
        </w:tc>
        <w:tc>
          <w:tcPr>
            <w:tcW w:w="43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(1,602)</w:t>
            </w: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Present value of net lease payments</w:t>
            </w:r>
          </w:p>
        </w:tc>
        <w:tc>
          <w:tcPr>
            <w:tcW w:w="4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629"/>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16,493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Prior to the adoption of ASC 842, the future minimum operating lease commitments as of December 31, 2020 under ASC 840 is below. Prior year rent expense under ASC 840 was $3.7 million.</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4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231F20"/>
              </w:rPr>
              <w:t>Operating Lease</w:t>
            </w:r>
          </w:p>
        </w:tc>
        <w:tc>
          <w:tcPr>
            <w:tcW w:w="0" w:type="dxa"/>
            <w:vAlign w:val="bottom"/>
          </w:tcPr>
          <w:p>
            <w:pPr>
              <w:spacing w:after="0"/>
              <w:rPr>
                <w:sz w:val="1"/>
                <w:szCs w:val="1"/>
                <w:color w:val="auto"/>
              </w:rPr>
            </w:pPr>
          </w:p>
        </w:tc>
      </w:tr>
      <w:tr>
        <w:trPr>
          <w:trHeight w:val="224"/>
        </w:trPr>
        <w:tc>
          <w:tcPr>
            <w:tcW w:w="94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2,617</w:t>
            </w:r>
          </w:p>
        </w:tc>
        <w:tc>
          <w:tcPr>
            <w:tcW w:w="0" w:type="dxa"/>
            <w:vAlign w:val="bottom"/>
          </w:tcPr>
          <w:p>
            <w:pPr>
              <w:spacing w:after="0"/>
              <w:rPr>
                <w:sz w:val="1"/>
                <w:szCs w:val="1"/>
                <w:color w:val="auto"/>
              </w:rPr>
            </w:pPr>
          </w:p>
        </w:tc>
      </w:tr>
      <w:tr>
        <w:trPr>
          <w:trHeight w:val="225"/>
        </w:trPr>
        <w:tc>
          <w:tcPr>
            <w:tcW w:w="9440" w:type="dxa"/>
            <w:vAlign w:val="bottom"/>
          </w:tcPr>
          <w:p>
            <w:pPr>
              <w:ind w:left="60"/>
              <w:spacing w:after="0"/>
              <w:rPr>
                <w:sz w:val="20"/>
                <w:szCs w:val="20"/>
                <w:color w:val="auto"/>
              </w:rPr>
            </w:pPr>
            <w:r>
              <w:rPr>
                <w:rFonts w:ascii="Arial" w:cs="Arial" w:eastAsia="Arial" w:hAnsi="Arial"/>
                <w:sz w:val="18"/>
                <w:szCs w:val="18"/>
                <w:color w:val="231F20"/>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2,432</w:t>
            </w: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2,114</w:t>
            </w:r>
          </w:p>
        </w:tc>
        <w:tc>
          <w:tcPr>
            <w:tcW w:w="0" w:type="dxa"/>
            <w:vAlign w:val="bottom"/>
          </w:tcPr>
          <w:p>
            <w:pPr>
              <w:spacing w:after="0"/>
              <w:rPr>
                <w:sz w:val="1"/>
                <w:szCs w:val="1"/>
                <w:color w:val="auto"/>
              </w:rPr>
            </w:pPr>
          </w:p>
        </w:tc>
      </w:tr>
      <w:tr>
        <w:trPr>
          <w:trHeight w:val="225"/>
        </w:trPr>
        <w:tc>
          <w:tcPr>
            <w:tcW w:w="9440" w:type="dxa"/>
            <w:vAlign w:val="bottom"/>
          </w:tcPr>
          <w:p>
            <w:pPr>
              <w:ind w:left="60"/>
              <w:spacing w:after="0"/>
              <w:rPr>
                <w:sz w:val="20"/>
                <w:szCs w:val="20"/>
                <w:color w:val="auto"/>
              </w:rPr>
            </w:pPr>
            <w:r>
              <w:rPr>
                <w:rFonts w:ascii="Arial" w:cs="Arial" w:eastAsia="Arial" w:hAnsi="Arial"/>
                <w:sz w:val="18"/>
                <w:szCs w:val="18"/>
                <w:color w:val="231F20"/>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2,048</w:t>
            </w: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669</w:t>
            </w:r>
          </w:p>
        </w:tc>
        <w:tc>
          <w:tcPr>
            <w:tcW w:w="0" w:type="dxa"/>
            <w:vAlign w:val="bottom"/>
          </w:tcPr>
          <w:p>
            <w:pPr>
              <w:spacing w:after="0"/>
              <w:rPr>
                <w:sz w:val="1"/>
                <w:szCs w:val="1"/>
                <w:color w:val="auto"/>
              </w:rPr>
            </w:pPr>
          </w:p>
        </w:tc>
      </w:tr>
      <w:tr>
        <w:trPr>
          <w:trHeight w:val="218"/>
        </w:trPr>
        <w:tc>
          <w:tcPr>
            <w:tcW w:w="9440" w:type="dxa"/>
            <w:vAlign w:val="bottom"/>
          </w:tcPr>
          <w:p>
            <w:pPr>
              <w:ind w:left="60"/>
              <w:spacing w:after="0" w:line="204" w:lineRule="exact"/>
              <w:rPr>
                <w:sz w:val="20"/>
                <w:szCs w:val="20"/>
                <w:color w:val="auto"/>
              </w:rPr>
            </w:pPr>
            <w:r>
              <w:rPr>
                <w:rFonts w:ascii="Arial" w:cs="Arial" w:eastAsia="Arial" w:hAnsi="Arial"/>
                <w:sz w:val="18"/>
                <w:szCs w:val="18"/>
                <w:color w:val="231F20"/>
              </w:rPr>
              <w:t>Total</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231F20"/>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9,880</w:t>
            </w:r>
          </w:p>
        </w:tc>
        <w:tc>
          <w:tcPr>
            <w:tcW w:w="0" w:type="dxa"/>
            <w:vAlign w:val="bottom"/>
          </w:tcPr>
          <w:p>
            <w:pPr>
              <w:spacing w:after="0"/>
              <w:rPr>
                <w:sz w:val="1"/>
                <w:szCs w:val="1"/>
                <w:color w:val="auto"/>
              </w:rPr>
            </w:pPr>
          </w:p>
        </w:tc>
      </w:tr>
      <w:tr>
        <w:trPr>
          <w:trHeight w:val="21"/>
        </w:trPr>
        <w:tc>
          <w:tcPr>
            <w:tcW w:w="9440" w:type="dxa"/>
            <w:vAlign w:val="bottom"/>
            <w:vMerge w:val="restart"/>
          </w:tcPr>
          <w:p>
            <w:pPr>
              <w:ind w:left="320"/>
              <w:spacing w:after="0"/>
              <w:rPr>
                <w:sz w:val="20"/>
                <w:szCs w:val="20"/>
                <w:color w:val="auto"/>
              </w:rPr>
            </w:pPr>
            <w:r>
              <w:rPr>
                <w:rFonts w:ascii="Arial" w:cs="Arial" w:eastAsia="Arial" w:hAnsi="Arial"/>
                <w:sz w:val="18"/>
                <w:szCs w:val="18"/>
                <w:color w:val="auto"/>
              </w:rPr>
              <w:t>The following table includes supplemental lease information:</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9"/>
        </w:trPr>
        <w:tc>
          <w:tcPr>
            <w:tcW w:w="9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44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Supplemental Cash Flow Information (dollars in thousands)</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211"/>
        </w:trPr>
        <w:tc>
          <w:tcPr>
            <w:tcW w:w="94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Operating cash flows from operating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231F20"/>
              </w:rPr>
              <w:t>3,041</w:t>
            </w:r>
          </w:p>
        </w:tc>
        <w:tc>
          <w:tcPr>
            <w:tcW w:w="0" w:type="dxa"/>
            <w:vAlign w:val="bottom"/>
          </w:tcPr>
          <w:p>
            <w:pPr>
              <w:spacing w:after="0"/>
              <w:rPr>
                <w:sz w:val="1"/>
                <w:szCs w:val="1"/>
                <w:color w:val="auto"/>
              </w:rPr>
            </w:pPr>
          </w:p>
        </w:tc>
      </w:tr>
      <w:tr>
        <w:trPr>
          <w:trHeight w:val="244"/>
        </w:trPr>
        <w:tc>
          <w:tcPr>
            <w:tcW w:w="944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231F20"/>
              </w:rPr>
              <w:t>3,041</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4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Lease liabilities arising from new ROU assets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440" w:type="dxa"/>
            <w:vAlign w:val="bottom"/>
          </w:tcPr>
          <w:p>
            <w:pPr>
              <w:ind w:left="180"/>
              <w:spacing w:after="0"/>
              <w:rPr>
                <w:sz w:val="20"/>
                <w:szCs w:val="20"/>
                <w:color w:val="auto"/>
              </w:rPr>
            </w:pPr>
            <w:r>
              <w:rPr>
                <w:rFonts w:ascii="Arial" w:cs="Arial" w:eastAsia="Arial" w:hAnsi="Arial"/>
                <w:sz w:val="18"/>
                <w:szCs w:val="18"/>
                <w:color w:val="231F20"/>
              </w:rPr>
              <w:t>Operating leases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22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8"/>
                <w:szCs w:val="18"/>
                <w:color w:val="231F20"/>
              </w:rPr>
              <w:t>5,707</w:t>
            </w:r>
          </w:p>
        </w:tc>
        <w:tc>
          <w:tcPr>
            <w:tcW w:w="0" w:type="dxa"/>
            <w:vAlign w:val="bottom"/>
          </w:tcPr>
          <w:p>
            <w:pPr>
              <w:spacing w:after="0"/>
              <w:rPr>
                <w:sz w:val="1"/>
                <w:szCs w:val="1"/>
                <w:color w:val="auto"/>
              </w:rPr>
            </w:pPr>
          </w:p>
        </w:tc>
      </w:tr>
      <w:tr>
        <w:trPr>
          <w:trHeight w:val="252"/>
        </w:trPr>
        <w:tc>
          <w:tcPr>
            <w:tcW w:w="9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440" w:type="dxa"/>
            <w:vAlign w:val="bottom"/>
          </w:tcPr>
          <w:p>
            <w:pPr>
              <w:ind w:left="60"/>
              <w:spacing w:after="0"/>
              <w:rPr>
                <w:sz w:val="20"/>
                <w:szCs w:val="20"/>
                <w:color w:val="auto"/>
              </w:rPr>
            </w:pPr>
            <w:r>
              <w:rPr>
                <w:rFonts w:ascii="Arial" w:cs="Arial" w:eastAsia="Arial" w:hAnsi="Arial"/>
                <w:sz w:val="18"/>
                <w:szCs w:val="18"/>
                <w:color w:val="231F20"/>
              </w:rPr>
              <w:t>Weighted average remaining lease term (in years)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Operating leases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w:t>
            </w:r>
          </w:p>
        </w:tc>
        <w:tc>
          <w:tcPr>
            <w:tcW w:w="0" w:type="dxa"/>
            <w:vAlign w:val="bottom"/>
          </w:tcPr>
          <w:p>
            <w:pPr>
              <w:spacing w:after="0"/>
              <w:rPr>
                <w:sz w:val="1"/>
                <w:szCs w:val="1"/>
                <w:color w:val="auto"/>
              </w:rPr>
            </w:pPr>
          </w:p>
        </w:tc>
      </w:tr>
      <w:tr>
        <w:trPr>
          <w:trHeight w:val="252"/>
        </w:trPr>
        <w:tc>
          <w:tcPr>
            <w:tcW w:w="9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4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Weighted average discount rate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440" w:type="dxa"/>
            <w:vAlign w:val="bottom"/>
          </w:tcPr>
          <w:p>
            <w:pPr>
              <w:ind w:left="180"/>
              <w:spacing w:after="0"/>
              <w:rPr>
                <w:sz w:val="20"/>
                <w:szCs w:val="20"/>
                <w:color w:val="auto"/>
              </w:rPr>
            </w:pPr>
            <w:r>
              <w:rPr>
                <w:rFonts w:ascii="Arial" w:cs="Arial" w:eastAsia="Arial" w:hAnsi="Arial"/>
                <w:sz w:val="18"/>
                <w:szCs w:val="18"/>
                <w:color w:val="231F20"/>
              </w:rPr>
              <w:t>Operating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2.75 %</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5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22" w:lineRule="exact"/>
        <w:rPr>
          <w:sz w:val="20"/>
          <w:szCs w:val="20"/>
          <w:color w:val="auto"/>
        </w:rPr>
      </w:pPr>
    </w:p>
    <w:p>
      <w:pPr>
        <w:ind w:left="640" w:right="180"/>
        <w:spacing w:after="0" w:line="29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ind w:left="640" w:right="620"/>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4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2021, and indicates the fair value hierarchy of the valuation inputs the Company utilized to determine such fair value. As of the Business Combination date, the Private Placement Warrants were valued using the Public Warrant Price, and was considered to be a Level 2 financial instrument as of that date. As of December 31, 2021, there were no Public Warrants outstanding, and the value of the Private Placement Warrants was determined using a Monte Carlo simulation,</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and as such, were classified as a Level 3 financial instrument as of December 31, 2021. This was the only valuation level transfer during the year ended December 31, 2021.</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231F20"/>
                <w:w w:val="97"/>
              </w:rPr>
              <w:t>Fair Value Measurements on a Recurring Basis</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4080" w:type="dxa"/>
            <w:vAlign w:val="bottom"/>
          </w:tcPr>
          <w:p>
            <w:pPr>
              <w:ind w:left="380"/>
              <w:spacing w:after="0"/>
              <w:rPr>
                <w:sz w:val="20"/>
                <w:szCs w:val="20"/>
                <w:color w:val="auto"/>
              </w:rPr>
            </w:pPr>
            <w:r>
              <w:rPr>
                <w:rFonts w:ascii="Arial" w:cs="Arial" w:eastAsia="Arial" w:hAnsi="Arial"/>
                <w:sz w:val="14"/>
                <w:szCs w:val="14"/>
                <w:b w:val="1"/>
                <w:bCs w:val="1"/>
                <w:color w:val="231F20"/>
              </w:rPr>
              <w:t>(in thousands)</w:t>
            </w:r>
          </w:p>
        </w:tc>
        <w:tc>
          <w:tcPr>
            <w:tcW w:w="6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231F20"/>
              </w:rPr>
              <w:t>Level 1</w:t>
            </w:r>
          </w:p>
        </w:tc>
        <w:tc>
          <w:tcPr>
            <w:tcW w:w="440" w:type="dxa"/>
            <w:vAlign w:val="bottom"/>
          </w:tcPr>
          <w:p>
            <w:pPr>
              <w:spacing w:after="0"/>
              <w:rPr>
                <w:sz w:val="16"/>
                <w:szCs w:val="16"/>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231F20"/>
              </w:rPr>
              <w:t>Level 2</w:t>
            </w:r>
          </w:p>
        </w:tc>
        <w:tc>
          <w:tcPr>
            <w:tcW w:w="6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Level 3</w:t>
            </w:r>
          </w:p>
        </w:tc>
        <w:tc>
          <w:tcPr>
            <w:tcW w:w="66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231F20"/>
              </w:rPr>
              <w:t>Total</w:t>
            </w:r>
          </w:p>
        </w:tc>
      </w:tr>
      <w:tr>
        <w:trPr>
          <w:trHeight w:val="206"/>
        </w:trPr>
        <w:tc>
          <w:tcPr>
            <w:tcW w:w="40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231F20"/>
              </w:rPr>
              <w:t>Assets</w:t>
            </w:r>
          </w:p>
        </w:tc>
        <w:tc>
          <w:tcPr>
            <w:tcW w:w="6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25"/>
        </w:trPr>
        <w:tc>
          <w:tcPr>
            <w:tcW w:w="4080" w:type="dxa"/>
            <w:vAlign w:val="bottom"/>
          </w:tcPr>
          <w:p>
            <w:pPr>
              <w:ind w:left="380"/>
              <w:spacing w:after="0"/>
              <w:rPr>
                <w:sz w:val="20"/>
                <w:szCs w:val="20"/>
                <w:color w:val="auto"/>
              </w:rPr>
            </w:pPr>
            <w:r>
              <w:rPr>
                <w:rFonts w:ascii="Arial" w:cs="Arial" w:eastAsia="Arial" w:hAnsi="Arial"/>
                <w:sz w:val="18"/>
                <w:szCs w:val="18"/>
                <w:color w:val="231F20"/>
              </w:rPr>
              <w:t>Cash and cash equivalents:</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40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Money market funds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861,943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231F20"/>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861,9</w:t>
            </w:r>
          </w:p>
        </w:tc>
      </w:tr>
      <w:tr>
        <w:trPr>
          <w:trHeight w:val="225"/>
        </w:trPr>
        <w:tc>
          <w:tcPr>
            <w:tcW w:w="4080" w:type="dxa"/>
            <w:vAlign w:val="bottom"/>
          </w:tcPr>
          <w:p>
            <w:pPr>
              <w:ind w:left="380"/>
              <w:spacing w:after="0"/>
              <w:rPr>
                <w:sz w:val="20"/>
                <w:szCs w:val="20"/>
                <w:color w:val="auto"/>
              </w:rPr>
            </w:pPr>
            <w:r>
              <w:rPr>
                <w:rFonts w:ascii="Arial" w:cs="Arial" w:eastAsia="Arial" w:hAnsi="Arial"/>
                <w:sz w:val="18"/>
                <w:szCs w:val="18"/>
                <w:b w:val="1"/>
                <w:bCs w:val="1"/>
                <w:color w:val="231F20"/>
              </w:rPr>
              <w:t>Liabilities</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40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Contingent consideration</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231F20"/>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w:t>
            </w:r>
          </w:p>
        </w:tc>
      </w:tr>
      <w:tr>
        <w:trPr>
          <w:trHeight w:val="224"/>
        </w:trPr>
        <w:tc>
          <w:tcPr>
            <w:tcW w:w="4080" w:type="dxa"/>
            <w:vAlign w:val="bottom"/>
          </w:tcPr>
          <w:p>
            <w:pPr>
              <w:ind w:left="380"/>
              <w:spacing w:after="0"/>
              <w:rPr>
                <w:sz w:val="20"/>
                <w:szCs w:val="20"/>
                <w:color w:val="auto"/>
              </w:rPr>
            </w:pPr>
            <w:r>
              <w:rPr>
                <w:rFonts w:ascii="Arial" w:cs="Arial" w:eastAsia="Arial" w:hAnsi="Arial"/>
                <w:sz w:val="18"/>
                <w:szCs w:val="18"/>
                <w:color w:val="231F20"/>
                <w:w w:val="98"/>
              </w:rPr>
              <w:t>Warrant liability — Private Placement Warrants</w:t>
            </w:r>
          </w:p>
        </w:tc>
        <w:tc>
          <w:tcPr>
            <w:tcW w:w="6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231F20"/>
              </w:rPr>
              <w: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93,816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93,8</w:t>
            </w: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Money Market Funds</w:t>
      </w:r>
    </w:p>
    <w:p>
      <w:pPr>
        <w:spacing w:after="0" w:line="244"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Arial" w:cs="Arial" w:eastAsia="Arial" w:hAnsi="Arial"/>
          <w:sz w:val="18"/>
          <w:szCs w:val="18"/>
          <w:color w:val="231F20"/>
        </w:rPr>
        <w:t>December 31, 2021</w:t>
      </w:r>
      <w:r>
        <w:rPr>
          <w:rFonts w:ascii="Arial" w:cs="Arial" w:eastAsia="Arial" w:hAnsi="Arial"/>
          <w:sz w:val="18"/>
          <w:szCs w:val="18"/>
          <w:color w:val="auto"/>
        </w:rPr>
        <w:t>, the Company’s U.S. portfolio had no material exposure to money market funds with a fluctuating net asset value.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Warrant Liabilities</w:t>
      </w:r>
    </w:p>
    <w:p>
      <w:pPr>
        <w:spacing w:after="0" w:line="244" w:lineRule="exact"/>
        <w:rPr>
          <w:sz w:val="20"/>
          <w:szCs w:val="20"/>
          <w:color w:val="auto"/>
        </w:rPr>
      </w:pPr>
    </w:p>
    <w:p>
      <w:pPr>
        <w:ind w:right="260" w:firstLine="318"/>
        <w:spacing w:after="0" w:line="308" w:lineRule="auto"/>
        <w:rPr>
          <w:sz w:val="20"/>
          <w:szCs w:val="20"/>
          <w:color w:val="auto"/>
        </w:rPr>
      </w:pPr>
      <w:r>
        <w:rPr>
          <w:rFonts w:ascii="Arial" w:cs="Arial" w:eastAsia="Arial" w:hAnsi="Arial"/>
          <w:sz w:val="15"/>
          <w:szCs w:val="15"/>
          <w:color w:val="auto"/>
        </w:rPr>
        <w:t xml:space="preserve">The Public Warrants and Private Placement Warrants (collectively, the “Warrants”) were accounted for as liabilities in accordance with ASC 815-40 and are presented within Warrant liabilities on the Company’s Consolidated Balance Sheets. The Warrants are measured at fair value at inception and on a recurring basis, with changes in fair value presented within Change in fair value of Warrants in the Company’s </w:t>
      </w:r>
      <w:r>
        <w:rPr>
          <w:rFonts w:ascii="Arial" w:cs="Arial" w:eastAsia="Arial" w:hAnsi="Arial"/>
          <w:sz w:val="15"/>
          <w:szCs w:val="15"/>
          <w:color w:val="231F20"/>
        </w:rPr>
        <w:t>Consolidated Statements of Comprehensive</w:t>
      </w:r>
      <w:r>
        <w:rPr>
          <w:rFonts w:ascii="Arial" w:cs="Arial" w:eastAsia="Arial" w:hAnsi="Arial"/>
          <w:sz w:val="15"/>
          <w:szCs w:val="15"/>
          <w:color w:val="auto"/>
        </w:rPr>
        <w:t xml:space="preserve"> </w:t>
      </w:r>
      <w:r>
        <w:rPr>
          <w:rFonts w:ascii="Arial" w:cs="Arial" w:eastAsia="Arial" w:hAnsi="Arial"/>
          <w:sz w:val="15"/>
          <w:szCs w:val="15"/>
          <w:color w:val="231F20"/>
        </w:rPr>
        <w:t>Loss</w:t>
      </w:r>
      <w:r>
        <w:rPr>
          <w:rFonts w:ascii="Arial" w:cs="Arial" w:eastAsia="Arial" w:hAnsi="Arial"/>
          <w:sz w:val="15"/>
          <w:szCs w:val="15"/>
          <w:color w:val="000000"/>
        </w:rPr>
        <w:t>. At</w:t>
      </w:r>
      <w:r>
        <w:rPr>
          <w:rFonts w:ascii="Arial" w:cs="Arial" w:eastAsia="Arial" w:hAnsi="Arial"/>
          <w:sz w:val="15"/>
          <w:szCs w:val="15"/>
          <w:color w:val="231F20"/>
        </w:rPr>
        <w:t xml:space="preserve"> December 31, 2021</w:t>
      </w:r>
      <w:r>
        <w:rPr>
          <w:rFonts w:ascii="Arial" w:cs="Arial" w:eastAsia="Arial" w:hAnsi="Arial"/>
          <w:sz w:val="15"/>
          <w:szCs w:val="15"/>
          <w:color w:val="000000"/>
        </w:rPr>
        <w:t>, the outstanding Private Placement Warrants were valued using a Monte Carlo simulation because these Warrants are subject to</w:t>
      </w:r>
    </w:p>
    <w:p>
      <w:pPr>
        <w:spacing w:after="0" w:line="2"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redemption if the reference value of the common stock, as defined, is between $10.00 and $18.00 per share. The value derived from the Monte Carlo simulation is based on key assumptions such as the fair value of the common stock at the date of the valuation, the strike price of the warrant, a dividend yield of zero, the expected term of the warrant based on the simulation, an assumed risk free rate over the expected term of 1.16% and an assumed historical</w:t>
      </w:r>
    </w:p>
    <w:p>
      <w:pPr>
        <w:spacing w:after="0" w:line="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 xml:space="preserve">volatility of the Company’s common stock of 59.2%. The Private Placement Warrants are classified as a Level 3 financial instruments as of December 31, 2021. There were no Public Warrants outstanding as of </w:t>
      </w:r>
      <w:r>
        <w:rPr>
          <w:rFonts w:ascii="Arial" w:cs="Arial" w:eastAsia="Arial" w:hAnsi="Arial"/>
          <w:sz w:val="18"/>
          <w:szCs w:val="18"/>
          <w:color w:val="231F20"/>
        </w:rPr>
        <w:t>December 31, 2021.</w:t>
      </w:r>
    </w:p>
    <w:p>
      <w:pPr>
        <w:spacing w:after="0" w:line="20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On October 4, 2021, the Company issued a press release stating that it would redeem all of the Public Warrants that remained outstanding following 5:00 p.m. New York City time on November 3, 2021, for a redemption price of $0.10 per Public Warrant. All outstanding Public Warrants totaling 16.2 million warrants were either exercised for cash or on a cashless basis or were redeemed. These outstanding Public Warrants comprised 15.3 million Public Warrants issued in connection with the Vesper initial public offering and an additional 0.9 million warrants that became Public Warrants due to the sale of Private Warrants. Public Warrants totaling 16.1 million were exercised for cash at an exercise price of $11.50 per share of Class A Common Stock, 74,104 Public Warrants were exercised on a cashless basis in exchange for an aggregate of 26,732 shares of Class A Common Stock, and 75,016 warrants were redeemed for $0.10 per warrant, in each case in accordance with the terms of the Warrant Agreement. Total cash proceeds generated from exercises of the Public Warrants were $185.4 million. In addition, 0.3 million of Private Warrants were exercised for total cash proceeds of $3.0 million. As of December 31, 2021, the Company had approximately 7 million Private Placement Warrants outstanding.</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244" w:lineRule="exact"/>
        <w:rPr>
          <w:sz w:val="20"/>
          <w:szCs w:val="20"/>
          <w:color w:val="auto"/>
        </w:rPr>
      </w:pPr>
    </w:p>
    <w:p>
      <w:pPr>
        <w:ind w:right="380" w:firstLine="318"/>
        <w:spacing w:after="0" w:line="330" w:lineRule="auto"/>
        <w:rPr>
          <w:sz w:val="20"/>
          <w:szCs w:val="20"/>
          <w:color w:val="auto"/>
        </w:rPr>
      </w:pPr>
      <w:r>
        <w:rPr>
          <w:rFonts w:ascii="Arial" w:cs="Arial" w:eastAsia="Arial" w:hAnsi="Arial"/>
          <w:sz w:val="15"/>
          <w:szCs w:val="15"/>
          <w:color w:val="auto"/>
        </w:rPr>
        <w:t>On July 1, 2021, in connection with the acquisition of Wigmore contingent consideration was payable to the previous owners. Upon acquisition, the contingent considered was measured using discounted cash flows based on the probability of meeting certain earn-out revenue targets. As of December 31, 2021, the Company accrued the full amount of the contingent consideration as the earn-out revenue targets were met.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42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92"/>
              </w:rPr>
              <w:t>Useful life</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231F20"/>
                <w:w w:val="91"/>
              </w:rPr>
              <w:t>December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231F20"/>
                <w:w w:val="91"/>
              </w:rPr>
              <w:t>December 31, 2020</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vMerge w:val="continue"/>
          </w:tcPr>
          <w:p>
            <w:pPr>
              <w:spacing w:after="0"/>
              <w:rPr>
                <w:sz w:val="16"/>
                <w:szCs w:val="16"/>
                <w:color w:val="auto"/>
              </w:rPr>
            </w:pPr>
          </w:p>
        </w:tc>
        <w:tc>
          <w:tcPr>
            <w:tcW w:w="2420" w:type="dxa"/>
            <w:vAlign w:val="bottom"/>
            <w:tcBorders>
              <w:bottom w:val="single" w:sz="8" w:color="231F20"/>
            </w:tcBorders>
            <w:gridSpan w:val="2"/>
          </w:tcPr>
          <w:p>
            <w:pPr>
              <w:jc w:val="center"/>
              <w:ind w:left="435"/>
              <w:spacing w:after="0"/>
              <w:rPr>
                <w:sz w:val="20"/>
                <w:szCs w:val="20"/>
                <w:color w:val="auto"/>
              </w:rPr>
            </w:pPr>
            <w:r>
              <w:rPr>
                <w:rFonts w:ascii="Arial" w:cs="Arial" w:eastAsia="Arial" w:hAnsi="Arial"/>
                <w:sz w:val="14"/>
                <w:szCs w:val="14"/>
                <w:b w:val="1"/>
                <w:bCs w:val="1"/>
                <w:color w:val="231F20"/>
                <w:w w:val="91"/>
              </w:rPr>
              <w:t>(years)</w:t>
            </w:r>
          </w:p>
        </w:tc>
        <w:tc>
          <w:tcPr>
            <w:tcW w:w="480" w:type="dxa"/>
            <w:vAlign w:val="bottom"/>
            <w:tcBorders>
              <w:bottom w:val="single" w:sz="8" w:color="231F20"/>
            </w:tcBorders>
          </w:tcPr>
          <w:p>
            <w:pPr>
              <w:spacing w:after="0"/>
              <w:rPr>
                <w:sz w:val="16"/>
                <w:szCs w:val="16"/>
                <w:color w:val="auto"/>
              </w:rPr>
            </w:pPr>
          </w:p>
        </w:tc>
        <w:tc>
          <w:tcPr>
            <w:tcW w:w="40" w:type="dxa"/>
            <w:vAlign w:val="bottom"/>
            <w:tcBorders>
              <w:bottom w:val="single" w:sz="8" w:color="231F20"/>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gridSpan w:val="2"/>
            <w:vMerge w:val="continue"/>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360" w:type="dxa"/>
            <w:vAlign w:val="bottom"/>
            <w:tcBorders>
              <w:bottom w:val="single" w:sz="8" w:color="231F2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Furniture and fixtures</w:t>
            </w:r>
          </w:p>
        </w:tc>
        <w:tc>
          <w:tcPr>
            <w:tcW w:w="242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231F20"/>
                <w:w w:val="84"/>
              </w:rPr>
              <w:t>2-7</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w w:val="9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4,074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3,265</w:t>
            </w:r>
          </w:p>
        </w:tc>
        <w:tc>
          <w:tcPr>
            <w:tcW w:w="0" w:type="dxa"/>
            <w:vAlign w:val="bottom"/>
          </w:tcPr>
          <w:p>
            <w:pPr>
              <w:spacing w:after="0"/>
              <w:rPr>
                <w:sz w:val="1"/>
                <w:szCs w:val="1"/>
                <w:color w:val="auto"/>
              </w:rPr>
            </w:pPr>
          </w:p>
        </w:tc>
      </w:tr>
      <w:tr>
        <w:trPr>
          <w:trHeight w:val="225"/>
        </w:trPr>
        <w:tc>
          <w:tcPr>
            <w:tcW w:w="5080" w:type="dxa"/>
            <w:vAlign w:val="bottom"/>
          </w:tcPr>
          <w:p>
            <w:pPr>
              <w:ind w:left="60"/>
              <w:spacing w:after="0"/>
              <w:rPr>
                <w:sz w:val="20"/>
                <w:szCs w:val="20"/>
                <w:color w:val="auto"/>
              </w:rPr>
            </w:pPr>
            <w:r>
              <w:rPr>
                <w:rFonts w:ascii="Arial" w:cs="Arial" w:eastAsia="Arial" w:hAnsi="Arial"/>
                <w:sz w:val="18"/>
                <w:szCs w:val="18"/>
                <w:color w:val="231F20"/>
              </w:rPr>
              <w:t>Computers and equipment</w:t>
            </w:r>
          </w:p>
        </w:tc>
        <w:tc>
          <w:tcPr>
            <w:tcW w:w="2420" w:type="dxa"/>
            <w:vAlign w:val="bottom"/>
            <w:gridSpan w:val="2"/>
          </w:tcPr>
          <w:p>
            <w:pPr>
              <w:jc w:val="center"/>
              <w:ind w:left="435"/>
              <w:spacing w:after="0"/>
              <w:rPr>
                <w:sz w:val="20"/>
                <w:szCs w:val="20"/>
                <w:color w:val="auto"/>
              </w:rPr>
            </w:pPr>
            <w:r>
              <w:rPr>
                <w:rFonts w:ascii="Arial" w:cs="Arial" w:eastAsia="Arial" w:hAnsi="Arial"/>
                <w:sz w:val="18"/>
                <w:szCs w:val="18"/>
                <w:color w:val="231F20"/>
                <w:w w:val="84"/>
              </w:rPr>
              <w:t>3-5</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231F20"/>
              </w:rPr>
              <w:t>4,010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3,057</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Machinery and equipment</w:t>
            </w:r>
          </w:p>
        </w:tc>
        <w:tc>
          <w:tcPr>
            <w:tcW w:w="242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231F20"/>
                <w:w w:val="84"/>
              </w:rPr>
              <w:t>2-5</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3,669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445</w:t>
            </w:r>
          </w:p>
        </w:tc>
        <w:tc>
          <w:tcPr>
            <w:tcW w:w="0" w:type="dxa"/>
            <w:vAlign w:val="bottom"/>
          </w:tcPr>
          <w:p>
            <w:pPr>
              <w:spacing w:after="0"/>
              <w:rPr>
                <w:sz w:val="1"/>
                <w:szCs w:val="1"/>
                <w:color w:val="auto"/>
              </w:rPr>
            </w:pPr>
          </w:p>
        </w:tc>
      </w:tr>
      <w:tr>
        <w:trPr>
          <w:trHeight w:val="225"/>
        </w:trPr>
        <w:tc>
          <w:tcPr>
            <w:tcW w:w="5080" w:type="dxa"/>
            <w:vAlign w:val="bottom"/>
          </w:tcPr>
          <w:p>
            <w:pPr>
              <w:ind w:left="60"/>
              <w:spacing w:after="0"/>
              <w:rPr>
                <w:sz w:val="20"/>
                <w:szCs w:val="20"/>
                <w:color w:val="auto"/>
              </w:rPr>
            </w:pPr>
            <w:r>
              <w:rPr>
                <w:rFonts w:ascii="Arial" w:cs="Arial" w:eastAsia="Arial" w:hAnsi="Arial"/>
                <w:sz w:val="18"/>
                <w:szCs w:val="18"/>
                <w:color w:val="231F20"/>
              </w:rPr>
              <w:t>Autos and trucks</w:t>
            </w:r>
          </w:p>
        </w:tc>
        <w:tc>
          <w:tcPr>
            <w:tcW w:w="2420" w:type="dxa"/>
            <w:vAlign w:val="bottom"/>
            <w:gridSpan w:val="2"/>
          </w:tcPr>
          <w:p>
            <w:pPr>
              <w:jc w:val="center"/>
              <w:ind w:left="435"/>
              <w:spacing w:after="0"/>
              <w:rPr>
                <w:sz w:val="20"/>
                <w:szCs w:val="20"/>
                <w:color w:val="auto"/>
              </w:rPr>
            </w:pPr>
            <w:r>
              <w:rPr>
                <w:rFonts w:ascii="Arial" w:cs="Arial" w:eastAsia="Arial" w:hAnsi="Arial"/>
                <w:sz w:val="18"/>
                <w:szCs w:val="18"/>
                <w:color w:val="231F20"/>
                <w:w w:val="99"/>
              </w:rPr>
              <w:t>5</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231F20"/>
              </w:rPr>
              <w:t>1,163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413</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Tooling</w:t>
            </w:r>
          </w:p>
        </w:tc>
        <w:tc>
          <w:tcPr>
            <w:tcW w:w="242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231F20"/>
                <w:w w:val="99"/>
              </w:rPr>
              <w:t>5</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1,389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1,150</w:t>
            </w:r>
          </w:p>
        </w:tc>
        <w:tc>
          <w:tcPr>
            <w:tcW w:w="0" w:type="dxa"/>
            <w:vAlign w:val="bottom"/>
          </w:tcPr>
          <w:p>
            <w:pPr>
              <w:spacing w:after="0"/>
              <w:rPr>
                <w:sz w:val="1"/>
                <w:szCs w:val="1"/>
                <w:color w:val="auto"/>
              </w:rPr>
            </w:pPr>
          </w:p>
        </w:tc>
      </w:tr>
      <w:tr>
        <w:trPr>
          <w:trHeight w:val="173"/>
        </w:trPr>
        <w:tc>
          <w:tcPr>
            <w:tcW w:w="5080" w:type="dxa"/>
            <w:vAlign w:val="bottom"/>
          </w:tcPr>
          <w:p>
            <w:pPr>
              <w:ind w:left="60"/>
              <w:spacing w:after="0" w:line="173" w:lineRule="exact"/>
              <w:rPr>
                <w:sz w:val="20"/>
                <w:szCs w:val="20"/>
                <w:color w:val="auto"/>
              </w:rPr>
            </w:pPr>
            <w:r>
              <w:rPr>
                <w:rFonts w:ascii="Arial" w:cs="Arial" w:eastAsia="Arial" w:hAnsi="Arial"/>
                <w:sz w:val="18"/>
                <w:szCs w:val="18"/>
                <w:color w:val="231F20"/>
              </w:rPr>
              <w:t>Leasehold improvements</w:t>
            </w:r>
          </w:p>
        </w:tc>
        <w:tc>
          <w:tcPr>
            <w:tcW w:w="2420" w:type="dxa"/>
            <w:vAlign w:val="bottom"/>
            <w:gridSpan w:val="2"/>
          </w:tcPr>
          <w:p>
            <w:pPr>
              <w:jc w:val="center"/>
              <w:ind w:left="435"/>
              <w:spacing w:after="0" w:line="173" w:lineRule="exact"/>
              <w:rPr>
                <w:sz w:val="20"/>
                <w:szCs w:val="20"/>
                <w:color w:val="auto"/>
              </w:rPr>
            </w:pPr>
            <w:r>
              <w:rPr>
                <w:rFonts w:ascii="Arial" w:cs="Arial" w:eastAsia="Arial" w:hAnsi="Arial"/>
                <w:sz w:val="18"/>
                <w:szCs w:val="18"/>
                <w:color w:val="231F20"/>
                <w:w w:val="88"/>
              </w:rPr>
              <w:t>Shorter of remaining lease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231F20"/>
              </w:rPr>
              <w:t>5,086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231F20"/>
              </w:rPr>
              <w:t>4,097</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gridSpan w:val="4"/>
          </w:tcPr>
          <w:p>
            <w:pPr>
              <w:jc w:val="center"/>
              <w:spacing w:after="0"/>
              <w:rPr>
                <w:sz w:val="20"/>
                <w:szCs w:val="20"/>
                <w:color w:val="auto"/>
              </w:rPr>
            </w:pPr>
            <w:r>
              <w:rPr>
                <w:rFonts w:ascii="Arial" w:cs="Arial" w:eastAsia="Arial" w:hAnsi="Arial"/>
                <w:sz w:val="18"/>
                <w:szCs w:val="18"/>
                <w:color w:val="231F20"/>
                <w:w w:val="89"/>
              </w:rPr>
              <w:t>term or estimated useful life</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property and equipment</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19,391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12,427</w:t>
            </w:r>
          </w:p>
        </w:tc>
        <w:tc>
          <w:tcPr>
            <w:tcW w:w="0" w:type="dxa"/>
            <w:vAlign w:val="bottom"/>
          </w:tcPr>
          <w:p>
            <w:pPr>
              <w:spacing w:after="0"/>
              <w:rPr>
                <w:sz w:val="1"/>
                <w:szCs w:val="1"/>
                <w:color w:val="auto"/>
              </w:rPr>
            </w:pPr>
          </w:p>
        </w:tc>
      </w:tr>
      <w:tr>
        <w:trPr>
          <w:trHeight w:val="218"/>
        </w:trPr>
        <w:tc>
          <w:tcPr>
            <w:tcW w:w="5080" w:type="dxa"/>
            <w:vAlign w:val="bottom"/>
          </w:tcPr>
          <w:p>
            <w:pPr>
              <w:ind w:left="60"/>
              <w:spacing w:after="0" w:line="204" w:lineRule="exact"/>
              <w:rPr>
                <w:sz w:val="20"/>
                <w:szCs w:val="20"/>
                <w:color w:val="auto"/>
              </w:rPr>
            </w:pPr>
            <w:r>
              <w:rPr>
                <w:rFonts w:ascii="Arial" w:cs="Arial" w:eastAsia="Arial" w:hAnsi="Arial"/>
                <w:sz w:val="18"/>
                <w:szCs w:val="18"/>
                <w:color w:val="231F20"/>
              </w:rPr>
              <w:t>Less: accumulated depreciation and amortization</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231F20"/>
              </w:rPr>
              <w:t>(8,561)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(4,407)</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Construction in progress</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5,353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1,171</w:t>
            </w:r>
          </w:p>
        </w:tc>
        <w:tc>
          <w:tcPr>
            <w:tcW w:w="0" w:type="dxa"/>
            <w:vAlign w:val="bottom"/>
          </w:tcPr>
          <w:p>
            <w:pPr>
              <w:spacing w:after="0"/>
              <w:rPr>
                <w:sz w:val="1"/>
                <w:szCs w:val="1"/>
                <w:color w:val="auto"/>
              </w:rPr>
            </w:pPr>
          </w:p>
        </w:tc>
      </w:tr>
      <w:tr>
        <w:trPr>
          <w:trHeight w:val="217"/>
        </w:trPr>
        <w:tc>
          <w:tcPr>
            <w:tcW w:w="5080" w:type="dxa"/>
            <w:vAlign w:val="bottom"/>
          </w:tcPr>
          <w:p>
            <w:pPr>
              <w:ind w:left="60"/>
              <w:spacing w:after="0" w:line="204" w:lineRule="exact"/>
              <w:rPr>
                <w:sz w:val="20"/>
                <w:szCs w:val="20"/>
                <w:color w:val="auto"/>
              </w:rPr>
            </w:pPr>
            <w:r>
              <w:rPr>
                <w:rFonts w:ascii="Arial" w:cs="Arial" w:eastAsia="Arial" w:hAnsi="Arial"/>
                <w:sz w:val="18"/>
                <w:szCs w:val="18"/>
                <w:color w:val="231F20"/>
              </w:rPr>
              <w:t>Property and equipment, net</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231F20"/>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231F20"/>
              </w:rPr>
              <w:t>16,183</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231F20"/>
              </w:rPr>
              <w:t>$</w:t>
            </w:r>
          </w:p>
        </w:tc>
        <w:tc>
          <w:tcPr>
            <w:tcW w:w="1360" w:type="dxa"/>
            <w:vAlign w:val="bottom"/>
          </w:tcPr>
          <w:p>
            <w:pPr>
              <w:jc w:val="right"/>
              <w:spacing w:after="0"/>
              <w:rPr>
                <w:sz w:val="20"/>
                <w:szCs w:val="20"/>
                <w:color w:val="auto"/>
              </w:rPr>
            </w:pPr>
            <w:r>
              <w:rPr>
                <w:rFonts w:ascii="Arial" w:cs="Arial" w:eastAsia="Arial" w:hAnsi="Arial"/>
                <w:sz w:val="18"/>
                <w:szCs w:val="18"/>
                <w:color w:val="231F20"/>
              </w:rPr>
              <w:t>9,191</w:t>
            </w:r>
          </w:p>
        </w:tc>
        <w:tc>
          <w:tcPr>
            <w:tcW w:w="0" w:type="dxa"/>
            <w:vAlign w:val="bottom"/>
          </w:tcPr>
          <w:p>
            <w:pPr>
              <w:spacing w:after="0"/>
              <w:rPr>
                <w:sz w:val="1"/>
                <w:szCs w:val="1"/>
                <w:color w:val="auto"/>
              </w:rPr>
            </w:pPr>
          </w:p>
        </w:tc>
      </w:tr>
      <w:tr>
        <w:trPr>
          <w:trHeight w:val="21"/>
        </w:trPr>
        <w:tc>
          <w:tcPr>
            <w:tcW w:w="5080" w:type="dxa"/>
            <w:vAlign w:val="bottom"/>
            <w:vMerge w:val="restart"/>
          </w:tcPr>
          <w:p>
            <w:pPr>
              <w:ind w:left="320"/>
              <w:spacing w:after="0"/>
              <w:rPr>
                <w:sz w:val="20"/>
                <w:szCs w:val="20"/>
                <w:color w:val="auto"/>
              </w:rPr>
            </w:pPr>
            <w:r>
              <w:rPr>
                <w:rFonts w:ascii="Arial" w:cs="Arial" w:eastAsia="Arial" w:hAnsi="Arial"/>
                <w:sz w:val="18"/>
                <w:szCs w:val="18"/>
                <w:color w:val="231F20"/>
                <w:w w:val="95"/>
              </w:rPr>
              <w:t>Depreciation expense was as follows for the periods indicated:</w:t>
            </w: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5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231F20"/>
              </w:rPr>
              <w:t>Year Ended December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1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231F20"/>
              </w:rPr>
              <w:t>2021</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231F20"/>
              </w:rPr>
              <w:t>2019</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Cost of sales</w:t>
            </w:r>
          </w:p>
        </w:tc>
        <w:tc>
          <w:tcPr>
            <w:tcW w:w="2420" w:type="dxa"/>
            <w:vAlign w:val="bottom"/>
            <w:gridSpan w:val="2"/>
            <w:shd w:val="clear" w:color="auto" w:fill="CCEEFF"/>
          </w:tcPr>
          <w:p>
            <w:pPr>
              <w:jc w:val="right"/>
              <w:ind w:right="76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1,313</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5"/>
        </w:trPr>
        <w:tc>
          <w:tcPr>
            <w:tcW w:w="5080" w:type="dxa"/>
            <w:vAlign w:val="bottom"/>
          </w:tcPr>
          <w:p>
            <w:pPr>
              <w:ind w:left="60"/>
              <w:spacing w:after="0"/>
              <w:rPr>
                <w:sz w:val="20"/>
                <w:szCs w:val="20"/>
                <w:color w:val="auto"/>
              </w:rPr>
            </w:pPr>
            <w:r>
              <w:rPr>
                <w:rFonts w:ascii="Arial" w:cs="Arial" w:eastAsia="Arial" w:hAnsi="Arial"/>
                <w:sz w:val="18"/>
                <w:szCs w:val="18"/>
                <w:color w:val="231F20"/>
              </w:rPr>
              <w:t>General and administrative</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Selling and marketing</w:t>
            </w:r>
          </w:p>
        </w:tc>
        <w:tc>
          <w:tcPr>
            <w:tcW w:w="14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80" w:type="dxa"/>
            <w:vAlign w:val="bottom"/>
          </w:tcPr>
          <w:p>
            <w:pPr>
              <w:ind w:left="280"/>
              <w:spacing w:after="0" w:line="204" w:lineRule="exact"/>
              <w:rPr>
                <w:sz w:val="20"/>
                <w:szCs w:val="20"/>
                <w:color w:val="auto"/>
              </w:rPr>
            </w:pPr>
            <w:r>
              <w:rPr>
                <w:rFonts w:ascii="Arial" w:cs="Arial" w:eastAsia="Arial" w:hAnsi="Arial"/>
                <w:sz w:val="18"/>
                <w:szCs w:val="18"/>
                <w:color w:val="231F20"/>
              </w:rPr>
              <w:t>Total depreciation expense</w:t>
            </w:r>
          </w:p>
        </w:tc>
        <w:tc>
          <w:tcPr>
            <w:tcW w:w="2420" w:type="dxa"/>
            <w:vAlign w:val="bottom"/>
            <w:gridSpan w:val="2"/>
          </w:tcPr>
          <w:p>
            <w:pPr>
              <w:jc w:val="right"/>
              <w:ind w:right="769"/>
              <w:spacing w:after="0"/>
              <w:rPr>
                <w:sz w:val="20"/>
                <w:szCs w:val="20"/>
                <w:color w:val="auto"/>
              </w:rPr>
            </w:pPr>
            <w:r>
              <w:rPr>
                <w:rFonts w:ascii="Arial" w:cs="Arial" w:eastAsia="Arial" w:hAnsi="Arial"/>
                <w:sz w:val="18"/>
                <w:szCs w:val="18"/>
                <w:color w:val="231F20"/>
              </w:rPr>
              <w:t>$</w:t>
            </w:r>
          </w:p>
        </w:tc>
        <w:tc>
          <w:tcPr>
            <w:tcW w:w="480" w:type="dxa"/>
            <w:vAlign w:val="bottom"/>
          </w:tcPr>
          <w:p>
            <w:pPr>
              <w:jc w:val="right"/>
              <w:spacing w:after="0"/>
              <w:rPr>
                <w:sz w:val="20"/>
                <w:szCs w:val="20"/>
                <w:color w:val="auto"/>
              </w:rPr>
            </w:pPr>
            <w:r>
              <w:rPr>
                <w:rFonts w:ascii="Arial" w:cs="Arial" w:eastAsia="Arial" w:hAnsi="Arial"/>
                <w:sz w:val="18"/>
                <w:szCs w:val="18"/>
                <w:color w:val="231F20"/>
                <w:w w:val="88"/>
              </w:rPr>
              <w:t>4,486</w:t>
            </w:r>
          </w:p>
        </w:tc>
        <w:tc>
          <w:tcPr>
            <w:tcW w:w="4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231F20"/>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2,552</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231F20"/>
                <w:w w:val="79"/>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1,375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December 31, 2021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31F20"/>
              </w:rPr>
              <w:t>Accumulated</w:t>
            </w:r>
          </w:p>
        </w:tc>
        <w:tc>
          <w:tcPr>
            <w:tcW w:w="500" w:type="dxa"/>
            <w:vAlign w:val="bottom"/>
          </w:tcPr>
          <w:p>
            <w:pPr>
              <w:spacing w:after="0"/>
              <w:rPr>
                <w:sz w:val="14"/>
                <w:szCs w:val="14"/>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4"/>
                <w:szCs w:val="14"/>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231F20"/>
              </w:rPr>
              <w:t>Estimated</w:t>
            </w:r>
          </w:p>
        </w:tc>
        <w:tc>
          <w:tcPr>
            <w:tcW w:w="0" w:type="dxa"/>
            <w:vAlign w:val="bottom"/>
          </w:tcPr>
          <w:p>
            <w:pPr>
              <w:spacing w:after="0"/>
              <w:rPr>
                <w:sz w:val="1"/>
                <w:szCs w:val="1"/>
                <w:color w:val="auto"/>
              </w:rPr>
            </w:pPr>
          </w:p>
        </w:tc>
      </w:tr>
      <w:tr>
        <w:trPr>
          <w:trHeight w:val="133"/>
        </w:trPr>
        <w:tc>
          <w:tcPr>
            <w:tcW w:w="456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48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right"/>
              <w:ind w:right="597"/>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356"/>
              <w:spacing w:after="0"/>
              <w:rPr>
                <w:sz w:val="20"/>
                <w:szCs w:val="20"/>
                <w:color w:val="auto"/>
              </w:rPr>
            </w:pPr>
            <w:r>
              <w:rPr>
                <w:rFonts w:ascii="Arial" w:cs="Arial" w:eastAsia="Arial" w:hAnsi="Arial"/>
                <w:sz w:val="14"/>
                <w:szCs w:val="14"/>
                <w:b w:val="1"/>
                <w:bCs w:val="1"/>
                <w:color w:val="231F20"/>
                <w:w w:val="93"/>
              </w:rPr>
              <w:t>Amortization</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9"/>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Trademarks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10,048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(3,442)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6,606</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79"/>
              </w:rPr>
              <w:t>15</w:t>
            </w:r>
          </w:p>
        </w:tc>
        <w:tc>
          <w:tcPr>
            <w:tcW w:w="0" w:type="dxa"/>
            <w:vAlign w:val="bottom"/>
          </w:tcPr>
          <w:p>
            <w:pPr>
              <w:spacing w:after="0"/>
              <w:rPr>
                <w:sz w:val="1"/>
                <w:szCs w:val="1"/>
                <w:color w:val="auto"/>
              </w:rPr>
            </w:pPr>
          </w:p>
        </w:tc>
      </w:tr>
      <w:tr>
        <w:trPr>
          <w:trHeight w:val="238"/>
        </w:trPr>
        <w:tc>
          <w:tcPr>
            <w:tcW w:w="4560" w:type="dxa"/>
            <w:vAlign w:val="bottom"/>
          </w:tcPr>
          <w:p>
            <w:pPr>
              <w:ind w:left="380"/>
              <w:spacing w:after="0"/>
              <w:rPr>
                <w:sz w:val="20"/>
                <w:szCs w:val="20"/>
                <w:color w:val="auto"/>
              </w:rPr>
            </w:pPr>
            <w:r>
              <w:rPr>
                <w:rFonts w:ascii="Arial" w:cs="Arial" w:eastAsia="Arial" w:hAnsi="Arial"/>
                <w:sz w:val="18"/>
                <w:szCs w:val="18"/>
                <w:color w:val="231F20"/>
              </w:rPr>
              <w:t>Non-compete agreement</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809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(139)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670</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79"/>
              </w:rPr>
              <w:t>3</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Customer relationships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14,234</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8"/>
        </w:trPr>
        <w:tc>
          <w:tcPr>
            <w:tcW w:w="4560" w:type="dxa"/>
            <w:vAlign w:val="bottom"/>
          </w:tcPr>
          <w:p>
            <w:pPr>
              <w:ind w:left="380"/>
              <w:spacing w:after="0"/>
              <w:rPr>
                <w:sz w:val="20"/>
                <w:szCs w:val="20"/>
                <w:color w:val="auto"/>
              </w:rPr>
            </w:pPr>
            <w:r>
              <w:rPr>
                <w:rFonts w:ascii="Arial" w:cs="Arial" w:eastAsia="Arial" w:hAnsi="Arial"/>
                <w:sz w:val="18"/>
                <w:szCs w:val="18"/>
                <w:color w:val="231F20"/>
              </w:rPr>
              <w:t>Developed technology</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70,900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(45,051)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25,849</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79"/>
              </w:rPr>
              <w:t>8</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Patents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1,755</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231F20"/>
              </w:rPr>
              <w:t>Capitalized software</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9,867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6,896</w:t>
            </w:r>
          </w:p>
        </w:tc>
        <w:tc>
          <w:tcPr>
            <w:tcW w:w="1460" w:type="dxa"/>
            <w:vAlign w:val="bottom"/>
            <w:tcBorders>
              <w:bottom w:val="single" w:sz="8" w:color="CCEEFF"/>
            </w:tcBorders>
            <w:gridSpan w:val="2"/>
          </w:tcPr>
          <w:p>
            <w:pPr>
              <w:jc w:val="center"/>
              <w:ind w:left="332"/>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Total intangible assets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112,299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(56,289)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56,010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December 31,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231F20"/>
              </w:rPr>
              <w:t>Accumulated</w:t>
            </w:r>
          </w:p>
        </w:tc>
        <w:tc>
          <w:tcPr>
            <w:tcW w:w="500" w:type="dxa"/>
            <w:vAlign w:val="bottom"/>
          </w:tcPr>
          <w:p>
            <w:pPr>
              <w:spacing w:after="0"/>
              <w:rPr>
                <w:sz w:val="14"/>
                <w:szCs w:val="14"/>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231F20"/>
              </w:rPr>
              <w:t>Net Carrying</w:t>
            </w:r>
          </w:p>
        </w:tc>
        <w:tc>
          <w:tcPr>
            <w:tcW w:w="1460" w:type="dxa"/>
            <w:vAlign w:val="bottom"/>
          </w:tcPr>
          <w:p>
            <w:pPr>
              <w:ind w:left="620"/>
              <w:spacing w:after="0"/>
              <w:rPr>
                <w:sz w:val="20"/>
                <w:szCs w:val="20"/>
                <w:color w:val="auto"/>
              </w:rPr>
            </w:pPr>
            <w:r>
              <w:rPr>
                <w:rFonts w:ascii="Arial" w:cs="Arial" w:eastAsia="Arial" w:hAnsi="Arial"/>
                <w:sz w:val="14"/>
                <w:szCs w:val="14"/>
                <w:b w:val="1"/>
                <w:bCs w:val="1"/>
                <w:color w:val="231F20"/>
              </w:rPr>
              <w:t>Estimated</w:t>
            </w:r>
          </w:p>
        </w:tc>
        <w:tc>
          <w:tcPr>
            <w:tcW w:w="0" w:type="dxa"/>
            <w:vAlign w:val="bottom"/>
          </w:tcPr>
          <w:p>
            <w:pPr>
              <w:spacing w:after="0"/>
              <w:rPr>
                <w:sz w:val="1"/>
                <w:szCs w:val="1"/>
                <w:color w:val="auto"/>
              </w:rPr>
            </w:pPr>
          </w:p>
        </w:tc>
      </w:tr>
      <w:tr>
        <w:trPr>
          <w:trHeight w:val="133"/>
        </w:trPr>
        <w:tc>
          <w:tcPr>
            <w:tcW w:w="458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480" w:type="dxa"/>
            <w:vAlign w:val="bottom"/>
          </w:tcPr>
          <w:p>
            <w:pPr>
              <w:spacing w:after="0"/>
              <w:rPr>
                <w:sz w:val="11"/>
                <w:szCs w:val="11"/>
                <w:color w:val="auto"/>
              </w:rPr>
            </w:pPr>
          </w:p>
        </w:tc>
        <w:tc>
          <w:tcPr>
            <w:tcW w:w="1280" w:type="dxa"/>
            <w:vAlign w:val="bottom"/>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231F20"/>
              </w:rPr>
              <w:t>Amortization</w:t>
            </w:r>
          </w:p>
        </w:tc>
        <w:tc>
          <w:tcPr>
            <w:tcW w:w="500" w:type="dxa"/>
            <w:vAlign w:val="bottom"/>
          </w:tcPr>
          <w:p>
            <w:pPr>
              <w:spacing w:after="0"/>
              <w:rPr>
                <w:sz w:val="16"/>
                <w:szCs w:val="16"/>
                <w:color w:val="auto"/>
              </w:rPr>
            </w:pPr>
          </w:p>
        </w:tc>
        <w:tc>
          <w:tcPr>
            <w:tcW w:w="1160" w:type="dxa"/>
            <w:vAlign w:val="bottom"/>
          </w:tcPr>
          <w:p>
            <w:pPr>
              <w:jc w:val="right"/>
              <w:ind w:right="576"/>
              <w:spacing w:after="0"/>
              <w:rPr>
                <w:sz w:val="20"/>
                <w:szCs w:val="20"/>
                <w:color w:val="auto"/>
              </w:rPr>
            </w:pPr>
            <w:r>
              <w:rPr>
                <w:rFonts w:ascii="Arial" w:cs="Arial" w:eastAsia="Arial" w:hAnsi="Arial"/>
                <w:sz w:val="14"/>
                <w:szCs w:val="14"/>
                <w:b w:val="1"/>
                <w:bCs w:val="1"/>
                <w:color w:val="231F20"/>
              </w:rPr>
              <w:t>Value</w:t>
            </w:r>
          </w:p>
        </w:tc>
        <w:tc>
          <w:tcPr>
            <w:tcW w:w="1460" w:type="dxa"/>
            <w:vAlign w:val="bottom"/>
          </w:tcPr>
          <w:p>
            <w:pPr>
              <w:jc w:val="center"/>
              <w:ind w:left="18"/>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9"/>
        </w:trPr>
        <w:tc>
          <w:tcPr>
            <w:tcW w:w="45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Trademarks</w:t>
            </w:r>
          </w:p>
        </w:tc>
        <w:tc>
          <w:tcPr>
            <w:tcW w:w="4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9,480</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(2,765)</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6,715</w:t>
            </w:r>
          </w:p>
        </w:tc>
        <w:tc>
          <w:tcPr>
            <w:tcW w:w="1460" w:type="dxa"/>
            <w:vAlign w:val="bottom"/>
            <w:tcBorders>
              <w:top w:val="single" w:sz="8" w:color="231F20"/>
            </w:tcBorders>
            <w:shd w:val="clear" w:color="auto" w:fill="CCEEFF"/>
          </w:tcPr>
          <w:p>
            <w:pPr>
              <w:jc w:val="center"/>
              <w:ind w:left="338"/>
              <w:spacing w:after="0"/>
              <w:rPr>
                <w:sz w:val="20"/>
                <w:szCs w:val="20"/>
                <w:color w:val="auto"/>
              </w:rPr>
            </w:pPr>
            <w:r>
              <w:rPr>
                <w:rFonts w:ascii="Arial" w:cs="Arial" w:eastAsia="Arial" w:hAnsi="Arial"/>
                <w:sz w:val="18"/>
                <w:szCs w:val="18"/>
                <w:color w:val="231F20"/>
                <w:w w:val="79"/>
              </w:rPr>
              <w:t>15</w:t>
            </w:r>
          </w:p>
        </w:tc>
        <w:tc>
          <w:tcPr>
            <w:tcW w:w="0" w:type="dxa"/>
            <w:vAlign w:val="bottom"/>
          </w:tcPr>
          <w:p>
            <w:pPr>
              <w:spacing w:after="0"/>
              <w:rPr>
                <w:sz w:val="1"/>
                <w:szCs w:val="1"/>
                <w:color w:val="auto"/>
              </w:rPr>
            </w:pPr>
          </w:p>
        </w:tc>
      </w:tr>
      <w:tr>
        <w:trPr>
          <w:trHeight w:val="225"/>
        </w:trPr>
        <w:tc>
          <w:tcPr>
            <w:tcW w:w="4580" w:type="dxa"/>
            <w:vAlign w:val="bottom"/>
          </w:tcPr>
          <w:p>
            <w:pPr>
              <w:ind w:left="380"/>
              <w:spacing w:after="0"/>
              <w:rPr>
                <w:sz w:val="20"/>
                <w:szCs w:val="20"/>
                <w:color w:val="auto"/>
              </w:rPr>
            </w:pPr>
            <w:r>
              <w:rPr>
                <w:rFonts w:ascii="Arial" w:cs="Arial" w:eastAsia="Arial" w:hAnsi="Arial"/>
                <w:sz w:val="18"/>
                <w:szCs w:val="18"/>
                <w:color w:val="231F20"/>
              </w:rPr>
              <w:t>Customer relationships</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(2,263)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3,740</w:t>
            </w:r>
          </w:p>
        </w:tc>
        <w:tc>
          <w:tcPr>
            <w:tcW w:w="1460" w:type="dxa"/>
            <w:vAlign w:val="bottom"/>
          </w:tcPr>
          <w:p>
            <w:pPr>
              <w:jc w:val="center"/>
              <w:ind w:left="338"/>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9"/>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Developed technology</w:t>
            </w: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70,900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(36,189)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34,711</w:t>
            </w:r>
          </w:p>
        </w:tc>
        <w:tc>
          <w:tcPr>
            <w:tcW w:w="14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231F20"/>
                <w:w w:val="79"/>
              </w:rPr>
              <w:t>8</w:t>
            </w:r>
          </w:p>
        </w:tc>
        <w:tc>
          <w:tcPr>
            <w:tcW w:w="0" w:type="dxa"/>
            <w:vAlign w:val="bottom"/>
          </w:tcPr>
          <w:p>
            <w:pPr>
              <w:spacing w:after="0"/>
              <w:rPr>
                <w:sz w:val="1"/>
                <w:szCs w:val="1"/>
                <w:color w:val="auto"/>
              </w:rPr>
            </w:pPr>
          </w:p>
        </w:tc>
      </w:tr>
      <w:tr>
        <w:trPr>
          <w:trHeight w:val="225"/>
        </w:trPr>
        <w:tc>
          <w:tcPr>
            <w:tcW w:w="4580" w:type="dxa"/>
            <w:vAlign w:val="bottom"/>
          </w:tcPr>
          <w:p>
            <w:pPr>
              <w:ind w:left="380"/>
              <w:spacing w:after="0"/>
              <w:rPr>
                <w:sz w:val="20"/>
                <w:szCs w:val="20"/>
                <w:color w:val="auto"/>
              </w:rPr>
            </w:pPr>
            <w:r>
              <w:rPr>
                <w:rFonts w:ascii="Arial" w:cs="Arial" w:eastAsia="Arial" w:hAnsi="Arial"/>
                <w:sz w:val="18"/>
                <w:szCs w:val="18"/>
                <w:color w:val="231F20"/>
              </w:rPr>
              <w:t>Patents</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1,423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1,265</w:t>
            </w:r>
          </w:p>
        </w:tc>
        <w:tc>
          <w:tcPr>
            <w:tcW w:w="1460" w:type="dxa"/>
            <w:vAlign w:val="bottom"/>
          </w:tcPr>
          <w:p>
            <w:pPr>
              <w:jc w:val="center"/>
              <w:ind w:left="338"/>
              <w:spacing w:after="0"/>
              <w:rPr>
                <w:sz w:val="20"/>
                <w:szCs w:val="20"/>
                <w:color w:val="auto"/>
              </w:rPr>
            </w:pPr>
            <w:r>
              <w:rPr>
                <w:rFonts w:ascii="Arial" w:cs="Arial" w:eastAsia="Arial" w:hAnsi="Arial"/>
                <w:sz w:val="18"/>
                <w:szCs w:val="18"/>
                <w:color w:val="231F20"/>
                <w:w w:val="88"/>
              </w:rPr>
              <w:t>4-19</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Capitalized software</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6,172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4,504</w:t>
            </w:r>
          </w:p>
        </w:tc>
        <w:tc>
          <w:tcPr>
            <w:tcW w:w="14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19"/>
        </w:trPr>
        <w:tc>
          <w:tcPr>
            <w:tcW w:w="4580" w:type="dxa"/>
            <w:vAlign w:val="bottom"/>
          </w:tcPr>
          <w:p>
            <w:pPr>
              <w:ind w:left="380"/>
              <w:spacing w:after="0"/>
              <w:rPr>
                <w:sz w:val="20"/>
                <w:szCs w:val="20"/>
                <w:color w:val="auto"/>
              </w:rPr>
            </w:pPr>
            <w:r>
              <w:rPr>
                <w:rFonts w:ascii="Arial" w:cs="Arial" w:eastAsia="Arial" w:hAnsi="Arial"/>
                <w:sz w:val="18"/>
                <w:szCs w:val="18"/>
                <w:color w:val="231F20"/>
              </w:rPr>
              <w:t>Total intangible assets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93,978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(43,043)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50,935</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Amortization expense for the years ended December 31, 2021, 2020 and 2019 was $13.3 million, $11.8 million and $12.4 million,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231F20"/>
                <w:w w:val="90"/>
              </w:rPr>
              <w:t>Year Ended December 31,</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7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231F20"/>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2019</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Cost of sales</w:t>
            </w:r>
          </w:p>
        </w:tc>
        <w:tc>
          <w:tcPr>
            <w:tcW w:w="7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25"/>
        </w:trPr>
        <w:tc>
          <w:tcPr>
            <w:tcW w:w="4720" w:type="dxa"/>
            <w:vAlign w:val="bottom"/>
          </w:tcPr>
          <w:p>
            <w:pPr>
              <w:ind w:left="60"/>
              <w:spacing w:after="0"/>
              <w:rPr>
                <w:sz w:val="20"/>
                <w:szCs w:val="20"/>
                <w:color w:val="auto"/>
              </w:rPr>
            </w:pPr>
            <w:r>
              <w:rPr>
                <w:rFonts w:ascii="Arial" w:cs="Arial" w:eastAsia="Arial" w:hAnsi="Arial"/>
                <w:sz w:val="18"/>
                <w:szCs w:val="18"/>
                <w:color w:val="231F20"/>
              </w:rPr>
              <w:t>Selling and marketing</w:t>
            </w: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General and administrative</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8"/>
        </w:trPr>
        <w:tc>
          <w:tcPr>
            <w:tcW w:w="4720" w:type="dxa"/>
            <w:vAlign w:val="bottom"/>
          </w:tcPr>
          <w:p>
            <w:pPr>
              <w:ind w:left="280"/>
              <w:spacing w:after="0" w:line="204" w:lineRule="exact"/>
              <w:rPr>
                <w:sz w:val="20"/>
                <w:szCs w:val="20"/>
                <w:color w:val="auto"/>
              </w:rPr>
            </w:pPr>
            <w:r>
              <w:rPr>
                <w:rFonts w:ascii="Arial" w:cs="Arial" w:eastAsia="Arial" w:hAnsi="Arial"/>
                <w:sz w:val="18"/>
                <w:szCs w:val="18"/>
                <w:color w:val="231F20"/>
              </w:rPr>
              <w:t>Total amortization expense</w:t>
            </w:r>
          </w:p>
        </w:tc>
        <w:tc>
          <w:tcPr>
            <w:tcW w:w="76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231F20"/>
              </w:rPr>
              <w:t>$</w:t>
            </w:r>
          </w:p>
        </w:tc>
        <w:tc>
          <w:tcPr>
            <w:tcW w:w="1260" w:type="dxa"/>
            <w:vAlign w:val="bottom"/>
          </w:tcPr>
          <w:p>
            <w:pPr>
              <w:jc w:val="right"/>
              <w:spacing w:after="0"/>
              <w:rPr>
                <w:sz w:val="20"/>
                <w:szCs w:val="20"/>
                <w:color w:val="auto"/>
              </w:rPr>
            </w:pPr>
            <w:r>
              <w:rPr>
                <w:rFonts w:ascii="Arial" w:cs="Arial" w:eastAsia="Arial" w:hAnsi="Arial"/>
                <w:sz w:val="18"/>
                <w:szCs w:val="18"/>
                <w:color w:val="231F20"/>
              </w:rPr>
              <w:t>13,297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w w:val="83"/>
              </w:rPr>
              <w:t>11,849</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12,363</w:t>
            </w:r>
          </w:p>
        </w:tc>
        <w:tc>
          <w:tcPr>
            <w:tcW w:w="0" w:type="dxa"/>
            <w:vAlign w:val="bottom"/>
          </w:tcPr>
          <w:p>
            <w:pPr>
              <w:spacing w:after="0"/>
              <w:rPr>
                <w:sz w:val="1"/>
                <w:szCs w:val="1"/>
                <w:color w:val="auto"/>
              </w:rPr>
            </w:pPr>
          </w:p>
        </w:tc>
      </w:tr>
      <w:tr>
        <w:trPr>
          <w:trHeight w:val="21"/>
        </w:trPr>
        <w:tc>
          <w:tcPr>
            <w:tcW w:w="4720" w:type="dxa"/>
            <w:vAlign w:val="bottom"/>
            <w:vMerge w:val="restart"/>
          </w:tcPr>
          <w:p>
            <w:pPr>
              <w:ind w:left="320"/>
              <w:spacing w:after="0"/>
              <w:rPr>
                <w:sz w:val="20"/>
                <w:szCs w:val="20"/>
                <w:color w:val="auto"/>
              </w:rPr>
            </w:pPr>
            <w:r>
              <w:rPr>
                <w:rFonts w:ascii="Arial" w:cs="Arial" w:eastAsia="Arial" w:hAnsi="Arial"/>
                <w:sz w:val="18"/>
                <w:szCs w:val="18"/>
                <w:color w:val="231F20"/>
                <w:w w:val="91"/>
              </w:rPr>
              <w:t>The changes in the carrying value of goodwill are as follows:</w:t>
            </w: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47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ind w:left="420"/>
              <w:spacing w:after="0"/>
              <w:rPr>
                <w:sz w:val="20"/>
                <w:szCs w:val="20"/>
                <w:color w:val="auto"/>
              </w:rPr>
            </w:pPr>
            <w:r>
              <w:rPr>
                <w:rFonts w:ascii="Arial" w:cs="Arial" w:eastAsia="Arial" w:hAnsi="Arial"/>
                <w:sz w:val="14"/>
                <w:szCs w:val="14"/>
                <w:b w:val="1"/>
                <w:bCs w:val="1"/>
                <w:color w:val="231F20"/>
              </w:rPr>
              <w:t>Year Ended 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720" w:type="dxa"/>
            <w:vAlign w:val="bottom"/>
            <w:vMerge w:val="restart"/>
          </w:tcPr>
          <w:p>
            <w:pPr>
              <w:ind w:left="380"/>
              <w:spacing w:after="0"/>
              <w:rPr>
                <w:sz w:val="20"/>
                <w:szCs w:val="20"/>
                <w:color w:val="auto"/>
              </w:rPr>
            </w:pPr>
            <w:r>
              <w:rPr>
                <w:rFonts w:ascii="Arial" w:cs="Arial" w:eastAsia="Arial" w:hAnsi="Arial"/>
                <w:sz w:val="14"/>
                <w:szCs w:val="14"/>
                <w:b w:val="1"/>
                <w:bCs w:val="1"/>
                <w:color w:val="231F20"/>
              </w:rPr>
              <w:t>(in thousands)</w:t>
            </w: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7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231F20"/>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231F20"/>
              </w:rPr>
              <w:t>2019</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Beginning balance</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98,531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4"/>
              </w:rPr>
              <w:t>98,520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98,147</w:t>
            </w:r>
          </w:p>
        </w:tc>
        <w:tc>
          <w:tcPr>
            <w:tcW w:w="0" w:type="dxa"/>
            <w:vAlign w:val="bottom"/>
          </w:tcPr>
          <w:p>
            <w:pPr>
              <w:spacing w:after="0"/>
              <w:rPr>
                <w:sz w:val="1"/>
                <w:szCs w:val="1"/>
                <w:color w:val="auto"/>
              </w:rPr>
            </w:pPr>
          </w:p>
        </w:tc>
      </w:tr>
      <w:tr>
        <w:trPr>
          <w:trHeight w:val="225"/>
        </w:trPr>
        <w:tc>
          <w:tcPr>
            <w:tcW w:w="4720" w:type="dxa"/>
            <w:vAlign w:val="bottom"/>
          </w:tcPr>
          <w:p>
            <w:pPr>
              <w:ind w:left="500"/>
              <w:spacing w:after="0"/>
              <w:rPr>
                <w:sz w:val="20"/>
                <w:szCs w:val="20"/>
                <w:color w:val="auto"/>
              </w:rPr>
            </w:pPr>
            <w:r>
              <w:rPr>
                <w:rFonts w:ascii="Arial" w:cs="Arial" w:eastAsia="Arial" w:hAnsi="Arial"/>
                <w:sz w:val="18"/>
                <w:szCs w:val="18"/>
                <w:color w:val="231F20"/>
              </w:rPr>
              <w:t>Business acquisitions</w:t>
            </w:r>
          </w:p>
        </w:tc>
        <w:tc>
          <w:tcPr>
            <w:tcW w:w="7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231F20"/>
              </w:rPr>
              <w:t>26,600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347</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Foreign currency translation impact</w:t>
            </w:r>
          </w:p>
        </w:tc>
        <w:tc>
          <w:tcPr>
            <w:tcW w:w="7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(1,437)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w:t>
            </w:r>
          </w:p>
        </w:tc>
        <w:tc>
          <w:tcPr>
            <w:tcW w:w="0" w:type="dxa"/>
            <w:vAlign w:val="bottom"/>
          </w:tcPr>
          <w:p>
            <w:pPr>
              <w:spacing w:after="0"/>
              <w:rPr>
                <w:sz w:val="1"/>
                <w:szCs w:val="1"/>
                <w:color w:val="auto"/>
              </w:rPr>
            </w:pPr>
          </w:p>
        </w:tc>
      </w:tr>
      <w:tr>
        <w:trPr>
          <w:trHeight w:val="218"/>
        </w:trPr>
        <w:tc>
          <w:tcPr>
            <w:tcW w:w="4720" w:type="dxa"/>
            <w:vAlign w:val="bottom"/>
          </w:tcPr>
          <w:p>
            <w:pPr>
              <w:ind w:left="380"/>
              <w:spacing w:after="0" w:line="204" w:lineRule="exact"/>
              <w:rPr>
                <w:sz w:val="20"/>
                <w:szCs w:val="20"/>
                <w:color w:val="auto"/>
              </w:rPr>
            </w:pPr>
            <w:r>
              <w:rPr>
                <w:rFonts w:ascii="Arial" w:cs="Arial" w:eastAsia="Arial" w:hAnsi="Arial"/>
                <w:sz w:val="18"/>
                <w:szCs w:val="18"/>
                <w:color w:val="231F20"/>
              </w:rPr>
              <w:t>Ending balance</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231F20"/>
              </w:rPr>
              <w:t>$</w:t>
            </w: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231F20"/>
              </w:rPr>
              <w:t>123,694</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231F20"/>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4"/>
              </w:rPr>
              <w:t>98,531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98,520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Credit Facility</w:t>
      </w:r>
    </w:p>
    <w:p>
      <w:pPr>
        <w:spacing w:after="0" w:line="244" w:lineRule="exact"/>
        <w:rPr>
          <w:sz w:val="20"/>
          <w:szCs w:val="20"/>
          <w:color w:val="auto"/>
        </w:rPr>
      </w:pPr>
    </w:p>
    <w:p>
      <w:pPr>
        <w:ind w:right="280" w:firstLine="318"/>
        <w:spacing w:after="0" w:line="312" w:lineRule="auto"/>
        <w:rPr>
          <w:sz w:val="20"/>
          <w:szCs w:val="20"/>
          <w:color w:val="auto"/>
        </w:rPr>
      </w:pPr>
      <w:r>
        <w:rPr>
          <w:rFonts w:ascii="Arial" w:cs="Arial" w:eastAsia="Arial" w:hAnsi="Arial"/>
          <w:sz w:val="15"/>
          <w:szCs w:val="15"/>
          <w:color w:val="auto"/>
        </w:rPr>
        <w:t>On December 30, 2021, Edge Systems LLC, a California limited liability company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 as guarantors (the “Guarantors” and, together with the Borrower, the “Loan Parties”), and JPMorgan Chase Bank, N.A., as administrative agent.</w:t>
      </w:r>
    </w:p>
    <w:p>
      <w:pPr>
        <w:spacing w:after="0" w:line="17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Arial" w:cs="Arial" w:eastAsia="Arial" w:hAnsi="Arial"/>
          <w:sz w:val="18"/>
          <w:szCs w:val="18"/>
          <w:color w:val="231F20"/>
        </w:rPr>
        <w:t>December 31, 2021</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17"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12"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Convertible Senior Notes</w:t>
      </w:r>
    </w:p>
    <w:p>
      <w:pPr>
        <w:spacing w:after="0" w:line="2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On September 14, 2021, the Company issued an aggregate of $750 million in principal amount of its 1.25% Convertible Senior Notes due 2026 (the “Notes”). The Notes were issued pursuant to, and are governed by, an indenture (the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20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2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Notes are redeemable, in whole or in part (subject to certain limitations described below), at the Company’s option at any time, and from time to</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time, on or after October 6, 2024, and on or before the 40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1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72"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$45,000,000; (vii) the rendering</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19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18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The total amount of debt issuance costs of $21.3 million was recorded as a reduction to “Convertible senior notes, net” in the Company’s Consolidated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231F20"/>
        </w:rPr>
        <w:t>Balance Sheets and are being amortized as interest expense over the term of the Notes using the effective interest method. During the year ended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231F20"/>
        </w:rPr>
        <w:t>December 31, 2021, the Company recognized $1.3 million in interest expense related to the amortization of the debt issuance costs related to the Notes. There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was no such expense related to the Notes in the year ended December 31, 2020.</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is a summary of the Company’s Notes as of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231F20"/>
              </w:rPr>
              <w:t>Fair Value</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140" w:type="dxa"/>
            <w:vAlign w:val="bottom"/>
          </w:tcPr>
          <w:p>
            <w:pPr>
              <w:spacing w:after="0"/>
              <w:rPr>
                <w:sz w:val="10"/>
                <w:szCs w:val="10"/>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 Amount</w:t>
            </w:r>
          </w:p>
        </w:tc>
        <w:tc>
          <w:tcPr>
            <w:tcW w:w="152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231F20"/>
                <w:w w:val="99"/>
              </w:rPr>
              <w:t>Unamortized Issuance</w:t>
            </w:r>
          </w:p>
        </w:tc>
        <w:tc>
          <w:tcPr>
            <w:tcW w:w="200" w:type="dxa"/>
            <w:vAlign w:val="bottom"/>
          </w:tcPr>
          <w:p>
            <w:pPr>
              <w:spacing w:after="0"/>
              <w:rPr>
                <w:sz w:val="10"/>
                <w:szCs w:val="10"/>
                <w:color w:val="auto"/>
              </w:rPr>
            </w:pPr>
          </w:p>
        </w:tc>
        <w:tc>
          <w:tcPr>
            <w:tcW w:w="1320" w:type="dxa"/>
            <w:vAlign w:val="bottom"/>
          </w:tcPr>
          <w:p>
            <w:pPr>
              <w:jc w:val="center"/>
              <w:ind w:right="245"/>
              <w:spacing w:after="0" w:line="119" w:lineRule="exact"/>
              <w:rPr>
                <w:sz w:val="20"/>
                <w:szCs w:val="20"/>
                <w:color w:val="auto"/>
              </w:rPr>
            </w:pPr>
            <w:r>
              <w:rPr>
                <w:rFonts w:ascii="Arial" w:cs="Arial" w:eastAsia="Arial" w:hAnsi="Arial"/>
                <w:sz w:val="13"/>
                <w:szCs w:val="13"/>
                <w:b w:val="1"/>
                <w:bCs w:val="1"/>
                <w:color w:val="231F20"/>
              </w:rPr>
              <w:t>Net Carrying</w:t>
            </w:r>
          </w:p>
        </w:tc>
        <w:tc>
          <w:tcPr>
            <w:tcW w:w="280" w:type="dxa"/>
            <w:vAlign w:val="bottom"/>
          </w:tcPr>
          <w:p>
            <w:pPr>
              <w:spacing w:after="0"/>
              <w:rPr>
                <w:sz w:val="10"/>
                <w:szCs w:val="10"/>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231F20"/>
              </w:rPr>
              <w:t>Amount</w:t>
            </w:r>
          </w:p>
        </w:tc>
        <w:tc>
          <w:tcPr>
            <w:tcW w:w="1060" w:type="dxa"/>
            <w:vAlign w:val="bottom"/>
            <w:vMerge w:val="restart"/>
          </w:tcPr>
          <w:p>
            <w:pPr>
              <w:jc w:val="center"/>
              <w:ind w:right="281"/>
              <w:spacing w:after="0"/>
              <w:rPr>
                <w:sz w:val="20"/>
                <w:szCs w:val="20"/>
                <w:color w:val="auto"/>
              </w:rPr>
            </w:pPr>
            <w:r>
              <w:rPr>
                <w:rFonts w:ascii="Arial" w:cs="Arial" w:eastAsia="Arial" w:hAnsi="Arial"/>
                <w:sz w:val="14"/>
                <w:szCs w:val="14"/>
                <w:b w:val="1"/>
                <w:bCs w:val="1"/>
                <w:color w:val="231F20"/>
                <w:w w:val="94"/>
              </w:rPr>
              <w:t>Level</w:t>
            </w:r>
          </w:p>
        </w:tc>
        <w:tc>
          <w:tcPr>
            <w:tcW w:w="0" w:type="dxa"/>
            <w:vAlign w:val="bottom"/>
          </w:tcPr>
          <w:p>
            <w:pPr>
              <w:spacing w:after="0"/>
              <w:rPr>
                <w:sz w:val="1"/>
                <w:szCs w:val="1"/>
                <w:color w:val="auto"/>
              </w:rPr>
            </w:pPr>
          </w:p>
        </w:tc>
      </w:tr>
      <w:tr>
        <w:trPr>
          <w:trHeight w:val="185"/>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Costs</w:t>
            </w:r>
          </w:p>
        </w:tc>
        <w:tc>
          <w:tcPr>
            <w:tcW w:w="200" w:type="dxa"/>
            <w:vAlign w:val="bottom"/>
          </w:tcPr>
          <w:p>
            <w:pPr>
              <w:spacing w:after="0"/>
              <w:rPr>
                <w:sz w:val="16"/>
                <w:szCs w:val="16"/>
                <w:color w:val="auto"/>
              </w:rPr>
            </w:pPr>
          </w:p>
        </w:tc>
        <w:tc>
          <w:tcPr>
            <w:tcW w:w="1320" w:type="dxa"/>
            <w:vAlign w:val="bottom"/>
          </w:tcPr>
          <w:p>
            <w:pPr>
              <w:jc w:val="center"/>
              <w:ind w:right="225"/>
              <w:spacing w:after="0"/>
              <w:rPr>
                <w:sz w:val="20"/>
                <w:szCs w:val="20"/>
                <w:color w:val="auto"/>
              </w:rPr>
            </w:pPr>
            <w:r>
              <w:rPr>
                <w:rFonts w:ascii="Arial" w:cs="Arial" w:eastAsia="Arial" w:hAnsi="Arial"/>
                <w:sz w:val="14"/>
                <w:szCs w:val="14"/>
                <w:b w:val="1"/>
                <w:bCs w:val="1"/>
                <w:color w:val="231F20"/>
                <w:w w:val="90"/>
              </w:rPr>
              <w:t>Value</w:t>
            </w:r>
          </w:p>
        </w:tc>
        <w:tc>
          <w:tcPr>
            <w:tcW w:w="2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1.25% Convertible Notes due 2026</w:t>
            </w: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rPr>
              <w:t>750,000</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231F20"/>
            </w:tcBorders>
            <w:shd w:val="clear" w:color="auto" w:fill="CCEEFF"/>
          </w:tcPr>
          <w:p>
            <w:pPr>
              <w:jc w:val="right"/>
              <w:ind w:right="143"/>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20,086</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tcBorders>
              <w:top w:val="single" w:sz="8" w:color="231F20"/>
            </w:tcBorders>
            <w:shd w:val="clear" w:color="auto" w:fill="CCEEFF"/>
          </w:tcPr>
          <w:p>
            <w:pPr>
              <w:jc w:val="right"/>
              <w:ind w:right="45"/>
              <w:spacing w:after="0"/>
              <w:rPr>
                <w:sz w:val="20"/>
                <w:szCs w:val="20"/>
                <w:color w:val="auto"/>
              </w:rPr>
            </w:pPr>
            <w:r>
              <w:rPr>
                <w:rFonts w:ascii="Arial" w:cs="Arial" w:eastAsia="Arial" w:hAnsi="Arial"/>
                <w:sz w:val="18"/>
                <w:szCs w:val="18"/>
                <w:color w:val="231F20"/>
              </w:rPr>
              <w:t>729,914</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231F20"/>
              </w:rPr>
              <w:t>794,325</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231F20"/>
            </w:tcBorders>
            <w:shd w:val="clear" w:color="auto" w:fill="CCEEFF"/>
          </w:tcPr>
          <w:p>
            <w:pPr>
              <w:spacing w:after="0"/>
              <w:rPr>
                <w:sz w:val="22"/>
                <w:szCs w:val="22"/>
                <w:color w:val="auto"/>
              </w:rPr>
            </w:pPr>
          </w:p>
        </w:tc>
        <w:tc>
          <w:tcPr>
            <w:tcW w:w="1060" w:type="dxa"/>
            <w:vAlign w:val="bottom"/>
            <w:tcBorders>
              <w:top w:val="single" w:sz="8" w:color="231F20"/>
            </w:tcBorders>
            <w:shd w:val="clear" w:color="auto" w:fill="CCEEFF"/>
          </w:tcPr>
          <w:p>
            <w:pPr>
              <w:jc w:val="center"/>
              <w:ind w:right="281"/>
              <w:spacing w:after="0"/>
              <w:rPr>
                <w:sz w:val="20"/>
                <w:szCs w:val="20"/>
                <w:color w:val="auto"/>
              </w:rPr>
            </w:pPr>
            <w:r>
              <w:rPr>
                <w:rFonts w:ascii="Arial" w:cs="Arial" w:eastAsia="Arial" w:hAnsi="Arial"/>
                <w:sz w:val="18"/>
                <w:szCs w:val="18"/>
                <w:color w:val="231F20"/>
                <w:w w:val="92"/>
              </w:rPr>
              <w:t>Level 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231F20"/>
        </w:rPr>
        <w:t>The Notes are carried at face value less the unamortized debt issuance costs on the Company’s Consolidated Balance Sheets. As of December 31, 2021, the estimated fair value of the Notes was approximately $794 million. The estimated fair value of the Notes was determined based on the actual bid price of the Notes on December 31, 2021.</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December 31, 2021, the remaining life of the Notes is approximately 4.8 years.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Capped Call Transactions</w:t>
      </w:r>
    </w:p>
    <w:p>
      <w:pPr>
        <w:spacing w:after="0" w:line="24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w:t>
      </w:r>
    </w:p>
    <w:p>
      <w:pPr>
        <w:spacing w:after="0" w:line="24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231F20"/>
        </w:rPr>
        <w:t>In connection with the Closing of the Business Combination, all of HydraFacial’s existing debt under its credit facilities were repaid and its credit facilities were extinguished. T</w:t>
      </w:r>
      <w:r>
        <w:rPr>
          <w:rFonts w:ascii="Arial" w:cs="Arial" w:eastAsia="Arial" w:hAnsi="Arial"/>
          <w:sz w:val="15"/>
          <w:szCs w:val="15"/>
          <w:color w:val="000000"/>
        </w:rPr>
        <w:t>he related write-off of the deferred financing costs totaled $2.3 million and prepayment penalties totaled $2.0 million. Both are</w:t>
      </w:r>
      <w:r>
        <w:rPr>
          <w:rFonts w:ascii="Arial" w:cs="Arial" w:eastAsia="Arial" w:hAnsi="Arial"/>
          <w:sz w:val="15"/>
          <w:szCs w:val="15"/>
          <w:color w:val="231F20"/>
        </w:rPr>
        <w:t xml:space="preserve"> </w:t>
      </w:r>
      <w:r>
        <w:rPr>
          <w:rFonts w:ascii="Arial" w:cs="Arial" w:eastAsia="Arial" w:hAnsi="Arial"/>
          <w:sz w:val="15"/>
          <w:szCs w:val="15"/>
          <w:color w:val="000000"/>
        </w:rPr>
        <w:t xml:space="preserve">included in the Other expense (income), net on the Company’s Consolidated Statements of Comprehensive Loss. </w:t>
      </w:r>
      <w:r>
        <w:rPr>
          <w:rFonts w:ascii="Arial" w:cs="Arial" w:eastAsia="Arial" w:hAnsi="Arial"/>
          <w:sz w:val="15"/>
          <w:szCs w:val="15"/>
          <w:color w:val="231F20"/>
        </w:rPr>
        <w:t>Defer</w:t>
      </w:r>
      <w:r>
        <w:rPr>
          <w:rFonts w:ascii="Arial" w:cs="Arial" w:eastAsia="Arial" w:hAnsi="Arial"/>
          <w:sz w:val="15"/>
          <w:szCs w:val="15"/>
          <w:color w:val="000000"/>
        </w:rPr>
        <w:t xml:space="preserve">red financing costs expense for the year ended December 31, 2021 amounted to $0.5 million for the existing debt prior to the Business Combination while the amortization of issuance costs for the Notes amounted to $1.3 million during 2021. </w:t>
      </w:r>
      <w:r>
        <w:rPr>
          <w:rFonts w:ascii="Arial" w:cs="Arial" w:eastAsia="Arial" w:hAnsi="Arial"/>
          <w:sz w:val="15"/>
          <w:szCs w:val="15"/>
          <w:color w:val="231F20"/>
        </w:rPr>
        <w:t>Defer</w:t>
      </w:r>
      <w:r>
        <w:rPr>
          <w:rFonts w:ascii="Arial" w:cs="Arial" w:eastAsia="Arial" w:hAnsi="Arial"/>
          <w:sz w:val="15"/>
          <w:szCs w:val="15"/>
          <w:color w:val="000000"/>
        </w:rPr>
        <w:t>red financing costs expense for the years ended December 31, 2020 and December 31, 2019 amounted to $1.5 million and $1.4 million, respectively, and is included in Interest expense, net on the Company’s Consolidated Statements of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231F20"/>
        </w:rPr>
        <w:t>On March 27,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(“QIP”).</w:t>
      </w:r>
    </w:p>
    <w:p>
      <w:pPr>
        <w:spacing w:after="0" w:line="22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On December 27, 2020, the United States enacted the Consolidated Appropriations Act which extended many of the benefits of the CARES Act that were scheduled to expire. The Company does not expect a material impact of Consolidated Appropriations Act on the Company’s Consolidated Financial Statements and related disclosures.</w:t>
      </w:r>
    </w:p>
    <w:p>
      <w:pPr>
        <w:spacing w:after="0" w:line="215"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On June 29, 2020, the State of California passed Assembly Bill 85 which suspends the California net operating loss deduction for the 2020-2022 tax years and the research and development credit usage for the same period (for credit usages in excess of $5.0 million). These suspensions were considered in preparation of the year ended December 31, 2021 and 2020 of the Company’s Consolidated Financial Statements.</w:t>
      </w:r>
    </w:p>
    <w:p>
      <w:pPr>
        <w:spacing w:after="0" w:line="198"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the Company’s Consolidated Financial Statements and related disclosures.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domestic and foreign components of net income (loss) before income taxes as follows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231F20"/>
              </w:rPr>
              <w:t>Year Ended December 31,</w:t>
            </w:r>
          </w:p>
        </w:tc>
      </w:tr>
      <w:tr>
        <w:trPr>
          <w:trHeight w:val="185"/>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2020</w:t>
            </w:r>
          </w:p>
        </w:tc>
      </w:tr>
      <w:tr>
        <w:trPr>
          <w:trHeight w:val="219"/>
        </w:trPr>
        <w:tc>
          <w:tcPr>
            <w:tcW w:w="82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Domestic</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r>
      <w:tr>
        <w:trPr>
          <w:trHeight w:val="225"/>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44"/>
        </w:trPr>
        <w:tc>
          <w:tcPr>
            <w:tcW w:w="828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Income (loss) before taxes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federal, state and foreign components of the income tax expense (benefit)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231F20"/>
              </w:rPr>
              <w:t>Year Ended December 31,</w:t>
            </w:r>
          </w:p>
        </w:tc>
      </w:tr>
      <w:tr>
        <w:trPr>
          <w:trHeight w:val="185"/>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2020</w:t>
            </w:r>
          </w:p>
        </w:tc>
      </w:tr>
      <w:tr>
        <w:trPr>
          <w:trHeight w:val="206"/>
        </w:trPr>
        <w:tc>
          <w:tcPr>
            <w:tcW w:w="82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8280" w:type="dxa"/>
            <w:vAlign w:val="bottom"/>
          </w:tcPr>
          <w:p>
            <w:pPr>
              <w:ind w:left="60"/>
              <w:spacing w:after="0"/>
              <w:rPr>
                <w:sz w:val="20"/>
                <w:szCs w:val="20"/>
                <w:color w:val="auto"/>
              </w:rPr>
            </w:pPr>
            <w:r>
              <w:rPr>
                <w:rFonts w:ascii="Arial" w:cs="Arial" w:eastAsia="Arial" w:hAnsi="Arial"/>
                <w:sz w:val="18"/>
                <w:szCs w:val="18"/>
                <w:color w:val="231F20"/>
              </w:rPr>
              <w:t>Federal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(5,760)</w:t>
            </w:r>
          </w:p>
        </w:tc>
      </w:tr>
      <w:tr>
        <w:trPr>
          <w:trHeight w:val="226"/>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5"/>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19"/>
        </w:trPr>
        <w:tc>
          <w:tcPr>
            <w:tcW w:w="82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current income tax expense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r>
      <w:tr>
        <w:trPr>
          <w:trHeight w:val="225"/>
        </w:trPr>
        <w:tc>
          <w:tcPr>
            <w:tcW w:w="8280" w:type="dxa"/>
            <w:vAlign w:val="bottom"/>
          </w:tcPr>
          <w:p>
            <w:pPr>
              <w:ind w:left="60"/>
              <w:spacing w:after="0"/>
              <w:rPr>
                <w:sz w:val="20"/>
                <w:szCs w:val="20"/>
                <w:color w:val="auto"/>
              </w:rPr>
            </w:pPr>
            <w:r>
              <w:rPr>
                <w:rFonts w:ascii="Arial" w:cs="Arial" w:eastAsia="Arial" w:hAnsi="Arial"/>
                <w:sz w:val="18"/>
                <w:szCs w:val="18"/>
                <w:color w:val="231F20"/>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25"/>
        </w:trPr>
        <w:tc>
          <w:tcPr>
            <w:tcW w:w="8280" w:type="dxa"/>
            <w:vAlign w:val="bottom"/>
          </w:tcPr>
          <w:p>
            <w:pPr>
              <w:ind w:left="60"/>
              <w:spacing w:after="0"/>
              <w:rPr>
                <w:sz w:val="20"/>
                <w:szCs w:val="20"/>
                <w:color w:val="auto"/>
              </w:rPr>
            </w:pPr>
            <w:r>
              <w:rPr>
                <w:rFonts w:ascii="Arial" w:cs="Arial" w:eastAsia="Arial" w:hAnsi="Arial"/>
                <w:sz w:val="18"/>
                <w:szCs w:val="18"/>
                <w:color w:val="231F20"/>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5"/>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9"/>
        </w:trPr>
        <w:tc>
          <w:tcPr>
            <w:tcW w:w="8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r>
      <w:tr>
        <w:trPr>
          <w:trHeight w:val="243"/>
        </w:trPr>
        <w:tc>
          <w:tcPr>
            <w:tcW w:w="828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income tax benefit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effective tax rate of the provision for income tax differs from the federal statutory rate as follows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231F20"/>
                <w:w w:val="98"/>
              </w:rPr>
              <w:t>Year Ended December 31,</w:t>
            </w:r>
          </w:p>
        </w:tc>
        <w:tc>
          <w:tcPr>
            <w:tcW w:w="780" w:type="dxa"/>
            <w:vAlign w:val="bottom"/>
            <w:tcBorders>
              <w:bottom w:val="single" w:sz="8" w:color="auto"/>
            </w:tcBorders>
          </w:tcPr>
          <w:p>
            <w:pPr>
              <w:spacing w:after="0"/>
              <w:rPr>
                <w:sz w:val="16"/>
                <w:szCs w:val="16"/>
                <w:color w:val="auto"/>
              </w:rPr>
            </w:pPr>
          </w:p>
        </w:tc>
      </w:tr>
      <w:tr>
        <w:trPr>
          <w:trHeight w:val="185"/>
        </w:trPr>
        <w:tc>
          <w:tcPr>
            <w:tcW w:w="63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231F20"/>
              </w:rPr>
              <w:t>2021</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231F20"/>
              </w:rPr>
              <w:t>2020</w:t>
            </w:r>
          </w:p>
        </w:tc>
        <w:tc>
          <w:tcPr>
            <w:tcW w:w="780" w:type="dxa"/>
            <w:vAlign w:val="bottom"/>
            <w:tcBorders>
              <w:bottom w:val="single" w:sz="8" w:color="auto"/>
            </w:tcBorders>
          </w:tcPr>
          <w:p>
            <w:pPr>
              <w:spacing w:after="0"/>
              <w:rPr>
                <w:sz w:val="16"/>
                <w:szCs w:val="16"/>
                <w:color w:val="auto"/>
              </w:rPr>
            </w:pPr>
          </w:p>
        </w:tc>
      </w:tr>
      <w:tr>
        <w:trPr>
          <w:trHeight w:val="219"/>
        </w:trPr>
        <w:tc>
          <w:tcPr>
            <w:tcW w:w="63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Federal statutory income tax rate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State taxes, net of federal benefit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3.0</w:t>
            </w: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Change in fair value of warrants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Change in fair value of earn-out shares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Transaction Costs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Foreign rate differential</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R&amp;D credit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State rate change, net of federal effect</w:t>
            </w:r>
          </w:p>
        </w:tc>
        <w:tc>
          <w:tcPr>
            <w:tcW w:w="280" w:type="dxa"/>
            <w:vAlign w:val="bottom"/>
          </w:tcPr>
          <w:p>
            <w:pPr>
              <w:spacing w:after="0"/>
              <w:rPr>
                <w:sz w:val="19"/>
                <w:szCs w:val="19"/>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Change in valuation allowance</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r>
      <w:tr>
        <w:trPr>
          <w:trHeight w:val="225"/>
        </w:trPr>
        <w:tc>
          <w:tcPr>
            <w:tcW w:w="63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r>
      <w:tr>
        <w:trPr>
          <w:trHeight w:val="243"/>
        </w:trPr>
        <w:tc>
          <w:tcPr>
            <w:tcW w:w="63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Income tax benefit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320" w:firstLine="318"/>
        <w:spacing w:after="0" w:line="277"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established when necessary to reduce deferred tax assets to the amounts more likely than not to be realized. The components of the deferred tax assets are as follows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231F20"/>
              </w:rPr>
              <w:t>Year Ended December 31,</w:t>
            </w:r>
          </w:p>
        </w:tc>
        <w:tc>
          <w:tcPr>
            <w:tcW w:w="1000" w:type="dxa"/>
            <w:vAlign w:val="bottom"/>
            <w:tcBorders>
              <w:bottom w:val="single" w:sz="8" w:color="auto"/>
            </w:tcBorders>
          </w:tcPr>
          <w:p>
            <w:pPr>
              <w:spacing w:after="0"/>
              <w:rPr>
                <w:sz w:val="16"/>
                <w:szCs w:val="16"/>
                <w:color w:val="auto"/>
              </w:rPr>
            </w:pPr>
          </w:p>
        </w:tc>
      </w:tr>
      <w:tr>
        <w:trPr>
          <w:trHeight w:val="185"/>
        </w:trPr>
        <w:tc>
          <w:tcPr>
            <w:tcW w:w="76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231F20"/>
                <w:w w:val="83"/>
              </w:rPr>
              <w:t>2020</w:t>
            </w:r>
          </w:p>
        </w:tc>
      </w:tr>
      <w:tr>
        <w:trPr>
          <w:trHeight w:val="20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Deferred income tax assets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State taxes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Accrued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Inventories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2,421</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Accounts receivable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Section 163(j) limitation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operating loss carryforwards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Stock-based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Lease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9"/>
        </w:trPr>
        <w:tc>
          <w:tcPr>
            <w:tcW w:w="76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deferred income tax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r>
      <w:tr>
        <w:trPr>
          <w:trHeight w:val="252"/>
        </w:trPr>
        <w:tc>
          <w:tcPr>
            <w:tcW w:w="7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5"/>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Deferred income tax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Goodwill and intangibles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(7,761)</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Prepaid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Right-of-use Assets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Property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18"/>
        </w:trPr>
        <w:tc>
          <w:tcPr>
            <w:tcW w:w="7660" w:type="dxa"/>
            <w:vAlign w:val="bottom"/>
          </w:tcPr>
          <w:p>
            <w:pPr>
              <w:ind w:left="60"/>
              <w:spacing w:after="0" w:line="204" w:lineRule="exact"/>
              <w:rPr>
                <w:sz w:val="20"/>
                <w:szCs w:val="20"/>
                <w:color w:val="auto"/>
              </w:rPr>
            </w:pPr>
            <w:r>
              <w:rPr>
                <w:rFonts w:ascii="Arial" w:cs="Arial" w:eastAsia="Arial" w:hAnsi="Arial"/>
                <w:sz w:val="18"/>
                <w:szCs w:val="18"/>
                <w:color w:val="231F20"/>
              </w:rPr>
              <w:t>Total deferred tax liabilities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(10,468)</w:t>
            </w: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8"/>
        </w:trPr>
        <w:tc>
          <w:tcPr>
            <w:tcW w:w="7660" w:type="dxa"/>
            <w:vAlign w:val="bottom"/>
          </w:tcPr>
          <w:p>
            <w:pPr>
              <w:ind w:left="60"/>
              <w:spacing w:after="0"/>
              <w:rPr>
                <w:sz w:val="20"/>
                <w:szCs w:val="20"/>
                <w:color w:val="auto"/>
              </w:rPr>
            </w:pPr>
            <w:r>
              <w:rPr>
                <w:rFonts w:ascii="Arial" w:cs="Arial" w:eastAsia="Arial" w:hAnsi="Arial"/>
                <w:sz w:val="18"/>
                <w:szCs w:val="18"/>
                <w:b w:val="1"/>
                <w:bCs w:val="1"/>
                <w:color w:val="231F20"/>
              </w:rPr>
              <w:t>Net deferred income tax liabilities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net deferred tax liability as presented in the consolidated balance sheets consists of the following items as of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231F20"/>
              </w:rPr>
              <w:t>December 31, 2021</w:t>
            </w:r>
          </w:p>
        </w:tc>
        <w:tc>
          <w:tcPr>
            <w:tcW w:w="180" w:type="dxa"/>
            <w:vAlign w:val="bottom"/>
          </w:tcPr>
          <w:p>
            <w:pPr>
              <w:spacing w:after="0"/>
              <w:rPr>
                <w:sz w:val="16"/>
                <w:szCs w:val="16"/>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231F20"/>
                <w:w w:val="95"/>
              </w:rPr>
              <w:t>December 31, 2020</w:t>
            </w:r>
          </w:p>
        </w:tc>
      </w:tr>
      <w:tr>
        <w:trPr>
          <w:trHeight w:val="224"/>
        </w:trPr>
        <w:tc>
          <w:tcPr>
            <w:tcW w:w="7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Deferred income tax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270</w:t>
            </w:r>
          </w:p>
        </w:tc>
      </w:tr>
      <w:tr>
        <w:trPr>
          <w:trHeight w:val="225"/>
        </w:trPr>
        <w:tc>
          <w:tcPr>
            <w:tcW w:w="7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Deferred income tax liabilities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(3,987)</w:t>
            </w:r>
          </w:p>
        </w:tc>
      </w:tr>
      <w:tr>
        <w:trPr>
          <w:trHeight w:val="243"/>
        </w:trPr>
        <w:tc>
          <w:tcPr>
            <w:tcW w:w="77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Net deferred income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(3,717)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 The valuation allowance increased approximately $8.5 million in 2021 from 2020 primarily due to recognizing valuation allowances against deferred tax assets of certain state and foreign net operating loss carryforwards, state interest carryforwards, and deferred tax assets for credits.</w:t>
      </w:r>
    </w:p>
    <w:p>
      <w:pPr>
        <w:spacing w:after="0" w:line="17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If the Company were to release the valuation allowance upon management determining that it is more likely than not the deferred tax assets could be recognized, approximately $4.5 million of income tax benefit would be recorded to continuing operations and the remaining income tax benefit of $4.5 million would be recorded to equity.</w:t>
      </w:r>
    </w:p>
    <w:p>
      <w:pPr>
        <w:spacing w:after="0" w:line="215"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At December 31, 2021, the Company had gross federal, state and foreign net operating loss carryforwards of approximately $15.7 million, $24.2 million and $4.5 million, respectively. The state losses expire beginning in 2025 and the foreign losses beginning in 2031.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and December 31, 2020, the Company had recorded gross unrecognized tax benefits of approximately $0.2 million and</w:t>
      </w:r>
    </w:p>
    <w:p>
      <w:pPr>
        <w:spacing w:after="0" w:line="5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$0.3 million, respectively. All of the unrecognized tax benefits as of December 31, 2021, if recognized, would not materially impact the effective tax rate. As of December 31, 2021, there were no unrecognized tax benefits that the Company expects would change significantly over the next twelve months. The Company recognizes interest expense and penalties associated with uncertain tax positions as a component of income tax expense. The Company has not recognized any interest or penalties because of losses.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231F20"/>
              </w:rPr>
              <w:t>December 31, 2021</w:t>
            </w:r>
          </w:p>
        </w:tc>
        <w:tc>
          <w:tcPr>
            <w:tcW w:w="180" w:type="dxa"/>
            <w:vAlign w:val="bottom"/>
          </w:tcPr>
          <w:p>
            <w:pPr>
              <w:spacing w:after="0"/>
              <w:rPr>
                <w:sz w:val="16"/>
                <w:szCs w:val="16"/>
                <w:color w:val="auto"/>
              </w:rPr>
            </w:pPr>
          </w:p>
        </w:tc>
        <w:tc>
          <w:tcPr>
            <w:tcW w:w="1500" w:type="dxa"/>
            <w:vAlign w:val="bottom"/>
          </w:tcPr>
          <w:p>
            <w:pPr>
              <w:jc w:val="right"/>
              <w:ind w:right="195"/>
              <w:spacing w:after="0"/>
              <w:rPr>
                <w:sz w:val="20"/>
                <w:szCs w:val="20"/>
                <w:color w:val="auto"/>
              </w:rPr>
            </w:pPr>
            <w:r>
              <w:rPr>
                <w:rFonts w:ascii="Arial" w:cs="Arial" w:eastAsia="Arial" w:hAnsi="Arial"/>
                <w:sz w:val="14"/>
                <w:szCs w:val="14"/>
                <w:b w:val="1"/>
                <w:bCs w:val="1"/>
                <w:color w:val="231F20"/>
                <w:w w:val="95"/>
              </w:rPr>
              <w:t>December 31, 2020</w:t>
            </w:r>
          </w:p>
        </w:tc>
      </w:tr>
      <w:tr>
        <w:trPr>
          <w:trHeight w:val="224"/>
        </w:trPr>
        <w:tc>
          <w:tcPr>
            <w:tcW w:w="7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Unrecognized tax benefits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7760" w:type="dxa"/>
            <w:vAlign w:val="bottom"/>
          </w:tcPr>
          <w:p>
            <w:pPr>
              <w:ind w:left="60"/>
              <w:spacing w:after="0"/>
              <w:rPr>
                <w:sz w:val="20"/>
                <w:szCs w:val="20"/>
                <w:color w:val="auto"/>
              </w:rPr>
            </w:pPr>
            <w:r>
              <w:rPr>
                <w:rFonts w:ascii="Arial" w:cs="Arial" w:eastAsia="Arial" w:hAnsi="Arial"/>
                <w:sz w:val="18"/>
                <w:szCs w:val="18"/>
                <w:color w:val="231F20"/>
              </w:rPr>
              <w:t>Increases for tax positions in prior periods</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235</w:t>
            </w:r>
          </w:p>
        </w:tc>
      </w:tr>
      <w:tr>
        <w:trPr>
          <w:trHeight w:val="226"/>
        </w:trPr>
        <w:tc>
          <w:tcPr>
            <w:tcW w:w="7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Decreases for tax positions in prior periods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7760" w:type="dxa"/>
            <w:vAlign w:val="bottom"/>
          </w:tcPr>
          <w:p>
            <w:pPr>
              <w:ind w:left="60"/>
              <w:spacing w:after="0"/>
              <w:rPr>
                <w:sz w:val="20"/>
                <w:szCs w:val="20"/>
                <w:color w:val="auto"/>
              </w:rPr>
            </w:pPr>
            <w:r>
              <w:rPr>
                <w:rFonts w:ascii="Arial" w:cs="Arial" w:eastAsia="Arial" w:hAnsi="Arial"/>
                <w:sz w:val="18"/>
                <w:szCs w:val="18"/>
                <w:color w:val="231F20"/>
              </w:rPr>
              <w:t>Increases for tax positions in current period</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35</w:t>
            </w:r>
          </w:p>
        </w:tc>
      </w:tr>
      <w:tr>
        <w:trPr>
          <w:trHeight w:val="243"/>
        </w:trPr>
        <w:tc>
          <w:tcPr>
            <w:tcW w:w="7760" w:type="dxa"/>
            <w:vAlign w:val="bottom"/>
            <w:tcBorders>
              <w:top w:val="single" w:sz="8" w:color="CCEEFF"/>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unrecognized tax benefits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The Company is subject to taxation and files income tax returns in the United States federal jurisdiction and many state and foreign jurisdictions. The Company is not currently under examination by income tax authorities in federal, state or other jurisdictions. The Company’s tax returns remain open for examination in the U.S for years 2018 through 2020. Our foreign subsidiaries are generally subject to examination three years following the year in which the tax obligation originated. The years subject to audit may be extended if the entity substantially understates corporate income tax.</w:t>
      </w:r>
    </w:p>
    <w:p>
      <w:pPr>
        <w:spacing w:after="0" w:line="20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APB 23 (codified as FASB ASC 740-10-25-3) allows an exception to the general rule that a U.S. multinational company must accrue U.S. taxes on foreign earnings of its controlled non-U.S. subsidiaries. The Company will continue to indefinitely reinvest earnings from its foreign subsidiaries, which are not significant.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w:t>
      </w:r>
    </w:p>
    <w:p>
      <w:pPr>
        <w:spacing w:after="0" w:line="25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231F20"/>
        </w:rPr>
        <w:t>The Company sponsors a defined contribution 401(k) and profit sharing plan that all regular employees are eligible to participate in after one month of service. The Plan is administered by a third-party administrator. Contributions to the plans were $1.4 million, $0.8 million and $0.9 million for the years ended December 31, 2021, 2020 and 2019,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25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In December 2016, HydraFacial established its 2016 Equity Incentive Award Plan (the “2016 Plan”), the purpose of which was to provide incentives to selected officers and employees, to secure and retain their services, and to strengthen their commitment to HydraFacial. The 2016 Plan provided for grants of time vesting (“Time Vesting Options”) and performance-based equity awards (“Performance Vesting Options”) to Company employees (together the “Options”). The vesting of these Options varies based on whether such Time Vesting Options or Performance Vesting Options as described in the grant agreements.</w:t>
      </w:r>
    </w:p>
    <w:p>
      <w:pPr>
        <w:spacing w:after="0" w:line="220"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231F20"/>
        </w:rPr>
        <w:t xml:space="preserve">During May 2020, HydraFacial canceled 1,295 of the Time Vesting Options and 4,440 of the Performance Vesting Options outstanding under the 2016 Plan and replaced these awards with 1,295 of new time vested incentive units </w:t>
      </w:r>
      <w:r>
        <w:rPr>
          <w:rFonts w:ascii="Arial" w:cs="Arial" w:eastAsia="Arial" w:hAnsi="Arial"/>
          <w:sz w:val="18"/>
          <w:szCs w:val="18"/>
          <w:color w:val="000000"/>
        </w:rPr>
        <w:t>and 4,440 of performance based incentive units</w:t>
      </w:r>
      <w:r>
        <w:rPr>
          <w:rFonts w:ascii="Arial" w:cs="Arial" w:eastAsia="Arial" w:hAnsi="Arial"/>
          <w:sz w:val="18"/>
          <w:szCs w:val="18"/>
          <w:color w:val="231F20"/>
        </w:rPr>
        <w:t xml:space="preserve"> for certain members of management</w:t>
      </w:r>
      <w:r>
        <w:rPr>
          <w:rFonts w:ascii="Arial" w:cs="Arial" w:eastAsia="Arial" w:hAnsi="Arial"/>
          <w:sz w:val="18"/>
          <w:szCs w:val="18"/>
          <w:color w:val="000000"/>
        </w:rPr>
        <w:t>. All of the time vesting units and performance vesting units immediately vested upon the consummation of the Business Combination. As a</w:t>
      </w:r>
      <w:r>
        <w:rPr>
          <w:rFonts w:ascii="Arial" w:cs="Arial" w:eastAsia="Arial" w:hAnsi="Arial"/>
          <w:sz w:val="18"/>
          <w:szCs w:val="18"/>
          <w:color w:val="231F20"/>
        </w:rPr>
        <w:t xml:space="preserve"> </w:t>
      </w:r>
      <w:r>
        <w:rPr>
          <w:rFonts w:ascii="Arial" w:cs="Arial" w:eastAsia="Arial" w:hAnsi="Arial"/>
          <w:sz w:val="18"/>
          <w:szCs w:val="18"/>
          <w:color w:val="000000"/>
        </w:rPr>
        <w:t>result of the accelerated vesting of options and performance units from the consummation of the Business Combination, the Company recognized $1.4 million in stock compensation expense</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5"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Beauty Health Company 2021 Incentive Award Plan (the “2021 Plan”) became effective upon the consummation of the Business Combination. Pursuant to the 2021 Plan, the Company may grant stock options, stock appreciation rights, restricted stock, restricted stock units, dividend equivalents, other stock or cash based awards to eligible service providers. The aggregate number of shares of the Company’s Class A Common Stock that may be issued pursuant to awards granted under the 2021 Plan is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The maximum number of shares that may be granted with respect to incentive stock options (“ISOs”) under the 2021 Plan is 7,500,000. At December 31, 2021, an aggregate 6.7 million shares of the Company’s Class A Common Stock were reserved for the issuance of awards under the 2021 Plan.</w:t>
      </w: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Employee Stock Purchase Plan</w:t>
      </w:r>
    </w:p>
    <w:p>
      <w:pPr>
        <w:spacing w:after="0" w:line="24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maintains the Employee Stock Purchase Plan (the “ESPP”), which became effective upon the consummation of the Business Combination. The aggregate number of shares of the Company’s Class A Common Stock initially reserved for issuance pursuant to rights granted under the ESPP was 2,000,000. In addition, on the first day of each calendar year beginning</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2022 and ending on (and including) January 1, 2031, the number of shares available for issuance under the ESPP will be increased by a number of shares equal to the lesser of (1) one percent (1%) of the shares outstanding on the final day of the immediately preceding calendar year, and (2) such smaller number of shares as determined by the Company’s Board of Directors.</w:t>
      </w:r>
    </w:p>
    <w:p>
      <w:pPr>
        <w:spacing w:after="0" w:line="215"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Under the ESPP, eligible employees can have up to 10% of their earnings withheld, up to certain maximums, to be used to purchase shares of the Company’s Class A Common Stock at certain purchase dates. The price of the Company’s Class A Common Stock purchased under the ESPP for the offering periods is equal to 85% of the lesser of the fair market value of a share of Class A Common Stock of the Company on the beginning or the end of the offering period.</w:t>
      </w:r>
    </w:p>
    <w:p>
      <w:pPr>
        <w:spacing w:after="0" w:line="217"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As of December 31, 2021, there were no shares of the Company’s Class A Common Stock that were purchased under the ESPP. The Company is currently going through its first offering period which ends May 19, 2022. The Company recognized an immaterial amount of compensation expense related to the ESPP for the year ended December 31, 2021.</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i w:val="1"/>
          <w:iCs w:val="1"/>
          <w:color w:val="231F20"/>
        </w:rPr>
        <w:t>Options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231F20"/>
              </w:rPr>
              <w:t>Weighted 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0"/>
              </w:rPr>
              <w:t>Weighted Average</w:t>
            </w:r>
          </w:p>
        </w:tc>
        <w:tc>
          <w:tcPr>
            <w:tcW w:w="140" w:type="dxa"/>
            <w:vAlign w:val="bottom"/>
          </w:tcPr>
          <w:p>
            <w:pPr>
              <w:spacing w:after="0"/>
              <w:rPr>
                <w:sz w:val="14"/>
                <w:szCs w:val="14"/>
                <w:color w:val="auto"/>
              </w:rPr>
            </w:pPr>
          </w:p>
        </w:tc>
        <w:tc>
          <w:tcPr>
            <w:tcW w:w="17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231F20"/>
                <w:w w:val="92"/>
              </w:rPr>
              <w:t>Aggregate Intrinsic Value</w:t>
            </w: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5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231F20"/>
              </w:rPr>
              <w:t>Number of Options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231F20"/>
                <w:w w:val="92"/>
              </w:rPr>
              <w:t>Remaining Contractual</w:t>
            </w:r>
          </w:p>
        </w:tc>
        <w:tc>
          <w:tcPr>
            <w:tcW w:w="1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231F20"/>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3"/>
              </w:rPr>
              <w:t>Term (in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231F20"/>
              </w:rPr>
              <w:t>(in thousands)</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Outstanding - January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tcPr>
          <w:p>
            <w:pPr>
              <w:ind w:left="180"/>
              <w:spacing w:after="0"/>
              <w:rPr>
                <w:sz w:val="20"/>
                <w:szCs w:val="20"/>
                <w:color w:val="auto"/>
              </w:rPr>
            </w:pPr>
            <w:r>
              <w:rPr>
                <w:rFonts w:ascii="Arial" w:cs="Arial" w:eastAsia="Arial" w:hAnsi="Arial"/>
                <w:sz w:val="18"/>
                <w:szCs w:val="18"/>
                <w:color w:val="231F20"/>
              </w:rPr>
              <w:t>Granted</w:t>
            </w:r>
          </w:p>
        </w:tc>
        <w:tc>
          <w:tcPr>
            <w:tcW w:w="1520" w:type="dxa"/>
            <w:vAlign w:val="bottom"/>
          </w:tcPr>
          <w:p>
            <w:pPr>
              <w:jc w:val="right"/>
              <w:spacing w:after="0"/>
              <w:rPr>
                <w:sz w:val="20"/>
                <w:szCs w:val="20"/>
                <w:color w:val="auto"/>
              </w:rPr>
            </w:pPr>
            <w:r>
              <w:rPr>
                <w:rFonts w:ascii="Arial" w:cs="Arial" w:eastAsia="Arial" w:hAnsi="Arial"/>
                <w:sz w:val="18"/>
                <w:szCs w:val="18"/>
                <w:color w:val="231F20"/>
              </w:rPr>
              <w:t>10,408,270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14.75</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(3,623,250)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line="204" w:lineRule="exact"/>
              <w:rPr>
                <w:sz w:val="20"/>
                <w:szCs w:val="20"/>
                <w:color w:val="auto"/>
              </w:rPr>
            </w:pPr>
            <w:r>
              <w:rPr>
                <w:rFonts w:ascii="Arial" w:cs="Arial" w:eastAsia="Arial" w:hAnsi="Arial"/>
                <w:sz w:val="18"/>
                <w:szCs w:val="18"/>
                <w:color w:val="231F20"/>
              </w:rPr>
              <w:t>Outstanding - December 31, 2021</w:t>
            </w:r>
          </w:p>
        </w:tc>
        <w:tc>
          <w:tcPr>
            <w:tcW w:w="1520" w:type="dxa"/>
            <w:vAlign w:val="bottom"/>
          </w:tcPr>
          <w:p>
            <w:pPr>
              <w:jc w:val="right"/>
              <w:spacing w:after="0"/>
              <w:rPr>
                <w:sz w:val="20"/>
                <w:szCs w:val="20"/>
                <w:color w:val="auto"/>
              </w:rPr>
            </w:pPr>
            <w:r>
              <w:rPr>
                <w:rFonts w:ascii="Arial" w:cs="Arial" w:eastAsia="Arial" w:hAnsi="Arial"/>
                <w:sz w:val="18"/>
                <w:szCs w:val="18"/>
                <w:color w:val="231F20"/>
              </w:rPr>
              <w:t>6,785,020</w:t>
            </w:r>
          </w:p>
        </w:tc>
        <w:tc>
          <w:tcPr>
            <w:tcW w:w="26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231F20"/>
              </w:rPr>
              <w:t>$</w:t>
            </w:r>
          </w:p>
        </w:tc>
        <w:tc>
          <w:tcPr>
            <w:tcW w:w="1400" w:type="dxa"/>
            <w:vAlign w:val="bottom"/>
          </w:tcPr>
          <w:p>
            <w:pPr>
              <w:jc w:val="right"/>
              <w:spacing w:after="0" w:line="204" w:lineRule="exact"/>
              <w:rPr>
                <w:sz w:val="20"/>
                <w:szCs w:val="20"/>
                <w:color w:val="auto"/>
              </w:rPr>
            </w:pPr>
            <w:r>
              <w:rPr>
                <w:rFonts w:ascii="Arial" w:cs="Arial" w:eastAsia="Arial" w:hAnsi="Arial"/>
                <w:sz w:val="18"/>
                <w:szCs w:val="18"/>
                <w:color w:val="231F20"/>
              </w:rPr>
              <w:t>15.64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231F20"/>
                <w:w w:val="79"/>
              </w:rPr>
              <w:t>$</w:t>
            </w:r>
          </w:p>
        </w:tc>
        <w:tc>
          <w:tcPr>
            <w:tcW w:w="1740" w:type="dxa"/>
            <w:vAlign w:val="bottom"/>
          </w:tcPr>
          <w:p>
            <w:pPr>
              <w:jc w:val="right"/>
              <w:spacing w:after="0" w:line="204" w:lineRule="exact"/>
              <w:rPr>
                <w:sz w:val="20"/>
                <w:szCs w:val="20"/>
                <w:color w:val="auto"/>
              </w:rPr>
            </w:pPr>
            <w:r>
              <w:rPr>
                <w:rFonts w:ascii="Arial" w:cs="Arial" w:eastAsia="Arial" w:hAnsi="Arial"/>
                <w:sz w:val="18"/>
                <w:szCs w:val="18"/>
                <w:color w:val="231F20"/>
              </w:rPr>
              <w:t>59,482</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231F20"/>
                <w:w w:val="91"/>
              </w:rPr>
              <w:t>Options vested and expected to vest -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6,785,020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15.64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59,482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weighted-average grant date fair value of the stock options granted during the year ended December 31, 2021 is $7.84. At December 31, 2021, aggregate unrecognized compensation cost for unvested stock options was $49.0 million recognized over a weighted average period of 3.48 years. The stock options granted generally vest over a 4 year period.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Restricted Stock Units (“RSUs”) and </w:t>
      </w:r>
      <w:r>
        <w:rPr>
          <w:rFonts w:ascii="Arial" w:cs="Arial" w:eastAsia="Arial" w:hAnsi="Arial"/>
          <w:sz w:val="18"/>
          <w:szCs w:val="18"/>
          <w:i w:val="1"/>
          <w:iCs w:val="1"/>
          <w:color w:val="231F20"/>
        </w:rPr>
        <w:t>Performance-based restricted stock units (“PSUs”)</w:t>
      </w:r>
    </w:p>
    <w:p>
      <w:pPr>
        <w:spacing w:after="0" w:line="24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Company reserves the right to grants RSUs to certain employees, executives and directors. The RSUs granted are eligible to vest over four years, subject to the recipient’s continued employment through each vesting date.</w:t>
      </w:r>
    </w:p>
    <w:p>
      <w:pPr>
        <w:spacing w:after="0" w:line="207"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PSUs awarded to our NEOs pursuant to the 2021 Plan may be earned over a four-year performance period based on each NEO’s continuation in service through the end of the performance period and the attainment of pre-determined goals related to the Company’s stock price. The actual number of shares of the Company’s Class A Common Stock to be issued, ranging from 0% to 100% of the number of PSUs granted, is to be determined based upon the performance of the Company’s Class A Common Stock and will be determined based on the greater of (i) the Company’s average stock price during the 90-day period ending on the third anniversary of the vesting commencement date and (ii) the Company’s average stock price during the 90-day period ending on the fourth anniversary of the vesting commencement date.</w:t>
      </w:r>
    </w:p>
    <w:p>
      <w:pPr>
        <w:spacing w:after="0" w:line="206"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The fair value of PSU awards is recognized on a straight-line basis over their measurement period as compensation expense, and is not subject to reversal even if the market condition is not achieved. The fair value of PSUs was determined using a Monte Carlo simulation with the following assumptions: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ind w:left="60"/>
              <w:spacing w:after="0"/>
              <w:rPr>
                <w:sz w:val="20"/>
                <w:szCs w:val="20"/>
                <w:color w:val="auto"/>
              </w:rPr>
            </w:pPr>
            <w:r>
              <w:rPr>
                <w:rFonts w:ascii="Arial" w:cs="Arial" w:eastAsia="Arial" w:hAnsi="Arial"/>
                <w:sz w:val="14"/>
                <w:szCs w:val="14"/>
                <w:b w:val="1"/>
                <w:bCs w:val="1"/>
                <w:color w:val="231F20"/>
              </w:rPr>
              <w:t>Input</w:t>
            </w:r>
          </w:p>
        </w:tc>
        <w:tc>
          <w:tcPr>
            <w:tcW w:w="6180" w:type="dxa"/>
            <w:vAlign w:val="bottom"/>
          </w:tcPr>
          <w:p>
            <w:pPr>
              <w:jc w:val="right"/>
              <w:ind w:right="636"/>
              <w:spacing w:after="0"/>
              <w:rPr>
                <w:sz w:val="20"/>
                <w:szCs w:val="20"/>
                <w:color w:val="auto"/>
              </w:rPr>
            </w:pPr>
            <w:r>
              <w:rPr>
                <w:rFonts w:ascii="Arial" w:cs="Arial" w:eastAsia="Arial" w:hAnsi="Arial"/>
                <w:sz w:val="14"/>
                <w:szCs w:val="14"/>
                <w:b w:val="1"/>
                <w:bCs w:val="1"/>
                <w:color w:val="231F20"/>
              </w:rPr>
              <w:t>2021 Grants</w:t>
            </w:r>
          </w:p>
        </w:tc>
      </w:tr>
      <w:tr>
        <w:trPr>
          <w:trHeight w:val="231"/>
        </w:trPr>
        <w:tc>
          <w:tcPr>
            <w:tcW w:w="50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Risk-free interest rate</w:t>
            </w:r>
          </w:p>
        </w:tc>
        <w:tc>
          <w:tcPr>
            <w:tcW w:w="61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231F20"/>
              </w:rPr>
              <w:t>0.50% - 0.65%</w:t>
            </w:r>
          </w:p>
        </w:tc>
      </w:tr>
      <w:tr>
        <w:trPr>
          <w:trHeight w:val="224"/>
        </w:trPr>
        <w:tc>
          <w:tcPr>
            <w:tcW w:w="5060" w:type="dxa"/>
            <w:vAlign w:val="bottom"/>
          </w:tcPr>
          <w:p>
            <w:pPr>
              <w:ind w:left="60"/>
              <w:spacing w:after="0"/>
              <w:rPr>
                <w:sz w:val="20"/>
                <w:szCs w:val="20"/>
                <w:color w:val="auto"/>
              </w:rPr>
            </w:pPr>
            <w:r>
              <w:rPr>
                <w:rFonts w:ascii="Arial" w:cs="Arial" w:eastAsia="Arial" w:hAnsi="Arial"/>
                <w:sz w:val="18"/>
                <w:szCs w:val="18"/>
                <w:color w:val="231F20"/>
              </w:rPr>
              <w:t>Expected volatility of the Company’s Class A Common Stock</w:t>
            </w:r>
          </w:p>
        </w:tc>
        <w:tc>
          <w:tcPr>
            <w:tcW w:w="6180" w:type="dxa"/>
            <w:vAlign w:val="bottom"/>
          </w:tcPr>
          <w:p>
            <w:pPr>
              <w:jc w:val="right"/>
              <w:ind w:right="776"/>
              <w:spacing w:after="0"/>
              <w:rPr>
                <w:sz w:val="20"/>
                <w:szCs w:val="20"/>
                <w:color w:val="auto"/>
              </w:rPr>
            </w:pPr>
            <w:r>
              <w:rPr>
                <w:rFonts w:ascii="Arial" w:cs="Arial" w:eastAsia="Arial" w:hAnsi="Arial"/>
                <w:sz w:val="18"/>
                <w:szCs w:val="18"/>
                <w:color w:val="231F20"/>
              </w:rPr>
              <w:t>55.0%</w:t>
            </w:r>
          </w:p>
        </w:tc>
      </w:tr>
      <w:tr>
        <w:trPr>
          <w:trHeight w:val="874"/>
        </w:trPr>
        <w:tc>
          <w:tcPr>
            <w:tcW w:w="5060" w:type="dxa"/>
            <w:vAlign w:val="bottom"/>
          </w:tcPr>
          <w:p>
            <w:pPr>
              <w:spacing w:after="0"/>
              <w:rPr>
                <w:sz w:val="24"/>
                <w:szCs w:val="24"/>
                <w:color w:val="auto"/>
              </w:rPr>
            </w:pPr>
          </w:p>
        </w:tc>
        <w:tc>
          <w:tcPr>
            <w:tcW w:w="6180" w:type="dxa"/>
            <w:vAlign w:val="bottom"/>
          </w:tcPr>
          <w:p>
            <w:pPr>
              <w:jc w:val="right"/>
              <w:ind w:right="5256"/>
              <w:spacing w:after="0"/>
              <w:rPr>
                <w:sz w:val="20"/>
                <w:szCs w:val="20"/>
                <w:color w:val="auto"/>
              </w:rPr>
            </w:pPr>
            <w:r>
              <w:rPr>
                <w:rFonts w:ascii="Arial" w:cs="Arial" w:eastAsia="Arial" w:hAnsi="Arial"/>
                <w:sz w:val="18"/>
                <w:szCs w:val="18"/>
                <w:color w:val="auto"/>
              </w:rPr>
              <w:t>111</w:t>
            </w:r>
          </w:p>
        </w:tc>
      </w:tr>
      <w:tr>
        <w:trPr>
          <w:trHeight w:val="113"/>
        </w:trPr>
        <w:tc>
          <w:tcPr>
            <w:tcW w:w="5060" w:type="dxa"/>
            <w:vAlign w:val="bottom"/>
            <w:tcBorders>
              <w:bottom w:val="single" w:sz="8" w:color="9A9A9A"/>
            </w:tcBorders>
          </w:tcPr>
          <w:p>
            <w:pPr>
              <w:spacing w:after="0"/>
              <w:rPr>
                <w:sz w:val="9"/>
                <w:szCs w:val="9"/>
                <w:color w:val="auto"/>
              </w:rPr>
            </w:pPr>
          </w:p>
        </w:tc>
        <w:tc>
          <w:tcPr>
            <w:tcW w:w="6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unvested equity award activity for the year ended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231F20"/>
              </w:rPr>
              <w:t>Weighted Average Grant Date Fair Value</w:t>
            </w:r>
          </w:p>
        </w:tc>
      </w:tr>
      <w:tr>
        <w:trPr>
          <w:trHeight w:val="183"/>
        </w:trPr>
        <w:tc>
          <w:tcPr>
            <w:tcW w:w="42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RSUs</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231F20"/>
              </w:rPr>
              <w:t>PSUs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231F20"/>
              </w:rPr>
              <w:t>RSUs</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231F20"/>
              </w:rPr>
              <w:t>PSUs</w:t>
            </w:r>
          </w:p>
        </w:tc>
      </w:tr>
      <w:tr>
        <w:trPr>
          <w:trHeight w:val="219"/>
        </w:trPr>
        <w:tc>
          <w:tcPr>
            <w:tcW w:w="42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Outstanding - January 1, 2021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02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231F20"/>
              </w:rPr>
              <w:t>—  $</w:t>
            </w:r>
          </w:p>
        </w:tc>
        <w:tc>
          <w:tcPr>
            <w:tcW w:w="19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231F20"/>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4280" w:type="dxa"/>
            <w:vAlign w:val="bottom"/>
          </w:tcPr>
          <w:p>
            <w:pPr>
              <w:ind w:left="180"/>
              <w:spacing w:after="0"/>
              <w:rPr>
                <w:sz w:val="20"/>
                <w:szCs w:val="20"/>
                <w:color w:val="auto"/>
              </w:rPr>
            </w:pPr>
            <w:r>
              <w:rPr>
                <w:rFonts w:ascii="Arial" w:cs="Arial" w:eastAsia="Arial" w:hAnsi="Arial"/>
                <w:sz w:val="18"/>
                <w:szCs w:val="18"/>
                <w:color w:val="231F20"/>
              </w:rPr>
              <w:t>Granted</w:t>
            </w:r>
          </w:p>
        </w:tc>
        <w:tc>
          <w:tcPr>
            <w:tcW w:w="1500" w:type="dxa"/>
            <w:vAlign w:val="bottom"/>
          </w:tcPr>
          <w:p>
            <w:pPr>
              <w:jc w:val="right"/>
              <w:spacing w:after="0"/>
              <w:rPr>
                <w:sz w:val="20"/>
                <w:szCs w:val="20"/>
                <w:color w:val="auto"/>
              </w:rPr>
            </w:pPr>
            <w:r>
              <w:rPr>
                <w:rFonts w:ascii="Arial" w:cs="Arial" w:eastAsia="Arial" w:hAnsi="Arial"/>
                <w:sz w:val="18"/>
                <w:szCs w:val="18"/>
                <w:color w:val="231F20"/>
              </w:rPr>
              <w:t>439,488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1,350,000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25.91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9.92</w:t>
            </w:r>
          </w:p>
        </w:tc>
      </w:tr>
      <w:tr>
        <w:trPr>
          <w:trHeight w:val="22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(30,963)</w:t>
            </w:r>
          </w:p>
        </w:tc>
        <w:tc>
          <w:tcPr>
            <w:tcW w:w="1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231F20"/>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4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(27,750)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26.16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6.10</w:t>
            </w:r>
          </w:p>
        </w:tc>
      </w:tr>
      <w:tr>
        <w:trPr>
          <w:trHeight w:val="219"/>
        </w:trPr>
        <w:tc>
          <w:tcPr>
            <w:tcW w:w="42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Outstanding -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380,775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231F20"/>
              </w:rPr>
              <w:t>25.88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231F20"/>
              </w:rPr>
              <w:t>11.39</w:t>
            </w:r>
          </w:p>
        </w:tc>
      </w:tr>
    </w:tbl>
    <w:p>
      <w:pPr>
        <w:spacing w:after="0" w:line="319" w:lineRule="exact"/>
        <w:rPr>
          <w:sz w:val="20"/>
          <w:szCs w:val="20"/>
          <w:color w:val="auto"/>
        </w:rPr>
      </w:pPr>
    </w:p>
    <w:p>
      <w:pPr>
        <w:ind w:right="760" w:firstLine="318"/>
        <w:spacing w:after="0" w:line="264" w:lineRule="auto"/>
        <w:rPr>
          <w:sz w:val="20"/>
          <w:szCs w:val="20"/>
          <w:color w:val="auto"/>
        </w:rPr>
      </w:pPr>
      <w:r>
        <w:rPr>
          <w:rFonts w:ascii="Arial" w:cs="Arial" w:eastAsia="Arial" w:hAnsi="Arial"/>
          <w:sz w:val="18"/>
          <w:szCs w:val="18"/>
          <w:color w:val="auto"/>
        </w:rPr>
        <w:t>The fair value of equity awards that vested, determined based on their respective fair values at vesting date, was $0.7 million in 2021. All of the outstanding equity awards are expected to vest.</w:t>
      </w:r>
    </w:p>
    <w:p>
      <w:pPr>
        <w:spacing w:after="0" w:line="207"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At December 31, 2021, the aggregate unrecognized compensation cost for unvested RSUs and PSUs was $8.5 million and $9.9 million, respectively, recognized over a weighted average period of 3.25 years and 3.60 years,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Stock-based Compensation Expense</w:t>
      </w:r>
    </w:p>
    <w:p>
      <w:pPr>
        <w:spacing w:after="0" w:line="24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231F20"/>
        </w:rPr>
        <w:t>Compensation expense attributable to net stock-based compensation was $12.4 million, $0.4 million and $0.1 million for the years ended December 31, 2021, 2020 and 2019, respectively and recorded in the Consolidated Statements of Comprehensive Loss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231F20"/>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2019</w:t>
            </w:r>
          </w:p>
        </w:tc>
      </w:tr>
      <w:tr>
        <w:trPr>
          <w:trHeight w:val="219"/>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Cost of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6760" w:type="dxa"/>
            <w:vAlign w:val="bottom"/>
          </w:tcPr>
          <w:p>
            <w:pPr>
              <w:ind w:left="60"/>
              <w:spacing w:after="0"/>
              <w:rPr>
                <w:sz w:val="20"/>
                <w:szCs w:val="20"/>
                <w:color w:val="auto"/>
              </w:rPr>
            </w:pPr>
            <w:r>
              <w:rPr>
                <w:rFonts w:ascii="Arial" w:cs="Arial" w:eastAsia="Arial" w:hAnsi="Arial"/>
                <w:sz w:val="18"/>
                <w:szCs w:val="18"/>
                <w:color w:val="231F20"/>
              </w:rPr>
              <w:t>Selling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8"/>
        </w:trPr>
        <w:tc>
          <w:tcPr>
            <w:tcW w:w="676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color w:val="231F20"/>
              </w:rPr>
              <w:t>Stock-based compensation expense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12,418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0"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231F20"/>
        </w:rPr>
        <w:t>From time to time the Company may be involved in claims, legal actions and governmental proceedings that arise from its business operations. As of December 31, 2021 and 2020, the Company was not a party to any legal proceedings or threatened legal proceedings, the adverse outcome of which, individually or in the aggregate, that it believes would have a material adverse effect on its business, financial condition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Concentrations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December 31, 2021, the Company had no customers that accounted for 10% or more of the Accounts receivable balance.</w:t>
      </w:r>
    </w:p>
    <w:p>
      <w:pPr>
        <w:spacing w:after="0" w:line="24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231F20"/>
        </w:rPr>
        <w:t>As of December 31, 2020, the Company had one customer that accounted for 10% or more of the Accounts receivable balance. This customer accounted for 10.5%, or $1.9 million, of the Accounts receivable balance.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No single customer accounted for 10% or more of consolidated Net sales during the years ended December 31, 2021 and December 31,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Related-Party Transactions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Registration Rights Agreement</w:t>
      </w:r>
    </w:p>
    <w:p>
      <w:pPr>
        <w:spacing w:after="0" w:line="111" w:lineRule="exact"/>
        <w:rPr>
          <w:sz w:val="20"/>
          <w:szCs w:val="20"/>
          <w:color w:val="auto"/>
        </w:rPr>
      </w:pPr>
    </w:p>
    <w:p>
      <w:pPr>
        <w:ind w:right="520" w:firstLine="318"/>
        <w:spacing w:after="0" w:line="365" w:lineRule="auto"/>
        <w:rPr>
          <w:sz w:val="20"/>
          <w:szCs w:val="20"/>
          <w:color w:val="auto"/>
        </w:rPr>
      </w:pPr>
      <w:r>
        <w:rPr>
          <w:rFonts w:ascii="Arial" w:cs="Arial" w:eastAsia="Arial" w:hAnsi="Arial"/>
          <w:sz w:val="15"/>
          <w:szCs w:val="15"/>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to shares of Class A Common Stock prior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81" w:lineRule="exact"/>
        <w:rPr>
          <w:sz w:val="20"/>
          <w:szCs w:val="20"/>
          <w:color w:val="auto"/>
        </w:rPr>
      </w:pPr>
    </w:p>
    <w:p>
      <w:pPr>
        <w:ind w:right="60" w:firstLine="318"/>
        <w:spacing w:after="0" w:line="304" w:lineRule="auto"/>
        <w:rPr>
          <w:sz w:val="20"/>
          <w:szCs w:val="20"/>
          <w:color w:val="auto"/>
        </w:rPr>
      </w:pPr>
      <w:r>
        <w:rPr>
          <w:rFonts w:ascii="Arial" w:cs="Arial" w:eastAsia="Arial" w:hAnsi="Arial"/>
          <w:sz w:val="15"/>
          <w:szCs w:val="15"/>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39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Pursuant to the Registration Rights Agreement, the Sponsor agreed to restrictions on the transfer of their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Lock-Up Agreement</w:t>
      </w:r>
    </w:p>
    <w:p>
      <w:pPr>
        <w:spacing w:after="0" w:line="244"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In connection with the consummation of the Business Combination, on May 4, 2021, the Company, the Sponsor and the HydraFacial Stockholders entered into a Lock-Up Agreement, pursuant to which the HydraFacial Stockholders agreed, subject to certain exceptions, not to sell, transfer to another or otherwise dispose of, in whole or in part, the Common Stock held by the HydraFacial Stockholders during the period commencing from the closing of the Business Combination and through the earlier of (i) the 180-day anniversary of the date of the closing of the Business Combination and (ii) the date after the closing of the Business Combination on which the Company consummates certain transactions involving a change of control of the Company</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Investor Rights Agreement</w:t>
      </w:r>
    </w:p>
    <w:p>
      <w:pPr>
        <w:spacing w:after="0" w:line="24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Amended and Restated Management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Arial" w:cs="Arial" w:eastAsia="Arial" w:hAnsi="Arial"/>
          <w:sz w:val="17"/>
          <w:szCs w:val="17"/>
          <w:color w:val="231F20"/>
        </w:rPr>
        <w:t>1.25%</w:t>
      </w:r>
      <w:r>
        <w:rPr>
          <w:rFonts w:ascii="Arial" w:cs="Arial" w:eastAsia="Arial" w:hAnsi="Arial"/>
          <w:sz w:val="17"/>
          <w:szCs w:val="17"/>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Arial" w:cs="Arial" w:eastAsia="Arial" w:hAnsi="Arial"/>
          <w:sz w:val="17"/>
          <w:szCs w:val="17"/>
          <w:color w:val="231F20"/>
        </w:rPr>
        <w:t>1%</w:t>
      </w:r>
      <w:r>
        <w:rPr>
          <w:rFonts w:ascii="Arial" w:cs="Arial" w:eastAsia="Arial" w:hAnsi="Arial"/>
          <w:sz w:val="17"/>
          <w:szCs w:val="17"/>
          <w:color w:val="auto"/>
        </w:rPr>
        <w:t xml:space="preserve"> and </w:t>
      </w:r>
      <w:r>
        <w:rPr>
          <w:rFonts w:ascii="Arial" w:cs="Arial" w:eastAsia="Arial" w:hAnsi="Arial"/>
          <w:sz w:val="17"/>
          <w:szCs w:val="17"/>
          <w:color w:val="231F20"/>
        </w:rPr>
        <w:t>2%</w:t>
      </w:r>
      <w:r>
        <w:rPr>
          <w:rFonts w:ascii="Arial" w:cs="Arial" w:eastAsia="Arial" w:hAnsi="Arial"/>
          <w:sz w:val="17"/>
          <w:szCs w:val="17"/>
          <w:color w:val="auto"/>
        </w:rPr>
        <w:t xml:space="preserve"> of the related transaction amount. Linden Capital Partners III also received a transaction fee upon the consummation of the Business Combination.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consummation of the Business Combination, on May 4, 2021, the Company, its subsidiary, Edge Systems LLC, and Linden Capital</w:t>
      </w:r>
    </w:p>
    <w:p>
      <w:pPr>
        <w:spacing w:after="0" w:line="51" w:lineRule="exact"/>
        <w:rPr>
          <w:sz w:val="20"/>
          <w:szCs w:val="20"/>
          <w:color w:val="auto"/>
        </w:rPr>
      </w:pPr>
    </w:p>
    <w:p>
      <w:pPr>
        <w:ind w:right="40" w:firstLine="6"/>
        <w:spacing w:after="0" w:line="305" w:lineRule="auto"/>
        <w:tabs>
          <w:tab w:leader="none" w:pos="221" w:val="left"/>
        </w:tabs>
        <w:numPr>
          <w:ilvl w:val="0"/>
          <w:numId w:val="37"/>
        </w:numPr>
        <w:rPr>
          <w:rFonts w:ascii="Arial" w:cs="Arial" w:eastAsia="Arial" w:hAnsi="Arial"/>
          <w:sz w:val="15"/>
          <w:szCs w:val="15"/>
          <w:color w:val="auto"/>
        </w:rPr>
      </w:pPr>
      <w:r>
        <w:rPr>
          <w:rFonts w:ascii="Arial" w:cs="Arial" w:eastAsia="Arial" w:hAnsi="Arial"/>
          <w:sz w:val="15"/>
          <w:szCs w:val="15"/>
          <w:color w:val="auto"/>
        </w:rPr>
        <w:t>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Fee expires twelve months after the consummation of the Business Combination.</w:t>
      </w:r>
    </w:p>
    <w:p>
      <w:pPr>
        <w:spacing w:after="0" w:line="184" w:lineRule="exact"/>
        <w:rPr>
          <w:sz w:val="20"/>
          <w:szCs w:val="20"/>
          <w:color w:val="auto"/>
        </w:rPr>
      </w:pPr>
    </w:p>
    <w:p>
      <w:pPr>
        <w:ind w:right="400" w:firstLine="318"/>
        <w:spacing w:after="0" w:line="268" w:lineRule="auto"/>
        <w:rPr>
          <w:sz w:val="20"/>
          <w:szCs w:val="20"/>
          <w:color w:val="auto"/>
        </w:rPr>
      </w:pPr>
      <w:r>
        <w:rPr>
          <w:rFonts w:ascii="Arial" w:cs="Arial" w:eastAsia="Arial" w:hAnsi="Arial"/>
          <w:sz w:val="17"/>
          <w:szCs w:val="17"/>
          <w:color w:val="231F20"/>
        </w:rPr>
        <w:t xml:space="preserve">HydraFacial recorded approximately $0.2 million, $1.8 million and $1.8 million of charges related to management services fees for the year ended December 31, 2021, 2020 and 2019, respectively. These amounts are included in General and administrative expenses on the Company’s Consolidated Statements of Comprehensive Loss. </w:t>
      </w:r>
      <w:r>
        <w:rPr>
          <w:rFonts w:ascii="Arial" w:cs="Arial" w:eastAsia="Arial" w:hAnsi="Arial"/>
          <w:sz w:val="17"/>
          <w:szCs w:val="17"/>
          <w:color w:val="000000"/>
        </w:rPr>
        <w:t>There were no amounts</w:t>
      </w:r>
      <w:r>
        <w:rPr>
          <w:rFonts w:ascii="Arial" w:cs="Arial" w:eastAsia="Arial" w:hAnsi="Arial"/>
          <w:sz w:val="17"/>
          <w:szCs w:val="17"/>
          <w:color w:val="231F20"/>
        </w:rPr>
        <w:t xml:space="preserve"> due to these related parties at December 31, 2021, 2020 and 2019. In relation to the consummation of the Business Combination, $21.0 million in transaction fees was paid to the Former Parent. These amounts are included in General and administrative expenses on the Company’s Consolidated Statements of Comprehensive Loss.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Former Related Party Note Receivable</w:t>
      </w:r>
    </w:p>
    <w:p>
      <w:pPr>
        <w:spacing w:after="0" w:line="24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231F20"/>
        </w:rPr>
        <w:t xml:space="preserve">HydraFacial issued shares to a key member of management in exchange for a note receivable with a $0.6 million face value. Interest on the note accrues at a rate of 8% and matures in December 2022. Interest receivable is presented as a component of other assets on the Company’s Consolidated Balance Sheets. As there was no intent for the issuer to pay the note within a reasonably short period of time, HydraFacial has presented the note as a deduction of stockholders’ deficit. In connection with </w:t>
      </w:r>
      <w:r>
        <w:rPr>
          <w:rFonts w:ascii="Arial" w:cs="Arial" w:eastAsia="Arial" w:hAnsi="Arial"/>
          <w:sz w:val="15"/>
          <w:szCs w:val="15"/>
          <w:color w:val="000000"/>
        </w:rPr>
        <w:t>the consummation of the Business Combination, the outstanding note receivable amount was</w:t>
      </w:r>
      <w:r>
        <w:rPr>
          <w:rFonts w:ascii="Arial" w:cs="Arial" w:eastAsia="Arial" w:hAnsi="Arial"/>
          <w:sz w:val="15"/>
          <w:szCs w:val="15"/>
          <w:color w:val="231F20"/>
        </w:rPr>
        <w:t xml:space="preserve"> settled</w:t>
      </w:r>
      <w:r>
        <w:rPr>
          <w:rFonts w:ascii="Arial" w:cs="Arial" w:eastAsia="Arial" w:hAnsi="Arial"/>
          <w:sz w:val="15"/>
          <w:szCs w:val="15"/>
          <w:color w:val="000000"/>
        </w:rPr>
        <w:t>.</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Former Long-term Debt Due to Related Parties</w:t>
      </w:r>
    </w:p>
    <w:p>
      <w:pPr>
        <w:spacing w:after="0" w:line="24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231F20"/>
        </w:rPr>
        <w:t>On April 10, 2020, the Company’s existing Credit Agreement with a bank that is also a related party was amended to include a “PIK” interest component of 2% that accrues on the outstanding balances of the Term Loan and Revolver. Additionally, the Company is required to pay an early prepayment fee of 2.00% of the amount prepaid or repaid on the Term Loan prior to April 10, 2021, and 1.00% if prepaid between April 11, 2021 and April 10, 2022</w:t>
      </w:r>
      <w:r>
        <w:rPr>
          <w:rFonts w:ascii="Arial" w:cs="Arial" w:eastAsia="Arial" w:hAnsi="Arial"/>
          <w:sz w:val="18"/>
          <w:szCs w:val="18"/>
          <w:color w:val="000000"/>
        </w:rPr>
        <w:t>. I</w:t>
      </w:r>
      <w:r>
        <w:rPr>
          <w:rFonts w:ascii="Arial" w:cs="Arial" w:eastAsia="Arial" w:hAnsi="Arial"/>
          <w:sz w:val="18"/>
          <w:szCs w:val="18"/>
          <w:color w:val="231F20"/>
        </w:rPr>
        <w:t xml:space="preserve">n connection with </w:t>
      </w:r>
      <w:r>
        <w:rPr>
          <w:rFonts w:ascii="Arial" w:cs="Arial" w:eastAsia="Arial" w:hAnsi="Arial"/>
          <w:sz w:val="18"/>
          <w:szCs w:val="18"/>
          <w:color w:val="000000"/>
        </w:rPr>
        <w:t>the consummation of the Business Combination, all outstanding debt was paid. As of</w:t>
      </w:r>
      <w:r>
        <w:rPr>
          <w:rFonts w:ascii="Arial" w:cs="Arial" w:eastAsia="Arial" w:hAnsi="Arial"/>
          <w:sz w:val="18"/>
          <w:szCs w:val="18"/>
          <w:color w:val="231F20"/>
        </w:rPr>
        <w:t xml:space="preserve"> December 31, 2021</w:t>
      </w:r>
      <w:r>
        <w:rPr>
          <w:rFonts w:ascii="Arial" w:cs="Arial" w:eastAsia="Arial" w:hAnsi="Arial"/>
          <w:sz w:val="18"/>
          <w:szCs w:val="18"/>
          <w:color w:val="000000"/>
        </w:rPr>
        <w:t>, there was no amount due to related</w:t>
      </w:r>
      <w:r>
        <w:rPr>
          <w:rFonts w:ascii="Arial" w:cs="Arial" w:eastAsia="Arial" w:hAnsi="Arial"/>
          <w:sz w:val="18"/>
          <w:szCs w:val="18"/>
          <w:color w:val="231F20"/>
        </w:rPr>
        <w:t xml:space="preserve"> </w:t>
      </w:r>
      <w:r>
        <w:rPr>
          <w:rFonts w:ascii="Arial" w:cs="Arial" w:eastAsia="Arial" w:hAnsi="Arial"/>
          <w:sz w:val="18"/>
          <w:szCs w:val="18"/>
          <w:color w:val="000000"/>
        </w:rPr>
        <w:t>parties in connection with the Term Loan and Revolver.</w:t>
      </w:r>
    </w:p>
    <w:p>
      <w:pPr>
        <w:spacing w:after="0" w:line="220"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231F20"/>
        </w:rPr>
        <w:t xml:space="preserve">On April 10, 2020, HydraFacial also entered into a second credit facility with a related party to provide for borrowings of $30.0 million (the “Term A Loan”). In connection with </w:t>
      </w:r>
      <w:r>
        <w:rPr>
          <w:rFonts w:ascii="Arial" w:cs="Arial" w:eastAsia="Arial" w:hAnsi="Arial"/>
          <w:sz w:val="18"/>
          <w:szCs w:val="18"/>
          <w:color w:val="000000"/>
        </w:rPr>
        <w:t>the consummation of the Business Combination, all outstanding debt was paid. As of</w:t>
      </w:r>
      <w:r>
        <w:rPr>
          <w:rFonts w:ascii="Arial" w:cs="Arial" w:eastAsia="Arial" w:hAnsi="Arial"/>
          <w:sz w:val="18"/>
          <w:szCs w:val="18"/>
          <w:color w:val="231F20"/>
        </w:rPr>
        <w:t xml:space="preserve"> December 31, 2021</w:t>
      </w:r>
      <w:r>
        <w:rPr>
          <w:rFonts w:ascii="Arial" w:cs="Arial" w:eastAsia="Arial" w:hAnsi="Arial"/>
          <w:sz w:val="18"/>
          <w:szCs w:val="18"/>
          <w:color w:val="000000"/>
        </w:rPr>
        <w:t>, there was no amount</w:t>
      </w:r>
      <w:r>
        <w:rPr>
          <w:rFonts w:ascii="Arial" w:cs="Arial" w:eastAsia="Arial" w:hAnsi="Arial"/>
          <w:sz w:val="18"/>
          <w:szCs w:val="18"/>
          <w:color w:val="231F20"/>
        </w:rPr>
        <w:t xml:space="preserve"> </w:t>
      </w:r>
      <w:r>
        <w:rPr>
          <w:rFonts w:ascii="Arial" w:cs="Arial" w:eastAsia="Arial" w:hAnsi="Arial"/>
          <w:sz w:val="18"/>
          <w:szCs w:val="18"/>
          <w:color w:val="000000"/>
        </w:rPr>
        <w:t xml:space="preserve">due to a related parties in connection with the </w:t>
      </w:r>
      <w:r>
        <w:rPr>
          <w:rFonts w:ascii="Arial" w:cs="Arial" w:eastAsia="Arial" w:hAnsi="Arial"/>
          <w:sz w:val="18"/>
          <w:szCs w:val="18"/>
          <w:color w:val="231F20"/>
        </w:rPr>
        <w:t>Term A Loan and related PIK Interest.</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Related Party Leases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Signal Hill Office</w:t>
      </w:r>
    </w:p>
    <w:p>
      <w:pPr>
        <w:spacing w:after="0" w:line="24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231F20"/>
        </w:rPr>
        <w:t>HydraFacial leases its office in Signal Hill, California, from an entity owned by former minority stockholders of HydraFacial who are no longer active employees. Lease expense under this lease was $0.4 million, $0.3 million and $0.5 million for the year ended December 31, 2021, 2020 and 2019, respectively.</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Miami Beach Office</w:t>
      </w:r>
    </w:p>
    <w:p>
      <w:pPr>
        <w:spacing w:after="0" w:line="24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231F20"/>
        </w:rPr>
        <w:t>The Company maintains an office in Miami Beach, Florida, whereby the Company, on a monthly basis, reimburses an entity owned by the Company’s Executive Chairman that makes such office available to the Company for its employees and affiliates.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Sales to Related Parties</w:t>
      </w:r>
    </w:p>
    <w:p>
      <w:pPr>
        <w:spacing w:after="0" w:line="244" w:lineRule="exact"/>
        <w:rPr>
          <w:sz w:val="20"/>
          <w:szCs w:val="20"/>
          <w:color w:val="auto"/>
        </w:rPr>
      </w:pPr>
    </w:p>
    <w:p>
      <w:pPr>
        <w:ind w:right="780" w:firstLine="318"/>
        <w:spacing w:after="0" w:line="262" w:lineRule="auto"/>
        <w:rPr>
          <w:sz w:val="20"/>
          <w:szCs w:val="20"/>
          <w:color w:val="auto"/>
        </w:rPr>
      </w:pPr>
      <w:r>
        <w:rPr>
          <w:rFonts w:ascii="Arial" w:cs="Arial" w:eastAsia="Arial" w:hAnsi="Arial"/>
          <w:sz w:val="18"/>
          <w:szCs w:val="18"/>
          <w:color w:val="231F20"/>
        </w:rPr>
        <w:t>HydraFacial sells to a customer that is owned directly or indirectly by a former key member of management. Sales for this related party and the outstanding accounts receivable balance are as follows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231F20"/>
                <w:w w:val="90"/>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231F20"/>
              </w:rPr>
              <w:t>2021</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231F20"/>
              </w:rPr>
              <w:t>2019</w:t>
            </w:r>
          </w:p>
        </w:tc>
      </w:tr>
      <w:tr>
        <w:trPr>
          <w:trHeight w:val="219"/>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Sales to related party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231F20"/>
              </w:rPr>
              <w:t>551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351</w:t>
            </w:r>
          </w:p>
        </w:tc>
      </w:tr>
      <w:tr>
        <w:trPr>
          <w:trHeight w:val="40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40" w:type="dxa"/>
            <w:vAlign w:val="bottom"/>
            <w:tcBorders>
              <w:bottom w:val="single" w:sz="8" w:color="231F20"/>
            </w:tcBorders>
            <w:gridSpan w:val="4"/>
          </w:tcPr>
          <w:p>
            <w:pPr>
              <w:jc w:val="right"/>
              <w:ind w:right="158"/>
              <w:spacing w:after="0"/>
              <w:rPr>
                <w:sz w:val="20"/>
                <w:szCs w:val="20"/>
                <w:color w:val="auto"/>
              </w:rPr>
            </w:pPr>
            <w:r>
              <w:rPr>
                <w:rFonts w:ascii="Arial" w:cs="Arial" w:eastAsia="Arial" w:hAnsi="Arial"/>
                <w:sz w:val="14"/>
                <w:szCs w:val="14"/>
                <w:b w:val="1"/>
                <w:bCs w:val="1"/>
                <w:color w:val="231F20"/>
              </w:rPr>
              <w:t>December 31, 2021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gridSpan w:val="2"/>
          </w:tcPr>
          <w:p>
            <w:pPr>
              <w:ind w:left="40"/>
              <w:spacing w:after="0"/>
              <w:rPr>
                <w:sz w:val="20"/>
                <w:szCs w:val="20"/>
                <w:color w:val="auto"/>
              </w:rPr>
            </w:pPr>
            <w:r>
              <w:rPr>
                <w:rFonts w:ascii="Arial" w:cs="Arial" w:eastAsia="Arial" w:hAnsi="Arial"/>
                <w:sz w:val="14"/>
                <w:szCs w:val="14"/>
                <w:b w:val="1"/>
                <w:bCs w:val="1"/>
                <w:color w:val="231F20"/>
              </w:rPr>
              <w:t>December 31, 2020</w:t>
            </w:r>
          </w:p>
        </w:tc>
      </w:tr>
      <w:tr>
        <w:trPr>
          <w:trHeight w:val="224"/>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Accounts receivable due from related party</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250</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Deficit</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w:t>
      </w:r>
    </w:p>
    <w:p>
      <w:pPr>
        <w:spacing w:after="0" w:line="244" w:lineRule="exact"/>
        <w:rPr>
          <w:sz w:val="20"/>
          <w:szCs w:val="20"/>
          <w:color w:val="auto"/>
        </w:rPr>
      </w:pPr>
    </w:p>
    <w:p>
      <w:pPr>
        <w:jc w:val="both"/>
        <w:ind w:right="160" w:firstLine="318"/>
        <w:spacing w:after="0" w:line="252" w:lineRule="auto"/>
        <w:rPr>
          <w:sz w:val="20"/>
          <w:szCs w:val="20"/>
          <w:color w:val="auto"/>
        </w:rPr>
      </w:pPr>
      <w:r>
        <w:rPr>
          <w:rFonts w:ascii="Arial" w:cs="Arial" w:eastAsia="Arial" w:hAnsi="Arial"/>
          <w:sz w:val="18"/>
          <w:szCs w:val="18"/>
          <w:color w:val="231F20"/>
        </w:rPr>
        <w:t xml:space="preserve">The Company is authorized to issue 320,000,000 shares of Class A Common Stock, par value of $0.0001 per share. Holders of Class A Common Stock are entitled to </w:t>
      </w:r>
      <w:r>
        <w:rPr>
          <w:rFonts w:ascii="Arial" w:cs="Arial" w:eastAsia="Arial" w:hAnsi="Arial"/>
          <w:sz w:val="18"/>
          <w:szCs w:val="18"/>
          <w:color w:val="000000"/>
        </w:rPr>
        <w:t>one</w:t>
      </w:r>
      <w:r>
        <w:rPr>
          <w:rFonts w:ascii="Arial" w:cs="Arial" w:eastAsia="Arial" w:hAnsi="Arial"/>
          <w:sz w:val="18"/>
          <w:szCs w:val="18"/>
          <w:color w:val="231F20"/>
        </w:rPr>
        <w:t xml:space="preserve"> vote for each share. As of December 31, 2021, 2020 and 2019, there were 150,598,047, 35,501,743 and 32,136,203, respectively, of Class A Common Stock issued and outstanding. The Class A Common Stock is entitled t</w:t>
      </w:r>
      <w:r>
        <w:rPr>
          <w:rFonts w:ascii="Arial" w:cs="Arial" w:eastAsia="Arial" w:hAnsi="Arial"/>
          <w:sz w:val="18"/>
          <w:szCs w:val="18"/>
          <w:color w:val="000000"/>
        </w:rPr>
        <w:t>o one vote pe</w:t>
      </w:r>
      <w:r>
        <w:rPr>
          <w:rFonts w:ascii="Arial" w:cs="Arial" w:eastAsia="Arial" w:hAnsi="Arial"/>
          <w:sz w:val="18"/>
          <w:szCs w:val="18"/>
          <w:color w:val="231F20"/>
        </w:rPr>
        <w:t>r share and all shares are outstanding. The Company has not declared or paid any dividends with respect to its Class A Common Stock</w:t>
      </w:r>
      <w:r>
        <w:rPr>
          <w:rFonts w:ascii="Arial" w:cs="Arial" w:eastAsia="Arial" w:hAnsi="Arial"/>
          <w:sz w:val="18"/>
          <w:szCs w:val="18"/>
          <w:color w:val="000000"/>
        </w:rPr>
        <w:t>.</w:t>
      </w:r>
    </w:p>
    <w:p>
      <w:pPr>
        <w:spacing w:after="0" w:line="2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4"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Company is authorized to issue 1,000,000 shares of preferred stock with a par value of $0.0001 per share with such designations, voting and other</w:t>
      </w:r>
      <w:r>
        <w:rPr>
          <w:rFonts w:ascii="Arial" w:cs="Arial" w:eastAsia="Arial" w:hAnsi="Arial"/>
          <w:sz w:val="18"/>
          <w:szCs w:val="18"/>
          <w:color w:val="231F20"/>
        </w:rPr>
        <w:t xml:space="preserve"> </w:t>
      </w:r>
      <w:r>
        <w:rPr>
          <w:rFonts w:ascii="Arial" w:cs="Arial" w:eastAsia="Arial" w:hAnsi="Arial"/>
          <w:sz w:val="18"/>
          <w:szCs w:val="18"/>
          <w:color w:val="000000"/>
        </w:rPr>
        <w:t>rights and preferences as may be determined from time to time by the Company’s board of directors. At December 31, 2021, 2020 and 2019, there were no shares of preferred stock issued or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25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Net sales by geographic region were as follows for the periods indicated:</w:t>
      </w:r>
    </w:p>
    <w:p>
      <w:pPr>
        <w:sectPr>
          <w:pgSz w:w="11900" w:h="16838" w:orient="portrait"/>
          <w:cols w:equalWidth="0" w:num="1">
            <w:col w:w="11240"/>
          </w:cols>
          <w:pgMar w:left="320" w:top="140" w:right="339" w:bottom="1440" w:gutter="0" w:footer="0" w:header="0"/>
        </w:sect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(in thousands)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Americas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Asia-Pacific</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231F20"/>
        </w:rPr>
        <w:t>Europe, the Middle East and Africa</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Total net sales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231F20"/>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2019</w:t>
            </w:r>
          </w:p>
        </w:tc>
      </w:tr>
      <w:tr>
        <w:trPr>
          <w:trHeight w:val="218"/>
        </w:trPr>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169,426</w:t>
            </w:r>
          </w:p>
        </w:tc>
        <w:tc>
          <w:tcPr>
            <w:tcW w:w="8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81,453</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122,396</w:t>
            </w:r>
          </w:p>
        </w:tc>
      </w:tr>
      <w:tr>
        <w:trPr>
          <w:trHeight w:val="225"/>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43,701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14,464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15,802</w:t>
            </w:r>
          </w:p>
        </w:tc>
      </w:tr>
      <w:tr>
        <w:trPr>
          <w:trHeight w:val="226"/>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46,959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23,175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28,425</w:t>
            </w:r>
          </w:p>
        </w:tc>
      </w:tr>
      <w:tr>
        <w:trPr>
          <w:trHeight w:val="218"/>
        </w:trPr>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260,086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119,092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166,623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-621665</wp:posOffset>
            </wp:positionV>
            <wp:extent cx="7134860" cy="151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-4288155</wp:posOffset>
            </wp:positionH>
            <wp:positionV relativeFrom="paragraph">
              <wp:posOffset>-327660</wp:posOffset>
            </wp:positionV>
            <wp:extent cx="7134860" cy="142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December 31, 2021 and 2020 substantially all of the Company’s property, plant and equipment was held in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Net Loss Attributable to Common Shareholders</w:t>
      </w:r>
    </w:p>
    <w:p>
      <w:pPr>
        <w:spacing w:after="0" w:line="250" w:lineRule="exact"/>
        <w:rPr>
          <w:sz w:val="20"/>
          <w:szCs w:val="20"/>
          <w:color w:val="auto"/>
        </w:rPr>
      </w:pPr>
    </w:p>
    <w:p>
      <w:pPr>
        <w:jc w:val="both"/>
        <w:ind w:right="180" w:firstLine="318"/>
        <w:spacing w:after="0" w:line="300" w:lineRule="auto"/>
        <w:rPr>
          <w:sz w:val="20"/>
          <w:szCs w:val="20"/>
          <w:color w:val="auto"/>
        </w:rPr>
      </w:pPr>
      <w:r>
        <w:rPr>
          <w:rFonts w:ascii="Arial" w:cs="Arial" w:eastAsia="Arial" w:hAnsi="Arial"/>
          <w:sz w:val="15"/>
          <w:szCs w:val="15"/>
          <w:color w:val="231F20"/>
        </w:rPr>
        <w:t>Net loss attributable to common stockholders is computed by deducting both the dividend distributions declared in the period on preferred stock and the dividends accumulated for the period on cumulative preferred stock from net loss (“Basic EPS”). Diluted net loss per share (“Diluted EPS”) is computed by dividing net loss attributable to common stockholders by the total of the weighted average common stock outstanding shares outstanding during the period.</w:t>
      </w:r>
    </w:p>
    <w:p>
      <w:pPr>
        <w:spacing w:after="0" w:line="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231F20"/>
        </w:rPr>
        <w:t>The Conversion Option in the Notes may be settled by Physical Settlement, Cash Settlement or Combination Settlement at the Company’s option. Pursuant to ASC 260-10-45-40 (as amended by ASU 2020-06), the if-converted method generally must be used to determine the effect a convertible instrument has on</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231F20"/>
        </w:rPr>
        <w:t>diluted EPS unless the two-class method would be more dilutive. Because the Company has net losses for all periods presented, the impact of the Conversion Option would be anti-dilutive and, as a result, has not had an impact on the Diluted EPS calculation.</w:t>
      </w:r>
    </w:p>
    <w:p>
      <w:pPr>
        <w:spacing w:after="0" w:line="207"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231F20"/>
        </w:rPr>
        <w:t>Diluted EPS for the years ended December 31, 2021, 2020 and 2019, exclude the dilutive effect of stock option shares because their inclusion would be anti-dilutive for all periods.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table sets forth the calculation of both basic and diluted net loss per share as follows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231F20"/>
                <w:w w:val="91"/>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2019</w:t>
            </w:r>
          </w:p>
        </w:tc>
      </w:tr>
      <w:tr>
        <w:trPr>
          <w:trHeight w:val="206"/>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Basic and diluted loss per share: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5"/>
        </w:trPr>
        <w:tc>
          <w:tcPr>
            <w:tcW w:w="6760" w:type="dxa"/>
            <w:vAlign w:val="bottom"/>
          </w:tcPr>
          <w:p>
            <w:pPr>
              <w:ind w:left="60"/>
              <w:spacing w:after="0"/>
              <w:rPr>
                <w:sz w:val="20"/>
                <w:szCs w:val="20"/>
                <w:color w:val="auto"/>
              </w:rPr>
            </w:pPr>
            <w:r>
              <w:rPr>
                <w:rFonts w:ascii="Arial" w:cs="Arial" w:eastAsia="Arial" w:hAnsi="Arial"/>
                <w:sz w:val="18"/>
                <w:szCs w:val="18"/>
                <w:color w:val="231F20"/>
              </w:rPr>
              <w:t>Net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(375,108)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(29,175)</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(1,638)</w:t>
            </w:r>
          </w:p>
        </w:tc>
      </w:tr>
      <w:tr>
        <w:trPr>
          <w:trHeight w:val="232"/>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Shares used in computation:</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1"/>
        </w:trPr>
        <w:tc>
          <w:tcPr>
            <w:tcW w:w="6760" w:type="dxa"/>
            <w:vAlign w:val="bottom"/>
          </w:tcPr>
          <w:p>
            <w:pPr>
              <w:ind w:left="60"/>
              <w:spacing w:after="0"/>
              <w:rPr>
                <w:sz w:val="20"/>
                <w:szCs w:val="20"/>
                <w:color w:val="auto"/>
              </w:rPr>
            </w:pPr>
            <w:r>
              <w:rPr>
                <w:rFonts w:ascii="Arial" w:cs="Arial" w:eastAsia="Arial" w:hAnsi="Arial"/>
                <w:sz w:val="18"/>
                <w:szCs w:val="18"/>
                <w:color w:val="231F20"/>
              </w:rPr>
              <w:t>Weighted average common shares outstanding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102,114,949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34,293,271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32,136,203</w:t>
            </w:r>
          </w:p>
        </w:tc>
      </w:tr>
      <w:tr>
        <w:trPr>
          <w:trHeight w:val="28"/>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67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Basic and diluted loss per share: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r>
    </w:tbl>
    <w:p>
      <w:pPr>
        <w:spacing w:after="0" w:line="306" w:lineRule="exact"/>
        <w:rPr>
          <w:sz w:val="20"/>
          <w:szCs w:val="20"/>
          <w:color w:val="auto"/>
        </w:rPr>
      </w:pPr>
    </w:p>
    <w:p>
      <w:pPr>
        <w:ind w:right="400" w:firstLine="318"/>
        <w:spacing w:after="0" w:line="237" w:lineRule="auto"/>
        <w:rPr>
          <w:sz w:val="20"/>
          <w:szCs w:val="20"/>
          <w:color w:val="auto"/>
        </w:rPr>
      </w:pPr>
      <w:r>
        <w:rPr>
          <w:rFonts w:ascii="Arial" w:cs="Arial" w:eastAsia="Arial" w:hAnsi="Arial"/>
          <w:sz w:val="18"/>
          <w:szCs w:val="18"/>
          <w:color w:val="auto"/>
        </w:rPr>
        <w:t>The following shares have been excluded from the calculation of the weighted average diluted shares outstanding as the effect would have been anti-dilutive: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231F20"/>
              </w:rPr>
              <w:t>December 31, 2021</w:t>
            </w:r>
          </w:p>
        </w:tc>
        <w:tc>
          <w:tcPr>
            <w:tcW w:w="1500" w:type="dxa"/>
            <w:vAlign w:val="bottom"/>
          </w:tcPr>
          <w:p>
            <w:pPr>
              <w:ind w:left="360"/>
              <w:spacing w:after="0"/>
              <w:rPr>
                <w:sz w:val="20"/>
                <w:szCs w:val="20"/>
                <w:color w:val="auto"/>
              </w:rPr>
            </w:pPr>
            <w:r>
              <w:rPr>
                <w:rFonts w:ascii="Arial" w:cs="Arial" w:eastAsia="Arial" w:hAnsi="Arial"/>
                <w:sz w:val="14"/>
                <w:szCs w:val="14"/>
                <w:b w:val="1"/>
                <w:bCs w:val="1"/>
                <w:color w:val="231F20"/>
                <w:w w:val="88"/>
              </w:rPr>
              <w:t>December 31, 2020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195"/>
              <w:spacing w:after="0"/>
              <w:rPr>
                <w:sz w:val="20"/>
                <w:szCs w:val="20"/>
                <w:color w:val="auto"/>
              </w:rPr>
            </w:pPr>
            <w:r>
              <w:rPr>
                <w:rFonts w:ascii="Arial" w:cs="Arial" w:eastAsia="Arial" w:hAnsi="Arial"/>
                <w:sz w:val="14"/>
                <w:szCs w:val="14"/>
                <w:b w:val="1"/>
                <w:bCs w:val="1"/>
                <w:color w:val="231F20"/>
              </w:rPr>
              <w:t>December 31, 2019</w:t>
            </w:r>
          </w:p>
        </w:tc>
      </w:tr>
      <w:tr>
        <w:trPr>
          <w:trHeight w:val="224"/>
        </w:trPr>
        <w:tc>
          <w:tcPr>
            <w:tcW w:w="5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Stock Options</w:t>
            </w:r>
          </w:p>
        </w:tc>
        <w:tc>
          <w:tcPr>
            <w:tcW w:w="15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6,785,020</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231F20"/>
            </w:tcBorders>
            <w:shd w:val="clear" w:color="auto" w:fill="CCEEFF"/>
          </w:tcPr>
          <w:p>
            <w:pPr>
              <w:spacing w:after="0"/>
              <w:rPr>
                <w:sz w:val="19"/>
                <w:szCs w:val="19"/>
                <w:color w:val="auto"/>
              </w:rPr>
            </w:pPr>
          </w:p>
        </w:tc>
        <w:tc>
          <w:tcPr>
            <w:tcW w:w="3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86"/>
              </w:rPr>
              <w:t>542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1,509</w:t>
            </w:r>
          </w:p>
        </w:tc>
      </w:tr>
      <w:tr>
        <w:trPr>
          <w:trHeight w:val="225"/>
        </w:trPr>
        <w:tc>
          <w:tcPr>
            <w:tcW w:w="5920" w:type="dxa"/>
            <w:vAlign w:val="bottom"/>
          </w:tcPr>
          <w:p>
            <w:pPr>
              <w:ind w:left="60"/>
              <w:spacing w:after="0"/>
              <w:rPr>
                <w:sz w:val="20"/>
                <w:szCs w:val="20"/>
                <w:color w:val="auto"/>
              </w:rPr>
            </w:pPr>
            <w:r>
              <w:rPr>
                <w:rFonts w:ascii="Arial" w:cs="Arial" w:eastAsia="Arial" w:hAnsi="Arial"/>
                <w:sz w:val="18"/>
                <w:szCs w:val="18"/>
                <w:color w:val="231F20"/>
              </w:rPr>
              <w:t>RSUs and PSUs</w:t>
            </w:r>
          </w:p>
        </w:tc>
        <w:tc>
          <w:tcPr>
            <w:tcW w:w="1580" w:type="dxa"/>
            <w:vAlign w:val="bottom"/>
          </w:tcPr>
          <w:p>
            <w:pPr>
              <w:jc w:val="right"/>
              <w:spacing w:after="0"/>
              <w:rPr>
                <w:sz w:val="20"/>
                <w:szCs w:val="20"/>
                <w:color w:val="auto"/>
              </w:rPr>
            </w:pPr>
            <w:r>
              <w:rPr>
                <w:rFonts w:ascii="Arial" w:cs="Arial" w:eastAsia="Arial" w:hAnsi="Arial"/>
                <w:sz w:val="18"/>
                <w:szCs w:val="18"/>
                <w:color w:val="231F20"/>
              </w:rPr>
              <w:t>1,355,775</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72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59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Private 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6,970,000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4"/>
        </w:trPr>
        <w:tc>
          <w:tcPr>
            <w:tcW w:w="5920" w:type="dxa"/>
            <w:vAlign w:val="bottom"/>
          </w:tcPr>
          <w:p>
            <w:pPr>
              <w:ind w:left="60"/>
              <w:spacing w:after="0"/>
              <w:rPr>
                <w:sz w:val="20"/>
                <w:szCs w:val="20"/>
                <w:color w:val="auto"/>
              </w:rPr>
            </w:pPr>
            <w:r>
              <w:rPr>
                <w:rFonts w:ascii="Arial" w:cs="Arial" w:eastAsia="Arial" w:hAnsi="Arial"/>
                <w:sz w:val="18"/>
                <w:szCs w:val="18"/>
                <w:color w:val="231F20"/>
              </w:rPr>
              <w:t>Convertible Note Securities</w:t>
            </w:r>
          </w:p>
        </w:tc>
        <w:tc>
          <w:tcPr>
            <w:tcW w:w="1580" w:type="dxa"/>
            <w:vAlign w:val="bottom"/>
          </w:tcPr>
          <w:p>
            <w:pPr>
              <w:jc w:val="right"/>
              <w:spacing w:after="0"/>
              <w:rPr>
                <w:sz w:val="20"/>
                <w:szCs w:val="20"/>
                <w:color w:val="auto"/>
              </w:rPr>
            </w:pPr>
            <w:r>
              <w:rPr>
                <w:rFonts w:ascii="Arial" w:cs="Arial" w:eastAsia="Arial" w:hAnsi="Arial"/>
                <w:sz w:val="18"/>
                <w:szCs w:val="18"/>
                <w:color w:val="231F20"/>
              </w:rPr>
              <w:t>23,614,425</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720" w:type="dxa"/>
            <w:vAlign w:val="bottom"/>
          </w:tcPr>
          <w:p>
            <w:pPr>
              <w:jc w:val="right"/>
              <w:spacing w:after="0"/>
              <w:rPr>
                <w:sz w:val="20"/>
                <w:szCs w:val="20"/>
                <w:color w:val="auto"/>
              </w:rPr>
            </w:pPr>
            <w:r>
              <w:rPr>
                <w:rFonts w:ascii="Arial" w:cs="Arial" w:eastAsia="Arial" w:hAnsi="Arial"/>
                <w:sz w:val="18"/>
                <w:szCs w:val="18"/>
                <w:color w:val="231F20"/>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5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Other than as disclosed elsewhere, no subsequent events have occurred that would require recognition in the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right="580" w:firstLine="318"/>
        <w:spacing w:after="0" w:line="252" w:lineRule="auto"/>
        <w:rPr>
          <w:sz w:val="20"/>
          <w:szCs w:val="20"/>
          <w:color w:val="auto"/>
        </w:rPr>
      </w:pPr>
      <w:r>
        <w:rPr>
          <w:rFonts w:ascii="Arial" w:cs="Arial" w:eastAsia="Arial" w:hAnsi="Arial"/>
          <w:sz w:val="18"/>
          <w:szCs w:val="18"/>
          <w:color w:val="231F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17"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231F20"/>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due to the material weaknesses that existed as of December 31, 2020 accordingly disclosed in our Annual Report on Form 10-K/A for the year ended December 31, 2020 and in our Definitive Proxy Statement filed on April 7, 2021, our disclosure controls and procedures (as defined in Rules 13a-15(e) and 15d-15(e) under the Exchange Act) were not effective.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25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231F20"/>
        </w:rPr>
        <w:t>In connection with the audit of HydraFacial as of and for the year ended December 31, 2020, we previously identified material weaknesses in our internal control over financial reporting. The material weaknesses were related to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on a timely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231F20"/>
        </w:rPr>
        <w:t>In response to the material weaknesses, management completed the following remediation actions:</w:t>
      </w:r>
    </w:p>
    <w:p>
      <w:pPr>
        <w:spacing w:after="0" w:line="24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established a formal risk assessment process to identify and evaluate risks relevant to financial reporting objectives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implemented segregation of duties around the approval of journal entries and accounting processes.</w:t>
      </w:r>
    </w:p>
    <w:p>
      <w:pPr>
        <w:spacing w:after="0" w:line="5" w:lineRule="exact"/>
        <w:rPr>
          <w:rFonts w:ascii="Arial" w:cs="Arial" w:eastAsia="Arial" w:hAnsi="Arial"/>
          <w:sz w:val="18"/>
          <w:szCs w:val="18"/>
          <w:color w:val="auto"/>
        </w:rPr>
      </w:pPr>
    </w:p>
    <w:p>
      <w:pPr>
        <w:ind w:left="640" w:right="84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implemented a training program addressing internal control over financial reporting, including educating control owners regarding the requirements of each control</w:t>
      </w:r>
    </w:p>
    <w:p>
      <w:pPr>
        <w:spacing w:after="0" w:line="218"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231F20"/>
        </w:rPr>
        <w:t>We determined that the material weakness around lack of sufficient accounting resources continued to exist as of December 31, 2021. This material weakness may not allow for us to have proper segregation of duties and the ability to close our books and report our results on a timely basis.</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31F20"/>
        </w:rPr>
        <w:t>We have begun the process of, and we are focused on, designing and implementing effective internal controls measures to improve our internal control over financial reporting and remediate the material weakness. Our efforts include a number of actions:</w:t>
      </w:r>
    </w:p>
    <w:p>
      <w:pPr>
        <w:spacing w:after="0" w:line="207" w:lineRule="exact"/>
        <w:rPr>
          <w:sz w:val="20"/>
          <w:szCs w:val="20"/>
          <w:color w:val="auto"/>
        </w:rPr>
      </w:pPr>
    </w:p>
    <w:p>
      <w:pPr>
        <w:ind w:left="640" w:right="40" w:hanging="316"/>
        <w:spacing w:after="0" w:line="252"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actively recruiting additional personnel, in addition to engaging and utilizing third party consultants and specialists to supplement our internal resources and segregate key functions within our business processes, if appropriate;</w:t>
      </w:r>
    </w:p>
    <w:p>
      <w:pPr>
        <w:ind w:left="640" w:right="320" w:hanging="316"/>
        <w:spacing w:after="0" w:line="245"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designing and implementing additional review procedures within our accounting and finance department to provide more robust and comprehensive internal controls over financial reporting that address the relative financial statement assertions and risks of material misstatement within our business processes;</w:t>
      </w:r>
    </w:p>
    <w:p>
      <w:pPr>
        <w:spacing w:after="0" w:line="2" w:lineRule="exact"/>
        <w:rPr>
          <w:rFonts w:ascii="Arial" w:cs="Arial" w:eastAsia="Arial" w:hAnsi="Arial"/>
          <w:sz w:val="18"/>
          <w:szCs w:val="18"/>
          <w:color w:val="auto"/>
        </w:rPr>
      </w:pPr>
    </w:p>
    <w:p>
      <w:pPr>
        <w:ind w:left="640" w:right="34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designing and implementing information technology and application controls in our financially significant systems to address our relative information processing objectives</w:t>
      </w:r>
    </w:p>
    <w:p>
      <w:pPr>
        <w:spacing w:after="0" w:line="218"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231F20"/>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controls over financial reporting and will continue to diligently review our internal control over financial reporting.</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8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As discussed elsewhere in this Annual Report on Form 10-K, we completed a Business Combination on May 4, 2021 pursuant to which we acquired HydraFacial. Prior to the Business Combination, we were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our operations prior to the Business Combination were insignificant compared to those of the consolidated entity post-Business Combination. As a result, management was unable, without incurring unreasonable effort or expense, to complete an assessment of our internal control over financial reporting as of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231F20"/>
        </w:rPr>
        <w:t>Other than the remediation efforts described in this Item 9A, there have been no changes in our internal control over financial reporting during the quarter ended December 31, 2021 covered by this Annual Report on Form 10-K that has materially affected, or is reasonably likely to materially affect, our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9C. Disclosure Regarding Foreign Jurisdictions that Prevent Inspections.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0"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following table sets forth the names, ages, and positions of our executive officers as of February 18, 2022. There are no arrangements, agreements or understandings between non-management security holders and management under which non-management security holders may directly or indirectly participate in or influence the management of our affairs. There are no arrangements or understandings between any executive officer and any other person pursuant to which any executive officer was or is to be selected as an executive officer.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Borders>
              <w:bottom w:val="single" w:sz="8" w:color="CCEEFF"/>
            </w:tcBorders>
          </w:tcPr>
          <w:p>
            <w:pPr>
              <w:spacing w:after="0"/>
              <w:rPr>
                <w:sz w:val="19"/>
                <w:szCs w:val="19"/>
                <w:color w:val="auto"/>
              </w:rPr>
            </w:pPr>
          </w:p>
        </w:tc>
        <w:tc>
          <w:tcPr>
            <w:tcW w:w="496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Position</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Stanleick</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4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2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Liyuan Woo</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Indra Pamamull</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4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of APAC</w:t>
            </w:r>
          </w:p>
        </w:tc>
      </w:tr>
      <w:tr>
        <w:trPr>
          <w:trHeight w:val="22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Stephan Becker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of EMEA</w:t>
            </w:r>
          </w:p>
        </w:tc>
      </w:tr>
      <w:tr>
        <w:trPr>
          <w:trHeight w:val="22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Watson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EVP of Americas Sales</w:t>
            </w:r>
          </w:p>
        </w:tc>
      </w:tr>
    </w:tbl>
    <w:p>
      <w:pPr>
        <w:spacing w:after="0" w:line="313"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 xml:space="preserve">Andrew Stanleick </w:t>
      </w:r>
      <w:r>
        <w:rPr>
          <w:rFonts w:ascii="Arial" w:cs="Arial" w:eastAsia="Arial" w:hAnsi="Arial"/>
          <w:sz w:val="17"/>
          <w:szCs w:val="17"/>
          <w:color w:val="auto"/>
        </w:rPr>
        <w:t>has served as Chief Executive Officer, President and Director since February 7, 2022. Prior to joining the Company, Mr. Stanleick held</w:t>
      </w:r>
      <w:r>
        <w:rPr>
          <w:rFonts w:ascii="Arial" w:cs="Arial" w:eastAsia="Arial" w:hAnsi="Arial"/>
          <w:sz w:val="17"/>
          <w:szCs w:val="17"/>
          <w:b w:val="1"/>
          <w:bCs w:val="1"/>
          <w:color w:val="auto"/>
        </w:rPr>
        <w:t xml:space="preserve"> </w:t>
      </w:r>
      <w:r>
        <w:rPr>
          <w:rFonts w:ascii="Arial" w:cs="Arial" w:eastAsia="Arial" w:hAnsi="Arial"/>
          <w:sz w:val="17"/>
          <w:szCs w:val="17"/>
          <w:color w:val="auto"/>
        </w:rPr>
        <w:t>senior roles at Coty Inc. since August 2017, including serving as its Executive Vice President, Americas and Chief Executive Officer of Kylie Jenner Beauty since March 2020. From June 2018 to May 2020, Mr. Stanleick served as COTY's Senior Vice President, North America, and from August 2017 to June 2018, he served as its Senior Vice President, Europe. Prior to joining COTY, Mr. Stanleick worked in various roles, including President and Chief Executive Officer of the South East Asia-Pacific and European divisions of Coach Inc. from January 2013 to April 2016.</w:t>
      </w:r>
    </w:p>
    <w:p>
      <w:pPr>
        <w:spacing w:after="0" w:line="2"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color w:val="auto"/>
        </w:rPr>
        <w:t>A native of England, Mr. Stanleick graduated with a master’s degree from the University of Cambridge. He currently serves on the Executive Board of Directors for the Personal Care Products Council and The Fragrance Foundation.</w:t>
      </w:r>
    </w:p>
    <w:p>
      <w:pPr>
        <w:spacing w:after="0" w:line="212"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b w:val="1"/>
          <w:bCs w:val="1"/>
          <w:color w:val="auto"/>
        </w:rPr>
        <w:t xml:space="preserve">Liyuan Woo </w:t>
      </w:r>
      <w:r>
        <w:rPr>
          <w:rFonts w:ascii="Arial" w:cs="Arial" w:eastAsia="Arial" w:hAnsi="Arial"/>
          <w:sz w:val="15"/>
          <w:szCs w:val="15"/>
          <w:color w:val="auto"/>
        </w:rPr>
        <w:t>joined the Company in September 2020 as EVP, Chief Financial Officer. Prior to joining the Company, Ms. Woo was the Chief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and Chief Financial Officer of The VOID, a virtual reality brand introducing consumers to fully immersive, location-based, hyper-reality experiences from August 2019 to September 2020. From January 2018 to January 2019, Ms. Woo served as the EVP, Chief Financial Officer at SharkNinja, a consumer electronic product portfolio category creator focused on innovation and marketing. At SharkNinja, Ms. Woo was in charge of finance, capital raising and allocation, legal and strategic initiatives involving global expansion and mergers and acquisitions. From March 2017 to January 2018, as a Director with AlixPartners, Ms. Woo was the interim Chief Financial Officer during Gymboree Group’s multi-billion dollar restructuring process. Prior to that, Ms. Woo worked at bebe stores, a publicly traded global multi-channel fashion brand, for six years, and served as the Chief Financial Officer from April 2013 to 2016. Ms. Woo started her career with the consulting firm Deloitte in its Mergers and Acquisitions Transaction Services and Financial Advisory functions. During Ms. Woo’s thirteen years with Deloitte, she provided financial advisory services to public and private companies for mergers and acquisitions transactions, initial public offerings and growth initiatives. Ms. Woo received her B.A. from Bentley University in Accounting.</w:t>
      </w:r>
    </w:p>
    <w:p>
      <w:pPr>
        <w:spacing w:after="0" w:line="181" w:lineRule="exact"/>
        <w:rPr>
          <w:sz w:val="20"/>
          <w:szCs w:val="20"/>
          <w:color w:val="auto"/>
        </w:rPr>
      </w:pPr>
    </w:p>
    <w:p>
      <w:pPr>
        <w:spacing w:after="0" w:line="303" w:lineRule="auto"/>
        <w:rPr>
          <w:sz w:val="20"/>
          <w:szCs w:val="20"/>
          <w:color w:val="auto"/>
        </w:rPr>
      </w:pPr>
      <w:r>
        <w:rPr>
          <w:rFonts w:ascii="Arial" w:cs="Arial" w:eastAsia="Arial" w:hAnsi="Arial"/>
          <w:sz w:val="15"/>
          <w:szCs w:val="15"/>
          <w:b w:val="1"/>
          <w:bCs w:val="1"/>
          <w:color w:val="auto"/>
        </w:rPr>
        <w:t xml:space="preserve">Indra Pamamull </w:t>
      </w:r>
      <w:r>
        <w:rPr>
          <w:rFonts w:ascii="Arial" w:cs="Arial" w:eastAsia="Arial" w:hAnsi="Arial"/>
          <w:sz w:val="15"/>
          <w:szCs w:val="15"/>
          <w:color w:val="auto"/>
        </w:rPr>
        <w:t>joined the Company as President of APAC in August 2021 and oversees the strategic development of the APAC region. With over two</w:t>
      </w:r>
      <w:r>
        <w:rPr>
          <w:rFonts w:ascii="Arial" w:cs="Arial" w:eastAsia="Arial" w:hAnsi="Arial"/>
          <w:sz w:val="15"/>
          <w:szCs w:val="15"/>
          <w:b w:val="1"/>
          <w:bCs w:val="1"/>
          <w:color w:val="auto"/>
        </w:rPr>
        <w:t xml:space="preserve"> </w:t>
      </w:r>
      <w:r>
        <w:rPr>
          <w:rFonts w:ascii="Arial" w:cs="Arial" w:eastAsia="Arial" w:hAnsi="Arial"/>
          <w:sz w:val="15"/>
          <w:szCs w:val="15"/>
          <w:color w:val="auto"/>
        </w:rPr>
        <w:t>decades of experience in beauty across skin care, fragrance and color cosmetics, Ms. Pamamull has executed successful brand strategies, and has launched multiple leading brands across several geographies to deliver international sales growth and deliver profit objectives for the world’s leading prestige companies. Prior to joining the Company, Ms. Pamamull held the role of General Manager Asia Pacific at LVMH Moet and Hennessy’s Kendo Brands from May 2016 - March 2021. In this role, she grew the business with significant growth, established offices in Singapore and Australia, and managed a portfolio of brands which included Fenty Beauty by Rihanna, Ole Henriksen Skin Care, Marc Jacobs Beauty, Bite Beauty and Kat Von D. Prior, she held the position of Regional Director Asia Pacific at Estee Lauder Companies, based in Hong Kong, from October 2009 to April 2015, where she oversaw 12 countries across Asia Pacific. She launched Lab Series Skin Care for Men in China and established the brand as a leader in Men’s Skincare across the region and established the First Global Lab Series stand-alone store. She also managed Estee Lauder Designer Fragrance portfolio including DKNY, Coach, Michael Kors, Tommy Hilfiger and Ermenegildo Zegna to name a few. Prior to Asia, Ms. Pamamull led Beauty Bank</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UK from September 2008 – October 2009, which is Estee Lauder’s Innovation Hub and think tank and launched award winning innovation in skincare in the UK. Ms. Pamamull spent several years in the UK market in various leadership roles from 2003 – 2009. Ms. Pamamull began her career with Estee Lauder Companies in Australia, where she also completed a Graduate Certificate of Business at Monash University in 1999. She is currently also studying Digital Transformation at Singapore Management University.</w:t>
      </w:r>
    </w:p>
    <w:p>
      <w:pPr>
        <w:spacing w:after="0" w:line="198"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b w:val="1"/>
          <w:bCs w:val="1"/>
          <w:color w:val="auto"/>
        </w:rPr>
        <w:t xml:space="preserve">Stephan Becker </w:t>
      </w:r>
      <w:r>
        <w:rPr>
          <w:rFonts w:ascii="Arial" w:cs="Arial" w:eastAsia="Arial" w:hAnsi="Arial"/>
          <w:sz w:val="17"/>
          <w:szCs w:val="17"/>
          <w:color w:val="auto"/>
        </w:rPr>
        <w:t>joined the Company as President of EMEA in October 2021 and oversees the growth and execution of the EMEA region. With over two</w:t>
      </w:r>
      <w:r>
        <w:rPr>
          <w:rFonts w:ascii="Arial" w:cs="Arial" w:eastAsia="Arial" w:hAnsi="Arial"/>
          <w:sz w:val="17"/>
          <w:szCs w:val="17"/>
          <w:b w:val="1"/>
          <w:bCs w:val="1"/>
          <w:color w:val="auto"/>
        </w:rPr>
        <w:t xml:space="preserve"> </w:t>
      </w:r>
      <w:r>
        <w:rPr>
          <w:rFonts w:ascii="Arial" w:cs="Arial" w:eastAsia="Arial" w:hAnsi="Arial"/>
          <w:sz w:val="17"/>
          <w:szCs w:val="17"/>
          <w:color w:val="auto"/>
        </w:rPr>
        <w:t>decades of experience expanding brands throughout the beauty, lifestyle and healthcare categories, Mr. Becker has a strong track record of growing market share and achieving stellar sales and profit results. Prior to joining the Company, Mr. Becker served as Managing Director DACH and the Vice President of Global Marketing at Kao Group (from October 2014 to September 2021), an international cosmetics, beauty and hair care company. Mr. Becker also has led in senior sales and marketing roles at leading beauty and consumer companies, such as COTY (2009-2014), where he implemented a successful turnaround strategy for the Color Cosmetics Category as well as introduced various celebrity and lifestyle fragrance brands such as Lady Gaga, Beyoncé, Heidi Klum or Guess to Western Europe. From 2003 to 2009, he worked at P&amp;G / Gillette where he was leading the international expansion into emerging markets including Russia, Middle East and China via distributor operations for the cosmetics business (Max Factor, Covergirl), and prior to that, was responsible for the Braun appliances / Oral-B business in Western Europe integrating and transitioning the business from Gillette into P&amp;G post-merger. From 2001 to 2003, Mr. Becker worked as a Management Consultant at The Marketing Corporation focusing on growth strategies for international FMCG clients. Mr. Becker started his career in 1998 for the global skin care brand Nivea at Beiersdorf working in Sales and Marketing within the US (Charlotte, North Carolina) and Germany (HQ, Hamburg). Mr. Becker received his diploma from the University of Cologne in Business Administration with a focus on Marketing, Psychology and Organizational development.</w:t>
      </w:r>
    </w:p>
    <w:p>
      <w:pPr>
        <w:spacing w:after="0" w:line="217"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b w:val="1"/>
          <w:bCs w:val="1"/>
          <w:color w:val="auto"/>
        </w:rPr>
        <w:t xml:space="preserve">Daniel Watson </w:t>
      </w:r>
      <w:r>
        <w:rPr>
          <w:rFonts w:ascii="Arial" w:cs="Arial" w:eastAsia="Arial" w:hAnsi="Arial"/>
          <w:sz w:val="15"/>
          <w:szCs w:val="15"/>
          <w:color w:val="auto"/>
        </w:rPr>
        <w:t>has served as the HydraFacial’s EVP of Sales for the U.S. and Canada since March 2017, and in 2020 took over leadership for all of the</w:t>
      </w:r>
      <w:r>
        <w:rPr>
          <w:rFonts w:ascii="Arial" w:cs="Arial" w:eastAsia="Arial" w:hAnsi="Arial"/>
          <w:sz w:val="15"/>
          <w:szCs w:val="15"/>
          <w:b w:val="1"/>
          <w:bCs w:val="1"/>
          <w:color w:val="auto"/>
        </w:rPr>
        <w:t xml:space="preserve"> </w:t>
      </w:r>
      <w:r>
        <w:rPr>
          <w:rFonts w:ascii="Arial" w:cs="Arial" w:eastAsia="Arial" w:hAnsi="Arial"/>
          <w:sz w:val="15"/>
          <w:szCs w:val="15"/>
          <w:color w:val="auto"/>
        </w:rPr>
        <w:t>Americas. Mr. Watson has 34 years of medical device sales experience and manages the Company’s capital sales teams and business development teams in both the medical, non-medical and corporate channels. Prior to joining HydraFacial, Mr. Watson worked at Stryker Spine since 2004, serving as the VP of Sales at Stryker Spine from 2015 to March 2017. Stryker Corporation is an American multinational medical technology corporation and Stryker Spine is a comprehensive portfolio offering spinal solutions. Mr. Watson has also held various senior sales management positions for companies such as Sherwood Medical, Ethicon EndoSurgery, CR Bard, SpineTech, Oratec, and Smith and Nephew. Mr. Watson received his B.A. from Bates College in Economics.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tcPr>
          <w:p>
            <w:pPr>
              <w:jc w:val="center"/>
              <w:ind w:right="140"/>
              <w:spacing w:after="0" w:line="200" w:lineRule="exact"/>
              <w:rPr>
                <w:sz w:val="20"/>
                <w:szCs w:val="20"/>
                <w:color w:val="auto"/>
              </w:rPr>
            </w:pPr>
            <w:r>
              <w:rPr>
                <w:rFonts w:ascii="Arial" w:cs="Arial" w:eastAsia="Arial" w:hAnsi="Arial"/>
                <w:sz w:val="18"/>
                <w:szCs w:val="18"/>
                <w:b w:val="1"/>
                <w:bCs w:val="1"/>
                <w:color w:val="auto"/>
                <w:w w:val="89"/>
              </w:rPr>
              <w:t>Nominating and</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1"/>
              </w:rPr>
              <w:t>Audit</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1720" w:type="dxa"/>
            <w:vAlign w:val="bottom"/>
            <w:gridSpan w:val="2"/>
          </w:tcPr>
          <w:p>
            <w:pPr>
              <w:jc w:val="center"/>
              <w:ind w:right="140"/>
              <w:spacing w:after="0" w:line="172" w:lineRule="exact"/>
              <w:rPr>
                <w:sz w:val="20"/>
                <w:szCs w:val="20"/>
                <w:color w:val="auto"/>
              </w:rPr>
            </w:pPr>
            <w:r>
              <w:rPr>
                <w:rFonts w:ascii="Arial" w:cs="Arial" w:eastAsia="Arial" w:hAnsi="Arial"/>
                <w:sz w:val="18"/>
                <w:szCs w:val="18"/>
                <w:b w:val="1"/>
                <w:bCs w:val="1"/>
                <w:color w:val="auto"/>
                <w:w w:val="90"/>
              </w:rPr>
              <w:t>Corporate</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vMerge w:val="restart"/>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vMerge w:val="restart"/>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100" w:type="dxa"/>
            <w:vAlign w:val="bottom"/>
            <w:vMerge w:val="restart"/>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20" w:type="dxa"/>
            <w:vAlign w:val="bottom"/>
            <w:gridSpan w:val="2"/>
          </w:tcPr>
          <w:p>
            <w:pPr>
              <w:jc w:val="center"/>
              <w:ind w:right="140"/>
              <w:spacing w:after="0" w:line="172" w:lineRule="exact"/>
              <w:rPr>
                <w:sz w:val="20"/>
                <w:szCs w:val="20"/>
                <w:color w:val="auto"/>
              </w:rPr>
            </w:pPr>
            <w:r>
              <w:rPr>
                <w:rFonts w:ascii="Arial" w:cs="Arial" w:eastAsia="Arial" w:hAnsi="Arial"/>
                <w:sz w:val="18"/>
                <w:szCs w:val="18"/>
                <w:b w:val="1"/>
                <w:bCs w:val="1"/>
                <w:color w:val="auto"/>
                <w:w w:val="86"/>
              </w:rPr>
              <w:t>Governance</w:t>
            </w: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 xml:space="preserve">Director Since </w:t>
            </w:r>
            <w:r>
              <w:rPr>
                <w:rFonts w:ascii="Arial" w:cs="Arial" w:eastAsia="Arial" w:hAnsi="Arial"/>
                <w:sz w:val="15"/>
                <w:szCs w:val="15"/>
                <w:b w:val="1"/>
                <w:bCs w:val="1"/>
                <w:color w:val="auto"/>
                <w:w w:val="89"/>
              </w:rPr>
              <w:t>(3)</w:t>
            </w:r>
          </w:p>
        </w:tc>
        <w:tc>
          <w:tcPr>
            <w:tcW w:w="0" w:type="dxa"/>
            <w:vAlign w:val="bottom"/>
          </w:tcPr>
          <w:p>
            <w:pPr>
              <w:spacing w:after="0"/>
              <w:rPr>
                <w:sz w:val="1"/>
                <w:szCs w:val="1"/>
                <w:color w:val="auto"/>
              </w:rPr>
            </w:pPr>
          </w:p>
        </w:tc>
      </w:tr>
      <w:tr>
        <w:trPr>
          <w:trHeight w:val="225"/>
        </w:trPr>
        <w:tc>
          <w:tcPr>
            <w:tcW w:w="22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14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8"/>
                <w:szCs w:val="18"/>
                <w:color w:val="auto"/>
                <w:w w:val="91"/>
              </w:rPr>
              <w:t>Chief Executive</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Andrew Stanleick </w:t>
            </w:r>
            <w:r>
              <w:rPr>
                <w:rFonts w:ascii="Arial" w:cs="Arial" w:eastAsia="Arial" w:hAnsi="Arial"/>
                <w:sz w:val="15"/>
                <w:szCs w:val="15"/>
                <w:color w:val="auto"/>
              </w:rPr>
              <w:t>(1)</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80"/>
              <w:spacing w:after="0" w:line="172" w:lineRule="exact"/>
              <w:rPr>
                <w:sz w:val="20"/>
                <w:szCs w:val="20"/>
                <w:color w:val="auto"/>
              </w:rPr>
            </w:pPr>
            <w:r>
              <w:rPr>
                <w:rFonts w:ascii="Arial" w:cs="Arial" w:eastAsia="Arial" w:hAnsi="Arial"/>
                <w:sz w:val="18"/>
                <w:szCs w:val="18"/>
                <w:color w:val="auto"/>
                <w:w w:val="89"/>
              </w:rPr>
              <w:t>Officer, President</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February 7, 2022</w:t>
            </w:r>
          </w:p>
        </w:tc>
        <w:tc>
          <w:tcPr>
            <w:tcW w:w="0" w:type="dxa"/>
            <w:vAlign w:val="bottom"/>
          </w:tcPr>
          <w:p>
            <w:pPr>
              <w:spacing w:after="0"/>
              <w:rPr>
                <w:sz w:val="1"/>
                <w:szCs w:val="1"/>
                <w:color w:val="auto"/>
              </w:rPr>
            </w:pPr>
          </w:p>
        </w:tc>
      </w:tr>
      <w:tr>
        <w:trPr>
          <w:trHeight w:val="224"/>
        </w:trPr>
        <w:tc>
          <w:tcPr>
            <w:tcW w:w="23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and Director</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 xml:space="preserve">Brenton L. Saunders </w:t>
            </w:r>
            <w:r>
              <w:rPr>
                <w:rFonts w:ascii="Arial" w:cs="Arial" w:eastAsia="Arial" w:hAnsi="Arial"/>
                <w:sz w:val="15"/>
                <w:szCs w:val="15"/>
                <w:color w:val="auto"/>
              </w:rPr>
              <w:t>(2)</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May 4, 2021</w:t>
            </w: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Capellas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Director</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4, 2021</w:t>
            </w: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Dr. Julius Few</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May 4, 2021</w:t>
            </w: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Desiree Gruber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Director</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11, 2021</w:t>
            </w: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Michelle Kerrick</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May 4, 2021</w:t>
            </w: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Miller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Director</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4, 2021</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Doug Schillinger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May 4, 2021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2" w:lineRule="exact"/>
        <w:rPr>
          <w:sz w:val="20"/>
          <w:szCs w:val="20"/>
          <w:color w:val="auto"/>
        </w:rPr>
      </w:pPr>
    </w:p>
    <w:p>
      <w:pPr>
        <w:ind w:left="360" w:hanging="354"/>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Information regarding Mr. Stanleick is set forth above under Part III. Item 10 “Executive Officers”.</w:t>
      </w:r>
    </w:p>
    <w:p>
      <w:pPr>
        <w:spacing w:after="0" w:line="6" w:lineRule="exact"/>
        <w:rPr>
          <w:rFonts w:ascii="Arial" w:cs="Arial" w:eastAsia="Arial" w:hAnsi="Arial"/>
          <w:sz w:val="16"/>
          <w:szCs w:val="16"/>
          <w:color w:val="auto"/>
        </w:rPr>
      </w:pPr>
    </w:p>
    <w:p>
      <w:pPr>
        <w:ind w:left="360" w:hanging="354"/>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Saunders served as the Company’s interim Chief Executive Officer from January 1, 2022, to February 6, 2022</w:t>
      </w:r>
    </w:p>
    <w:p>
      <w:pPr>
        <w:spacing w:after="0" w:line="1" w:lineRule="exact"/>
        <w:rPr>
          <w:rFonts w:ascii="Arial" w:cs="Arial" w:eastAsia="Arial" w:hAnsi="Arial"/>
          <w:sz w:val="16"/>
          <w:szCs w:val="16"/>
          <w:color w:val="auto"/>
        </w:rPr>
      </w:pPr>
    </w:p>
    <w:p>
      <w:pPr>
        <w:ind w:left="360" w:hanging="354"/>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time from when HydraFacial consummated the Business Combination</w:t>
      </w:r>
    </w:p>
    <w:p>
      <w:pPr>
        <w:spacing w:after="0" w:line="2" w:lineRule="exact"/>
        <w:rPr>
          <w:sz w:val="20"/>
          <w:szCs w:val="20"/>
          <w:color w:val="auto"/>
        </w:rPr>
      </w:pPr>
    </w:p>
    <w:p>
      <w:pPr>
        <w:jc w:val="right"/>
        <w:ind w:right="10460" w:firstLine="6"/>
        <w:spacing w:after="0" w:line="249" w:lineRule="auto"/>
        <w:tabs>
          <w:tab w:leader="none" w:pos="3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Chair *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biographical summaries provide details of our directors’ skills and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b w:val="1"/>
          <w:bCs w:val="1"/>
          <w:color w:val="auto"/>
        </w:rPr>
        <w:t xml:space="preserve">Brenton L. Saunders </w:t>
      </w:r>
      <w:r>
        <w:rPr>
          <w:rFonts w:ascii="Arial" w:cs="Arial" w:eastAsia="Arial" w:hAnsi="Arial"/>
          <w:sz w:val="15"/>
          <w:szCs w:val="15"/>
          <w:color w:val="auto"/>
        </w:rPr>
        <w:t>has served on our Board of Directors since May 4, 2021. Mr. Saunders has over 25 years of experience in various aspects of healthcare</w:t>
      </w:r>
      <w:r>
        <w:rPr>
          <w:rFonts w:ascii="Arial" w:cs="Arial" w:eastAsia="Arial" w:hAnsi="Arial"/>
          <w:sz w:val="15"/>
          <w:szCs w:val="15"/>
          <w:b w:val="1"/>
          <w:bCs w:val="1"/>
          <w:color w:val="auto"/>
        </w:rPr>
        <w:t xml:space="preserve"> </w:t>
      </w:r>
      <w:r>
        <w:rPr>
          <w:rFonts w:ascii="Arial" w:cs="Arial" w:eastAsia="Arial" w:hAnsi="Arial"/>
          <w:sz w:val="15"/>
          <w:szCs w:val="15"/>
          <w:color w:val="auto"/>
        </w:rPr>
        <w:t>and has been in leadership roles at several prominent global pharmaceutical and healthcare companies. Until May 2020, when it was acquired by AbbVie Inc. (NYSE: ABBV) in a transaction valued at approximately $63 billion, Mr. Saunders served as Chairman, President and Chief Executive Officer of Allergan plc (“Allergan”). His role as President and Chief Executive Officer of Allergan began in July 2014 and his added role of Chairman began in October 2016. Mr.</w:t>
      </w:r>
    </w:p>
    <w:p>
      <w:pPr>
        <w:spacing w:after="0" w:line="263" w:lineRule="auto"/>
        <w:rPr>
          <w:sz w:val="20"/>
          <w:szCs w:val="20"/>
          <w:color w:val="auto"/>
        </w:rPr>
      </w:pPr>
      <w:r>
        <w:rPr>
          <w:rFonts w:ascii="Arial" w:cs="Arial" w:eastAsia="Arial" w:hAnsi="Arial"/>
          <w:sz w:val="17"/>
          <w:szCs w:val="17"/>
          <w:color w:val="auto"/>
        </w:rPr>
        <w:t>Saunders first role as an executive officer in the pharmaceuticals and healthcare sectors began in 2003, as a member of the executive management team at Schering-Plough Corporation (“Schering-Plough”), where he held several key roles, including President of the company’s Global Consumer Health Care division. While at Schering-Plough, Mr. Saunders led the integrations of the company’s $14 billion acquisition of Organon Biosciences N.V. in 2007 as well as the merger between Schering-Plough and Merck &amp; Co., Inc. (NYSE: MRK) in 2009. From March 2010 until August 2013, Mr. Saunders served as Chief Executive Officer of Bausch + Lomb Incorporated (NYSE: BHC), a leading global eye health company, until its acquisition by Valeant Pharmaceuticals, Inc. in 2013. He then became the Chief Executive Officer of Forest Laboratories Inc., a role he held until the company’s merger with Actavis plc (“Actavis”) in 2014. Following the merger with Actavis, Mr. Saunders was named Chief Executive Officer of the combined business. In 2015, he led Actavis’ acquisition of Allergan, renaming the post-combination company Allergan Plc.</w:t>
      </w:r>
    </w:p>
    <w:p>
      <w:pPr>
        <w:spacing w:after="0" w:line="209"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color w:val="auto"/>
        </w:rPr>
        <w:t>Before joining Schering-Plough in 2003, Mr. Saunders was a Partner and Head of Compliance Business Advisory at PricewaterhouseCoopers LLP. Prior to that, he was Chief Risk Officer at Coventry Health Care, Inc. (NYSE:CVH) and Senior Vice President, Compliance, Legal and Regulatory at Home Care Corporation of America. Mr. Saunders began his career as Chief Compliance Officer for the Thomas Jefferson University Health System.</w:t>
      </w:r>
    </w:p>
    <w:p>
      <w:pPr>
        <w:spacing w:after="0" w:line="163"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Over the course of his career, Mr. Saunders has overseen over 80 mergers, acquisitions, divestitures and licensing transactions, totaling over $300 billion in value. Notable highlights from Mr. Saunders’ transaction experience include Actavis’ approximately $28 billion acquisition of Forest Laboratories in 2014, Actavis’ $70 billion acquisition of Allergan in 2015 and the $40 billion sale of Allergan’s global generics business to Teva Pharmaceutical Industries Ltd in 2016. Mr. Saunders’ transaction experience also includes the divestiture of Allergan’s medical dermatology business, and the acquisitions of leading companies in the medical aesthetics space such as Kythera, Lifecell, and Zeltiq.</w:t>
      </w:r>
    </w:p>
    <w:p>
      <w:pPr>
        <w:spacing w:after="0" w:line="20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Additionally, Mr. Saunders currently serves as a director of Cisco Systems, Inc. (NASDAQ: CSCO), a global telecommunications company and BridgeBio Pharma Inc. (NASDAQ:BBIO), a bio pharmaceutical company. He is also a member of The Business Council.</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 xml:space="preserve">Michael D. Capellas </w:t>
      </w:r>
      <w:r>
        <w:rPr>
          <w:rFonts w:ascii="Arial" w:cs="Arial" w:eastAsia="Arial" w:hAnsi="Arial"/>
          <w:sz w:val="17"/>
          <w:szCs w:val="17"/>
          <w:color w:val="auto"/>
        </w:rPr>
        <w:t>has served on our Board of Directors since May 4, 2021. Mr. Capellas has also been a member of the Board of Directors of Cisco</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Inc. since January 2006 and currently serves Cisco as lead independent director. He has served as founder and Chief Executive Officer of Capellas Partners since November 2012. He served as Chairman of the Board of VCE Company, LLC from January 2011 until November 2012 and as Chief Executive Officer of VCE from May 2010 to September 2011. Mr. Capellas was the Chairman and Chief Executive Officer of First Data Corporation from September 2007 to March 2010. From November 2002 to January 2006, he served as Chief Executive Officer of MCI, Inc. (“MCI”), previously WorldCom. From November 2002 to March 2004, he was also Chairman of the Board of WorldCom, and he continued to serve as a member of the board of directors of MCI until January 2006. Mr. Capellas left MCI as planned in early January 2006 upon its acquisition by Verizon Communications Inc. Previously, Mr. Capellas was President of Hewlett-Packard Company from May 2002 to November 2002. Before the merger of Hewlett-Packard and Compaq Computer Corporation in May 2002, Mr. Capellas was President and Chief Executive Officer of Compaq, a position he had held since July 1999, and Chairman of the Board of Compaq, a position he had held since September 2000. Mr. Capellas held earlier positions as Chief Information Officer and Chief Operating Officer of Compaq. Mr. Capellas also currently serves as the chairman of the board of directors of Flex Ltd. and as a director of Elliot Opportunity II Corp. He previously served as the independent lead director of MuleSoft, Inc., ending in 2018.</w:t>
      </w:r>
    </w:p>
    <w:p>
      <w:pPr>
        <w:spacing w:after="0" w:line="20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color w:val="auto"/>
        </w:rPr>
        <w:t xml:space="preserve">Dr. Julius Few </w:t>
      </w:r>
      <w:r>
        <w:rPr>
          <w:rFonts w:ascii="Arial" w:cs="Arial" w:eastAsia="Arial" w:hAnsi="Arial"/>
          <w:sz w:val="17"/>
          <w:szCs w:val="17"/>
          <w:color w:val="auto"/>
        </w:rPr>
        <w:t>has served on our Board of Directors since May 4, 2021. Dr. Few founded and has been Director of The Few Institute for Aesthetic Plastic</w:t>
      </w:r>
      <w:r>
        <w:rPr>
          <w:rFonts w:ascii="Arial" w:cs="Arial" w:eastAsia="Arial" w:hAnsi="Arial"/>
          <w:sz w:val="17"/>
          <w:szCs w:val="17"/>
          <w:b w:val="1"/>
          <w:bCs w:val="1"/>
          <w:color w:val="auto"/>
        </w:rPr>
        <w:t xml:space="preserve"> </w:t>
      </w:r>
      <w:r>
        <w:rPr>
          <w:rFonts w:ascii="Arial" w:cs="Arial" w:eastAsia="Arial" w:hAnsi="Arial"/>
          <w:sz w:val="17"/>
          <w:szCs w:val="17"/>
          <w:color w:val="auto"/>
        </w:rPr>
        <w:t>Surgery since 2008. A board-certified plastic surgeon in private practice, Dr. Few is widely recognized for enhancing the aesthetic appearance of his patients and contributing to research in plastic surgery. He is called upon by regulatory agencies, professional associations and international study bodies to share his expertise on surgical techniques and skin care innovations. Dr. Few can be seen across leading media channels including CBS News, ABC News, 20 20, Good Morning America, CNN, NBC News, The Wall Street Journal, Crain’s Business, Health Magazine, The Chicago Sun Times, The Chicago Tribune, WEB MD and Washingtonian Magazine on cosmetic procedures and treatments. Dr. Few also serves as a Clinical Professor for the Division of Plastic Surgery at the University of Chicago as well as a Health Systems Clinician at Northwestern University. He is on the Board of Trustees of the Museum of Contemporary Art and is a founding</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ind w:right="320"/>
        <w:spacing w:after="0" w:line="252" w:lineRule="auto"/>
        <w:rPr>
          <w:sz w:val="20"/>
          <w:szCs w:val="20"/>
          <w:color w:val="auto"/>
        </w:rPr>
      </w:pPr>
      <w:r>
        <w:rPr>
          <w:rFonts w:ascii="Arial" w:cs="Arial" w:eastAsia="Arial" w:hAnsi="Arial"/>
          <w:sz w:val="18"/>
          <w:szCs w:val="18"/>
          <w:color w:val="auto"/>
        </w:rPr>
        <w:t>member of the Common Ground Foundation. He is also the founder of the Few Initiative, a non-profit that aids disadvantaged youth. Dr. Few received his medical degree from the University of Chicago Pritzker School of Medicine and completed his residency in general surgery at the University of Michigan Medical Center, followed by plastic surgery training at Northwestern University. In addition, Dr. Few received special facial and eye cosmetic training in Honolulu, New York and Atlanta.</w:t>
      </w:r>
    </w:p>
    <w:p>
      <w:pPr>
        <w:spacing w:after="0" w:line="21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Desiree Gruber </w:t>
      </w:r>
      <w:r>
        <w:rPr>
          <w:rFonts w:ascii="Arial" w:cs="Arial" w:eastAsia="Arial" w:hAnsi="Arial"/>
          <w:sz w:val="18"/>
          <w:szCs w:val="18"/>
          <w:color w:val="auto"/>
        </w:rPr>
        <w:t>has served on our Board of Directors since June 2021. Ms. Gruber, a Peabody Award-winner, founded Full Picture, a brand accelerator,</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production, communications, and consulting services company in 1999 and currently serves as its Chief Executive Officer. As a notable entrepreneur, business strategist, and venture capitalist, Ms. Gruber co-founded the Project Runway television series in 2004 and co-founded Diagonal Ventures (“DGNL”) in 2016 with a goal to create real opportunities for women to achieve measurable success. DGNL invests in and architects transformational deals across the consumer, technology, and media spectrum in order to establish a legacy of female empowerment. Ms. Gruber also advises Anthos Capital, Pharrell Williams’ Something in the Water, and Chegg (NYSE: CHGG), and is a board member of SLAM Corp. (NASDAQ: SLAMU) and DPCM Capital, Inc. (NYSE: XPOA, XPOA-UN). A lifelong advocate for a more equitable and inclusive world, Ms. Gruber proudly serves on the boards of UNICEF USA, Tech:NYC, and God’s Love We Deliver.</w:t>
      </w: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 xml:space="preserve">Michelle Kerrick </w:t>
      </w:r>
      <w:r>
        <w:rPr>
          <w:rFonts w:ascii="Arial" w:cs="Arial" w:eastAsia="Arial" w:hAnsi="Arial"/>
          <w:sz w:val="15"/>
          <w:szCs w:val="15"/>
          <w:color w:val="auto"/>
        </w:rPr>
        <w:t>has served on our Board of Directors since May 4, 2021. Ms. Kerrick served as the West Region Market Leader and Managing Partner of</w:t>
      </w:r>
      <w:r>
        <w:rPr>
          <w:rFonts w:ascii="Arial" w:cs="Arial" w:eastAsia="Arial" w:hAnsi="Arial"/>
          <w:sz w:val="15"/>
          <w:szCs w:val="15"/>
          <w:b w:val="1"/>
          <w:bCs w:val="1"/>
          <w:color w:val="auto"/>
        </w:rPr>
        <w:t xml:space="preserve"> </w:t>
      </w:r>
      <w:r>
        <w:rPr>
          <w:rFonts w:ascii="Arial" w:cs="Arial" w:eastAsia="Arial" w:hAnsi="Arial"/>
          <w:sz w:val="15"/>
          <w:szCs w:val="15"/>
          <w:color w:val="auto"/>
        </w:rPr>
        <w:t>the Los Angeles office of Deloitte. Ms. Kerrick worked at Deloitte for 35 years before retiring in September 2020. In her role, Ms. Kerrick was responsible for driving national strategy and client and business growth and strategic positioning across the 13-office West Region and the Los Angeles office. With more than 35 years of professional experience, Ms. Kerrick has served a diverse group of publicly and privately held clients, ranging from middle-market companies to large multi-nationals, in various industry sectors. Ms. Kerrick is an independent corporate board director for American Homes 4 Rent (NYSE: AMH) and director of LDH Growth Corp I. Ms. Kerrick is an accredited member of the California and Arizona State Board of Accountancy and the American Institute of Certified Public Accountants. Ms. Kerrick holds a B.S. degree in Accountancy from Northern Arizona University.</w:t>
      </w:r>
    </w:p>
    <w:p>
      <w:pPr>
        <w:spacing w:after="0" w:line="173"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color w:val="auto"/>
        </w:rPr>
        <w:t xml:space="preserve">Brian Miller </w:t>
      </w:r>
      <w:r>
        <w:rPr>
          <w:rFonts w:ascii="Arial" w:cs="Arial" w:eastAsia="Arial" w:hAnsi="Arial"/>
          <w:sz w:val="15"/>
          <w:szCs w:val="15"/>
          <w:color w:val="auto"/>
        </w:rPr>
        <w:t>has served on our Board of Directors since May 4, 2021. Mr. Miller is a Managing Partner and Co-Founder of Linden Capital Partners, which</w:t>
      </w:r>
      <w:r>
        <w:rPr>
          <w:rFonts w:ascii="Arial" w:cs="Arial" w:eastAsia="Arial" w:hAnsi="Arial"/>
          <w:sz w:val="15"/>
          <w:szCs w:val="15"/>
          <w:b w:val="1"/>
          <w:bCs w:val="1"/>
          <w:color w:val="auto"/>
        </w:rPr>
        <w:t xml:space="preserve"> </w:t>
      </w:r>
      <w:r>
        <w:rPr>
          <w:rFonts w:ascii="Arial" w:cs="Arial" w:eastAsia="Arial" w:hAnsi="Arial"/>
          <w:sz w:val="15"/>
          <w:szCs w:val="15"/>
          <w:color w:val="auto"/>
        </w:rPr>
        <w:t>was founded in 2004. He has been involved in healthcare principal investing since 1998. Prior to Linden, Mr. Miller was a founding member of the healthcare team at First Chicago Equity Capital. Mr. Miller began his career in the investment banking division of Salomon Brothers Inc. (currently Citigroup). He is currently a board member of Vital Care, Flexan, MeriCal, StatLab Medical Products and Collagen Matrix, and was previously a board member of Z-Medica, Solara, SeraCare, BarrierSafe Solutions International, CORPAK MedSystems, HYCOR Biomedical, Strata Pathology Services and Suture Express. Mr. Miller holds a Bachelor of Arts with honors in Economics from Princeton University and an MBA from Harvard Business School, with a concentration in healthcare. He is a board member of AdvaMed, the Founder of the Healthcare Private Equity Association, the founder of Private Equity Analysts of Chicago, a Trustee of The University of Chicago Medical Center, and a member of the Economic Club of Chicago.</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 xml:space="preserve">Doug Schillinger </w:t>
      </w:r>
      <w:r>
        <w:rPr>
          <w:rFonts w:ascii="Arial" w:cs="Arial" w:eastAsia="Arial" w:hAnsi="Arial"/>
          <w:sz w:val="18"/>
          <w:szCs w:val="18"/>
          <w:color w:val="auto"/>
        </w:rPr>
        <w:t>has served on our Board of Directors since May 4, 2021. Mr. Schillinger joined DW Healthcare Partners in 2004 and is currently a</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and oversees a number of the firm’s portfolio investments. Mr. Schillinger’s investment, transaction and board experience include a broad array of healthcare service and medical devices including pharma services, diagnostics, medical tech products and devices, provider services, laboratory services, post-acute care, medical aesthetics, and telehealth. Before joining DW Healthcare Partners, Mr. Schillinger worked for Bain &amp; Company and Accenture (previously Andersen Consulting). Mr. Schillinger holds a Bachelor of Arts degree from Cornell University and an MBA with Distinction from Harvard Business School. Mr. Schillinger is a current board member of the Healthcare Private Equity Association and a former member of the Harvard Business School Alumni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our executive officers and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committed to good governance practices. Our governance practices seek to ensure that we conduct our affairs in a manner that matches the high standards we have set for our people, products, and services. We believe that good governance builds integrity and trust, strengthens the accountability of our Board, management and employees, promotes the long-term interests of stockholders, and allows us to be a good corporate citizen in each of the countries where we do business.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Code of Ethics</w:t>
      </w:r>
    </w:p>
    <w:p>
      <w:pPr>
        <w:spacing w:after="0" w:line="24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We have a Code of Business Conduct and Ethics that applies to all of our executive officers, directors and employees, including our principal executive officer, principal financial officer, principal accounting officer or controller or persons performing similar functions. A copy of our Code of Business Conduct and Ethics may be found on our website: </w:t>
      </w:r>
      <w:r>
        <w:rPr>
          <w:rFonts w:ascii="Arial" w:cs="Arial" w:eastAsia="Arial" w:hAnsi="Arial"/>
          <w:sz w:val="18"/>
          <w:szCs w:val="18"/>
          <w:color w:val="0000FF"/>
        </w:rPr>
        <w:t>www.beautyhealth.com</w:t>
      </w:r>
      <w:r>
        <w:rPr>
          <w:rFonts w:ascii="Arial" w:cs="Arial" w:eastAsia="Arial" w:hAnsi="Arial"/>
          <w:sz w:val="18"/>
          <w:szCs w:val="18"/>
          <w:color w:val="auto"/>
        </w:rPr>
        <w:t xml:space="preserve"> under the heading “Governance”, and then “Documents &amp; Charters”. We intend to make any legally required disclosures regarding amendments to, or waivers of, provisions of our code of ethics on our website rather than by filing a Current Report on Form 8-K.</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Structure of our Board</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our Second Amended and Restated Certificate of Incorporation, the number of directors on our Board will be fixed from time to time by a resolution adopted by a majority of our Board. As of the date of this Annual Report on Form 10-K, our Board is currently composed of eight directors. In determining the appropriate size and composition of the Board, the Board considers the current and anticipated need for directors with specific qualities, skills, experience and backgrounds (including diversity of ethnicity, gender, nationality and age), the availability of highly qualified candidates, committee workloads and membership needs, and the impact of any anticipated director retirements.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our Board is divided into three classes with only one class of directors being elected in each year and each class (except for those directors appointed prior to our first annual meeting of stockholders) serving a three-year term. Each of Andrew Stanleick, Desiree Gruber and Michelle Kerrick serve as Class I directors, Michael D. Capellas, Dr. Julius Few and Brian Miller serve as Class II directors and Brenton L. Saunders and Doug Schillinger serve as Class III directors.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 connection with the Business Combination, we entered into the Investor Rights Agreement with LCP. This agreement grants LCP the right, but not the obligation, to designate nominees to our Board of Directors subject to the maintenance of certain ownership requirements. Pursuant to the Investor Rights Agreement, LCP’s director nominees are to be designated as either Class III and/or Class II directors. See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 Investor Rights Agreement</w:t>
      </w:r>
      <w:r>
        <w:rPr>
          <w:rFonts w:ascii="Arial" w:cs="Arial" w:eastAsia="Arial" w:hAnsi="Arial"/>
          <w:sz w:val="18"/>
          <w:szCs w:val="18"/>
          <w:color w:val="auto"/>
        </w:rPr>
        <w:t>” for additional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Board Leadership</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our Board believes it is important for our Chairman to have both a stake in and deep understanding of the Company, our Board recognizes that the leadership structure and combination or separation of the Chief Executive Officer and Chairman roles is driven by the needs of the Company at any point in time. As a result, no policy exists requiring combination or separation of leadership roles and our governing documents do not mandate a particular structure. This has allowed our Board the flexibility to establish the most appropriate structure for the Company at any given time. Mr. Saunders currently serves as our Chairman, and Mr. Stanleick currently serves as our Chief Executive Officer.</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believes the present structure provides the Company and the Board with strong leadership, continuity of experience, and appropriate independent oversight of management.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meets regularly in executive session without management directors or any members of management. In addition, the independent directors on our Board meet annually in executive session. Generally, the Chairman of our Board serves as Chairman in sessions without management directors or any members of management.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Board Meetings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Regular meetings of our Board are held at such times as our Board may determine. In addition, special meetings of our Board may be called by the Chairman of the Board or President, or by the Chairman of the Board, President or Secretary on the written request of at least a majority of directors then in office. In fiscal year 2021, our Board held 5 meetings, the audit</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ind w:right="20"/>
        <w:spacing w:after="0" w:line="330" w:lineRule="auto"/>
        <w:rPr>
          <w:sz w:val="20"/>
          <w:szCs w:val="20"/>
          <w:color w:val="auto"/>
        </w:rPr>
      </w:pPr>
      <w:r>
        <w:rPr>
          <w:rFonts w:ascii="Arial" w:cs="Arial" w:eastAsia="Arial" w:hAnsi="Arial"/>
          <w:sz w:val="15"/>
          <w:szCs w:val="15"/>
          <w:color w:val="auto"/>
        </w:rPr>
        <w:t>committee held 3 meetings, the compensation committee held 3 meetings, and the nominating and corporate governance committee held 4 meetings. Each director attended more than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Board and its committees also act from time to time by written consent in lieu of meetings.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Board Qualifications and Membership Criteria</w:t>
      </w:r>
    </w:p>
    <w:p>
      <w:pPr>
        <w:spacing w:after="0" w:line="244"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nominating and corporate governance committee and the Board believe that a board composed of directors who have diverse personal backgrounds and experiences and who bring a fresh perspective is a priority for the Company. We seek to mix a diverse range of skills, backgrounds and experiences such as leadership, beauty and consumer products, international and strategic planning experience, financial and accounting expertise, corporate governance, and governmental policy and regulatory experience. We also value and consider broad diversity for our Board, including ethnicity, gender, nationality and age. The Board conducts an annual self-evaluation process and periodically considers its composition and refreshment in order to effectively align the Board’s mix of skills, experience and attributes with the Company’s business strategy.</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believe that each director is well-qualified to serve on our Board and offers significant individual attributes and contributions important to our Board’s overall composition and functioning. As of February 18, 2022, our Board is comprised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7143115" cy="390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3115" cy="3903980"/>
                    </a:xfrm>
                    <a:prstGeom prst="rect">
                      <a:avLst/>
                    </a:prstGeom>
                    <a:noFill/>
                  </pic:spPr>
                </pic:pic>
              </a:graphicData>
            </a:graphic>
          </wp:anchor>
        </w:drawing>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8"/>
              </w:rPr>
              <w:t>Total Number of Directors</w:t>
            </w:r>
          </w:p>
        </w:tc>
        <w:tc>
          <w:tcPr>
            <w:tcW w:w="22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2"/>
          </w:tcPr>
          <w:p>
            <w:pPr>
              <w:jc w:val="center"/>
              <w:ind w:right="1652"/>
              <w:spacing w:after="0"/>
              <w:rPr>
                <w:sz w:val="20"/>
                <w:szCs w:val="20"/>
                <w:color w:val="auto"/>
              </w:rPr>
            </w:pPr>
            <w:r>
              <w:rPr>
                <w:rFonts w:ascii="Arial" w:cs="Arial" w:eastAsia="Arial" w:hAnsi="Arial"/>
                <w:sz w:val="18"/>
                <w:szCs w:val="18"/>
                <w:b w:val="1"/>
                <w:bCs w:val="1"/>
                <w:color w:val="auto"/>
                <w:w w:val="99"/>
              </w:rPr>
              <w:t>8</w:t>
            </w:r>
          </w:p>
        </w:tc>
        <w:tc>
          <w:tcPr>
            <w:tcW w:w="2260" w:type="dxa"/>
            <w:vAlign w:val="bottom"/>
            <w:tcBorders>
              <w:top w:val="single" w:sz="8" w:color="auto"/>
            </w:tcBorders>
          </w:tcPr>
          <w:p>
            <w:pPr>
              <w:spacing w:after="0"/>
              <w:rPr>
                <w:sz w:val="21"/>
                <w:szCs w:val="21"/>
                <w:color w:val="auto"/>
              </w:rPr>
            </w:pPr>
          </w:p>
        </w:tc>
      </w:tr>
      <w:tr>
        <w:trPr>
          <w:trHeight w:val="248"/>
        </w:trPr>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27"/>
        </w:trPr>
        <w:tc>
          <w:tcPr>
            <w:tcW w:w="22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Female</w:t>
            </w:r>
          </w:p>
        </w:tc>
        <w:tc>
          <w:tcPr>
            <w:tcW w:w="17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Male</w:t>
            </w:r>
          </w:p>
        </w:tc>
        <w:tc>
          <w:tcPr>
            <w:tcW w:w="52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Non-Binary</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Did Not Disclose Gender</w:t>
            </w:r>
          </w:p>
        </w:tc>
      </w:tr>
      <w:tr>
        <w:trPr>
          <w:trHeight w:val="232"/>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Part I: Gender Identity</w:t>
            </w:r>
          </w:p>
        </w:tc>
        <w:tc>
          <w:tcPr>
            <w:tcW w:w="2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22"/>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740" w:type="dxa"/>
            <w:vAlign w:val="bottom"/>
          </w:tcPr>
          <w:p>
            <w:pPr>
              <w:jc w:val="center"/>
              <w:ind w:left="412"/>
              <w:spacing w:after="0"/>
              <w:rPr>
                <w:sz w:val="20"/>
                <w:szCs w:val="20"/>
                <w:color w:val="auto"/>
              </w:rPr>
            </w:pPr>
            <w:r>
              <w:rPr>
                <w:rFonts w:ascii="Arial" w:cs="Arial" w:eastAsia="Arial" w:hAnsi="Arial"/>
                <w:sz w:val="18"/>
                <w:szCs w:val="18"/>
                <w:color w:val="auto"/>
                <w:w w:val="79"/>
              </w:rPr>
              <w:t>6</w:t>
            </w:r>
          </w:p>
        </w:tc>
        <w:tc>
          <w:tcPr>
            <w:tcW w:w="52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260" w:type="dxa"/>
            <w:vAlign w:val="bottom"/>
          </w:tcPr>
          <w:p>
            <w:pPr>
              <w:spacing w:after="0"/>
              <w:rPr>
                <w:sz w:val="19"/>
                <w:szCs w:val="19"/>
                <w:color w:val="auto"/>
              </w:rPr>
            </w:pPr>
          </w:p>
        </w:tc>
      </w:tr>
      <w:tr>
        <w:trPr>
          <w:trHeight w:val="729"/>
        </w:trPr>
        <w:tc>
          <w:tcPr>
            <w:tcW w:w="22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174"/>
        </w:trPr>
        <w:tc>
          <w:tcPr>
            <w:tcW w:w="2260" w:type="dxa"/>
            <w:vAlign w:val="bottom"/>
            <w:tcBorders>
              <w:right w:val="single" w:sz="8" w:color="auto"/>
            </w:tcBorders>
          </w:tcPr>
          <w:p>
            <w:pPr>
              <w:ind w:left="40"/>
              <w:spacing w:after="0" w:line="174" w:lineRule="exact"/>
              <w:rPr>
                <w:sz w:val="20"/>
                <w:szCs w:val="20"/>
                <w:color w:val="auto"/>
              </w:rPr>
            </w:pPr>
            <w:r>
              <w:rPr>
                <w:rFonts w:ascii="Arial" w:cs="Arial" w:eastAsia="Arial" w:hAnsi="Arial"/>
                <w:sz w:val="18"/>
                <w:szCs w:val="18"/>
                <w:b w:val="1"/>
                <w:bCs w:val="1"/>
                <w:color w:val="auto"/>
              </w:rPr>
              <w:t>Part II: Demographic</w:t>
            </w:r>
          </w:p>
        </w:tc>
        <w:tc>
          <w:tcPr>
            <w:tcW w:w="224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Pr>
          <w:p>
            <w:pPr>
              <w:spacing w:after="0"/>
              <w:rPr>
                <w:sz w:val="15"/>
                <w:szCs w:val="15"/>
                <w:color w:val="auto"/>
              </w:rPr>
            </w:pPr>
          </w:p>
        </w:tc>
      </w:tr>
      <w:tr>
        <w:trPr>
          <w:trHeight w:val="237"/>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Background</w:t>
            </w:r>
          </w:p>
        </w:tc>
        <w:tc>
          <w:tcPr>
            <w:tcW w:w="2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32"/>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African American or Black</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79"/>
              </w:rPr>
              <w:t>1</w:t>
            </w: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186"/>
        </w:trPr>
        <w:tc>
          <w:tcPr>
            <w:tcW w:w="226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Alaskan Native or Native</w:t>
            </w:r>
          </w:p>
        </w:tc>
        <w:tc>
          <w:tcPr>
            <w:tcW w:w="22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w:t>
            </w:r>
          </w:p>
        </w:tc>
        <w:tc>
          <w:tcPr>
            <w:tcW w:w="1740" w:type="dxa"/>
            <w:vAlign w:val="bottom"/>
          </w:tcPr>
          <w:p>
            <w:pPr>
              <w:jc w:val="center"/>
              <w:ind w:left="392"/>
              <w:spacing w:after="0" w:line="187" w:lineRule="exact"/>
              <w:rPr>
                <w:sz w:val="20"/>
                <w:szCs w:val="20"/>
                <w:color w:val="auto"/>
              </w:rPr>
            </w:pPr>
            <w:r>
              <w:rPr>
                <w:rFonts w:ascii="Arial" w:cs="Arial" w:eastAsia="Arial" w:hAnsi="Arial"/>
                <w:sz w:val="18"/>
                <w:szCs w:val="18"/>
                <w:color w:val="auto"/>
                <w:w w:val="99"/>
              </w:rPr>
              <w:t>—</w:t>
            </w:r>
          </w:p>
        </w:tc>
        <w:tc>
          <w:tcPr>
            <w:tcW w:w="5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line="187" w:lineRule="exact"/>
              <w:rPr>
                <w:sz w:val="20"/>
                <w:szCs w:val="20"/>
                <w:color w:val="auto"/>
              </w:rPr>
            </w:pPr>
            <w:r>
              <w:rPr>
                <w:rFonts w:ascii="Arial" w:cs="Arial" w:eastAsia="Arial" w:hAnsi="Arial"/>
                <w:sz w:val="18"/>
                <w:szCs w:val="18"/>
                <w:color w:val="auto"/>
                <w:w w:val="99"/>
              </w:rPr>
              <w:t>—</w:t>
            </w:r>
          </w:p>
        </w:tc>
      </w:tr>
      <w:tr>
        <w:trPr>
          <w:trHeight w:val="231"/>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w:t>
            </w:r>
          </w:p>
        </w:tc>
        <w:tc>
          <w:tcPr>
            <w:tcW w:w="2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32"/>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Asian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2"/>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Hispanic or Latinx</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186"/>
        </w:trPr>
        <w:tc>
          <w:tcPr>
            <w:tcW w:w="226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Native Hawaiian or Pacific</w:t>
            </w:r>
          </w:p>
        </w:tc>
        <w:tc>
          <w:tcPr>
            <w:tcW w:w="22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w:t>
            </w:r>
          </w:p>
        </w:tc>
        <w:tc>
          <w:tcPr>
            <w:tcW w:w="1740" w:type="dxa"/>
            <w:vAlign w:val="bottom"/>
          </w:tcPr>
          <w:p>
            <w:pPr>
              <w:jc w:val="center"/>
              <w:ind w:left="392"/>
              <w:spacing w:after="0" w:line="187" w:lineRule="exact"/>
              <w:rPr>
                <w:sz w:val="20"/>
                <w:szCs w:val="20"/>
                <w:color w:val="auto"/>
              </w:rPr>
            </w:pPr>
            <w:r>
              <w:rPr>
                <w:rFonts w:ascii="Arial" w:cs="Arial" w:eastAsia="Arial" w:hAnsi="Arial"/>
                <w:sz w:val="18"/>
                <w:szCs w:val="18"/>
                <w:color w:val="auto"/>
                <w:w w:val="99"/>
              </w:rPr>
              <w:t>—</w:t>
            </w:r>
          </w:p>
        </w:tc>
        <w:tc>
          <w:tcPr>
            <w:tcW w:w="5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line="187" w:lineRule="exact"/>
              <w:rPr>
                <w:sz w:val="20"/>
                <w:szCs w:val="20"/>
                <w:color w:val="auto"/>
              </w:rPr>
            </w:pPr>
            <w:r>
              <w:rPr>
                <w:rFonts w:ascii="Arial" w:cs="Arial" w:eastAsia="Arial" w:hAnsi="Arial"/>
                <w:sz w:val="18"/>
                <w:szCs w:val="18"/>
                <w:color w:val="auto"/>
                <w:w w:val="99"/>
              </w:rPr>
              <w:t>—</w:t>
            </w:r>
          </w:p>
        </w:tc>
      </w:tr>
      <w:tr>
        <w:trPr>
          <w:trHeight w:val="231"/>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Islander</w:t>
            </w:r>
          </w:p>
        </w:tc>
        <w:tc>
          <w:tcPr>
            <w:tcW w:w="2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32"/>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7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79"/>
              </w:rPr>
              <w:t>5</w:t>
            </w: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186"/>
        </w:trPr>
        <w:tc>
          <w:tcPr>
            <w:tcW w:w="2260" w:type="dxa"/>
            <w:vAlign w:val="bottom"/>
            <w:tcBorders>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Two or More Races or</w:t>
            </w:r>
          </w:p>
        </w:tc>
        <w:tc>
          <w:tcPr>
            <w:tcW w:w="22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w:t>
            </w:r>
          </w:p>
        </w:tc>
        <w:tc>
          <w:tcPr>
            <w:tcW w:w="1740" w:type="dxa"/>
            <w:vAlign w:val="bottom"/>
          </w:tcPr>
          <w:p>
            <w:pPr>
              <w:jc w:val="center"/>
              <w:ind w:left="392"/>
              <w:spacing w:after="0" w:line="187" w:lineRule="exact"/>
              <w:rPr>
                <w:sz w:val="20"/>
                <w:szCs w:val="20"/>
                <w:color w:val="auto"/>
              </w:rPr>
            </w:pPr>
            <w:r>
              <w:rPr>
                <w:rFonts w:ascii="Arial" w:cs="Arial" w:eastAsia="Arial" w:hAnsi="Arial"/>
                <w:sz w:val="18"/>
                <w:szCs w:val="18"/>
                <w:color w:val="auto"/>
                <w:w w:val="99"/>
              </w:rPr>
              <w:t>—</w:t>
            </w:r>
          </w:p>
        </w:tc>
        <w:tc>
          <w:tcPr>
            <w:tcW w:w="5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line="187" w:lineRule="exact"/>
              <w:rPr>
                <w:sz w:val="20"/>
                <w:szCs w:val="20"/>
                <w:color w:val="auto"/>
              </w:rPr>
            </w:pPr>
            <w:r>
              <w:rPr>
                <w:rFonts w:ascii="Arial" w:cs="Arial" w:eastAsia="Arial" w:hAnsi="Arial"/>
                <w:sz w:val="18"/>
                <w:szCs w:val="18"/>
                <w:color w:val="auto"/>
                <w:w w:val="99"/>
              </w:rPr>
              <w:t>—</w:t>
            </w:r>
          </w:p>
        </w:tc>
      </w:tr>
      <w:tr>
        <w:trPr>
          <w:trHeight w:val="231"/>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Ethnicities</w:t>
            </w:r>
          </w:p>
        </w:tc>
        <w:tc>
          <w:tcPr>
            <w:tcW w:w="22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224"/>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LGBTQ+</w:t>
            </w:r>
          </w:p>
        </w:tc>
        <w:tc>
          <w:tcPr>
            <w:tcW w:w="2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60" w:type="dxa"/>
            <w:vAlign w:val="bottom"/>
            <w:gridSpan w:val="2"/>
          </w:tcPr>
          <w:p>
            <w:pPr>
              <w:jc w:val="center"/>
              <w:ind w:right="1652"/>
              <w:spacing w:after="0"/>
              <w:rPr>
                <w:sz w:val="20"/>
                <w:szCs w:val="20"/>
                <w:color w:val="auto"/>
              </w:rPr>
            </w:pPr>
            <w:r>
              <w:rPr>
                <w:rFonts w:ascii="Arial" w:cs="Arial" w:eastAsia="Arial" w:hAnsi="Arial"/>
                <w:sz w:val="18"/>
                <w:szCs w:val="18"/>
                <w:color w:val="auto"/>
                <w:w w:val="99"/>
              </w:rPr>
              <w:t>—</w:t>
            </w:r>
          </w:p>
        </w:tc>
        <w:tc>
          <w:tcPr>
            <w:tcW w:w="2260" w:type="dxa"/>
            <w:vAlign w:val="bottom"/>
          </w:tcPr>
          <w:p>
            <w:pPr>
              <w:spacing w:after="0"/>
              <w:rPr>
                <w:sz w:val="19"/>
                <w:szCs w:val="19"/>
                <w:color w:val="auto"/>
              </w:rPr>
            </w:pPr>
          </w:p>
        </w:tc>
      </w:tr>
      <w:tr>
        <w:trPr>
          <w:trHeight w:val="253"/>
        </w:trPr>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180"/>
        </w:trPr>
        <w:tc>
          <w:tcPr>
            <w:tcW w:w="2260" w:type="dxa"/>
            <w:vAlign w:val="bottom"/>
            <w:tcBorders>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Did Not Disclose</w:t>
            </w:r>
          </w:p>
        </w:tc>
        <w:tc>
          <w:tcPr>
            <w:tcW w:w="2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760" w:type="dxa"/>
            <w:vAlign w:val="bottom"/>
            <w:gridSpan w:val="2"/>
          </w:tcPr>
          <w:p>
            <w:pPr>
              <w:jc w:val="center"/>
              <w:ind w:right="1652"/>
              <w:spacing w:after="0" w:line="180" w:lineRule="exact"/>
              <w:rPr>
                <w:sz w:val="20"/>
                <w:szCs w:val="20"/>
                <w:color w:val="auto"/>
              </w:rPr>
            </w:pPr>
            <w:r>
              <w:rPr>
                <w:rFonts w:ascii="Arial" w:cs="Arial" w:eastAsia="Arial" w:hAnsi="Arial"/>
                <w:sz w:val="18"/>
                <w:szCs w:val="18"/>
                <w:color w:val="auto"/>
                <w:w w:val="99"/>
              </w:rPr>
              <w:t>—</w:t>
            </w:r>
          </w:p>
        </w:tc>
        <w:tc>
          <w:tcPr>
            <w:tcW w:w="2260" w:type="dxa"/>
            <w:vAlign w:val="bottom"/>
          </w:tcPr>
          <w:p>
            <w:pPr>
              <w:spacing w:after="0"/>
              <w:rPr>
                <w:sz w:val="15"/>
                <w:szCs w:val="15"/>
                <w:color w:val="auto"/>
              </w:rPr>
            </w:pPr>
          </w:p>
        </w:tc>
      </w:tr>
      <w:tr>
        <w:trPr>
          <w:trHeight w:val="231"/>
        </w:trPr>
        <w:tc>
          <w:tcPr>
            <w:tcW w:w="2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Demographic Background</w:t>
            </w:r>
          </w:p>
        </w:tc>
        <w:tc>
          <w:tcPr>
            <w:tcW w:w="2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Nomination Process</w:t>
      </w:r>
    </w:p>
    <w:p>
      <w:pPr>
        <w:spacing w:after="0" w:line="24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The nominating and corporate governance committee recommends nominees for our Board consistent with the criteria determined by our Board. The nominating and corporate governance committee may receive recommendations from other directors and executives and may seek assistance from third-party search firms with respect to identifying and vetting qualified candidates for the Board’s consideration. The nominating and corporate governance committee will also consider nominations from stockholder(s) to the extent the nomination complies with all procedures and includes all information about the candidate(s) required by our Amended and Restated Bylaws. Nominations from stockholder(s) that are made in accordance</w:t>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these procedures and include all required information will be considered by the nominating and corporate governance committee in accordance with the criteria discussed above and in the same manner as other nominations, and the nominating and corporate governance committee will present its recommendation to our Board.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Communications with our Board</w:t>
      </w:r>
    </w:p>
    <w:p>
      <w:pPr>
        <w:spacing w:after="0" w:line="24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Board has established a process for stockholders to send communications to our Board. Stockholders may communicate with our Board generally or a specific director at any time by writing to the Company’s Secretary, The Beauty Health Company, 2165 Spring Street, Long Beach, CA 90806. Each communication should specify the applicable director(s) to be contacted, the general topic of the communication, and the number of shares of our Class A Common Stock owned of record (if a record holder) or beneficially owned. We review all messages received, and forward any message that reasonably appears to be a communication from a stockholder about a matter of stockholder interest that is intended for communication to our Board. Communications are sent as soon as practicable to the director to whom they are addressed, or if addressed to our Board generally, to the Chairman of our Board. Because other appropriate avenues of communication exist for matters that are not of stockholder interest, such as general business complaints, commercial inquiries, employee grievances, or general information about the Company or our products, communications that do not relate to matters of stockholder interest are not forwarded to our Board. In addition, communications that are unduly hostile, threatening, illegal, or similarly unsuitable will be excluded, with the provision that any communication that is so filtered will be made available to any director upon any such director’s request.</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 Oversight</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oversees, with management, the various risks we face. Our Board and management consider risks in all facets of the Company, our business strategy and our overall business.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dedicates a portion of one meeting each year to evaluating and discussing risk, risk mitigation strategies and the Company’s internal control environment. At this meeting, our Board considers an enterprise risk management analysis. Topics examined in the enterprise risk management analysis include, but are not limited to, strategic, operational, financial and compliance risks. Our Board’s risk oversight also includes an annual review of our strategic plan. Because overseeing risk is an ongoing process and inherent in our strategic decisions, our Board also receives input from senior management and considers risk at other times in the context of specific proposed actions.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to our Board’s risk oversight responsibility, the Board’s committees are also charged with overseeing risks within their areas of responsibility and reviewing with the Board significant risks identified by management and management’s response to those risks. For example, our Audit Committee provides oversight to legal and compliance matters and assesses the adequacy of our risk-related internal controls. In addition, our Compensation Committee considers risk and structures our executive compensation programs, if any, to provide incentives to appropriately reward executives for growth without undue risk taking.</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While our Board is actively involved in overseeing our risk management process, management is responsible for assessing and managing risk on a day-to-day basis. Our Board focuses on our general risk management strategy and ensures that appropriate risk mitigation strategies are implemented by management. Certain departments, such as accounting, finance, legal, regulatory compliance, and individuals within other departments, focus on specific risks associated with different aspects of our business, from regulatory, environmental, and financial risks to commercial and strategic risks. Senior members of management responsible for risk management report regularly to the appropriate Board committee or the Board, as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Board believes its administration of its risk oversight function has not negatively affected our Board’s leadership structure.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Director Independence</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Board has established three standing committees – an audit committee, a compensation committee, and a nominating and corporate governance committee – each of which operates under a charter that has been approved by our Board. The charter documents for each committee may be found in the “Investor Relations” section of our website: www.beautyhealth.com under the heading “Governance”, and then “Documents &amp; Charters”.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4"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The audit committee consists of Michelle Kerrick, Michael D. Capellas and Doug Schillinger. Michelle Kerrick serves as the chair of the audit committee.</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Nasdaq. Our Board has determined that Michelle Kerrick qualifies as an “audit committee financial expert” as defined in the applicable SEC rules and have the requisite financial sophistication as defined under the applicable Nasdaq rules and regulations. Our Board has determined that Michelle Kerrick, Michael D. Capellas and Doug Schillinger are independent under the applicable rules of the SEC and Nasdaq. We are currently in compliance with Nasdaq rules and Rule 10A-3 due to the fact that all members of our audit committee have been deemed independent by our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primary functions of the audit committee include:</w:t>
      </w:r>
    </w:p>
    <w:p>
      <w:pPr>
        <w:spacing w:after="0" w:line="265"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appointing, compensating and overseeing our independent registered public accounting firm;</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mutual reviewing and approving the annual audit plan;</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overseeing the integrity of our financial statements and our compliance with legal and regulatory requirements;</w:t>
      </w:r>
    </w:p>
    <w:p>
      <w:pPr>
        <w:spacing w:after="0" w:line="28" w:lineRule="exact"/>
        <w:rPr>
          <w:rFonts w:ascii="Arial" w:cs="Arial" w:eastAsia="Arial" w:hAnsi="Arial"/>
          <w:sz w:val="21"/>
          <w:szCs w:val="21"/>
          <w:color w:val="auto"/>
        </w:rPr>
      </w:pPr>
    </w:p>
    <w:p>
      <w:pPr>
        <w:ind w:left="640" w:right="400" w:hanging="316"/>
        <w:spacing w:after="0" w:line="232" w:lineRule="auto"/>
        <w:tabs>
          <w:tab w:leader="none" w:pos="635" w:val="left"/>
        </w:tabs>
        <w:numPr>
          <w:ilvl w:val="0"/>
          <w:numId w:val="42"/>
        </w:numPr>
        <w:rPr>
          <w:rFonts w:ascii="Arial" w:cs="Arial" w:eastAsia="Arial" w:hAnsi="Arial"/>
          <w:sz w:val="21"/>
          <w:szCs w:val="21"/>
          <w:color w:val="auto"/>
        </w:rPr>
      </w:pPr>
      <w:r>
        <w:rPr>
          <w:rFonts w:ascii="Arial" w:cs="Arial" w:eastAsia="Arial" w:hAnsi="Arial"/>
          <w:sz w:val="18"/>
          <w:szCs w:val="18"/>
          <w:color w:val="auto"/>
        </w:rPr>
        <w:t>discussing the annual audited financial statements and unaudited quarterly financial statements with management and the independent registered public accounting firm;</w:t>
      </w:r>
    </w:p>
    <w:p>
      <w:pPr>
        <w:spacing w:after="0" w:line="30" w:lineRule="exact"/>
        <w:rPr>
          <w:rFonts w:ascii="Arial" w:cs="Arial" w:eastAsia="Arial" w:hAnsi="Arial"/>
          <w:sz w:val="21"/>
          <w:szCs w:val="21"/>
          <w:color w:val="auto"/>
        </w:rPr>
      </w:pPr>
    </w:p>
    <w:p>
      <w:pPr>
        <w:ind w:left="640" w:right="40" w:hanging="316"/>
        <w:spacing w:after="0" w:line="232" w:lineRule="auto"/>
        <w:tabs>
          <w:tab w:leader="none" w:pos="635" w:val="left"/>
        </w:tabs>
        <w:numPr>
          <w:ilvl w:val="0"/>
          <w:numId w:val="42"/>
        </w:numPr>
        <w:rPr>
          <w:rFonts w:ascii="Arial" w:cs="Arial" w:eastAsia="Arial" w:hAnsi="Arial"/>
          <w:sz w:val="21"/>
          <w:szCs w:val="21"/>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appointing or replacing the independent registered public accounting firm;</w:t>
      </w:r>
    </w:p>
    <w:p>
      <w:pPr>
        <w:spacing w:after="0" w:line="28" w:lineRule="exact"/>
        <w:rPr>
          <w:rFonts w:ascii="Arial" w:cs="Arial" w:eastAsia="Arial" w:hAnsi="Arial"/>
          <w:sz w:val="21"/>
          <w:szCs w:val="21"/>
          <w:color w:val="auto"/>
        </w:rPr>
      </w:pPr>
    </w:p>
    <w:p>
      <w:pPr>
        <w:ind w:left="640" w:right="160" w:hanging="316"/>
        <w:spacing w:after="0" w:line="232" w:lineRule="auto"/>
        <w:tabs>
          <w:tab w:leader="none" w:pos="635" w:val="left"/>
        </w:tabs>
        <w:numPr>
          <w:ilvl w:val="0"/>
          <w:numId w:val="42"/>
        </w:numPr>
        <w:rPr>
          <w:rFonts w:ascii="Arial" w:cs="Arial" w:eastAsia="Arial" w:hAnsi="Arial"/>
          <w:sz w:val="21"/>
          <w:szCs w:val="21"/>
          <w:color w:val="auto"/>
        </w:rPr>
      </w:pPr>
      <w:r>
        <w:rPr>
          <w:rFonts w:ascii="Arial" w:cs="Arial" w:eastAsia="Arial" w:hAnsi="Arial"/>
          <w:sz w:val="18"/>
          <w:szCs w:val="18"/>
          <w:color w:val="auto"/>
        </w:rPr>
        <w:t>establishing procedures for the receipt, retention and treatment of complaints (including anonymous complaints) we receive concerning accounting, internal accounting controls, auditing matters or potential violations of law;</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monitoring our environmental sustainability and governance practices;</w:t>
      </w:r>
    </w:p>
    <w:p>
      <w:pPr>
        <w:spacing w:after="0" w:line="28" w:lineRule="exact"/>
        <w:rPr>
          <w:rFonts w:ascii="Arial" w:cs="Arial" w:eastAsia="Arial" w:hAnsi="Arial"/>
          <w:sz w:val="21"/>
          <w:szCs w:val="21"/>
          <w:color w:val="auto"/>
        </w:rPr>
      </w:pPr>
    </w:p>
    <w:p>
      <w:pPr>
        <w:ind w:left="640" w:right="320" w:hanging="316"/>
        <w:spacing w:after="0" w:line="232" w:lineRule="auto"/>
        <w:tabs>
          <w:tab w:leader="none" w:pos="635" w:val="left"/>
        </w:tabs>
        <w:numPr>
          <w:ilvl w:val="0"/>
          <w:numId w:val="42"/>
        </w:numPr>
        <w:rPr>
          <w:rFonts w:ascii="Arial" w:cs="Arial" w:eastAsia="Arial" w:hAnsi="Arial"/>
          <w:sz w:val="21"/>
          <w:szCs w:val="21"/>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approving audit and non-audit services provided by our independent registered public accounting firm;</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discussing earnings press releases and financial information provided to analysts and rating agencies;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discussing with management our policies and practices with respect to risk assessment and risk management;</w:t>
      </w:r>
    </w:p>
    <w:p>
      <w:pPr>
        <w:spacing w:after="0" w:line="28" w:lineRule="exact"/>
        <w:rPr>
          <w:rFonts w:ascii="Arial" w:cs="Arial" w:eastAsia="Arial" w:hAnsi="Arial"/>
          <w:sz w:val="21"/>
          <w:szCs w:val="21"/>
          <w:color w:val="auto"/>
        </w:rPr>
      </w:pPr>
    </w:p>
    <w:p>
      <w:pPr>
        <w:ind w:left="640" w:right="240" w:hanging="316"/>
        <w:spacing w:after="0" w:line="232" w:lineRule="auto"/>
        <w:tabs>
          <w:tab w:leader="none" w:pos="635" w:val="left"/>
        </w:tabs>
        <w:numPr>
          <w:ilvl w:val="0"/>
          <w:numId w:val="42"/>
        </w:numPr>
        <w:rPr>
          <w:rFonts w:ascii="Arial" w:cs="Arial" w:eastAsia="Arial" w:hAnsi="Arial"/>
          <w:sz w:val="21"/>
          <w:szCs w:val="21"/>
          <w:color w:val="auto"/>
        </w:rPr>
      </w:pPr>
      <w:r>
        <w:rPr>
          <w:rFonts w:ascii="Arial" w:cs="Arial" w:eastAsia="Arial" w:hAnsi="Arial"/>
          <w:sz w:val="18"/>
          <w:szCs w:val="18"/>
          <w:color w:val="auto"/>
        </w:rPr>
        <w:t>approving or ratifying related party transactions required to be disclosed pursuant to Item 404 of Regulation S-K, as may be amended from time to time, and any other applicable requirements; and</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Arial" w:cs="Arial" w:eastAsia="Arial" w:hAnsi="Arial"/>
          <w:sz w:val="18"/>
          <w:szCs w:val="18"/>
          <w:color w:val="auto"/>
        </w:rPr>
        <w:t>producing an annual report for inclusion in our proxy statement, in accordance with applicable rules and regulations.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approves, or recommends to our board of directors, policies relating to compensation and benefits of our officers and employees. The compensation committee consists of Doug Schillinger, Desiree Gruber and Brian Miller. Doug Schillinger serves as the chair of the compensation committee.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Board has determined that Doug Schillinger, Desiree Gruber and Brian Miller are independent under the applicable rules and regulations of Nasdaq and all current members qualify as a “non-employee director” as defined in Rule 16b-3 promulgated under the Exchange Act. Our Board has determined that each of the members of our compensation committee is an “outside director” as that term is defined in Section 162(m) of the U.S. Internal Revenue Code of 1986, as amended, or Section 162(m). We are currently in compliance with Nasdaq rules due to the fact that all members of our compensation committee have been deemed independent by our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principle functions of the compensation committee include:</w:t>
      </w:r>
    </w:p>
    <w:p>
      <w:pPr>
        <w:spacing w:after="0" w:line="244" w:lineRule="exact"/>
        <w:rPr>
          <w:sz w:val="20"/>
          <w:szCs w:val="20"/>
          <w:color w:val="auto"/>
        </w:rPr>
      </w:pPr>
    </w:p>
    <w:p>
      <w:pPr>
        <w:ind w:left="640" w:hanging="316"/>
        <w:spacing w:after="0" w:line="294"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our executive officers, evaluating the performance of our executive officers in light of those goals and objectives, and setting compensation levels based on this evaluation;</w:t>
      </w: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640" w:hanging="316"/>
        <w:spacing w:after="0" w:line="252"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setting salaries and approving incentive compensation and equity awards, as well as compensation policies, for all other officers who file reports of their ownership, and changes in ownership, of the Section 16 Officers, as designated by our board of directors;</w:t>
      </w: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making recommendations to the board with respect to incentive compensation programs and equity-based plans that are subject to board approval;</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approving any employment or severance agreements with our Section 16 Officers;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granting any awards under equity compensation plans and annual bonus plans to our Section 16 Officers;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producing an annual report on executive compensation for inclusion in our proxy statement, in accordance with applicable rules and regulations.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and corporate governance committee identifies and recommends individuals qualified to serve as directors of the Company and on committees of the Board. The nominating and corporate governance committee consists of Michelle Kerrick, Michael D. Capellas, Dr. Julius Few and Brian Miller. Michael D. Capellas serves as its chairman.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Board has determined that Michelle Kerrick, Michael D. Capellas, Dr. Julius Few and Brian Miller are independent under the applicable rules and regulations of Nasdaq relating to nominating and corporate governance committee independence. We are currently in compliance with Nasdaq rules due to the fact that all members of our nominating and corporate governance committee have been deemed independent by our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functions of the nominating and corporate governance committee include:</w:t>
      </w:r>
    </w:p>
    <w:p>
      <w:pPr>
        <w:spacing w:after="0" w:line="244"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individuals qualified to serve as directors of the Company and on committees of the Board;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recommending to the Board the director nominees for election at the next annual meeting of shareholders;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advising the Board with respect to the composition of Board, procedures and committees;</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guidelines applicable to the Company and to oversee the evaluation of the Board and the Company’s management.</w:t>
      </w: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nominating and corporate governance committee has a written charter that sets forth the committee’s purpose and responsibilities, which, in addition to the items listed above, include:</w:t>
      </w:r>
    </w:p>
    <w:p>
      <w:pPr>
        <w:spacing w:after="0" w:line="207" w:lineRule="exact"/>
        <w:rPr>
          <w:sz w:val="20"/>
          <w:szCs w:val="20"/>
          <w:color w:val="auto"/>
        </w:rPr>
      </w:pPr>
    </w:p>
    <w:p>
      <w:pPr>
        <w:ind w:left="640" w:right="20" w:hanging="316"/>
        <w:spacing w:after="0" w:line="252"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and, if appropriate, interviewing candidates to fill positions on the Company’s board of directors, including persons suggested by shareholders or others;</w:t>
      </w: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the background and qualifications of individuals being considered as director candidates;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recommending to the Company’s board of directors the director nominees for election by the Company’s shareholders or appointment by the Company’s board of directors;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the suitability for continued service as a director of each member of the board of directors when his or her term expires and in certain other circumstances;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annually with the Company’s board of directors the composition of the Company’s board of directors as a whole and to recommend, if necessary, measures to be taken so that the Company’s board of directors reflect the appropriate balance of knowledge, experience, skills, expertise and diversity required for the Company’s board of directors as a whole and contains at least the minimum number of independent directors required by Nasdaq;</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monitoring the functioning of the committees of the Company’s board of directors and to make recommendations for any changes;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annually committee size, membership and composition, including chairpersonships, and recommended any changes to the Company’s board of directors for approval;</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developing and recommending to the Company’s board of directors a set of corporate governance guidelines for the Company;</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periodically, and at least annually, the corporate governance guidelines adopted by the Company’s board of directors to assure that they are appropriate for the Company;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evaluating its performance and submitting any recommended changes to the board for its consideration.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has the authority to retain advisors as the committee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Nasdaq listing standards require that a majority of the board of directors be independent. An “independent director” is defined generally as a person other than an officer or employee of the company or its subsidiaries or any other individual having a relationship which, in the opinion of the board of directors, would interfere with the director’s exercise of independent judgment in carrying out the responsibilities of a director. The definition also includes a series of objective tests, including that the director is not, and has not been for at least three years, one of our employees and that neither the director nor any of his or her family members has engaged in various types of business dealings with us. To help determine whether a director is independent, our Board reviewed and discussed information provided by the directors and us with regard to each director’s business and personal activities and relationships as they may relate to us and our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Our Board has determined that each of the following directors satisfies our independence standards, Nasdaq’s listing standards, and applicable SEC rules: Mr.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Michael Capellas, Dr. Julius Few, Ms. Desiree Gruber, Ms. Michelle Kerrick, Mr. Brian Miller, and Mr. Doug Schillinger.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Reports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on a timely basis. These persons are required to furnish us with copies of all Forms 3, 4 and 5 they file.</w:t>
      </w:r>
    </w:p>
    <w:p>
      <w:pPr>
        <w:spacing w:after="0" w:line="21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Based solely on our review of the copies of such forms we have received and written representations from certain reporting persons that they filed all required reports, we believe that during the fiscal year ended December 31, 2021, all of our executive officers, directors and greater than 10% stockholders complied on a timely basis with all Section 16(a) filing requirements applicable to them with respect to transactions during 2021 except for Brent Saunders, who filed one</w:t>
      </w:r>
    </w:p>
    <w:p>
      <w:pPr>
        <w:spacing w:after="0" w:line="1" w:lineRule="exact"/>
        <w:rPr>
          <w:sz w:val="20"/>
          <w:szCs w:val="20"/>
          <w:color w:val="auto"/>
        </w:rPr>
      </w:pPr>
    </w:p>
    <w:p>
      <w:pPr>
        <w:ind w:firstLine="6"/>
        <w:spacing w:after="0" w:line="251"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late Form 4 with respect to reporting the grant of a warrant (right to buy common stock). There were no known failures to file a required Section 16(a) filing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this Compensation Discussion and Analysis (“CD&amp;A”), we provide an overview and analysis of the compensation awarded to or earned by our named executive officers identified in the Summary Compensation Table below (each, an “NEO”) during fiscal 2021, including the elements of our compensation program for NEOs, material compensation decisions made under that program for fiscal 2021 and the material factors considered in making those decisions. Our NEOs for the year ended December 31, 2021, which consist of our principal executive officer (now our former principal executive officer), our principal financial officer and our three most other highly compensated executive officers for fiscal year 2021, are:</w:t>
      </w:r>
    </w:p>
    <w:p>
      <w:pPr>
        <w:spacing w:after="0" w:line="207"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Clinton Carnell, former Chief Executive Officer;</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Liyuan Woo, Chief Financial Officer;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Indra Pamamull, President of APAC;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Stephan Becker, President of EMEA;</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Daniel Watson, EVP, Sales America.</w:t>
      </w:r>
    </w:p>
    <w:p>
      <w:pPr>
        <w:spacing w:after="0" w:line="219"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Ms. Pamamull and Mr. Becker commenced employment with us on August 9, 2021 and October 1, 2021, respectively. Mr. Carnell served as our Chief Executive Officer during our full fiscal year 2021, and his employment with us terminated on December 31,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Performance Highlights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compensation programs are designed to deliver pay in accordance with corporate and individual performance, rewarding superior performance and providing consequences for underperformance. We believe that the compensation of our NEOs for fiscal year 2021 was aligned with the Company’s performance during 2021. Highlights of that performance include:</w:t>
      </w:r>
    </w:p>
    <w:p>
      <w:pPr>
        <w:spacing w:after="0" w:line="215"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Delivered net sales of $260.1 million compared to $119.1 million in 2020.</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adjusted gross margin to 74.0% compared to 65.5% in 2020.</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EBITDA increased to $32.7 million from $7.7 million in 2020.</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Closed convertible senior notes offering, generating net proceeds of $638.7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Announced 100% of the Company’s warrants were exercised or redeemed, generating cash proceeds of $185.4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entered new countries via the acquisition of four distributors.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2021 Compensation Highlights. </w:t>
      </w:r>
      <w:r>
        <w:rPr>
          <w:rFonts w:ascii="Arial" w:cs="Arial" w:eastAsia="Arial" w:hAnsi="Arial"/>
          <w:sz w:val="18"/>
          <w:szCs w:val="18"/>
          <w:color w:val="auto"/>
        </w:rPr>
        <w:t>Consistent with our compensation philosophy, key compensation decisions for 2021 included the following:</w:t>
      </w:r>
    </w:p>
    <w:p>
      <w:pPr>
        <w:spacing w:after="0" w:line="244" w:lineRule="exact"/>
        <w:rPr>
          <w:sz w:val="20"/>
          <w:szCs w:val="20"/>
          <w:color w:val="auto"/>
        </w:rPr>
      </w:pPr>
    </w:p>
    <w:p>
      <w:pPr>
        <w:ind w:left="640" w:right="40" w:hanging="316"/>
        <w:spacing w:after="0" w:line="236"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Base Salaries and Target Annual Cash Incentive Opportunities</w:t>
      </w:r>
      <w:r>
        <w:rPr>
          <w:rFonts w:ascii="Arial" w:cs="Arial" w:eastAsia="Arial" w:hAnsi="Arial"/>
          <w:sz w:val="18"/>
          <w:szCs w:val="18"/>
          <w:color w:val="auto"/>
        </w:rPr>
        <w:t>. The 2021 base salaries and target bonuses for our NEOs remained level or were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 order to position base salaries at median and target bonuses from median to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based on the market analysis of our independent compensation consultant, as described further below. We believe that providing base salaries and target bonuses at this level allows us to attract and retain superior talent in a competitive market.</w:t>
      </w:r>
    </w:p>
    <w:p>
      <w:pPr>
        <w:spacing w:after="0" w:line="227" w:lineRule="exact"/>
        <w:rPr>
          <w:rFonts w:ascii="Arial" w:cs="Arial" w:eastAsia="Arial" w:hAnsi="Arial"/>
          <w:sz w:val="18"/>
          <w:szCs w:val="18"/>
          <w:color w:val="auto"/>
        </w:rPr>
      </w:pPr>
    </w:p>
    <w:p>
      <w:pPr>
        <w:ind w:left="640" w:right="40" w:hanging="316"/>
        <w:spacing w:after="0" w:line="268"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Annual Cash Incentives</w:t>
      </w:r>
      <w:r>
        <w:rPr>
          <w:rFonts w:ascii="Arial" w:cs="Arial" w:eastAsia="Arial" w:hAnsi="Arial"/>
          <w:sz w:val="17"/>
          <w:szCs w:val="17"/>
          <w:color w:val="auto"/>
        </w:rPr>
        <w:t>. For 2021, our compensation committee (the “Compensation Committee”) selected performance goals for our performance-based annual bonus program that were intended promote our business plan and short-term goals, including with respect to revenue and adjusted EBITDA. In light of our achievement of each of the performance goals, the Compensation Committee determined to pay out annual bonuses at 200% of target for each of our NEOs (other than Mr. Carnell, whose 2021 performance bonus was paid at target as part of the severance benefits he received in connection with his termination of employment with us on December 31, 2021).</w:t>
      </w:r>
    </w:p>
    <w:p>
      <w:pPr>
        <w:spacing w:after="0" w:line="207" w:lineRule="exact"/>
        <w:rPr>
          <w:rFonts w:ascii="Arial" w:cs="Arial" w:eastAsia="Arial" w:hAnsi="Arial"/>
          <w:sz w:val="17"/>
          <w:szCs w:val="17"/>
          <w:color w:val="auto"/>
        </w:rPr>
      </w:pPr>
    </w:p>
    <w:p>
      <w:pPr>
        <w:ind w:left="640" w:right="60" w:hanging="316"/>
        <w:spacing w:after="0" w:line="250"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Equity-Based Long-Term Incentives</w:t>
      </w:r>
      <w:r>
        <w:rPr>
          <w:rFonts w:ascii="Arial" w:cs="Arial" w:eastAsia="Arial" w:hAnsi="Arial"/>
          <w:sz w:val="18"/>
          <w:szCs w:val="18"/>
          <w:color w:val="auto"/>
        </w:rPr>
        <w:t>. In 2021, we granted approximately 90% of our NEOs’ target direct compensation as equity-based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stock options and PSUs. We believe that stock options and PSUs effectively align the interests of our executives with those of our stockholders by directly linking compensation to the value of our common stock. Stock options require an increase in stockholder value in order for our NEOs to realize any value, and PSUs provide additional retentive value while also aligning the interests of our NEOs with those of our stockholders.</w:t>
      </w:r>
    </w:p>
    <w:p>
      <w:pPr>
        <w:spacing w:after="0" w:line="22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 xml:space="preserve">Compensation Governance and Best Practices. </w:t>
      </w:r>
      <w:r>
        <w:rPr>
          <w:rFonts w:ascii="Arial" w:cs="Arial" w:eastAsia="Arial" w:hAnsi="Arial"/>
          <w:sz w:val="18"/>
          <w:szCs w:val="18"/>
          <w:color w:val="auto"/>
        </w:rPr>
        <w:t>We are committed to having strong governance standards with respect to our compensation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and practices. Our key compensation practices include the following:</w:t>
      </w:r>
    </w:p>
    <w:p>
      <w:pPr>
        <w:sectPr>
          <w:pgSz w:w="11900" w:h="16838" w:orient="portrait"/>
          <w:cols w:equalWidth="0" w:num="1">
            <w:col w:w="11240"/>
          </w:cols>
          <w:pgMar w:left="320" w:top="140" w:right="339" w:bottom="1440" w:gutter="0" w:footer="0" w:header="0"/>
        </w:sect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We Do</w:t>
      </w:r>
    </w:p>
    <w:p>
      <w:pPr>
        <w:spacing w:after="0" w:line="51" w:lineRule="exact"/>
        <w:rPr>
          <w:sz w:val="20"/>
          <w:szCs w:val="20"/>
          <w:color w:val="auto"/>
        </w:rPr>
      </w:pPr>
    </w:p>
    <w:p>
      <w:pPr>
        <w:ind w:left="480" w:right="420" w:hanging="456"/>
        <w:spacing w:after="0" w:line="237" w:lineRule="auto"/>
        <w:tabs>
          <w:tab w:leader="none" w:pos="48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Pay the vast majority of executive compensation in the form of incentive awards.</w:t>
      </w:r>
    </w:p>
    <w:p>
      <w:pPr>
        <w:spacing w:after="0" w:line="28" w:lineRule="exact"/>
        <w:rPr>
          <w:rFonts w:ascii="MS PGothic" w:cs="MS PGothic" w:eastAsia="MS PGothic" w:hAnsi="MS PGothic"/>
          <w:sz w:val="18"/>
          <w:szCs w:val="18"/>
          <w:color w:val="auto"/>
        </w:rPr>
      </w:pPr>
    </w:p>
    <w:p>
      <w:pPr>
        <w:ind w:left="480" w:right="320" w:hanging="456"/>
        <w:spacing w:after="0" w:line="244" w:lineRule="auto"/>
        <w:tabs>
          <w:tab w:leader="none" w:pos="48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Emphasize the use of equity compensation to promote executive retention and reward long-term value creation.</w:t>
      </w:r>
    </w:p>
    <w:p>
      <w:pPr>
        <w:spacing w:after="0" w:line="29" w:lineRule="exact"/>
        <w:rPr>
          <w:rFonts w:ascii="MS PGothic" w:cs="MS PGothic" w:eastAsia="MS PGothic" w:hAnsi="MS PGothic"/>
          <w:sz w:val="18"/>
          <w:szCs w:val="18"/>
          <w:color w:val="auto"/>
        </w:rPr>
      </w:pPr>
    </w:p>
    <w:p>
      <w:pPr>
        <w:jc w:val="both"/>
        <w:ind w:left="480" w:right="200" w:hanging="456"/>
        <w:spacing w:after="0" w:line="293" w:lineRule="auto"/>
        <w:tabs>
          <w:tab w:leader="none" w:pos="480" w:val="left"/>
        </w:tabs>
        <w:numPr>
          <w:ilvl w:val="0"/>
          <w:numId w:val="51"/>
        </w:numPr>
        <w:rPr>
          <w:rFonts w:ascii="MS PGothic" w:cs="MS PGothic" w:eastAsia="MS PGothic" w:hAnsi="MS PGothic"/>
          <w:sz w:val="15"/>
          <w:szCs w:val="15"/>
          <w:color w:val="auto"/>
        </w:rPr>
      </w:pPr>
      <w:r>
        <w:rPr>
          <w:rFonts w:ascii="Arial" w:cs="Arial" w:eastAsia="Arial" w:hAnsi="Arial"/>
          <w:sz w:val="15"/>
          <w:szCs w:val="15"/>
          <w:color w:val="auto"/>
        </w:rPr>
        <w:t>Take into consideration the compensation levels of an appropriate and relevant peer group of companies when setting compensation.</w:t>
      </w:r>
    </w:p>
    <w:p>
      <w:pPr>
        <w:spacing w:after="0" w:line="29" w:lineRule="exact"/>
        <w:rPr>
          <w:rFonts w:ascii="MS PGothic" w:cs="MS PGothic" w:eastAsia="MS PGothic" w:hAnsi="MS PGothic"/>
          <w:sz w:val="15"/>
          <w:szCs w:val="15"/>
          <w:color w:val="auto"/>
        </w:rPr>
      </w:pPr>
    </w:p>
    <w:p>
      <w:pPr>
        <w:ind w:left="480" w:hanging="456"/>
        <w:spacing w:after="0" w:line="249" w:lineRule="auto"/>
        <w:tabs>
          <w:tab w:leader="none" w:pos="48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Engage an independent compensation consultant to advise our Board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-1130935</wp:posOffset>
            </wp:positionV>
            <wp:extent cx="3449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49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44" w:lineRule="exact"/>
        <w:rPr>
          <w:sz w:val="20"/>
          <w:szCs w:val="20"/>
          <w:color w:val="auto"/>
        </w:rPr>
      </w:pPr>
    </w:p>
    <w:p>
      <w:pPr>
        <w:ind w:left="640" w:hanging="53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pay guaranteed bonuses.</w:t>
      </w:r>
    </w:p>
    <w:p>
      <w:pPr>
        <w:spacing w:after="0" w:line="217" w:lineRule="exact"/>
        <w:rPr>
          <w:rFonts w:ascii="Arial" w:cs="Arial" w:eastAsia="Arial" w:hAnsi="Arial"/>
          <w:sz w:val="18"/>
          <w:szCs w:val="18"/>
          <w:color w:val="auto"/>
        </w:rPr>
      </w:pPr>
    </w:p>
    <w:p>
      <w:pPr>
        <w:ind w:left="640" w:hanging="53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provide excessive perquisites.</w:t>
      </w:r>
    </w:p>
    <w:p>
      <w:pPr>
        <w:spacing w:after="0" w:line="243" w:lineRule="exact"/>
        <w:rPr>
          <w:rFonts w:ascii="Arial" w:cs="Arial" w:eastAsia="Arial" w:hAnsi="Arial"/>
          <w:sz w:val="18"/>
          <w:szCs w:val="18"/>
          <w:color w:val="auto"/>
        </w:rPr>
      </w:pPr>
    </w:p>
    <w:p>
      <w:pPr>
        <w:ind w:left="640" w:hanging="53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provide tax gross-ups.</w:t>
      </w:r>
    </w:p>
    <w:p>
      <w:pPr>
        <w:spacing w:after="0" w:line="243" w:lineRule="exact"/>
        <w:rPr>
          <w:rFonts w:ascii="Arial" w:cs="Arial" w:eastAsia="Arial" w:hAnsi="Arial"/>
          <w:sz w:val="18"/>
          <w:szCs w:val="18"/>
          <w:color w:val="auto"/>
        </w:rPr>
      </w:pPr>
    </w:p>
    <w:p>
      <w:pPr>
        <w:ind w:left="640" w:right="880" w:hanging="538"/>
        <w:spacing w:after="0" w:line="249"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reprice our underwater stock option awards without shareholder approval.</w:t>
      </w:r>
    </w:p>
    <w:p>
      <w:pPr>
        <w:spacing w:after="0" w:line="200" w:lineRule="exact"/>
        <w:rPr>
          <w:sz w:val="20"/>
          <w:szCs w:val="20"/>
          <w:color w:val="auto"/>
        </w:rPr>
      </w:pPr>
    </w:p>
    <w:p>
      <w:pPr>
        <w:sectPr>
          <w:pgSz w:w="11900" w:h="16838" w:orient="portrait"/>
          <w:cols w:equalWidth="0" w:num="2">
            <w:col w:w="5360" w:space="180"/>
            <w:col w:w="5700"/>
          </w:cols>
          <w:pgMar w:left="320" w:top="140"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 xml:space="preserve">Table of </w:t>
              </w:r>
            </w:hyperlink>
            <w:r>
              <w:rPr>
                <w:rFonts w:ascii="Arial" w:cs="Arial" w:eastAsia="Arial" w:hAnsi="Arial"/>
                <w:sz w:val="18"/>
                <w:szCs w:val="18"/>
                <w:color w:val="0000FF"/>
                <w:w w:val="87"/>
              </w:rPr>
              <w:t>Contents</w:t>
            </w:r>
          </w:p>
        </w:tc>
        <w:tc>
          <w:tcPr>
            <w:tcW w:w="4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2"/>
        </w:trPr>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w w:val="92"/>
              </w:rPr>
              <w:t>Require our NEOs to satisfy meaningful stock ownership guidelines</w:t>
            </w:r>
          </w:p>
        </w:tc>
        <w:tc>
          <w:tcPr>
            <w:tcW w:w="500" w:type="dxa"/>
            <w:vAlign w:val="bottom"/>
          </w:tcPr>
          <w:p>
            <w:pPr>
              <w:ind w:left="160"/>
              <w:spacing w:after="0"/>
              <w:rPr>
                <w:sz w:val="20"/>
                <w:szCs w:val="20"/>
                <w:color w:val="auto"/>
              </w:rPr>
            </w:pPr>
            <w:r>
              <w:rPr>
                <w:rFonts w:ascii="Arial" w:cs="Arial" w:eastAsia="Arial" w:hAnsi="Arial"/>
                <w:sz w:val="18"/>
                <w:szCs w:val="18"/>
                <w:color w:val="auto"/>
              </w:rPr>
              <w:t>X</w:t>
            </w:r>
          </w:p>
        </w:tc>
        <w:tc>
          <w:tcPr>
            <w:tcW w:w="4900" w:type="dxa"/>
            <w:vAlign w:val="bottom"/>
          </w:tcPr>
          <w:p>
            <w:pPr>
              <w:ind w:left="200"/>
              <w:spacing w:after="0"/>
              <w:rPr>
                <w:sz w:val="20"/>
                <w:szCs w:val="20"/>
                <w:color w:val="auto"/>
              </w:rPr>
            </w:pPr>
            <w:r>
              <w:rPr>
                <w:rFonts w:ascii="Arial" w:cs="Arial" w:eastAsia="Arial" w:hAnsi="Arial"/>
                <w:sz w:val="18"/>
                <w:szCs w:val="18"/>
                <w:color w:val="auto"/>
                <w:w w:val="89"/>
              </w:rPr>
              <w:t>Do not allow executives to participate in the determination of their</w:t>
            </w:r>
          </w:p>
        </w:tc>
        <w:tc>
          <w:tcPr>
            <w:tcW w:w="0" w:type="dxa"/>
            <w:vAlign w:val="bottom"/>
          </w:tcPr>
          <w:p>
            <w:pPr>
              <w:spacing w:after="0"/>
              <w:rPr>
                <w:sz w:val="1"/>
                <w:szCs w:val="1"/>
                <w:color w:val="auto"/>
              </w:rPr>
            </w:pPr>
          </w:p>
        </w:tc>
      </w:tr>
      <w:tr>
        <w:trPr>
          <w:trHeight w:val="250"/>
        </w:trPr>
        <w:tc>
          <w:tcPr>
            <w:tcW w:w="3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to strengthen the alignment with our shareholders’ interests.</w:t>
            </w:r>
          </w:p>
        </w:tc>
        <w:tc>
          <w:tcPr>
            <w:tcW w:w="500" w:type="dxa"/>
            <w:vAlign w:val="bottom"/>
          </w:tcPr>
          <w:p>
            <w:pPr>
              <w:spacing w:after="0"/>
              <w:rPr>
                <w:sz w:val="21"/>
                <w:szCs w:val="21"/>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own compensation</w:t>
            </w:r>
          </w:p>
        </w:tc>
        <w:tc>
          <w:tcPr>
            <w:tcW w:w="0" w:type="dxa"/>
            <w:vAlign w:val="bottom"/>
          </w:tcPr>
          <w:p>
            <w:pPr>
              <w:spacing w:after="0"/>
              <w:rPr>
                <w:sz w:val="1"/>
                <w:szCs w:val="1"/>
                <w:color w:val="auto"/>
              </w:rPr>
            </w:pPr>
          </w:p>
        </w:tc>
      </w:tr>
      <w:tr>
        <w:trPr>
          <w:trHeight w:val="201"/>
        </w:trPr>
        <w:tc>
          <w:tcPr>
            <w:tcW w:w="320" w:type="dxa"/>
            <w:vAlign w:val="bottom"/>
            <w:vMerge w:val="continue"/>
          </w:tcPr>
          <w:p>
            <w:pPr>
              <w:spacing w:after="0"/>
              <w:rPr>
                <w:sz w:val="17"/>
                <w:szCs w:val="17"/>
                <w:color w:val="auto"/>
              </w:rPr>
            </w:pPr>
          </w:p>
        </w:tc>
        <w:tc>
          <w:tcPr>
            <w:tcW w:w="51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Cap the maximum payout under our annual incentive awards and</w:t>
            </w:r>
          </w:p>
        </w:tc>
        <w:tc>
          <w:tcPr>
            <w:tcW w:w="500" w:type="dxa"/>
            <w:vAlign w:val="bottom"/>
          </w:tcPr>
          <w:p>
            <w:pPr>
              <w:ind w:left="160"/>
              <w:spacing w:after="0" w:line="201" w:lineRule="exact"/>
              <w:rPr>
                <w:sz w:val="20"/>
                <w:szCs w:val="20"/>
                <w:color w:val="auto"/>
              </w:rPr>
            </w:pPr>
            <w:r>
              <w:rPr>
                <w:rFonts w:ascii="Arial" w:cs="Arial" w:eastAsia="Arial" w:hAnsi="Arial"/>
                <w:sz w:val="18"/>
                <w:szCs w:val="18"/>
                <w:color w:val="auto"/>
              </w:rPr>
              <w:t>X</w:t>
            </w:r>
          </w:p>
        </w:tc>
        <w:tc>
          <w:tcPr>
            <w:tcW w:w="4900" w:type="dxa"/>
            <w:vAlign w:val="bottom"/>
          </w:tcPr>
          <w:p>
            <w:pPr>
              <w:ind w:left="200"/>
              <w:spacing w:after="0" w:line="201" w:lineRule="exact"/>
              <w:rPr>
                <w:sz w:val="20"/>
                <w:szCs w:val="20"/>
                <w:color w:val="auto"/>
              </w:rPr>
            </w:pPr>
            <w:r>
              <w:rPr>
                <w:rFonts w:ascii="Arial" w:cs="Arial" w:eastAsia="Arial" w:hAnsi="Arial"/>
                <w:sz w:val="18"/>
                <w:szCs w:val="18"/>
                <w:color w:val="auto"/>
              </w:rPr>
              <w:t>Do not allow for pledging of our common stock or</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maximum vesting percentage of our PSUs</w:t>
            </w:r>
          </w:p>
        </w:tc>
        <w:tc>
          <w:tcPr>
            <w:tcW w:w="500" w:type="dxa"/>
            <w:vAlign w:val="bottom"/>
          </w:tcPr>
          <w:p>
            <w:pPr>
              <w:spacing w:after="0"/>
              <w:rPr>
                <w:sz w:val="21"/>
                <w:szCs w:val="21"/>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for employees to hedge or sell short our common stock.</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Advisory Vote on Executive Compensation</w:t>
      </w:r>
    </w:p>
    <w:p>
      <w:pPr>
        <w:spacing w:after="0" w:line="23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We expect to hold our first non-binding, advisory vote to approve the compensation of our NEOs at our next annual stockholder meeting anticipated to be held in June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Objectives and Philosophy</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key objective in our executive compensation program is to attract, motivate, and reward leaders who create an inclusive and diverse environment and have the skills and experience necessary to successfully execute on our strategic plan to maximize stockholder value. Our executive compensation program is designed to:</w:t>
      </w:r>
    </w:p>
    <w:p>
      <w:pPr>
        <w:spacing w:after="0" w:line="221"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Reward achievement of both operating performance and strategic objectives;</w:t>
      </w:r>
    </w:p>
    <w:p>
      <w:pPr>
        <w:spacing w:after="0" w:line="16" w:lineRule="exact"/>
        <w:rPr>
          <w:rFonts w:ascii="Arial" w:cs="Arial" w:eastAsia="Arial" w:hAnsi="Arial"/>
          <w:sz w:val="18"/>
          <w:szCs w:val="18"/>
          <w:color w:val="auto"/>
        </w:rPr>
      </w:pPr>
    </w:p>
    <w:p>
      <w:pPr>
        <w:ind w:left="640" w:right="3060" w:hanging="316"/>
        <w:spacing w:after="0" w:line="260"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Align the interests of our management and our investors by varying compensation based on short term and long term business results and delivering a large portion of total pay tied to our stock;</w:t>
      </w:r>
    </w:p>
    <w:p>
      <w:pPr>
        <w:ind w:left="640" w:right="3200" w:hanging="316"/>
        <w:spacing w:after="0" w:line="294" w:lineRule="auto"/>
        <w:tabs>
          <w:tab w:leader="none" w:pos="635" w:val="left"/>
        </w:tabs>
        <w:numPr>
          <w:ilvl w:val="0"/>
          <w:numId w:val="53"/>
        </w:numPr>
        <w:rPr>
          <w:rFonts w:ascii="Arial" w:cs="Arial" w:eastAsia="Arial" w:hAnsi="Arial"/>
          <w:sz w:val="15"/>
          <w:szCs w:val="15"/>
          <w:color w:val="auto"/>
        </w:rPr>
      </w:pPr>
      <w:r>
        <w:rPr>
          <w:rFonts w:ascii="Arial" w:cs="Arial" w:eastAsia="Arial" w:hAnsi="Arial"/>
          <w:sz w:val="15"/>
          <w:szCs w:val="15"/>
          <w:color w:val="auto"/>
        </w:rPr>
        <w:t>Differentiate rewards based on performance against business objectives to drive a pay for performance culture, with a major portion of executive pay based on achievement of financial performance goals; and</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attract the very best talent necessary for our continued success, we strive to</w:t>
      </w:r>
    </w:p>
    <w:p>
      <w:pPr>
        <w:spacing w:after="0" w:line="5" w:lineRule="exact"/>
        <w:rPr>
          <w:rFonts w:ascii="Arial" w:cs="Arial" w:eastAsia="Arial" w:hAnsi="Arial"/>
          <w:sz w:val="18"/>
          <w:szCs w:val="18"/>
          <w:color w:val="auto"/>
        </w:rPr>
      </w:pPr>
    </w:p>
    <w:p>
      <w:pPr>
        <w:ind w:left="640" w:right="2800"/>
        <w:spacing w:after="0" w:line="271" w:lineRule="auto"/>
        <w:rPr>
          <w:rFonts w:ascii="Arial" w:cs="Arial" w:eastAsia="Arial" w:hAnsi="Arial"/>
          <w:sz w:val="18"/>
          <w:szCs w:val="18"/>
          <w:color w:val="auto"/>
        </w:rPr>
      </w:pPr>
      <w:r>
        <w:rPr>
          <w:rFonts w:ascii="Arial" w:cs="Arial" w:eastAsia="Arial" w:hAnsi="Arial"/>
          <w:sz w:val="18"/>
          <w:szCs w:val="18"/>
          <w:color w:val="auto"/>
        </w:rPr>
        <w:t>pay base pay at the market median and variable short-and long-term compensation ranging from median to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p>
      <w:pPr>
        <w:spacing w:after="0" w:line="13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w:t>
      </w:r>
      <w:r>
        <w:rPr>
          <w:rFonts w:ascii="Arial" w:cs="Arial" w:eastAsia="Arial" w:hAnsi="Arial"/>
          <w:sz w:val="18"/>
          <w:szCs w:val="18"/>
          <w:i w:val="1"/>
          <w:iCs w:val="1"/>
          <w:color w:val="auto"/>
        </w:rPr>
        <w:t>Determination of Executive Compensation</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Executive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Board of Directors/Compensation Committee/Executive Officers</w:t>
      </w:r>
    </w:p>
    <w:p>
      <w:pPr>
        <w:spacing w:after="0" w:line="244"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color w:val="auto"/>
        </w:rPr>
        <w:t>The Compensation Committee is responsible for establishing and overseeing our executive compensation programs and annually reviews and determines the compensation to be provided to our NEOs, other than with respect to our CEO, whose compensation is determined by the board of directors (the “Board”).</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setting executive compensation, the Compensation Committee considers a number of factors, including the recommendations of our Chief Executive Officer (other than with respect to the Chief Executive Officer’s own compensation) and our human resources team, current and past total compensation, competitive market data and analysis provided by the Compensation Committee’s independent compensation consultant, Company performance and each executive’s impact on results, each executive’s relative scope of responsibility and potential, each executive’s individual performance and demonstrated leadership, and internal equity pay considerations. Our Chief Executive Officer’s recommendations are based on his evaluation of each other NEO’s individual performance and contributions, of which our Chief Executive Officer has direct knowledge. Our Board makes decisions regarding our Chief Executive Officer’s compensation, following recommendation from the Compensation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44"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In order to design a competitive executive compensation program that will continue to attract top executive talent and reflect our compensation philosophy, our Compensation Committee has retained FW Cook as an independent compensation consultant to provide executive compensation advisory services, help evaluate our compensation philosophy and objectives and provide guidance in administering our executive compensation program. The Compensation Committee has evaluated FW Cook’s independence pursuant to the requirements of Nasdaq and SEC rules and has determined that FW Cook does not have any conflicts of interest in advising the Compensation Committee. FW Cook did not provide any other services to the Company in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color w:val="auto"/>
        </w:rPr>
        <w:t>In consultation with FW Cook, in December 2020, our Compensation Committee selected our peer group for 2021 as follows, focusing on market capitalization, revenues, industry, and growth-oriented publicly-traded companies: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Anika Therapeutics</w:t>
            </w:r>
          </w:p>
        </w:tc>
        <w:tc>
          <w:tcPr>
            <w:tcW w:w="28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AtriCure</w:t>
            </w:r>
          </w:p>
        </w:tc>
        <w:tc>
          <w:tcPr>
            <w:tcW w:w="28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BioTelemetry</w:t>
            </w:r>
          </w:p>
        </w:tc>
        <w:tc>
          <w:tcPr>
            <w:tcW w:w="28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Cardiovascular Systems</w:t>
            </w:r>
          </w:p>
        </w:tc>
      </w:tr>
      <w:tr>
        <w:trPr>
          <w:trHeight w:val="231"/>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Cerus Corporation</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CryoLife</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Cryoport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Cutera</w:t>
            </w:r>
          </w:p>
        </w:tc>
      </w:tr>
      <w:tr>
        <w:trPr>
          <w:trHeight w:val="28"/>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63"/>
        </w:trPr>
        <w:tc>
          <w:tcPr>
            <w:tcW w:w="28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e.l.f. Beauty</w:t>
            </w: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Inogen</w:t>
            </w:r>
          </w:p>
        </w:tc>
        <w:tc>
          <w:tcPr>
            <w:tcW w:w="2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iRhythm Technologies</w:t>
            </w: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Mesa Laboratories</w:t>
            </w:r>
          </w:p>
        </w:tc>
      </w:tr>
      <w:tr>
        <w:trPr>
          <w:trHeight w:val="231"/>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OraSureTechnologies</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Sientra</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STAAR Surgical</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Yeti Holdings</w:t>
            </w:r>
          </w:p>
        </w:tc>
      </w:tr>
      <w:tr>
        <w:trPr>
          <w:trHeight w:val="28"/>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In February 2021, FW Cook provided an analysis of data derived from (i) members of our peer group and (ii) the industry-specific survey, the constituent companies of which were not provided to the Compensation Committee. For 2021, the Compensation Committee used FW Cook’s analysis to help structure a competitive executive compensation program, position executive compensation by considering market data, and make individual compensation decisions based on comparable positions at companies with which we compete for talent. While the Compensation Committee does not establish compensation levels solely based on a review of competitive data or benchmark to any particular level, it believes such data is a useful tool in its deliberations as our compensation policies and practices must be competitive in the marketplace for us to be able to attract, motivate and retain qualified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NEOs’ compensation and the main objectives of each are:</w:t>
      </w:r>
    </w:p>
    <w:p>
      <w:pPr>
        <w:spacing w:after="0" w:line="244"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Base Salary</w:t>
      </w:r>
      <w:r>
        <w:rPr>
          <w:rFonts w:ascii="Arial" w:cs="Arial" w:eastAsia="Arial" w:hAnsi="Arial"/>
          <w:sz w:val="15"/>
          <w:szCs w:val="15"/>
          <w:color w:val="auto"/>
        </w:rPr>
        <w:t>. Base salary attracts and retains talented executives, recognizes individual roles and responsibilities, and provides stable income;</w:t>
      </w:r>
    </w:p>
    <w:p>
      <w:pPr>
        <w:spacing w:after="0" w:line="278" w:lineRule="exact"/>
        <w:rPr>
          <w:rFonts w:ascii="Arial" w:cs="Arial" w:eastAsia="Arial" w:hAnsi="Arial"/>
          <w:sz w:val="15"/>
          <w:szCs w:val="15"/>
          <w:color w:val="auto"/>
        </w:rPr>
      </w:pPr>
    </w:p>
    <w:p>
      <w:pPr>
        <w:ind w:left="640" w:right="80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Annual Performance-Based Incentive Compensation</w:t>
      </w:r>
      <w:r>
        <w:rPr>
          <w:rFonts w:ascii="Arial" w:cs="Arial" w:eastAsia="Arial" w:hAnsi="Arial"/>
          <w:sz w:val="18"/>
          <w:szCs w:val="18"/>
          <w:color w:val="auto"/>
        </w:rPr>
        <w:t>. Annual performance bonuses promote short-term performance objectives and reward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for their contributions toward achieving those objectives;</w:t>
      </w:r>
    </w:p>
    <w:p>
      <w:pPr>
        <w:spacing w:after="0" w:line="207" w:lineRule="exact"/>
        <w:rPr>
          <w:rFonts w:ascii="Arial" w:cs="Arial" w:eastAsia="Arial" w:hAnsi="Arial"/>
          <w:sz w:val="18"/>
          <w:szCs w:val="18"/>
          <w:color w:val="auto"/>
        </w:rPr>
      </w:pPr>
    </w:p>
    <w:p>
      <w:pPr>
        <w:ind w:left="640" w:right="80" w:hanging="316"/>
        <w:spacing w:after="0" w:line="365" w:lineRule="auto"/>
        <w:tabs>
          <w:tab w:leader="none" w:pos="635"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Equity Based Long-Term Incentive Compensation</w:t>
      </w:r>
      <w:r>
        <w:rPr>
          <w:rFonts w:ascii="Arial" w:cs="Arial" w:eastAsia="Arial" w:hAnsi="Arial"/>
          <w:sz w:val="15"/>
          <w:szCs w:val="15"/>
          <w:color w:val="auto"/>
        </w:rPr>
        <w:t>. Equity compensation, provided in the form of stock options and PSUs, aligns executives’ interests</w:t>
      </w:r>
      <w:r>
        <w:rPr>
          <w:rFonts w:ascii="Arial" w:cs="Arial" w:eastAsia="Arial" w:hAnsi="Arial"/>
          <w:sz w:val="15"/>
          <w:szCs w:val="15"/>
          <w:i w:val="1"/>
          <w:iCs w:val="1"/>
          <w:color w:val="auto"/>
        </w:rPr>
        <w:t xml:space="preserve"> </w:t>
      </w:r>
      <w:r>
        <w:rPr>
          <w:rFonts w:ascii="Arial" w:cs="Arial" w:eastAsia="Arial" w:hAnsi="Arial"/>
          <w:sz w:val="15"/>
          <w:szCs w:val="15"/>
          <w:color w:val="auto"/>
        </w:rPr>
        <w:t>with our stockholders’ interests, emphasizes long-term financial and operational performance, and helps retain key executive talent.</w:t>
      </w:r>
    </w:p>
    <w:p>
      <w:pPr>
        <w:spacing w:after="0" w:line="138" w:lineRule="exact"/>
        <w:rPr>
          <w:sz w:val="20"/>
          <w:szCs w:val="20"/>
          <w:color w:val="auto"/>
        </w:rPr>
      </w:pPr>
    </w:p>
    <w:p>
      <w:pPr>
        <w:ind w:right="300"/>
        <w:spacing w:after="0" w:line="330" w:lineRule="auto"/>
        <w:rPr>
          <w:sz w:val="20"/>
          <w:szCs w:val="20"/>
          <w:color w:val="auto"/>
        </w:rPr>
      </w:pPr>
      <w:r>
        <w:rPr>
          <w:rFonts w:ascii="Arial" w:cs="Arial" w:eastAsia="Arial" w:hAnsi="Arial"/>
          <w:sz w:val="15"/>
          <w:szCs w:val="15"/>
          <w:color w:val="auto"/>
        </w:rPr>
        <w:t>In addition, our NEOs are eligible to participate in our health and welfare programs and our 401(k) plan on the same basis as our other employees. We also maintain severance and change in control arrangements, which aid in attracting and retaining executive talent and help executives to remain focused and dedicated during potential transition periods due to a change in control. Each of these elements of compensation for 2021 is described further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4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base salaries of our named executive officers are an important part of their total compensation packages, and are intended to reflect their respective positions, duties and responsibilities. Base salary is a visible and stable fixed component of our compensation program and provides our NEOs with a reasonable degree of financial certainty and stability. Our Compensation Committee, and with respect to our Chief Executive Officer, the Board, annually reviews and determines the base salaries of our executives and evaluates the base salaries of new hires at the time of hire. Following such determinations, our NEOs’ base salaries for 2021 were as set forth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19"/>
                <w:szCs w:val="19"/>
                <w:color w:val="auto"/>
              </w:rPr>
            </w:pPr>
          </w:p>
        </w:tc>
        <w:tc>
          <w:tcPr>
            <w:tcW w:w="6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Annualized Base Salary ($)</w:t>
            </w:r>
          </w:p>
        </w:tc>
      </w:tr>
      <w:tr>
        <w:trPr>
          <w:trHeight w:val="239"/>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Clinton Carnell</w:t>
            </w:r>
          </w:p>
        </w:tc>
        <w:tc>
          <w:tcPr>
            <w:tcW w:w="6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675,000</w:t>
            </w:r>
          </w:p>
        </w:tc>
      </w:tr>
      <w:tr>
        <w:trPr>
          <w:trHeight w:val="238"/>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Liyuan Woo</w:t>
            </w:r>
          </w:p>
        </w:tc>
        <w:tc>
          <w:tcPr>
            <w:tcW w:w="6420" w:type="dxa"/>
            <w:vAlign w:val="bottom"/>
          </w:tcPr>
          <w:p>
            <w:pPr>
              <w:jc w:val="center"/>
              <w:spacing w:after="0"/>
              <w:rPr>
                <w:sz w:val="20"/>
                <w:szCs w:val="20"/>
                <w:color w:val="auto"/>
              </w:rPr>
            </w:pPr>
            <w:r>
              <w:rPr>
                <w:rFonts w:ascii="Arial" w:cs="Arial" w:eastAsia="Arial" w:hAnsi="Arial"/>
                <w:sz w:val="18"/>
                <w:szCs w:val="18"/>
                <w:color w:val="auto"/>
                <w:w w:val="89"/>
              </w:rPr>
              <w:t>415,000</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Indra Pamamull (1)</w:t>
            </w:r>
          </w:p>
        </w:tc>
        <w:tc>
          <w:tcPr>
            <w:tcW w:w="6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399,265</w:t>
            </w:r>
          </w:p>
        </w:tc>
      </w:tr>
      <w:tr>
        <w:trPr>
          <w:trHeight w:val="238"/>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Stephan Becker (2)</w:t>
            </w:r>
          </w:p>
        </w:tc>
        <w:tc>
          <w:tcPr>
            <w:tcW w:w="6420" w:type="dxa"/>
            <w:vAlign w:val="bottom"/>
          </w:tcPr>
          <w:p>
            <w:pPr>
              <w:jc w:val="center"/>
              <w:spacing w:after="0"/>
              <w:rPr>
                <w:sz w:val="20"/>
                <w:szCs w:val="20"/>
                <w:color w:val="auto"/>
              </w:rPr>
            </w:pPr>
            <w:r>
              <w:rPr>
                <w:rFonts w:ascii="Arial" w:cs="Arial" w:eastAsia="Arial" w:hAnsi="Arial"/>
                <w:sz w:val="18"/>
                <w:szCs w:val="18"/>
                <w:color w:val="auto"/>
                <w:w w:val="89"/>
              </w:rPr>
              <w:t>351,044</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Watson</w:t>
            </w:r>
          </w:p>
        </w:tc>
        <w:tc>
          <w:tcPr>
            <w:tcW w:w="6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371,196</w:t>
            </w:r>
          </w:p>
        </w:tc>
      </w:tr>
      <w:tr>
        <w:trPr>
          <w:trHeight w:val="291"/>
        </w:trPr>
        <w:tc>
          <w:tcPr>
            <w:tcW w:w="4720" w:type="dxa"/>
            <w:vAlign w:val="bottom"/>
          </w:tcPr>
          <w:p>
            <w:pPr>
              <w:spacing w:after="0"/>
              <w:rPr>
                <w:sz w:val="20"/>
                <w:szCs w:val="20"/>
                <w:color w:val="auto"/>
              </w:rPr>
            </w:pPr>
            <w:r>
              <w:rPr>
                <w:rFonts w:ascii="Arial" w:cs="Arial" w:eastAsia="Arial" w:hAnsi="Arial"/>
                <w:sz w:val="18"/>
                <w:szCs w:val="18"/>
                <w:color w:val="auto"/>
              </w:rPr>
              <w:t>_______________</w:t>
            </w:r>
          </w:p>
        </w:tc>
        <w:tc>
          <w:tcPr>
            <w:tcW w:w="100" w:type="dxa"/>
            <w:vAlign w:val="bottom"/>
          </w:tcPr>
          <w:p>
            <w:pPr>
              <w:spacing w:after="0"/>
              <w:rPr>
                <w:sz w:val="24"/>
                <w:szCs w:val="24"/>
                <w:color w:val="auto"/>
              </w:rPr>
            </w:pPr>
          </w:p>
        </w:tc>
        <w:tc>
          <w:tcPr>
            <w:tcW w:w="6420" w:type="dxa"/>
            <w:vAlign w:val="bottom"/>
          </w:tcPr>
          <w:p>
            <w:pPr>
              <w:spacing w:after="0"/>
              <w:rPr>
                <w:sz w:val="24"/>
                <w:szCs w:val="24"/>
                <w:color w:val="auto"/>
              </w:rPr>
            </w:pPr>
          </w:p>
        </w:tc>
      </w:tr>
    </w:tbl>
    <w:p>
      <w:pPr>
        <w:ind w:left="360" w:hanging="354"/>
        <w:spacing w:after="0"/>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compensation was paid in SGD and was converted to USD using the exchange rate at December 31, 2021 of 0.73938</w:t>
      </w:r>
    </w:p>
    <w:p>
      <w:pPr>
        <w:spacing w:after="0" w:line="6" w:lineRule="exact"/>
        <w:rPr>
          <w:rFonts w:ascii="Arial" w:cs="Arial" w:eastAsia="Arial" w:hAnsi="Arial"/>
          <w:sz w:val="16"/>
          <w:szCs w:val="16"/>
          <w:color w:val="auto"/>
        </w:rPr>
      </w:pPr>
    </w:p>
    <w:p>
      <w:pPr>
        <w:ind w:left="360" w:hanging="354"/>
        <w:spacing w:after="0"/>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compensation was paid in EUR and was converted to USD using the exchange rate at December 31, 2021 of 1.1324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 Compensation</w:t>
      </w:r>
    </w:p>
    <w:p>
      <w:pPr>
        <w:spacing w:after="0" w:line="244"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color w:val="auto"/>
        </w:rPr>
        <w:t>Annual cash incentive bonuses are an important component of our total compensation program and provides incentives necessary to retain executive officers. Each NEO is eligible to receive an annual performance-based cash bonus based on a specified target annual bonus award amount, expressed as a percentage of</w:t>
      </w:r>
    </w:p>
    <w:p>
      <w:pPr>
        <w:spacing w:after="0" w:line="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named NEO’s base salary (with actual bonuses capped at 200% of the applicable NEO’s target bonus). In fiscal 2021, our NEOs target annual bonuses (expressed as a percentage of base salary)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19"/>
                <w:szCs w:val="19"/>
                <w:color w:val="auto"/>
              </w:rPr>
            </w:pPr>
          </w:p>
        </w:tc>
        <w:tc>
          <w:tcPr>
            <w:tcW w:w="642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Target Bonus (Percentage of Base Salary)</w:t>
            </w:r>
          </w:p>
        </w:tc>
      </w:tr>
      <w:tr>
        <w:trPr>
          <w:trHeight w:val="239"/>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Clinton Carnell</w:t>
            </w:r>
          </w:p>
        </w:tc>
        <w:tc>
          <w:tcPr>
            <w:tcW w:w="6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8"/>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Liyuan Woo</w:t>
            </w:r>
          </w:p>
        </w:tc>
        <w:tc>
          <w:tcPr>
            <w:tcW w:w="64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8"/>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Indra Pamamull</w:t>
            </w:r>
          </w:p>
        </w:tc>
        <w:tc>
          <w:tcPr>
            <w:tcW w:w="6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38"/>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Stephan Becker</w:t>
            </w:r>
          </w:p>
        </w:tc>
        <w:tc>
          <w:tcPr>
            <w:tcW w:w="64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8"/>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38"/>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Watson</w:t>
            </w: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8"/>
        </w:trPr>
        <w:tc>
          <w:tcPr>
            <w:tcW w:w="4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The performance goals applicable to our 2021 annual bonus program included revenue (weighted at 75%) and adjusted EBITDA (weighted at 25%), as set</w:t>
      </w:r>
    </w:p>
    <w:p>
      <w:pPr>
        <w:spacing w:after="0" w:line="79"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color w:val="auto"/>
        </w:rPr>
        <w:t>forth in the table below. Our Compensation Committee believes that using revenue as a performance metric drives our overall performance while ensuring our NEOs are aligned with our business strategy, and that using adjusted EBITDA as a performance metric focuses our NEOs on sustaining revenue growth that 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profitable. In order for any payouts to be made under our 2021 annual bonus program, adjusted EBITDA had to be attained at 85% or more of the target level.</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260" w:type="dxa"/>
            <w:vAlign w:val="bottom"/>
            <w:tcBorders>
              <w:top w:val="single" w:sz="8" w:color="auto"/>
              <w:left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Performance Metric</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Weighting</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224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Target</w:t>
            </w:r>
          </w:p>
        </w:tc>
        <w:tc>
          <w:tcPr>
            <w:tcW w:w="224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Maximum</w:t>
            </w:r>
          </w:p>
        </w:tc>
      </w:tr>
      <w:tr>
        <w:trPr>
          <w:trHeight w:val="28"/>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1"/>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$164.4M</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$193.4M</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$232.1M</w:t>
            </w:r>
          </w:p>
        </w:tc>
      </w:tr>
      <w:tr>
        <w:trPr>
          <w:trHeight w:val="28"/>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1"/>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Adjusted EBITDA</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$21.25M</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$25M</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$30M</w:t>
            </w:r>
          </w:p>
        </w:tc>
      </w:tr>
      <w:tr>
        <w:trPr>
          <w:trHeight w:val="28"/>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Based on our 2021 performance, our revenue and EBITDA performance metrics were attained at 134% ($260.1 million) and 130% ($32.7 million) of target level, respectively and, accordingly, such Company performance goals were determined to be attained at 200% after taking into account their respective weightings.</w:t>
      </w:r>
    </w:p>
    <w:p>
      <w:pPr>
        <w:spacing w:after="0" w:line="215"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Each NEO’s (other than Mr. Carnell’s, as discussed below) actual performance bonus was determined by multiplying 200% by such NEO’s target bonus, and the performance bonuses for Ms. Pamamull and Mr. Becker were pro-rated for 2021 based on their partial years of employment with us.</w:t>
      </w:r>
    </w:p>
    <w:p>
      <w:pPr>
        <w:spacing w:after="0" w:line="17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2021 performance bonuses earned by our NEOs are set forth in the column entitled “Non-Equity Incentive Plan Compensation” in the “2021 Summary Compensation Table” below. Pursuant to the terms of Mr. Carnell’s employment agreement with us, his 2021 performance bonus was paid at target as part of the severance benefits he received in connection with his termination of employment with us on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Long-Term Incentive Awards</w:t>
      </w:r>
    </w:p>
    <w:p>
      <w:pPr>
        <w:spacing w:after="0" w:line="24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w:t>
      </w:r>
    </w:p>
    <w:p>
      <w:pPr>
        <w:spacing w:after="0" w:line="215" w:lineRule="exact"/>
        <w:rPr>
          <w:sz w:val="20"/>
          <w:szCs w:val="20"/>
          <w:color w:val="auto"/>
        </w:rPr>
      </w:pPr>
    </w:p>
    <w:p>
      <w:pPr>
        <w:ind w:right="120"/>
        <w:spacing w:after="0" w:line="365" w:lineRule="auto"/>
        <w:rPr>
          <w:sz w:val="20"/>
          <w:szCs w:val="20"/>
          <w:color w:val="auto"/>
        </w:rPr>
      </w:pPr>
      <w:r>
        <w:rPr>
          <w:rFonts w:ascii="Arial" w:cs="Arial" w:eastAsia="Arial" w:hAnsi="Arial"/>
          <w:sz w:val="15"/>
          <w:szCs w:val="15"/>
          <w:color w:val="auto"/>
        </w:rPr>
        <w:t>Our Compensation Committee believes it is essential to provide equity-based compensation to our executive officers in order to link the interests and risks of our executive officers with those of our stockholders, reinforcing our commitment to ensuring a strong linkage between company performance and pay.</w:t>
      </w:r>
    </w:p>
    <w:p>
      <w:pPr>
        <w:spacing w:after="0" w:line="13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connection with the Business Combination, employees’ existing long-term incentives vested in full and no longer provided retentive value. To retain and motivate NEOs and employees for the next stage of the Company’s growth, the Compensation Committee approved one-time staking grants of stock options to certain employees. The one-time awards of stock options granted to our NEOs pursuant to the 2021 Plan vest over four years, with 25% of the shares vesting on each of the first four</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anniversaries of the respective Closing Date, subject to the NEO’s continued service with the Company through the applicable vesting date. The options granted expire on the 10th anniversary of their respective grant dates.</w:t>
      </w:r>
    </w:p>
    <w:p>
      <w:pPr>
        <w:spacing w:after="0" w:line="20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To drive the Company’s aggressive growth and performance strategy, the Compensation Committee deemed it crucial to motivate NEOs to achieve significant outperformance objectives. As a result, in addition to the one-time stock options staking awards, select NEOs received PSUs with performance-based vesting determined by achievement of stretch stock price goals. It was intended that this component would reward NEOs for exceptional performance and, similarly, no pay would be delivered for performance that failed to meet the objectives established by the Compensation Committee. The Compensation Committee believes this approach helps to align the compensation and objectives of the NEOs with the Company and its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2021, we made the following grants of stock options and PSUs to our NEOs: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Number of Shares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PSUs (at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PSUs (at</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Underlying Stock Options</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threshold/target)</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maximum)</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Clinton Carnell</w:t>
            </w:r>
          </w:p>
        </w:tc>
        <w:tc>
          <w:tcPr>
            <w:tcW w:w="2160" w:type="dxa"/>
            <w:vAlign w:val="bottom"/>
            <w:tcBorders>
              <w:bottom w:val="single" w:sz="8" w:color="CCEEFF"/>
            </w:tcBorders>
            <w:shd w:val="clear" w:color="auto" w:fill="CCEEFF"/>
          </w:tcPr>
          <w:p>
            <w:pPr>
              <w:jc w:val="right"/>
              <w:ind w:right="932"/>
              <w:spacing w:after="0"/>
              <w:rPr>
                <w:sz w:val="20"/>
                <w:szCs w:val="20"/>
                <w:color w:val="auto"/>
              </w:rPr>
            </w:pPr>
            <w:r>
              <w:rPr>
                <w:rFonts w:ascii="Arial" w:cs="Arial" w:eastAsia="Arial" w:hAnsi="Arial"/>
                <w:sz w:val="18"/>
                <w:szCs w:val="18"/>
                <w:color w:val="auto"/>
              </w:rPr>
              <w:t>3,100,000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375,000</w:t>
            </w:r>
          </w:p>
        </w:tc>
        <w:tc>
          <w:tcPr>
            <w:tcW w:w="0" w:type="dxa"/>
            <w:vAlign w:val="bottom"/>
          </w:tcPr>
          <w:p>
            <w:pPr>
              <w:spacing w:after="0"/>
              <w:rPr>
                <w:sz w:val="1"/>
                <w:szCs w:val="1"/>
                <w:color w:val="auto"/>
              </w:rPr>
            </w:pPr>
          </w:p>
        </w:tc>
      </w:tr>
      <w:tr>
        <w:trPr>
          <w:trHeight w:val="237"/>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Liyuan Woo</w:t>
            </w: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744,000</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125,000</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187,500</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Indra Pamamull</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372,000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187,500</w:t>
            </w:r>
          </w:p>
        </w:tc>
        <w:tc>
          <w:tcPr>
            <w:tcW w:w="0" w:type="dxa"/>
            <w:vAlign w:val="bottom"/>
          </w:tcPr>
          <w:p>
            <w:pPr>
              <w:spacing w:after="0"/>
              <w:rPr>
                <w:sz w:val="1"/>
                <w:szCs w:val="1"/>
                <w:color w:val="auto"/>
              </w:rPr>
            </w:pPr>
          </w:p>
        </w:tc>
      </w:tr>
      <w:tr>
        <w:trPr>
          <w:trHeight w:val="237"/>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Stephan Becker</w:t>
            </w: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372,000</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125,000</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187,500</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Watson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310,000</w:t>
            </w:r>
          </w:p>
        </w:tc>
        <w:tc>
          <w:tcPr>
            <w:tcW w:w="1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
        </w:trPr>
        <w:tc>
          <w:tcPr>
            <w:tcW w:w="5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grants were approved by the Compensation Committee and the Board following consideration of the factors set forth above under “</w:t>
      </w:r>
      <w:r>
        <w:rPr>
          <w:rFonts w:ascii="Arial" w:cs="Arial" w:eastAsia="Arial" w:hAnsi="Arial"/>
          <w:sz w:val="18"/>
          <w:szCs w:val="18"/>
          <w:i w:val="1"/>
          <w:iCs w:val="1"/>
          <w:color w:val="auto"/>
        </w:rPr>
        <w:t>Determination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PSUs awarded to our NEOs pursuant to the 2021 Plan may be earned over a four-year performance period based on each NEO’s continuation in service</w:t>
      </w:r>
    </w:p>
    <w:p>
      <w:pPr>
        <w:spacing w:after="0" w:line="7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through the end of the performance period and the attainment of pre-determined goals related to the Company’s stock price. The actual number of PSUs that will vest on the last day of performance period will be determined based on the greater of (i) the Company’s average stock price during the 90-day period ending on the third anniversary of the vesting commencement date and (ii) the Company’s average stock price during the 90-day period ending on the fourth anniversary of the vesting commencement date, as follows:</w:t>
      </w:r>
    </w:p>
    <w:p>
      <w:pPr>
        <w:spacing w:after="0" w:line="236" w:lineRule="exact"/>
        <w:rPr>
          <w:sz w:val="20"/>
          <w:szCs w:val="20"/>
          <w:color w:val="auto"/>
        </w:rPr>
      </w:pPr>
    </w:p>
    <w:tbl>
      <w:tblPr>
        <w:tblLayout w:type="fixed"/>
        <w:tblInd w:w="1910" w:type="dxa"/>
        <w:tblCellMar>
          <w:top w:w="0" w:type="dxa"/>
          <w:left w:w="0" w:type="dxa"/>
          <w:bottom w:w="0" w:type="dxa"/>
          <w:right w:w="0" w:type="dxa"/>
        </w:tblCellMar>
      </w:tblPr>
      <w:tr>
        <w:trPr>
          <w:trHeight w:val="220"/>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Average Stock Price During the Applicable</w:t>
            </w:r>
          </w:p>
        </w:tc>
        <w:tc>
          <w:tcPr>
            <w:tcW w:w="372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Vesting Percentage (% of Maximum)</w:t>
            </w:r>
          </w:p>
        </w:tc>
      </w:tr>
      <w:tr>
        <w:trPr>
          <w:trHeight w:val="23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 Period</w:t>
            </w:r>
          </w:p>
        </w:tc>
        <w:tc>
          <w:tcPr>
            <w:tcW w:w="3720" w:type="dxa"/>
            <w:vAlign w:val="bottom"/>
            <w:tcBorders>
              <w:bottom w:val="single" w:sz="8" w:color="auto"/>
              <w:right w:val="single" w:sz="8" w:color="auto"/>
            </w:tcBorders>
          </w:tcPr>
          <w:p>
            <w:pPr>
              <w:spacing w:after="0"/>
              <w:rPr>
                <w:sz w:val="20"/>
                <w:szCs w:val="20"/>
                <w:color w:val="auto"/>
              </w:rPr>
            </w:pPr>
          </w:p>
        </w:tc>
      </w:tr>
      <w:tr>
        <w:trPr>
          <w:trHeight w:val="245"/>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Less than $25.00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0%</w:t>
            </w:r>
          </w:p>
        </w:tc>
      </w:tr>
      <w:tr>
        <w:trPr>
          <w:trHeight w:val="245"/>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66.67%</w:t>
            </w:r>
          </w:p>
        </w:tc>
      </w:tr>
      <w:tr>
        <w:trPr>
          <w:trHeight w:val="245"/>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r>
      <w:tr>
        <w:trPr>
          <w:trHeight w:val="245"/>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$37.50 or greater</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30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Company’s average stock price falls between $25.00 and $30.00, or between $30.00 and $37.50, the vesting percentage used to determine the number of earned PSUs will be interpolated on a linear basis.</w:t>
      </w:r>
    </w:p>
    <w:p>
      <w:pPr>
        <w:spacing w:after="0" w:line="20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For a description of certain accelerated vesting provisions applicable to the stock options and PSUs granted to our NEOs during 2021, see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Other Benefits</w:t>
      </w:r>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NEOs are eligible to participate in a variety of retirement, health, insurance and welfare and paid time off benefits similar to, and on the same basis as, our other salaried employees.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a 401(k) retirement savings plan for our employees, including our NEOs, who satisfy certain eligibility requirements. Our NEOs are eligible to participate in the 401(k) plan on the same terms as other full-time employees. The Internal Revenue Code (the “Code”) allows eligible employees to defer a portion of their compensation, within prescribed limits, on a pre-tax basis through contributions to the 401(k) plan. Currently, we match contributions made by participants in</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the 401(k) plan up to a specified percentage of the employee contributions,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NEOs, in accordance with our compensation policies.</w:t>
      </w:r>
    </w:p>
    <w:p>
      <w:pPr>
        <w:spacing w:after="0" w:line="204"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In 2022, we started to maintain a Deferred Compensation Plan for certain employees and members of the Board. The Deferred Compensation Plan permits eligible participants to defer receipt of compensation pursuant to the terms of the plan. The Deferred Compensation Plan permits participants to contribute, on a pre-tax basis, up to (i) 5% - 75% of the participant’s base salary, (ii) 5% - 100% of the participant’s bonus/commissions, and (iii) 5% - 66% of the participant’s restricted stock units earned in the upcoming plan year. We may credit a participant’s account with Company contributions in our sole discretion. Plan participants may designate investments for deferrals in a variety of different deemed investment options. To preserve the tax-deferred status of deferred compensation plans, the IRS requires that the available investment alternatives be “deemed investments.” Participants do not have an ownership interest in the funds they select; the funds are only used to measure the gains or losses that are attributed to the participant’s deferral account over time.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benefits described above are necessary and appropriate to provide a competitive compensation package to our named executive officers.</w:t>
      </w:r>
    </w:p>
    <w:p>
      <w:pPr>
        <w:spacing w:after="0" w:line="278"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We do not provide excessive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for recruitment, motivation, or retention purposes. All future practices with respect to perquisites or other personal benefits will be approved by the Compensation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do not generally provide any tax “gross ups” to our named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1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are party to employment agreements or an employment offer letter with each of our NEOs which provide for severance benefits and payments upon certain terminations without cause or resignations for good reason. Our Compensation Committee believes that these types of arrangements are necessary to attract and retain executive talent and are a customary component of executive compensation. In particular,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 31, 2021, are set forth in “</w:t>
      </w:r>
      <w:r>
        <w:rPr>
          <w:rFonts w:ascii="Arial" w:cs="Arial" w:eastAsia="Arial" w:hAnsi="Arial"/>
          <w:sz w:val="15"/>
          <w:szCs w:val="15"/>
          <w:i w:val="1"/>
          <w:iCs w:val="1"/>
          <w:color w:val="auto"/>
        </w:rPr>
        <w:t>Potential Payments Upon Termination or Change in Control</w:t>
      </w:r>
      <w:r>
        <w:rPr>
          <w:rFonts w:ascii="Arial" w:cs="Arial" w:eastAsia="Arial" w:hAnsi="Arial"/>
          <w:sz w:val="15"/>
          <w:szCs w:val="15"/>
          <w:color w:val="auto"/>
        </w:rPr>
        <w:t>”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289" w:lineRule="exact"/>
        <w:rPr>
          <w:sz w:val="20"/>
          <w:szCs w:val="20"/>
          <w:color w:val="auto"/>
        </w:rPr>
      </w:pPr>
    </w:p>
    <w:p>
      <w:pPr>
        <w:ind w:right="340"/>
        <w:spacing w:after="0" w:line="322" w:lineRule="auto"/>
        <w:rPr>
          <w:sz w:val="20"/>
          <w:szCs w:val="20"/>
          <w:color w:val="auto"/>
        </w:rPr>
      </w:pPr>
      <w:r>
        <w:rPr>
          <w:rFonts w:ascii="Arial" w:cs="Arial" w:eastAsia="Arial" w:hAnsi="Arial"/>
          <w:sz w:val="15"/>
          <w:szCs w:val="15"/>
          <w:b w:val="1"/>
          <w:bCs w:val="1"/>
          <w:i w:val="1"/>
          <w:iCs w:val="1"/>
          <w:color w:val="auto"/>
        </w:rPr>
        <w:t xml:space="preserve">Clawback Policy </w:t>
      </w:r>
      <w:r>
        <w:rPr>
          <w:rFonts w:ascii="Arial" w:cs="Arial" w:eastAsia="Arial" w:hAnsi="Arial"/>
          <w:sz w:val="15"/>
          <w:szCs w:val="15"/>
          <w:color w:val="auto"/>
        </w:rPr>
        <w:t>We believe in maintaining best practices for our executive compensation program. Consistent with that belief, our board of directors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adopted a “clawback” policy with respect to excess incentive-based cash and equity compensation in the event of a material restatement of our publicly</w:t>
      </w:r>
    </w:p>
    <w:p>
      <w:pPr>
        <w:spacing w:after="0" w:line="1"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disclosed financial statements as a result of material noncompliance with financial reporting requirements under applicable law. The policy provides the Compensation Committee with the discretion to recover cash incentives and equity and equity-based awards from current and former executive officers, as well as from other senior executives or employees who the Compensation Committee determines are subject to the policy.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Stock Ownership Guidelines </w:t>
      </w:r>
      <w:r>
        <w:rPr>
          <w:rFonts w:ascii="Arial" w:cs="Arial" w:eastAsia="Arial" w:hAnsi="Arial"/>
          <w:sz w:val="15"/>
          <w:szCs w:val="15"/>
          <w:color w:val="auto"/>
        </w:rPr>
        <w:t>We believe that stock ownership aligns the interests of our named executive officers and directors with our stockholders and</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encourages long-term management of the Company for the benefit of its stockholders. Accordingly, for 2022 we developed stock ownership guidelines that apply to our NEOs and to our non-employee directors aligned to the market median.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640" w:type="dxa"/>
            <w:vAlign w:val="bottom"/>
            <w:tcBorders>
              <w:top w:val="single" w:sz="8" w:color="auto"/>
              <w:left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spacing w:after="0"/>
              <w:rPr>
                <w:sz w:val="20"/>
                <w:szCs w:val="20"/>
                <w:color w:val="auto"/>
              </w:rPr>
            </w:pPr>
          </w:p>
        </w:tc>
        <w:tc>
          <w:tcPr>
            <w:tcW w:w="71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Named Executive Officer Guidelines</w:t>
            </w:r>
          </w:p>
        </w:tc>
        <w:tc>
          <w:tcPr>
            <w:tcW w:w="0" w:type="dxa"/>
            <w:vAlign w:val="bottom"/>
          </w:tcPr>
          <w:p>
            <w:pPr>
              <w:spacing w:after="0"/>
              <w:rPr>
                <w:sz w:val="1"/>
                <w:szCs w:val="1"/>
                <w:color w:val="auto"/>
              </w:rPr>
            </w:pPr>
          </w:p>
        </w:tc>
      </w:tr>
      <w:tr>
        <w:trPr>
          <w:trHeight w:val="284"/>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CEO and Executive Chair</w:t>
            </w:r>
          </w:p>
        </w:tc>
        <w:tc>
          <w:tcPr>
            <w:tcW w:w="1520" w:type="dxa"/>
            <w:vAlign w:val="bottom"/>
          </w:tcPr>
          <w:p>
            <w:pPr>
              <w:spacing w:after="0"/>
              <w:rPr>
                <w:sz w:val="20"/>
                <w:szCs w:val="20"/>
                <w:color w:val="auto"/>
              </w:rPr>
            </w:pPr>
            <w:r>
              <w:rPr>
                <w:rFonts w:ascii="Arial" w:cs="Arial" w:eastAsia="Arial" w:hAnsi="Arial"/>
                <w:sz w:val="18"/>
                <w:szCs w:val="18"/>
                <w:color w:val="auto"/>
                <w:w w:val="97"/>
              </w:rPr>
              <w:t>Ownership Multiple</w:t>
            </w:r>
          </w:p>
        </w:tc>
        <w:tc>
          <w:tcPr>
            <w:tcW w:w="222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6x base salary</w:t>
            </w:r>
          </w:p>
        </w:tc>
        <w:tc>
          <w:tcPr>
            <w:tcW w:w="0" w:type="dxa"/>
            <w:vAlign w:val="bottom"/>
          </w:tcPr>
          <w:p>
            <w:pPr>
              <w:spacing w:after="0"/>
              <w:rPr>
                <w:sz w:val="1"/>
                <w:szCs w:val="1"/>
                <w:color w:val="auto"/>
              </w:rPr>
            </w:pPr>
          </w:p>
        </w:tc>
      </w:tr>
      <w:tr>
        <w:trPr>
          <w:trHeight w:val="67"/>
        </w:trPr>
        <w:tc>
          <w:tcPr>
            <w:tcW w:w="2640" w:type="dxa"/>
            <w:vAlign w:val="bottom"/>
            <w:tcBorders>
              <w:left w:val="single" w:sz="8" w:color="auto"/>
              <w:right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640" w:type="dxa"/>
            <w:vAlign w:val="bottom"/>
            <w:tcBorders>
              <w:left w:val="single" w:sz="8" w:color="auto"/>
              <w:right w:val="single" w:sz="8" w:color="auto"/>
            </w:tcBorders>
            <w:vMerge w:val="continue"/>
          </w:tcPr>
          <w:p>
            <w:pPr>
              <w:spacing w:after="0"/>
              <w:rPr>
                <w:sz w:val="7"/>
                <w:szCs w:val="7"/>
                <w:color w:val="auto"/>
              </w:rPr>
            </w:pPr>
          </w:p>
        </w:tc>
        <w:tc>
          <w:tcPr>
            <w:tcW w:w="1520" w:type="dxa"/>
            <w:vAlign w:val="bottom"/>
            <w:vMerge w:val="restart"/>
          </w:tcPr>
          <w:p>
            <w:pPr>
              <w:spacing w:after="0"/>
              <w:rPr>
                <w:sz w:val="20"/>
                <w:szCs w:val="20"/>
                <w:color w:val="auto"/>
              </w:rPr>
            </w:pPr>
            <w:r>
              <w:rPr>
                <w:rFonts w:ascii="Arial" w:cs="Arial" w:eastAsia="Arial" w:hAnsi="Arial"/>
                <w:sz w:val="18"/>
                <w:szCs w:val="18"/>
                <w:color w:val="auto"/>
              </w:rPr>
              <w:t>Years to Comply</w:t>
            </w:r>
          </w:p>
        </w:tc>
        <w:tc>
          <w:tcPr>
            <w:tcW w:w="2220" w:type="dxa"/>
            <w:vAlign w:val="bottom"/>
            <w:tcBorders>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 years to meet</w:t>
            </w:r>
          </w:p>
        </w:tc>
        <w:tc>
          <w:tcPr>
            <w:tcW w:w="0" w:type="dxa"/>
            <w:vAlign w:val="bottom"/>
          </w:tcPr>
          <w:p>
            <w:pPr>
              <w:spacing w:after="0"/>
              <w:rPr>
                <w:sz w:val="1"/>
                <w:szCs w:val="1"/>
                <w:color w:val="auto"/>
              </w:rPr>
            </w:pPr>
          </w:p>
        </w:tc>
      </w:tr>
      <w:tr>
        <w:trPr>
          <w:trHeight w:val="185"/>
        </w:trPr>
        <w:tc>
          <w:tcPr>
            <w:tcW w:w="2640" w:type="dxa"/>
            <w:vAlign w:val="bottom"/>
            <w:tcBorders>
              <w:left w:val="single" w:sz="8" w:color="auto"/>
              <w:right w:val="single" w:sz="8" w:color="auto"/>
            </w:tcBorders>
          </w:tcPr>
          <w:p>
            <w:pPr>
              <w:spacing w:after="0"/>
              <w:rPr>
                <w:sz w:val="16"/>
                <w:szCs w:val="16"/>
                <w:color w:val="auto"/>
              </w:rPr>
            </w:pPr>
          </w:p>
        </w:tc>
        <w:tc>
          <w:tcPr>
            <w:tcW w:w="1520" w:type="dxa"/>
            <w:vAlign w:val="bottom"/>
            <w:vMerge w:val="continue"/>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640" w:type="dxa"/>
            <w:vAlign w:val="bottom"/>
            <w:tcBorders>
              <w:left w:val="single" w:sz="8" w:color="auto"/>
              <w:bottom w:val="single" w:sz="8" w:color="auto"/>
              <w:right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Other NEOs</w:t>
            </w:r>
          </w:p>
        </w:tc>
        <w:tc>
          <w:tcPr>
            <w:tcW w:w="1520" w:type="dxa"/>
            <w:vAlign w:val="bottom"/>
          </w:tcPr>
          <w:p>
            <w:pPr>
              <w:spacing w:after="0"/>
              <w:rPr>
                <w:sz w:val="20"/>
                <w:szCs w:val="20"/>
                <w:color w:val="auto"/>
              </w:rPr>
            </w:pPr>
            <w:r>
              <w:rPr>
                <w:rFonts w:ascii="Arial" w:cs="Arial" w:eastAsia="Arial" w:hAnsi="Arial"/>
                <w:sz w:val="18"/>
                <w:szCs w:val="18"/>
                <w:color w:val="auto"/>
                <w:w w:val="97"/>
              </w:rPr>
              <w:t>Ownership Multiple</w:t>
            </w:r>
          </w:p>
        </w:tc>
        <w:tc>
          <w:tcPr>
            <w:tcW w:w="222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3x base salary</w:t>
            </w:r>
          </w:p>
        </w:tc>
        <w:tc>
          <w:tcPr>
            <w:tcW w:w="0" w:type="dxa"/>
            <w:vAlign w:val="bottom"/>
          </w:tcPr>
          <w:p>
            <w:pPr>
              <w:spacing w:after="0"/>
              <w:rPr>
                <w:sz w:val="1"/>
                <w:szCs w:val="1"/>
                <w:color w:val="auto"/>
              </w:rPr>
            </w:pPr>
          </w:p>
        </w:tc>
      </w:tr>
      <w:tr>
        <w:trPr>
          <w:trHeight w:val="94"/>
        </w:trPr>
        <w:tc>
          <w:tcPr>
            <w:tcW w:w="264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4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vMerge w:val="restart"/>
          </w:tcPr>
          <w:p>
            <w:pPr>
              <w:spacing w:after="0"/>
              <w:rPr>
                <w:sz w:val="20"/>
                <w:szCs w:val="20"/>
                <w:color w:val="auto"/>
              </w:rPr>
            </w:pPr>
            <w:r>
              <w:rPr>
                <w:rFonts w:ascii="Arial" w:cs="Arial" w:eastAsia="Arial" w:hAnsi="Arial"/>
                <w:sz w:val="18"/>
                <w:szCs w:val="18"/>
                <w:color w:val="auto"/>
              </w:rPr>
              <w:t>Years to Comply</w:t>
            </w:r>
          </w:p>
        </w:tc>
        <w:tc>
          <w:tcPr>
            <w:tcW w:w="2220" w:type="dxa"/>
            <w:vAlign w:val="bottom"/>
            <w:tcBorders>
              <w:right w:val="single" w:sz="8" w:color="auto"/>
            </w:tcBorders>
          </w:tcPr>
          <w:p>
            <w:pPr>
              <w:spacing w:after="0"/>
              <w:rPr>
                <w:sz w:val="8"/>
                <w:szCs w:val="8"/>
                <w:color w:val="auto"/>
              </w:rPr>
            </w:pPr>
          </w:p>
        </w:tc>
        <w:tc>
          <w:tcPr>
            <w:tcW w:w="4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 years to meet</w:t>
            </w:r>
          </w:p>
        </w:tc>
        <w:tc>
          <w:tcPr>
            <w:tcW w:w="0" w:type="dxa"/>
            <w:vAlign w:val="bottom"/>
          </w:tcPr>
          <w:p>
            <w:pPr>
              <w:spacing w:after="0"/>
              <w:rPr>
                <w:sz w:val="1"/>
                <w:szCs w:val="1"/>
                <w:color w:val="auto"/>
              </w:rPr>
            </w:pPr>
          </w:p>
        </w:tc>
      </w:tr>
      <w:tr>
        <w:trPr>
          <w:trHeight w:val="199"/>
        </w:trPr>
        <w:tc>
          <w:tcPr>
            <w:tcW w:w="2640" w:type="dxa"/>
            <w:vAlign w:val="bottom"/>
            <w:tcBorders>
              <w:left w:val="single" w:sz="8" w:color="auto"/>
              <w:right w:val="single" w:sz="8" w:color="auto"/>
            </w:tcBorders>
          </w:tcPr>
          <w:p>
            <w:pPr>
              <w:spacing w:after="0"/>
              <w:rPr>
                <w:sz w:val="17"/>
                <w:szCs w:val="17"/>
                <w:color w:val="auto"/>
              </w:rPr>
            </w:pPr>
          </w:p>
        </w:tc>
        <w:tc>
          <w:tcPr>
            <w:tcW w:w="1520" w:type="dxa"/>
            <w:vAlign w:val="bottom"/>
            <w:vMerge w:val="continue"/>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48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auto"/>
              <w:bottom w:val="single" w:sz="8" w:color="auto"/>
              <w:right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640" w:type="dxa"/>
            <w:vAlign w:val="bottom"/>
            <w:tcBorders>
              <w:top w:val="single" w:sz="8" w:color="auto"/>
              <w:left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spacing w:after="0"/>
              <w:rPr>
                <w:sz w:val="20"/>
                <w:szCs w:val="20"/>
                <w:color w:val="auto"/>
              </w:rPr>
            </w:pPr>
          </w:p>
        </w:tc>
        <w:tc>
          <w:tcPr>
            <w:tcW w:w="706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Non-Employee Director Guidelines</w:t>
            </w:r>
          </w:p>
        </w:tc>
        <w:tc>
          <w:tcPr>
            <w:tcW w:w="0" w:type="dxa"/>
            <w:vAlign w:val="bottom"/>
          </w:tcPr>
          <w:p>
            <w:pPr>
              <w:spacing w:after="0"/>
              <w:rPr>
                <w:sz w:val="1"/>
                <w:szCs w:val="1"/>
                <w:color w:val="auto"/>
              </w:rPr>
            </w:pPr>
          </w:p>
        </w:tc>
      </w:tr>
      <w:tr>
        <w:trPr>
          <w:trHeight w:val="310"/>
        </w:trPr>
        <w:tc>
          <w:tcPr>
            <w:tcW w:w="2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Non-Employee Directors</w:t>
            </w:r>
          </w:p>
        </w:tc>
        <w:tc>
          <w:tcPr>
            <w:tcW w:w="1560" w:type="dxa"/>
            <w:vAlign w:val="bottom"/>
          </w:tcPr>
          <w:p>
            <w:pPr>
              <w:spacing w:after="0"/>
              <w:rPr>
                <w:sz w:val="20"/>
                <w:szCs w:val="20"/>
                <w:color w:val="auto"/>
              </w:rPr>
            </w:pPr>
            <w:r>
              <w:rPr>
                <w:rFonts w:ascii="Arial" w:cs="Arial" w:eastAsia="Arial" w:hAnsi="Arial"/>
                <w:sz w:val="18"/>
                <w:szCs w:val="18"/>
                <w:color w:val="auto"/>
              </w:rPr>
              <w:t>Ownership Multiple</w:t>
            </w:r>
          </w:p>
        </w:tc>
        <w:tc>
          <w:tcPr>
            <w:tcW w:w="218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5x cash retainer</w:t>
            </w:r>
          </w:p>
        </w:tc>
        <w:tc>
          <w:tcPr>
            <w:tcW w:w="0" w:type="dxa"/>
            <w:vAlign w:val="bottom"/>
          </w:tcPr>
          <w:p>
            <w:pPr>
              <w:spacing w:after="0"/>
              <w:rPr>
                <w:sz w:val="1"/>
                <w:szCs w:val="1"/>
                <w:color w:val="auto"/>
              </w:rPr>
            </w:pPr>
          </w:p>
        </w:tc>
      </w:tr>
      <w:tr>
        <w:trPr>
          <w:trHeight w:val="94"/>
        </w:trPr>
        <w:tc>
          <w:tcPr>
            <w:tcW w:w="264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40" w:type="dxa"/>
            <w:vAlign w:val="bottom"/>
            <w:tcBorders>
              <w:left w:val="single" w:sz="8" w:color="auto"/>
              <w:right w:val="single" w:sz="8" w:color="auto"/>
            </w:tcBorders>
            <w:vMerge w:val="continue"/>
          </w:tcPr>
          <w:p>
            <w:pPr>
              <w:spacing w:after="0"/>
              <w:rPr>
                <w:sz w:val="8"/>
                <w:szCs w:val="8"/>
                <w:color w:val="auto"/>
              </w:rPr>
            </w:pPr>
          </w:p>
        </w:tc>
        <w:tc>
          <w:tcPr>
            <w:tcW w:w="1560" w:type="dxa"/>
            <w:vAlign w:val="bottom"/>
            <w:vMerge w:val="restart"/>
          </w:tcPr>
          <w:p>
            <w:pPr>
              <w:spacing w:after="0"/>
              <w:rPr>
                <w:sz w:val="20"/>
                <w:szCs w:val="20"/>
                <w:color w:val="auto"/>
              </w:rPr>
            </w:pPr>
            <w:r>
              <w:rPr>
                <w:rFonts w:ascii="Arial" w:cs="Arial" w:eastAsia="Arial" w:hAnsi="Arial"/>
                <w:sz w:val="18"/>
                <w:szCs w:val="18"/>
                <w:color w:val="auto"/>
              </w:rPr>
              <w:t>Years to Comply</w:t>
            </w:r>
          </w:p>
        </w:tc>
        <w:tc>
          <w:tcPr>
            <w:tcW w:w="2180" w:type="dxa"/>
            <w:vAlign w:val="bottom"/>
            <w:tcBorders>
              <w:right w:val="single" w:sz="8" w:color="auto"/>
            </w:tcBorders>
          </w:tcPr>
          <w:p>
            <w:pPr>
              <w:spacing w:after="0"/>
              <w:rPr>
                <w:sz w:val="8"/>
                <w:szCs w:val="8"/>
                <w:color w:val="auto"/>
              </w:rPr>
            </w:pPr>
          </w:p>
        </w:tc>
        <w:tc>
          <w:tcPr>
            <w:tcW w:w="4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 years to meet</w:t>
            </w:r>
          </w:p>
        </w:tc>
        <w:tc>
          <w:tcPr>
            <w:tcW w:w="0" w:type="dxa"/>
            <w:vAlign w:val="bottom"/>
          </w:tcPr>
          <w:p>
            <w:pPr>
              <w:spacing w:after="0"/>
              <w:rPr>
                <w:sz w:val="1"/>
                <w:szCs w:val="1"/>
                <w:color w:val="auto"/>
              </w:rPr>
            </w:pPr>
          </w:p>
        </w:tc>
      </w:tr>
      <w:tr>
        <w:trPr>
          <w:trHeight w:val="212"/>
        </w:trPr>
        <w:tc>
          <w:tcPr>
            <w:tcW w:w="2640" w:type="dxa"/>
            <w:vAlign w:val="bottom"/>
            <w:tcBorders>
              <w:left w:val="single" w:sz="8" w:color="auto"/>
              <w:right w:val="single" w:sz="8" w:color="auto"/>
            </w:tcBorders>
          </w:tcPr>
          <w:p>
            <w:pPr>
              <w:spacing w:after="0"/>
              <w:rPr>
                <w:sz w:val="18"/>
                <w:szCs w:val="18"/>
                <w:color w:val="auto"/>
              </w:rPr>
            </w:pPr>
          </w:p>
        </w:tc>
        <w:tc>
          <w:tcPr>
            <w:tcW w:w="1560" w:type="dxa"/>
            <w:vAlign w:val="bottom"/>
            <w:vMerge w:val="continue"/>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4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330" w:lineRule="auto"/>
        <w:rPr>
          <w:sz w:val="20"/>
          <w:szCs w:val="20"/>
          <w:color w:val="auto"/>
        </w:rPr>
      </w:pPr>
      <w:r>
        <w:rPr>
          <w:rFonts w:ascii="Arial" w:cs="Arial" w:eastAsia="Arial" w:hAnsi="Arial"/>
          <w:sz w:val="15"/>
          <w:szCs w:val="15"/>
          <w:color w:val="auto"/>
        </w:rPr>
        <w:t>Under our stock ownership guidelines, shares counted toward the ownership requirements include vested shares, vested and unvested time-based restricted stock, restricted stock units, deferred stock units, stock held the in the Company’s the Company’s 401(k) plan and stock owned in trust by spouses or children. NEOs and non-employee directors are required to retain 100% of the after-tax shares received from the Company if guidelines are not met within five years.</w:t>
      </w:r>
    </w:p>
    <w:p>
      <w:pPr>
        <w:spacing w:after="0" w:line="16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i w:val="1"/>
          <w:iCs w:val="1"/>
          <w:color w:val="auto"/>
        </w:rPr>
        <w:t xml:space="preserve">Derivatives Trading, Hedging, and Pledging Policies. </w:t>
      </w:r>
      <w:r>
        <w:rPr>
          <w:rFonts w:ascii="Arial" w:cs="Arial" w:eastAsia="Arial" w:hAnsi="Arial"/>
          <w:sz w:val="18"/>
          <w:szCs w:val="18"/>
          <w:color w:val="auto"/>
        </w:rPr>
        <w:t>Our Insider Trading Policy provides that no employee, officer, or director may acquire, sell, or trade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interest or position relating to the future price of Company securities, such as a put option, a call option or a short sale, or engage in hedging transactions. In addition, our Insider Trading Policy provides that no employee, officer, or director to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22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takes into account whether components of the compensation for our executive officers will be adversely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by the penalty tax imposed by Section 409A of the Code, and aims to structure these components to be compliant with or exempt from Section 409A to avoid such potential adverse tax consequences.</w:t>
      </w:r>
    </w:p>
    <w:p>
      <w:pPr>
        <w:spacing w:after="0" w:line="21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Section 162(m) of the Code disallows a tax deduction to public companies for compensation in excess of $1 million paid to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which generally includes all NEOs. While the Compensation Committee may take the deductibility of compensation into account when making compensation decisions, the Compensation Committee will award compensation that it determines to be consistent with the goals of our executive compensation program even if such compensation is not deductible by us.</w:t>
      </w:r>
    </w:p>
    <w:p>
      <w:pPr>
        <w:spacing w:after="0" w:line="217"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b w:val="1"/>
          <w:bCs w:val="1"/>
          <w:i w:val="1"/>
          <w:iCs w:val="1"/>
          <w:color w:val="auto"/>
        </w:rPr>
        <w:t xml:space="preserve">“Golden Parachute” Payments. </w:t>
      </w:r>
      <w:r>
        <w:rPr>
          <w:rFonts w:ascii="Arial" w:cs="Arial" w:eastAsia="Arial" w:hAnsi="Arial"/>
          <w:sz w:val="15"/>
          <w:szCs w:val="15"/>
          <w:color w:val="auto"/>
        </w:rPr>
        <w:t>Sections 280G and 4999 of the Code provide that certain executive officers and other service providers who are highly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compensated or hold significant equity interests may be subject to an excise tax if they receive payments or benefits in connection with a change in control of the Company that exceeds certain prescribed limits, and that we, or a successor, may forfeit a tax deduction on the amounts subject to this additional tax. While the Compensation Committee may take the potential forfeiture of such tax deduction into account when making compensation decisions, it will award compensation that it determines to be consistent with the goals of our executive compensation program even if such compensation is not deductible by us. We do not provide any tax gross-ups to cover excise taxes under Section 4999 in connection with a change in control.</w:t>
      </w:r>
    </w:p>
    <w:p>
      <w:pPr>
        <w:spacing w:after="0" w:line="178"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Accounting for Share-Based Compensation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follow Financial Accounting Standard Board Accounting Standards Codification Topic 718, (“ASC Topic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718”), for our share-based compensation awards. ASC Topic 718 requires companies to measure the compensation expense for all share-based payment awards made to employees and directors, including stock options and PSUs, based on the grant date “fair value” of these awards. This calculation is performed for accounting purposes and reported in the compensation tables below, even though our NEOs may never realize any value from their awards.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4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Compensation Committee reviewed and discussed the foregoing Compensation Discussion and Analysis with the Company’s management. Based on this review and discussion with management, the Compensation Committee recommended</w:t>
      </w:r>
    </w:p>
    <w:p>
      <w:pPr>
        <w:spacing w:after="0" w:line="200" w:lineRule="exact"/>
        <w:rPr>
          <w:sz w:val="20"/>
          <w:szCs w:val="20"/>
          <w:color w:val="auto"/>
        </w:rPr>
      </w:pPr>
    </w:p>
    <w:p>
      <w:pPr>
        <w:spacing w:after="0" w:line="3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the Board of Directors that the Compensation Discussion and Analysis be included in this Annual Report on Form 10-K for the fiscal year ended December 31, 2021 and the Company’s proxy statement for the 2022 annual meeting of stockholders.</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The Compensation Committee:</w:t>
      </w:r>
    </w:p>
    <w:p>
      <w:pPr>
        <w:spacing w:after="0" w:line="2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Doug Schillinger</w:t>
      </w:r>
    </w:p>
    <w:p>
      <w:pPr>
        <w:ind w:left="5740"/>
        <w:spacing w:after="0" w:line="237" w:lineRule="auto"/>
        <w:rPr>
          <w:sz w:val="20"/>
          <w:szCs w:val="20"/>
          <w:color w:val="auto"/>
        </w:rPr>
      </w:pPr>
      <w:r>
        <w:rPr>
          <w:rFonts w:ascii="Arial" w:cs="Arial" w:eastAsia="Arial" w:hAnsi="Arial"/>
          <w:sz w:val="18"/>
          <w:szCs w:val="18"/>
          <w:color w:val="auto"/>
        </w:rPr>
        <w:t>Desiree Gruber</w:t>
      </w:r>
    </w:p>
    <w:p>
      <w:pPr>
        <w:ind w:left="5740"/>
        <w:spacing w:after="0"/>
        <w:rPr>
          <w:sz w:val="20"/>
          <w:szCs w:val="20"/>
          <w:color w:val="auto"/>
        </w:rPr>
      </w:pPr>
      <w:r>
        <w:rPr>
          <w:rFonts w:ascii="Arial" w:cs="Arial" w:eastAsia="Arial" w:hAnsi="Arial"/>
          <w:sz w:val="18"/>
          <w:szCs w:val="18"/>
          <w:color w:val="auto"/>
        </w:rPr>
        <w:t>Brian Miller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information about the compensation earned by each of our NEOs during our most recently completed fiscal year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Non-Equity</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Incentive Plan</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Stock Awards ($)</w:t>
            </w:r>
          </w:p>
        </w:tc>
        <w:tc>
          <w:tcPr>
            <w:tcW w:w="11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Option Awards</w:t>
            </w:r>
          </w:p>
        </w:tc>
        <w:tc>
          <w:tcPr>
            <w:tcW w:w="13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All Other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Name and Principal Position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0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Salary ($)</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Compensation ($)</w:t>
            </w:r>
          </w:p>
        </w:tc>
        <w:tc>
          <w:tcPr>
            <w:tcW w:w="1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1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33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w:t>
            </w: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w:t>
            </w: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Compensation ($)</w:t>
            </w: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Clinton Carnell,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2,287,500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21,266,037</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1,722,068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25,948,105</w:t>
            </w:r>
          </w:p>
        </w:tc>
        <w:tc>
          <w:tcPr>
            <w:tcW w:w="0" w:type="dxa"/>
            <w:vAlign w:val="bottom"/>
          </w:tcPr>
          <w:p>
            <w:pPr>
              <w:spacing w:after="0"/>
              <w:rPr>
                <w:sz w:val="1"/>
                <w:szCs w:val="1"/>
                <w:color w:val="auto"/>
              </w:rPr>
            </w:pPr>
          </w:p>
        </w:tc>
      </w:tr>
      <w:tr>
        <w:trPr>
          <w:trHeight w:val="251"/>
        </w:trPr>
        <w:tc>
          <w:tcPr>
            <w:tcW w:w="3320" w:type="dxa"/>
            <w:vAlign w:val="bottom"/>
          </w:tcPr>
          <w:p>
            <w:pPr>
              <w:ind w:left="560"/>
              <w:spacing w:after="0"/>
              <w:rPr>
                <w:sz w:val="20"/>
                <w:szCs w:val="20"/>
                <w:color w:val="auto"/>
              </w:rPr>
            </w:pPr>
            <w:r>
              <w:rPr>
                <w:rFonts w:ascii="Arial" w:cs="Arial" w:eastAsia="Arial" w:hAnsi="Arial"/>
                <w:sz w:val="18"/>
                <w:szCs w:val="18"/>
                <w:i w:val="1"/>
                <w:iCs w:val="1"/>
                <w:color w:val="auto"/>
              </w:rPr>
              <w:t xml:space="preserve">Former Chief Executive Officer </w:t>
            </w:r>
            <w:r>
              <w:rPr>
                <w:rFonts w:ascii="Arial" w:cs="Arial" w:eastAsia="Arial" w:hAnsi="Arial"/>
                <w:sz w:val="15"/>
                <w:szCs w:val="15"/>
                <w:color w:val="auto"/>
              </w:rPr>
              <w:t>(3)</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60" w:type="dxa"/>
            <w:vAlign w:val="bottom"/>
          </w:tcPr>
          <w:p>
            <w:pPr>
              <w:jc w:val="right"/>
              <w:spacing w:after="0"/>
              <w:rPr>
                <w:sz w:val="20"/>
                <w:szCs w:val="20"/>
                <w:color w:val="auto"/>
              </w:rPr>
            </w:pPr>
            <w:r>
              <w:rPr>
                <w:rFonts w:ascii="Arial" w:cs="Arial" w:eastAsia="Arial" w:hAnsi="Arial"/>
                <w:sz w:val="18"/>
                <w:szCs w:val="18"/>
                <w:color w:val="auto"/>
              </w:rPr>
              <w:t>661,154</w:t>
            </w:r>
          </w:p>
        </w:tc>
        <w:tc>
          <w:tcPr>
            <w:tcW w:w="1200" w:type="dxa"/>
            <w:vAlign w:val="bottom"/>
          </w:tcPr>
          <w:p>
            <w:pPr>
              <w:jc w:val="right"/>
              <w:spacing w:after="0"/>
              <w:rPr>
                <w:sz w:val="20"/>
                <w:szCs w:val="20"/>
                <w:color w:val="auto"/>
              </w:rPr>
            </w:pPr>
            <w:r>
              <w:rPr>
                <w:rFonts w:ascii="Arial" w:cs="Arial" w:eastAsia="Arial" w:hAnsi="Arial"/>
                <w:sz w:val="18"/>
                <w:szCs w:val="18"/>
                <w:color w:val="auto"/>
              </w:rPr>
              <w:t>300,000</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487,415</w:t>
            </w: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11,200</w:t>
            </w:r>
          </w:p>
        </w:tc>
        <w:tc>
          <w:tcPr>
            <w:tcW w:w="1120" w:type="dxa"/>
            <w:vAlign w:val="bottom"/>
          </w:tcPr>
          <w:p>
            <w:pPr>
              <w:jc w:val="right"/>
              <w:spacing w:after="0"/>
              <w:rPr>
                <w:sz w:val="20"/>
                <w:szCs w:val="20"/>
                <w:color w:val="auto"/>
              </w:rPr>
            </w:pPr>
            <w:r>
              <w:rPr>
                <w:rFonts w:ascii="Arial" w:cs="Arial" w:eastAsia="Arial" w:hAnsi="Arial"/>
                <w:sz w:val="18"/>
                <w:szCs w:val="18"/>
                <w:color w:val="auto"/>
              </w:rPr>
              <w:t>1,459,769</w:t>
            </w:r>
          </w:p>
        </w:tc>
        <w:tc>
          <w:tcPr>
            <w:tcW w:w="0" w:type="dxa"/>
            <w:vAlign w:val="bottom"/>
          </w:tcPr>
          <w:p>
            <w:pPr>
              <w:spacing w:after="0"/>
              <w:rPr>
                <w:sz w:val="1"/>
                <w:szCs w:val="1"/>
                <w:color w:val="auto"/>
              </w:rPr>
            </w:pPr>
          </w:p>
        </w:tc>
      </w:tr>
      <w:tr>
        <w:trPr>
          <w:trHeight w:val="239"/>
        </w:trPr>
        <w:tc>
          <w:tcPr>
            <w:tcW w:w="332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580,769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541,054</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1,132,823</w:t>
            </w:r>
          </w:p>
        </w:tc>
        <w:tc>
          <w:tcPr>
            <w:tcW w:w="0" w:type="dxa"/>
            <w:vAlign w:val="bottom"/>
          </w:tcPr>
          <w:p>
            <w:pPr>
              <w:spacing w:after="0"/>
              <w:rPr>
                <w:sz w:val="1"/>
                <w:szCs w:val="1"/>
                <w:color w:val="auto"/>
              </w:rPr>
            </w:pPr>
          </w:p>
        </w:tc>
      </w:tr>
      <w:tr>
        <w:trPr>
          <w:trHeight w:val="251"/>
        </w:trPr>
        <w:tc>
          <w:tcPr>
            <w:tcW w:w="3320" w:type="dxa"/>
            <w:vAlign w:val="bottom"/>
          </w:tcPr>
          <w:p>
            <w:pPr>
              <w:ind w:left="20"/>
              <w:spacing w:after="0"/>
              <w:rPr>
                <w:sz w:val="20"/>
                <w:szCs w:val="20"/>
                <w:color w:val="auto"/>
              </w:rPr>
            </w:pPr>
            <w:r>
              <w:rPr>
                <w:rFonts w:ascii="Arial" w:cs="Arial" w:eastAsia="Arial" w:hAnsi="Arial"/>
                <w:sz w:val="18"/>
                <w:szCs w:val="18"/>
                <w:color w:val="auto"/>
              </w:rPr>
              <w:t>Liyuan Woo,</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60" w:type="dxa"/>
            <w:vAlign w:val="bottom"/>
          </w:tcPr>
          <w:p>
            <w:pPr>
              <w:jc w:val="right"/>
              <w:spacing w:after="0"/>
              <w:rPr>
                <w:sz w:val="20"/>
                <w:szCs w:val="20"/>
                <w:color w:val="auto"/>
              </w:rPr>
            </w:pPr>
            <w:r>
              <w:rPr>
                <w:rFonts w:ascii="Arial" w:cs="Arial" w:eastAsia="Arial" w:hAnsi="Arial"/>
                <w:sz w:val="18"/>
                <w:szCs w:val="18"/>
                <w:color w:val="auto"/>
              </w:rPr>
              <w:t>412,500</w:t>
            </w:r>
          </w:p>
        </w:tc>
        <w:tc>
          <w:tcPr>
            <w:tcW w:w="1200" w:type="dxa"/>
            <w:vAlign w:val="bottom"/>
          </w:tcPr>
          <w:p>
            <w:pPr>
              <w:jc w:val="right"/>
              <w:spacing w:after="0"/>
              <w:rPr>
                <w:sz w:val="20"/>
                <w:szCs w:val="20"/>
                <w:color w:val="auto"/>
              </w:rPr>
            </w:pPr>
            <w:r>
              <w:rPr>
                <w:rFonts w:ascii="Arial" w:cs="Arial" w:eastAsia="Arial" w:hAnsi="Arial"/>
                <w:sz w:val="18"/>
                <w:szCs w:val="18"/>
                <w:color w:val="auto"/>
              </w:rPr>
              <w:t>498,000</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1,143,750</w:t>
            </w:r>
          </w:p>
        </w:tc>
        <w:tc>
          <w:tcPr>
            <w:tcW w:w="1140" w:type="dxa"/>
            <w:vAlign w:val="bottom"/>
          </w:tcPr>
          <w:p>
            <w:pPr>
              <w:jc w:val="right"/>
              <w:spacing w:after="0"/>
              <w:rPr>
                <w:sz w:val="20"/>
                <w:szCs w:val="20"/>
                <w:color w:val="auto"/>
              </w:rPr>
            </w:pPr>
            <w:r>
              <w:rPr>
                <w:rFonts w:ascii="Arial" w:cs="Arial" w:eastAsia="Arial" w:hAnsi="Arial"/>
                <w:sz w:val="18"/>
                <w:szCs w:val="18"/>
                <w:color w:val="auto"/>
              </w:rPr>
              <w:t>5,103,849</w:t>
            </w: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7,158,099</w:t>
            </w:r>
          </w:p>
        </w:tc>
        <w:tc>
          <w:tcPr>
            <w:tcW w:w="0" w:type="dxa"/>
            <w:vAlign w:val="bottom"/>
          </w:tcPr>
          <w:p>
            <w:pPr>
              <w:spacing w:after="0"/>
              <w:rPr>
                <w:sz w:val="1"/>
                <w:szCs w:val="1"/>
                <w:color w:val="auto"/>
              </w:rPr>
            </w:pPr>
          </w:p>
        </w:tc>
      </w:tr>
      <w:tr>
        <w:trPr>
          <w:trHeight w:val="252"/>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617,773</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725,465</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8"/>
                <w:szCs w:val="18"/>
                <w:color w:val="auto"/>
              </w:rPr>
              <w:t>Indra Pamamull,</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i w:val="1"/>
                <w:iCs w:val="1"/>
                <w:color w:val="auto"/>
              </w:rPr>
              <w:t xml:space="preserve">President APAC </w:t>
            </w:r>
            <w:r>
              <w:rPr>
                <w:rFonts w:ascii="Arial" w:cs="Arial" w:eastAsia="Arial" w:hAnsi="Arial"/>
                <w:sz w:val="15"/>
                <w:szCs w:val="15"/>
                <w:color w:val="auto"/>
              </w:rPr>
              <w:t>(4)</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60" w:type="dxa"/>
            <w:vAlign w:val="bottom"/>
          </w:tcPr>
          <w:p>
            <w:pPr>
              <w:jc w:val="right"/>
              <w:spacing w:after="0"/>
              <w:rPr>
                <w:sz w:val="20"/>
                <w:szCs w:val="20"/>
                <w:color w:val="auto"/>
              </w:rPr>
            </w:pPr>
            <w:r>
              <w:rPr>
                <w:rFonts w:ascii="Arial" w:cs="Arial" w:eastAsia="Arial" w:hAnsi="Arial"/>
                <w:sz w:val="18"/>
                <w:szCs w:val="18"/>
                <w:color w:val="auto"/>
              </w:rPr>
              <w:t>158,798</w:t>
            </w:r>
          </w:p>
        </w:tc>
        <w:tc>
          <w:tcPr>
            <w:tcW w:w="1200" w:type="dxa"/>
            <w:vAlign w:val="bottom"/>
          </w:tcPr>
          <w:p>
            <w:pPr>
              <w:jc w:val="right"/>
              <w:spacing w:after="0"/>
              <w:rPr>
                <w:sz w:val="20"/>
                <w:szCs w:val="20"/>
                <w:color w:val="auto"/>
              </w:rPr>
            </w:pPr>
            <w:r>
              <w:rPr>
                <w:rFonts w:ascii="Arial" w:cs="Arial" w:eastAsia="Arial" w:hAnsi="Arial"/>
                <w:sz w:val="18"/>
                <w:szCs w:val="18"/>
                <w:color w:val="auto"/>
              </w:rPr>
              <w:t>199,633</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2,643,750</w:t>
            </w:r>
          </w:p>
        </w:tc>
        <w:tc>
          <w:tcPr>
            <w:tcW w:w="1140" w:type="dxa"/>
            <w:vAlign w:val="bottom"/>
          </w:tcPr>
          <w:p>
            <w:pPr>
              <w:jc w:val="right"/>
              <w:spacing w:after="0"/>
              <w:rPr>
                <w:sz w:val="20"/>
                <w:szCs w:val="20"/>
                <w:color w:val="auto"/>
              </w:rPr>
            </w:pPr>
            <w:r>
              <w:rPr>
                <w:rFonts w:ascii="Arial" w:cs="Arial" w:eastAsia="Arial" w:hAnsi="Arial"/>
                <w:sz w:val="18"/>
                <w:szCs w:val="18"/>
                <w:color w:val="auto"/>
              </w:rPr>
              <w:t>4,082,665</w:t>
            </w: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7,084,846</w:t>
            </w: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Stephan Becker,</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xml:space="preserve">President EMEA </w:t>
            </w:r>
            <w:r>
              <w:rPr>
                <w:rFonts w:ascii="Arial" w:cs="Arial" w:eastAsia="Arial" w:hAnsi="Arial"/>
                <w:sz w:val="15"/>
                <w:szCs w:val="15"/>
                <w:color w:val="auto"/>
              </w:rPr>
              <w:t>(5)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105,313</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3,811,875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5,259,211</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5,095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9,269,255</w:t>
            </w:r>
          </w:p>
        </w:tc>
        <w:tc>
          <w:tcPr>
            <w:tcW w:w="0" w:type="dxa"/>
            <w:vAlign w:val="bottom"/>
          </w:tcPr>
          <w:p>
            <w:pPr>
              <w:spacing w:after="0"/>
              <w:rPr>
                <w:sz w:val="1"/>
                <w:szCs w:val="1"/>
                <w:color w:val="auto"/>
              </w:rPr>
            </w:pPr>
          </w:p>
        </w:tc>
      </w:tr>
      <w:tr>
        <w:trPr>
          <w:trHeight w:val="251"/>
        </w:trPr>
        <w:tc>
          <w:tcPr>
            <w:tcW w:w="3320" w:type="dxa"/>
            <w:vAlign w:val="bottom"/>
          </w:tcPr>
          <w:p>
            <w:pPr>
              <w:ind w:left="20"/>
              <w:spacing w:after="0"/>
              <w:rPr>
                <w:sz w:val="20"/>
                <w:szCs w:val="20"/>
                <w:color w:val="auto"/>
              </w:rPr>
            </w:pPr>
            <w:r>
              <w:rPr>
                <w:rFonts w:ascii="Arial" w:cs="Arial" w:eastAsia="Arial" w:hAnsi="Arial"/>
                <w:sz w:val="18"/>
                <w:szCs w:val="18"/>
                <w:color w:val="auto"/>
              </w:rPr>
              <w:t>Daniel Watson,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60" w:type="dxa"/>
            <w:vAlign w:val="bottom"/>
          </w:tcPr>
          <w:p>
            <w:pPr>
              <w:jc w:val="right"/>
              <w:spacing w:after="0"/>
              <w:rPr>
                <w:sz w:val="20"/>
                <w:szCs w:val="20"/>
                <w:color w:val="auto"/>
              </w:rPr>
            </w:pPr>
            <w:r>
              <w:rPr>
                <w:rFonts w:ascii="Arial" w:cs="Arial" w:eastAsia="Arial" w:hAnsi="Arial"/>
                <w:sz w:val="18"/>
                <w:szCs w:val="18"/>
                <w:color w:val="auto"/>
              </w:rPr>
              <w:t>369,104</w:t>
            </w:r>
          </w:p>
        </w:tc>
        <w:tc>
          <w:tcPr>
            <w:tcW w:w="1200" w:type="dxa"/>
            <w:vAlign w:val="bottom"/>
          </w:tcPr>
          <w:p>
            <w:pPr>
              <w:jc w:val="right"/>
              <w:spacing w:after="0"/>
              <w:rPr>
                <w:sz w:val="20"/>
                <w:szCs w:val="20"/>
                <w:color w:val="auto"/>
              </w:rPr>
            </w:pPr>
            <w:r>
              <w:rPr>
                <w:rFonts w:ascii="Arial" w:cs="Arial" w:eastAsia="Arial" w:hAnsi="Arial"/>
                <w:sz w:val="18"/>
                <w:szCs w:val="18"/>
                <w:color w:val="auto"/>
              </w:rPr>
              <w:t>445,436</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2,126,604</w:t>
            </w: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11,400</w:t>
            </w:r>
          </w:p>
        </w:tc>
        <w:tc>
          <w:tcPr>
            <w:tcW w:w="1120" w:type="dxa"/>
            <w:vAlign w:val="bottom"/>
          </w:tcPr>
          <w:p>
            <w:pPr>
              <w:jc w:val="right"/>
              <w:spacing w:after="0"/>
              <w:rPr>
                <w:sz w:val="20"/>
                <w:szCs w:val="20"/>
                <w:color w:val="auto"/>
              </w:rPr>
            </w:pPr>
            <w:r>
              <w:rPr>
                <w:rFonts w:ascii="Arial" w:cs="Arial" w:eastAsia="Arial" w:hAnsi="Arial"/>
                <w:sz w:val="18"/>
                <w:szCs w:val="18"/>
                <w:color w:val="auto"/>
              </w:rPr>
              <w:t>2,952,544</w:t>
            </w:r>
          </w:p>
        </w:tc>
        <w:tc>
          <w:tcPr>
            <w:tcW w:w="0" w:type="dxa"/>
            <w:vAlign w:val="bottom"/>
          </w:tcPr>
          <w:p>
            <w:pPr>
              <w:spacing w:after="0"/>
              <w:rPr>
                <w:sz w:val="1"/>
                <w:szCs w:val="1"/>
                <w:color w:val="auto"/>
              </w:rPr>
            </w:pPr>
          </w:p>
        </w:tc>
      </w:tr>
      <w:tr>
        <w:trPr>
          <w:trHeight w:val="252"/>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EVP Sales Americas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171,600</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50,296</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11,200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595,667</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60" w:type="dxa"/>
            <w:vAlign w:val="bottom"/>
          </w:tcPr>
          <w:p>
            <w:pPr>
              <w:jc w:val="right"/>
              <w:spacing w:after="0"/>
              <w:rPr>
                <w:sz w:val="20"/>
                <w:szCs w:val="20"/>
                <w:color w:val="auto"/>
              </w:rPr>
            </w:pPr>
            <w:r>
              <w:rPr>
                <w:rFonts w:ascii="Arial" w:cs="Arial" w:eastAsia="Arial" w:hAnsi="Arial"/>
                <w:sz w:val="18"/>
                <w:szCs w:val="18"/>
                <w:color w:val="auto"/>
              </w:rPr>
              <w:t>340,661</w:t>
            </w:r>
          </w:p>
        </w:tc>
        <w:tc>
          <w:tcPr>
            <w:tcW w:w="1200" w:type="dxa"/>
            <w:vAlign w:val="bottom"/>
          </w:tcPr>
          <w:p>
            <w:pPr>
              <w:jc w:val="right"/>
              <w:spacing w:after="0"/>
              <w:rPr>
                <w:sz w:val="20"/>
                <w:szCs w:val="20"/>
                <w:color w:val="auto"/>
              </w:rPr>
            </w:pPr>
            <w:r>
              <w:rPr>
                <w:rFonts w:ascii="Arial" w:cs="Arial" w:eastAsia="Arial" w:hAnsi="Arial"/>
                <w:sz w:val="18"/>
                <w:szCs w:val="18"/>
                <w:color w:val="auto"/>
              </w:rPr>
              <w:t>357,095</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11,000</w:t>
            </w:r>
          </w:p>
        </w:tc>
        <w:tc>
          <w:tcPr>
            <w:tcW w:w="1120" w:type="dxa"/>
            <w:vAlign w:val="bottom"/>
          </w:tcPr>
          <w:p>
            <w:pPr>
              <w:jc w:val="right"/>
              <w:spacing w:after="0"/>
              <w:rPr>
                <w:sz w:val="20"/>
                <w:szCs w:val="20"/>
                <w:color w:val="auto"/>
              </w:rPr>
            </w:pPr>
            <w:r>
              <w:rPr>
                <w:rFonts w:ascii="Arial" w:cs="Arial" w:eastAsia="Arial" w:hAnsi="Arial"/>
                <w:sz w:val="18"/>
                <w:szCs w:val="18"/>
                <w:color w:val="auto"/>
              </w:rPr>
              <w:t>708,756</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46" w:lineRule="exact"/>
        <w:rPr>
          <w:sz w:val="20"/>
          <w:szCs w:val="20"/>
          <w:color w:val="auto"/>
        </w:rPr>
      </w:pPr>
    </w:p>
    <w:p>
      <w:pPr>
        <w:ind w:left="320" w:right="160" w:hanging="314"/>
        <w:spacing w:after="0" w:line="251" w:lineRule="auto"/>
        <w:tabs>
          <w:tab w:leader="none" w:pos="3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reflect the actual amount earned by each NEO under the Company’s performance-based cash incentive bonus program for 2021. Please see the description of the annual bonus program under “Cash Incentive Compensation” above.</w:t>
      </w:r>
    </w:p>
    <w:p>
      <w:pPr>
        <w:ind w:left="320" w:hanging="314"/>
        <w:spacing w:after="0" w:line="241" w:lineRule="auto"/>
        <w:tabs>
          <w:tab w:leader="none" w:pos="377"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reflect the full grant-date fair value of PSUs and stock options granted during fiscal 2021 computed in accordance with ASC Topic 718, rather than the amounts paid to or realized by the NEO. The value of the PSU awards set forth above is based on the probable outcome of the performance conditions on the grant date. We provide information regarding the assumptions used to calculate the value of all PSUs and stock options granted to our NEOs in Note 13 to the consolidated financial statements included in in our Annual Report on Form 10-K for the year ended December 31, 2021.</w:t>
      </w:r>
    </w:p>
    <w:p>
      <w:pPr>
        <w:spacing w:after="0" w:line="2" w:lineRule="exact"/>
        <w:rPr>
          <w:rFonts w:ascii="Arial" w:cs="Arial" w:eastAsia="Arial" w:hAnsi="Arial"/>
          <w:sz w:val="16"/>
          <w:szCs w:val="16"/>
          <w:color w:val="auto"/>
        </w:rPr>
      </w:pPr>
    </w:p>
    <w:p>
      <w:pPr>
        <w:ind w:left="320" w:right="80" w:hanging="314"/>
        <w:spacing w:after="0" w:line="241" w:lineRule="auto"/>
        <w:tabs>
          <w:tab w:leader="none" w:pos="3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Carnell served as our Chief Executive Officer during our full fiscal year 2021, and his employment with us terminated on December 31, 2021. Amounts in all other compensation column represent the Company’s contributions under its 401(k) plan of $11,400 and severance payments and benefits that Mr. Carnell became entitled to receive upon his termination of employment with us on December 31, 2021, consisting of: (i) continued payment of his base salary in effect as of his separation date for a period of 18 months (or $1,012,500), (ii) his target bonus for 2021 (or $675,000) and (iii) reimbursement of the employer portion of COBRA premium payments for up to 18 months following termination (with an estimated aggregate value of $23,168). Stock and option awards granted to Mr. Carnell during fiscal year 2021 were forfeited upon his termination.</w:t>
      </w:r>
    </w:p>
    <w:p>
      <w:pPr>
        <w:spacing w:after="0" w:line="4" w:lineRule="exact"/>
        <w:rPr>
          <w:rFonts w:ascii="Arial" w:cs="Arial" w:eastAsia="Arial" w:hAnsi="Arial"/>
          <w:sz w:val="16"/>
          <w:szCs w:val="16"/>
          <w:color w:val="auto"/>
        </w:rPr>
      </w:pPr>
    </w:p>
    <w:p>
      <w:pPr>
        <w:ind w:left="320" w:right="380" w:hanging="314"/>
        <w:spacing w:after="0" w:line="249" w:lineRule="auto"/>
        <w:tabs>
          <w:tab w:leader="none" w:pos="3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Ms. Pamamull commenced employment with us on August 9, 2021. Salary and non-equity incentive plan compensation for Ms. Pamamull was paid in SGD and was converted to USD using the exchange rate at December 31, 2021 of 0.73938.</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both"/>
        <w:ind w:left="320" w:right="120" w:hanging="314"/>
        <w:spacing w:after="0" w:line="254" w:lineRule="auto"/>
        <w:tabs>
          <w:tab w:leader="none" w:pos="3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Becker commenced employment with us on October 1, 2021. Salary, non-equity incentive plan compensation and all other compensation for Mr. Becker was paid in EUR and was converted to USD using the exchange rate at December 31, 2021 of 1.1324. All other compensation included Mr. Becker’s monthly car allowance pursuant to his employment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2021</w:t>
      </w:r>
    </w:p>
    <w:p>
      <w:pPr>
        <w:spacing w:after="0" w:line="22"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The following table provides supplemental information relating to grants of plan-based awards made during fiscal 2021 to help explain information provided above in our Summary Compensation Table. This table presents information regarding all grants of plan-based awards occurring during fiscal 2021:</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Estimated Future Payouts Under Non-Equity</w:t>
            </w: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Estimated Future Payouts Under</w:t>
            </w: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All Other Option</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Incentive Plan Awards (*)</w:t>
            </w:r>
          </w:p>
        </w:tc>
        <w:tc>
          <w:tcPr>
            <w:tcW w:w="2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Equity Incentive Plan Awards (1)</w:t>
            </w: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4"/>
            <w:vMerge w:val="continue"/>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restart"/>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Awards: Number</w:t>
            </w: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7"/>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88"/>
              </w:rPr>
              <w:t>of Securities</w:t>
            </w:r>
          </w:p>
        </w:tc>
        <w:tc>
          <w:tcPr>
            <w:tcW w:w="11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Exercise or</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87"/>
              </w:rPr>
              <w:t>Base Price of</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jc w:val="center"/>
              <w:ind w:right="29"/>
              <w:spacing w:after="0" w:line="159" w:lineRule="exact"/>
              <w:rPr>
                <w:sz w:val="20"/>
                <w:szCs w:val="20"/>
                <w:color w:val="auto"/>
              </w:rPr>
            </w:pPr>
            <w:r>
              <w:rPr>
                <w:rFonts w:ascii="Arial" w:cs="Arial" w:eastAsia="Arial" w:hAnsi="Arial"/>
                <w:sz w:val="14"/>
                <w:szCs w:val="14"/>
                <w:b w:val="1"/>
                <w:bCs w:val="1"/>
                <w:color w:val="auto"/>
                <w:w w:val="88"/>
              </w:rPr>
              <w:t>Target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w w:val="99"/>
              </w:rPr>
              <w:t>Threshold/Target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2"/>
              </w:rPr>
              <w:t>Option Awards</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84"/>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right"/>
              <w:ind w:right="149"/>
              <w:spacing w:after="0"/>
              <w:rPr>
                <w:sz w:val="20"/>
                <w:szCs w:val="20"/>
                <w:color w:val="auto"/>
              </w:rPr>
            </w:pPr>
            <w:r>
              <w:rPr>
                <w:rFonts w:ascii="Arial" w:cs="Arial" w:eastAsia="Arial" w:hAnsi="Arial"/>
                <w:sz w:val="14"/>
                <w:szCs w:val="14"/>
                <w:b w:val="1"/>
                <w:bCs w:val="1"/>
                <w:color w:val="auto"/>
                <w:w w:val="96"/>
              </w:rPr>
              <w:t>Threshold($)</w:t>
            </w:r>
          </w:p>
        </w:tc>
        <w:tc>
          <w:tcPr>
            <w:tcW w:w="92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110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center"/>
              <w:ind w:left="9"/>
              <w:spacing w:after="0"/>
              <w:rPr>
                <w:sz w:val="20"/>
                <w:szCs w:val="20"/>
                <w:color w:val="auto"/>
              </w:rPr>
            </w:pPr>
            <w:r>
              <w:rPr>
                <w:rFonts w:ascii="Arial" w:cs="Arial" w:eastAsia="Arial" w:hAnsi="Arial"/>
                <w:sz w:val="14"/>
                <w:szCs w:val="14"/>
                <w:b w:val="1"/>
                <w:bCs w:val="1"/>
                <w:color w:val="auto"/>
                <w:w w:val="94"/>
              </w:rPr>
              <w:t>(#) (2)</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0" w:type="dxa"/>
            <w:vAlign w:val="bottom"/>
          </w:tcPr>
          <w:p>
            <w:pPr>
              <w:spacing w:after="0"/>
              <w:rPr>
                <w:sz w:val="1"/>
                <w:szCs w:val="1"/>
                <w:color w:val="auto"/>
              </w:rPr>
            </w:pPr>
          </w:p>
        </w:tc>
      </w:tr>
      <w:tr>
        <w:trPr>
          <w:trHeight w:val="24"/>
        </w:trPr>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Clinton Carnell (4)</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5/6/2021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2,287,500</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5/6/2021</w:t>
            </w:r>
          </w:p>
        </w:tc>
        <w:tc>
          <w:tcPr>
            <w:tcW w:w="100" w:type="dxa"/>
            <w:vAlign w:val="bottom"/>
          </w:tcPr>
          <w:p>
            <w:pPr>
              <w:spacing w:after="0"/>
              <w:rPr>
                <w:sz w:val="15"/>
                <w:szCs w:val="15"/>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3,100,000</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21,266,037</w:t>
            </w:r>
          </w:p>
        </w:tc>
        <w:tc>
          <w:tcPr>
            <w:tcW w:w="0" w:type="dxa"/>
            <w:vAlign w:val="bottom"/>
          </w:tcPr>
          <w:p>
            <w:pPr>
              <w:spacing w:after="0"/>
              <w:rPr>
                <w:sz w:val="1"/>
                <w:szCs w:val="1"/>
                <w:color w:val="auto"/>
              </w:rPr>
            </w:pPr>
          </w:p>
        </w:tc>
      </w:tr>
      <w:tr>
        <w:trPr>
          <w:trHeight w:val="188"/>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270,000</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675,000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1,350,000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Liyuan Woo</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5/6/2021</w:t>
            </w:r>
          </w:p>
        </w:tc>
        <w:tc>
          <w:tcPr>
            <w:tcW w:w="100" w:type="dxa"/>
            <w:vAlign w:val="bottom"/>
          </w:tcPr>
          <w:p>
            <w:pPr>
              <w:spacing w:after="0"/>
              <w:rPr>
                <w:sz w:val="19"/>
                <w:szCs w:val="19"/>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1,143,750</w:t>
            </w: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5/6/2021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744,000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5,103,849</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99,600</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249,000</w:t>
            </w:r>
          </w:p>
        </w:tc>
        <w:tc>
          <w:tcPr>
            <w:tcW w:w="980" w:type="dxa"/>
            <w:vAlign w:val="bottom"/>
          </w:tcPr>
          <w:p>
            <w:pPr>
              <w:jc w:val="right"/>
              <w:spacing w:after="0"/>
              <w:rPr>
                <w:sz w:val="20"/>
                <w:szCs w:val="20"/>
                <w:color w:val="auto"/>
              </w:rPr>
            </w:pPr>
            <w:r>
              <w:rPr>
                <w:rFonts w:ascii="Arial" w:cs="Arial" w:eastAsia="Arial" w:hAnsi="Arial"/>
                <w:sz w:val="14"/>
                <w:szCs w:val="14"/>
                <w:color w:val="auto"/>
              </w:rPr>
              <w:t>498,000</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Indra Pamamull</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8/12/2021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2,643,750</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8/12/2021</w:t>
            </w:r>
          </w:p>
        </w:tc>
        <w:tc>
          <w:tcPr>
            <w:tcW w:w="100" w:type="dxa"/>
            <w:vAlign w:val="bottom"/>
          </w:tcPr>
          <w:p>
            <w:pPr>
              <w:spacing w:after="0"/>
              <w:rPr>
                <w:sz w:val="15"/>
                <w:szCs w:val="15"/>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372,000</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4,082,665</w:t>
            </w:r>
          </w:p>
        </w:tc>
        <w:tc>
          <w:tcPr>
            <w:tcW w:w="0" w:type="dxa"/>
            <w:vAlign w:val="bottom"/>
          </w:tcPr>
          <w:p>
            <w:pPr>
              <w:spacing w:after="0"/>
              <w:rPr>
                <w:sz w:val="1"/>
                <w:szCs w:val="1"/>
                <w:color w:val="auto"/>
              </w:rPr>
            </w:pPr>
          </w:p>
        </w:tc>
      </w:tr>
      <w:tr>
        <w:trPr>
          <w:trHeight w:val="188"/>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95,824</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239,559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479,118</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Stephan Becker</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10/1/2021</w:t>
            </w:r>
          </w:p>
        </w:tc>
        <w:tc>
          <w:tcPr>
            <w:tcW w:w="100" w:type="dxa"/>
            <w:vAlign w:val="bottom"/>
          </w:tcPr>
          <w:p>
            <w:pPr>
              <w:spacing w:after="0"/>
              <w:rPr>
                <w:sz w:val="19"/>
                <w:szCs w:val="19"/>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3,881,875</w:t>
            </w:r>
          </w:p>
        </w:tc>
        <w:tc>
          <w:tcPr>
            <w:tcW w:w="0" w:type="dxa"/>
            <w:vAlign w:val="bottom"/>
          </w:tcPr>
          <w:p>
            <w:pPr>
              <w:spacing w:after="0"/>
              <w:rPr>
                <w:sz w:val="1"/>
                <w:szCs w:val="1"/>
                <w:color w:val="auto"/>
              </w:rPr>
            </w:pPr>
          </w:p>
        </w:tc>
      </w:tr>
      <w:tr>
        <w:trPr>
          <w:trHeight w:val="186"/>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10/1/2021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5,259,211</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84,250</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210,626</w:t>
            </w:r>
          </w:p>
        </w:tc>
        <w:tc>
          <w:tcPr>
            <w:tcW w:w="980" w:type="dxa"/>
            <w:vAlign w:val="bottom"/>
          </w:tcPr>
          <w:p>
            <w:pPr>
              <w:jc w:val="right"/>
              <w:spacing w:after="0"/>
              <w:rPr>
                <w:sz w:val="20"/>
                <w:szCs w:val="20"/>
                <w:color w:val="auto"/>
              </w:rPr>
            </w:pPr>
            <w:r>
              <w:rPr>
                <w:rFonts w:ascii="Arial" w:cs="Arial" w:eastAsia="Arial" w:hAnsi="Arial"/>
                <w:sz w:val="14"/>
                <w:szCs w:val="14"/>
                <w:color w:val="auto"/>
              </w:rPr>
              <w:t>421,252</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Daniel Watson</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5/6/2021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310,000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2,126,604</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89,087</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222,718</w:t>
            </w:r>
          </w:p>
        </w:tc>
        <w:tc>
          <w:tcPr>
            <w:tcW w:w="980" w:type="dxa"/>
            <w:vAlign w:val="bottom"/>
          </w:tcPr>
          <w:p>
            <w:pPr>
              <w:jc w:val="right"/>
              <w:spacing w:after="0"/>
              <w:rPr>
                <w:sz w:val="20"/>
                <w:szCs w:val="20"/>
                <w:color w:val="auto"/>
              </w:rPr>
            </w:pPr>
            <w:r>
              <w:rPr>
                <w:rFonts w:ascii="Arial" w:cs="Arial" w:eastAsia="Arial" w:hAnsi="Arial"/>
                <w:sz w:val="14"/>
                <w:szCs w:val="14"/>
                <w:color w:val="auto"/>
              </w:rPr>
              <w:t>445,436</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ind w:left="320" w:right="280" w:hanging="314"/>
        <w:spacing w:after="0" w:line="245" w:lineRule="auto"/>
        <w:tabs>
          <w:tab w:leader="none" w:pos="33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Amounts in this column represent cash performance bonus opportunities for the named executive officers in 2021 under our annual bonus program, which is described above under “—</w:t>
      </w:r>
      <w:r>
        <w:rPr>
          <w:rFonts w:ascii="Arial" w:cs="Arial" w:eastAsia="Arial" w:hAnsi="Arial"/>
          <w:sz w:val="16"/>
          <w:szCs w:val="16"/>
          <w:i w:val="1"/>
          <w:iCs w:val="1"/>
          <w:color w:val="auto"/>
        </w:rPr>
        <w:t>Cash Incentive Compensation</w:t>
      </w:r>
      <w:r>
        <w:rPr>
          <w:rFonts w:ascii="Arial" w:cs="Arial" w:eastAsia="Arial" w:hAnsi="Arial"/>
          <w:sz w:val="16"/>
          <w:szCs w:val="16"/>
          <w:color w:val="auto"/>
        </w:rPr>
        <w:t>”</w:t>
      </w:r>
    </w:p>
    <w:p>
      <w:pPr>
        <w:ind w:left="320" w:right="400" w:hanging="314"/>
        <w:spacing w:after="0" w:line="241" w:lineRule="auto"/>
        <w:tabs>
          <w:tab w:leader="none" w:pos="3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PSUs granted under the 2021 Plan. The PSUs may be earned over a four-year performance period based on the applicable NEO’s continuation in service through the end of the performance period and the attainment of pre-determined goals related to the Company’s stock price.</w:t>
      </w:r>
    </w:p>
    <w:p>
      <w:pPr>
        <w:spacing w:after="0" w:line="1" w:lineRule="exact"/>
        <w:rPr>
          <w:rFonts w:ascii="Arial" w:cs="Arial" w:eastAsia="Arial" w:hAnsi="Arial"/>
          <w:sz w:val="16"/>
          <w:szCs w:val="16"/>
          <w:color w:val="auto"/>
        </w:rPr>
      </w:pPr>
    </w:p>
    <w:p>
      <w:pPr>
        <w:ind w:left="320" w:right="460" w:hanging="314"/>
        <w:spacing w:after="0" w:line="248" w:lineRule="auto"/>
        <w:tabs>
          <w:tab w:leader="none" w:pos="386"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Represents stock options granted pursuant to the 2021 Plan, which vest over four years, with 25% of the shares vesting on each of the first four anniversaries of the applicable grant date, subject to the applicable NEO’s continued employment with the Company through the applicable vesting date.</w:t>
      </w:r>
    </w:p>
    <w:p>
      <w:pPr>
        <w:spacing w:after="0" w:line="1" w:lineRule="exact"/>
        <w:rPr>
          <w:rFonts w:ascii="Arial" w:cs="Arial" w:eastAsia="Arial" w:hAnsi="Arial"/>
          <w:sz w:val="15"/>
          <w:szCs w:val="15"/>
          <w:color w:val="auto"/>
        </w:rPr>
      </w:pPr>
    </w:p>
    <w:p>
      <w:pPr>
        <w:ind w:left="320" w:right="80" w:hanging="314"/>
        <w:spacing w:after="0" w:line="256" w:lineRule="auto"/>
        <w:tabs>
          <w:tab w:leader="none" w:pos="37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reflect the full grant-date fair value of the PSUs or options, as applicable, granted during fiscal year 2021 in accordance with ASC Topic 718. The value of PSU awards set forth above is based on the probable outcome of the performance conditions on the grant date. We provide information regarding the assumptions used to calculate these values in Note 13 to the consolidated financial statements included in our Annual Report on Form 10-K for the year ended December 31, 2021.</w:t>
      </w:r>
    </w:p>
    <w:p>
      <w:pPr>
        <w:spacing w:after="0" w:line="1" w:lineRule="exact"/>
        <w:rPr>
          <w:rFonts w:ascii="Arial" w:cs="Arial" w:eastAsia="Arial" w:hAnsi="Arial"/>
          <w:sz w:val="14"/>
          <w:szCs w:val="14"/>
          <w:color w:val="auto"/>
        </w:rPr>
      </w:pPr>
    </w:p>
    <w:p>
      <w:pPr>
        <w:ind w:left="360" w:hanging="354"/>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Stock and option awards granted to Mr. Carnell during fiscal year 2021 were forfeited upon his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 AND GRANTS OF PLAN-BASED AWARDS TABLE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Executive Compensation Arrangements</w:t>
      </w:r>
    </w:p>
    <w:p>
      <w:pPr>
        <w:spacing w:after="0" w:line="250" w:lineRule="exact"/>
        <w:rPr>
          <w:sz w:val="20"/>
          <w:szCs w:val="20"/>
          <w:color w:val="auto"/>
        </w:rPr>
      </w:pPr>
    </w:p>
    <w:p>
      <w:pPr>
        <w:ind w:right="2760"/>
        <w:spacing w:after="0" w:line="252" w:lineRule="auto"/>
        <w:rPr>
          <w:sz w:val="20"/>
          <w:szCs w:val="20"/>
          <w:color w:val="auto"/>
        </w:rPr>
      </w:pPr>
      <w:r>
        <w:rPr>
          <w:rFonts w:ascii="Arial" w:cs="Arial" w:eastAsia="Arial" w:hAnsi="Arial"/>
          <w:sz w:val="18"/>
          <w:szCs w:val="18"/>
          <w:color w:val="auto"/>
        </w:rPr>
        <w:t>Each of our NEOs is (or, with respect to Mr. Carnell, was during 2021) party to an employment agreement or employment offer letter, as applicable, with us, as more fully described below. For information regarding the severance payments and benefits that our NEOs are eligible to receive, please see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Mr. Carnell and Ms. Woo</w:t>
      </w:r>
    </w:p>
    <w:p>
      <w:pPr>
        <w:spacing w:after="0" w:line="24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Effective May 4, 2021, the Company entered into employment agreements with each of Mr. Carnell and Ms. Woo. Pursuant to their respective employment agreements, Mr. Carnell was and Ms. Woo is entitled to (i) an annual base salary of $675,000 and $415,000, respectively, (ii) an annual cash performance bonus targeted at 100% and 60% of base salary, respectively, (iii) eligibility for annual long-term incentive awards beginning in 2022, with the form of such award and the value of such awards determined by the Compensation Committee, and (iv) eligibility to participate in the Company’s employee benefit plans on the same terms as other senior executives of the Company. Mr. Carnell’s employment agreement also provided that the Company would reimburse him for up to $50,000 in legal fees incurred by him in connection with the negotiation of his employment agreement.</w:t>
      </w:r>
    </w:p>
    <w:p>
      <w:pPr>
        <w:spacing w:after="0" w:line="17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Pursuant to their respective employment agreements, Mr. Carnell and Ms. Woo received the following one-time equity awards during 2021: (1) an award of stock options to purchase 3,100,000 shares of Company common stock and 744,000 shares of Company common stock, for Mr. Carnell and Ms. Woo, respectively, and (2) an award of performance-based restricted stock units covering 375,000 shares at maximum of Company common stock and 187,500 shares at maximum of Company common stock for Mr. Carnell and Ms. Woo, respectively. Stock and option awards granted to Mr. Carnell during fiscal year 2021 were forfeited upon his termination. For additional detail regarding the options and PSUs granted to Mr. Carnell and Ms. Woo during 2021, please see “</w:t>
      </w:r>
      <w:r>
        <w:rPr>
          <w:rFonts w:ascii="Arial" w:cs="Arial" w:eastAsia="Arial" w:hAnsi="Arial"/>
          <w:sz w:val="17"/>
          <w:szCs w:val="17"/>
          <w:i w:val="1"/>
          <w:iCs w:val="1"/>
          <w:color w:val="auto"/>
        </w:rPr>
        <w:t>Compensation Discussion and Analysis—Equity-Based Long-Term Incentive Awards.</w:t>
      </w:r>
      <w:r>
        <w:rPr>
          <w:rFonts w:ascii="Arial" w:cs="Arial" w:eastAsia="Arial" w:hAnsi="Arial"/>
          <w:sz w:val="17"/>
          <w:szCs w:val="17"/>
          <w:color w:val="auto"/>
        </w:rPr>
        <w:t>”</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their entrance into the employment agreements, each of Mr. Carnell and Ms. Woo also entered into proprietary information and inventions assignment agreements which contain indefinite confidentiality and non-disclosure restrictions, invention assignment provisions, non-competition and customer non-solicitation covenants effective during employment, and employee non-solicitation covenants effective during the applicable NEO’s employment and for up to one year following termination.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Offer Letter with Ms. Pamamull</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Effective August 9, 2021, the Company entered into an employment offer letter with Ms. Pamamull. Pursuant to her offer letter, Ms. Pamamull is entitled to</w:t>
      </w:r>
    </w:p>
    <w:p>
      <w:pPr>
        <w:spacing w:after="0" w:line="51" w:lineRule="exact"/>
        <w:rPr>
          <w:sz w:val="20"/>
          <w:szCs w:val="20"/>
          <w:color w:val="auto"/>
        </w:rPr>
      </w:pPr>
    </w:p>
    <w:p>
      <w:pPr>
        <w:ind w:firstLine="6"/>
        <w:spacing w:after="0" w:line="251" w:lineRule="auto"/>
        <w:tabs>
          <w:tab w:leader="none" w:pos="2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annual base salary of $399,265, (ii) an annual cash performance bonus targeted at 60% of base salary, and (iii) eligibility for standard employee benefits and pension benefits.</w:t>
      </w:r>
    </w:p>
    <w:p>
      <w:pPr>
        <w:spacing w:after="0" w:line="20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 connection with her commencement of employment with us, Ms. Pamamull received the following one-time equity awards during 2021: (1) an award of stock options to purchase 372,000 shares of Company common stock and (2) an award of performance-based restricted stock units covering 187,500 shares at maximum of Company common stock. For additional detail regarding the option and PSUs granted to Ms. Pamamull during 2021, please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Analysis—Equity-Based Long-Term Incentive Awards.</w:t>
      </w:r>
      <w:r>
        <w:rPr>
          <w:rFonts w:ascii="Arial" w:cs="Arial" w:eastAsia="Arial" w:hAnsi="Arial"/>
          <w:sz w:val="18"/>
          <w:szCs w:val="18"/>
          <w:color w:val="auto"/>
        </w:rPr>
        <w:t>”</w:t>
      </w:r>
    </w:p>
    <w:p>
      <w:pPr>
        <w:spacing w:after="0" w:line="21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Ms. Pamamull’s offer letter also contains indefinite confidentiality and non-disclosure restrictions, invention assignment provisions, and customer and employee non-solicitation covenants effective during her employment and for up to one year following termination.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Mr. Becker</w:t>
      </w:r>
    </w:p>
    <w:p>
      <w:pPr>
        <w:spacing w:after="0" w:line="24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Effective October 1, 2021, the Company entered into an employment agreement with Mr. Becker. Pursuant to his employment agreement, Mr. Becker is entitled to (i) an annual base salary of $351,044, (ii) an annual cash performance bonus targeted at 60% of base salary, (iii) eligibility for annual long-term incentive awards beginning in 2022, with the form of such award and the value of such awards determined by the Compensation Committee, (iv) a car allowance of $1,699 per month, and (v) eligibility for standard employee benefits.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Pursuant to his employment agreement, Mr. Becker received the following one-time equity awards during 2021: (1) an award of stock options to purchase 372,000 shares of Company common stock and (2) an award of performance-based restricted stock units covering 187,500 shares at maximum of Company common stock. For additional detail regarding the option and PSUs granted to Mr. Becker during 2021, please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Equity-Based Long-Term Incentive Awards.</w:t>
      </w:r>
      <w:r>
        <w:rPr>
          <w:rFonts w:ascii="Arial" w:cs="Arial" w:eastAsia="Arial" w:hAnsi="Arial"/>
          <w:sz w:val="18"/>
          <w:szCs w:val="18"/>
          <w:color w:val="auto"/>
        </w:rPr>
        <w:t>”</w:t>
      </w:r>
    </w:p>
    <w:p>
      <w:pPr>
        <w:spacing w:after="0" w:line="21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Mr. Becker’s employment agreement also contains indefinite confidentiality and non-disclosure restrictions, invention assignment provisions, and non-competition covenants effective during employment.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Offer Letter with Mr. Watson</w:t>
      </w:r>
    </w:p>
    <w:p>
      <w:pPr>
        <w:spacing w:after="0" w:line="2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Effective May 4, 2021, the Company entered into an employment offer letter with Mr. Watson. Pursuant to his offer letter, Mr. Watson is entitled to (i) an annual base salary of $371,197, (ii) an annual cash performance bonus targeted at 60% of base salary, (iii) eligibility for annual long-term incentive awards beginning in 2022, with the form of such award and the value of such awards determined by the Compensation Committee, and (iv) eligibility to participate in the Company’s employee benefit plans on the same terms as other similarly-situated employees of the Company.</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his offer letter, Mr. Watson received a one-time equity award during 2021 of stock options to purchase 310,000 shares of Company common stock. For additional detail regarding the option granted to Mr. Watson during 2021, please see “</w:t>
      </w:r>
      <w:r>
        <w:rPr>
          <w:rFonts w:ascii="Arial" w:cs="Arial" w:eastAsia="Arial" w:hAnsi="Arial"/>
          <w:sz w:val="18"/>
          <w:szCs w:val="18"/>
          <w:i w:val="1"/>
          <w:iCs w:val="1"/>
          <w:color w:val="auto"/>
        </w:rPr>
        <w:t>Compensation Discussion and Analysis—Equity-Based 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Awards.</w:t>
      </w:r>
      <w:r>
        <w:rPr>
          <w:rFonts w:ascii="Arial" w:cs="Arial" w:eastAsia="Arial" w:hAnsi="Arial"/>
          <w:sz w:val="18"/>
          <w:szCs w:val="18"/>
          <w:color w:val="auto"/>
        </w:rPr>
        <w:t>”</w:t>
      </w:r>
    </w:p>
    <w:p>
      <w:pPr>
        <w:spacing w:after="0" w:line="215"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In connection with his entrance into the offer letter, Mr. Watson also entered into a proprietary information and inventions assignment agreement which contains indefinite confidentiality and non-disclosure restrictions, invention assignment provisions, non-competition and customer non-solicitation covenants effective during employment, and employee non-solicitation covenants effective during his employment and for up to one year following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NEO as of December 31,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Stock Awards</w:t>
            </w: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Number of</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Number of</w:t>
            </w:r>
          </w:p>
        </w:tc>
        <w:tc>
          <w:tcPr>
            <w:tcW w:w="1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Equity Incentive Plan</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Equity Incentive Plan</w:t>
            </w:r>
          </w:p>
        </w:tc>
        <w:tc>
          <w:tcPr>
            <w:tcW w:w="1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Equity Incentive Plan Awards:</w:t>
            </w: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Securities</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0"/>
              </w:rPr>
              <w:t>Securities</w:t>
            </w:r>
          </w:p>
        </w:tc>
        <w:tc>
          <w:tcPr>
            <w:tcW w:w="13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Number of Shares</w:t>
            </w: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Market Value of</w:t>
            </w:r>
          </w:p>
        </w:tc>
        <w:tc>
          <w:tcPr>
            <w:tcW w:w="13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Underlying</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5"/>
              </w:rPr>
              <w:t>Underlying</w:t>
            </w:r>
          </w:p>
        </w:tc>
        <w:tc>
          <w:tcPr>
            <w:tcW w:w="13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5"/>
              </w:rPr>
              <w:t>Awards: Number of</w:t>
            </w:r>
          </w:p>
        </w:tc>
        <w:tc>
          <w:tcPr>
            <w:tcW w:w="74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Option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Option</w:t>
            </w:r>
          </w:p>
        </w:tc>
        <w:tc>
          <w:tcPr>
            <w:tcW w:w="10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3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3"/>
              </w:rPr>
              <w:t>Awards: Number of</w:t>
            </w:r>
          </w:p>
        </w:tc>
        <w:tc>
          <w:tcPr>
            <w:tcW w:w="17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4"/>
              </w:rPr>
              <w:t>Market or Payout Value of</w:t>
            </w: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Unexercised</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Unexercised</w:t>
            </w:r>
          </w:p>
        </w:tc>
        <w:tc>
          <w:tcPr>
            <w:tcW w:w="13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Securities Underlying</w:t>
            </w:r>
          </w:p>
        </w:tc>
        <w:tc>
          <w:tcPr>
            <w:tcW w:w="7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3"/>
              </w:rPr>
              <w:t>or Units of Stock</w:t>
            </w:r>
          </w:p>
        </w:tc>
        <w:tc>
          <w:tcPr>
            <w:tcW w:w="10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94"/>
              </w:rPr>
              <w:t>Shares or Units of</w:t>
            </w:r>
          </w:p>
        </w:tc>
        <w:tc>
          <w:tcPr>
            <w:tcW w:w="13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1"/>
              </w:rPr>
              <w:t>Unearned Shares, Units</w:t>
            </w:r>
          </w:p>
        </w:tc>
        <w:tc>
          <w:tcPr>
            <w:tcW w:w="17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Unearned Shares, Units or</w:t>
            </w:r>
          </w:p>
        </w:tc>
        <w:tc>
          <w:tcPr>
            <w:tcW w:w="0" w:type="dxa"/>
            <w:vAlign w:val="bottom"/>
          </w:tcPr>
          <w:p>
            <w:pPr>
              <w:spacing w:after="0"/>
              <w:rPr>
                <w:sz w:val="1"/>
                <w:szCs w:val="1"/>
                <w:color w:val="auto"/>
              </w:rPr>
            </w:pPr>
          </w:p>
        </w:tc>
      </w:tr>
      <w:tr>
        <w:trPr>
          <w:trHeight w:val="119"/>
        </w:trPr>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1"/>
              </w:rPr>
              <w:t>Options (#)</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4"/>
              </w:rPr>
              <w:t>Options (#)</w:t>
            </w:r>
          </w:p>
        </w:tc>
        <w:tc>
          <w:tcPr>
            <w:tcW w:w="13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0"/>
              </w:rPr>
              <w:t>Unexercised Unearned</w:t>
            </w:r>
          </w:p>
        </w:tc>
        <w:tc>
          <w:tcPr>
            <w:tcW w:w="740" w:type="dxa"/>
            <w:vAlign w:val="bottom"/>
          </w:tcPr>
          <w:p>
            <w:pPr>
              <w:jc w:val="right"/>
              <w:ind w:right="113"/>
              <w:spacing w:after="0" w:line="120" w:lineRule="exact"/>
              <w:rPr>
                <w:sz w:val="20"/>
                <w:szCs w:val="20"/>
                <w:color w:val="auto"/>
              </w:rPr>
            </w:pPr>
            <w:r>
              <w:rPr>
                <w:rFonts w:ascii="Arial" w:cs="Arial" w:eastAsia="Arial" w:hAnsi="Arial"/>
                <w:sz w:val="12"/>
                <w:szCs w:val="12"/>
                <w:b w:val="1"/>
                <w:bCs w:val="1"/>
                <w:color w:val="auto"/>
              </w:rPr>
              <w:t>Exercise</w:t>
            </w:r>
          </w:p>
        </w:tc>
        <w:tc>
          <w:tcPr>
            <w:tcW w:w="900" w:type="dxa"/>
            <w:vAlign w:val="bottom"/>
            <w:gridSpan w:val="2"/>
          </w:tcPr>
          <w:p>
            <w:pPr>
              <w:jc w:val="center"/>
              <w:ind w:right="140"/>
              <w:spacing w:after="0" w:line="120" w:lineRule="exact"/>
              <w:rPr>
                <w:sz w:val="20"/>
                <w:szCs w:val="20"/>
                <w:color w:val="auto"/>
              </w:rPr>
            </w:pPr>
            <w:r>
              <w:rPr>
                <w:rFonts w:ascii="Arial" w:cs="Arial" w:eastAsia="Arial" w:hAnsi="Arial"/>
                <w:sz w:val="12"/>
                <w:szCs w:val="12"/>
                <w:b w:val="1"/>
                <w:bCs w:val="1"/>
                <w:color w:val="auto"/>
                <w:w w:val="95"/>
              </w:rPr>
              <w:t>Expiration</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That Have Not</w:t>
            </w:r>
          </w:p>
        </w:tc>
        <w:tc>
          <w:tcPr>
            <w:tcW w:w="10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4"/>
              </w:rPr>
              <w:t>Stock That Have</w:t>
            </w:r>
          </w:p>
        </w:tc>
        <w:tc>
          <w:tcPr>
            <w:tcW w:w="13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5"/>
              </w:rPr>
              <w:t>or Other Rights That</w:t>
            </w:r>
          </w:p>
        </w:tc>
        <w:tc>
          <w:tcPr>
            <w:tcW w:w="17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Other Rights That Have Not</w:t>
            </w:r>
          </w:p>
        </w:tc>
        <w:tc>
          <w:tcPr>
            <w:tcW w:w="0" w:type="dxa"/>
            <w:vAlign w:val="bottom"/>
          </w:tcPr>
          <w:p>
            <w:pPr>
              <w:spacing w:after="0"/>
              <w:rPr>
                <w:sz w:val="1"/>
                <w:szCs w:val="1"/>
                <w:color w:val="auto"/>
              </w:rPr>
            </w:pPr>
          </w:p>
        </w:tc>
      </w:tr>
      <w:tr>
        <w:trPr>
          <w:trHeight w:val="167"/>
        </w:trPr>
        <w:tc>
          <w:tcPr>
            <w:tcW w:w="106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2"/>
              </w:rPr>
              <w:t>Exercisable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2"/>
              </w:rPr>
              <w:t>Unexercisable (1)</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1"/>
              </w:rPr>
              <w:t>Options (#)</w:t>
            </w:r>
          </w:p>
        </w:tc>
        <w:tc>
          <w:tcPr>
            <w:tcW w:w="740" w:type="dxa"/>
            <w:vAlign w:val="bottom"/>
          </w:tcPr>
          <w:p>
            <w:pPr>
              <w:jc w:val="right"/>
              <w:ind w:right="113"/>
              <w:spacing w:after="0"/>
              <w:rPr>
                <w:sz w:val="20"/>
                <w:szCs w:val="20"/>
                <w:color w:val="auto"/>
              </w:rPr>
            </w:pPr>
            <w:r>
              <w:rPr>
                <w:rFonts w:ascii="Arial" w:cs="Arial" w:eastAsia="Arial" w:hAnsi="Arial"/>
                <w:sz w:val="12"/>
                <w:szCs w:val="12"/>
                <w:b w:val="1"/>
                <w:bCs w:val="1"/>
                <w:color w:val="auto"/>
              </w:rPr>
              <w:t>Price ($)</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Date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0"/>
              </w:rPr>
              <w:t>Vested (#)</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1"/>
              </w:rPr>
              <w:t>Not Vested ($)</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4"/>
              </w:rPr>
              <w:t>Have Not Vested (#)(2)</w:t>
            </w: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4"/>
              </w:rPr>
              <w:t>Vested ($)(3)</w:t>
            </w:r>
          </w:p>
        </w:tc>
        <w:tc>
          <w:tcPr>
            <w:tcW w:w="0" w:type="dxa"/>
            <w:vAlign w:val="bottom"/>
          </w:tcPr>
          <w:p>
            <w:pPr>
              <w:spacing w:after="0"/>
              <w:rPr>
                <w:sz w:val="1"/>
                <w:szCs w:val="1"/>
                <w:color w:val="auto"/>
              </w:rPr>
            </w:pPr>
          </w:p>
        </w:tc>
      </w:tr>
      <w:tr>
        <w:trPr>
          <w:trHeight w:val="148"/>
        </w:trPr>
        <w:tc>
          <w:tcPr>
            <w:tcW w:w="10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Clinton Carnell</w:t>
            </w:r>
          </w:p>
        </w:tc>
        <w:tc>
          <w:tcPr>
            <w:tcW w:w="10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w:t>
            </w: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3,100,000</w:t>
            </w:r>
          </w:p>
        </w:tc>
        <w:tc>
          <w:tcPr>
            <w:tcW w:w="13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12.85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5/6/2031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7,248,000</w:t>
            </w:r>
          </w:p>
        </w:tc>
        <w:tc>
          <w:tcPr>
            <w:tcW w:w="0" w:type="dxa"/>
            <w:vAlign w:val="bottom"/>
          </w:tcPr>
          <w:p>
            <w:pPr>
              <w:spacing w:after="0"/>
              <w:rPr>
                <w:sz w:val="1"/>
                <w:szCs w:val="1"/>
                <w:color w:val="auto"/>
              </w:rPr>
            </w:pPr>
          </w:p>
        </w:tc>
      </w:tr>
      <w:tr>
        <w:trPr>
          <w:trHeight w:val="163"/>
        </w:trPr>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Liyuan</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Woo</w:t>
            </w: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744,000</w:t>
            </w:r>
          </w:p>
        </w:tc>
        <w:tc>
          <w:tcPr>
            <w:tcW w:w="1380" w:type="dxa"/>
            <w:vAlign w:val="bottom"/>
          </w:tcPr>
          <w:p>
            <w:pPr>
              <w:ind w:left="1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12.85</w:t>
            </w:r>
          </w:p>
        </w:tc>
        <w:tc>
          <w:tcPr>
            <w:tcW w:w="800" w:type="dxa"/>
            <w:vAlign w:val="bottom"/>
          </w:tcPr>
          <w:p>
            <w:pPr>
              <w:jc w:val="right"/>
              <w:spacing w:after="0"/>
              <w:rPr>
                <w:sz w:val="20"/>
                <w:szCs w:val="20"/>
                <w:color w:val="auto"/>
              </w:rPr>
            </w:pPr>
            <w:r>
              <w:rPr>
                <w:rFonts w:ascii="Arial" w:cs="Arial" w:eastAsia="Arial" w:hAnsi="Arial"/>
                <w:sz w:val="14"/>
                <w:szCs w:val="14"/>
                <w:color w:val="auto"/>
              </w:rPr>
              <w:t>5/6/2031</w:t>
            </w:r>
          </w:p>
        </w:tc>
        <w:tc>
          <w:tcPr>
            <w:tcW w:w="10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187,500</w:t>
            </w:r>
          </w:p>
        </w:tc>
        <w:tc>
          <w:tcPr>
            <w:tcW w:w="1720" w:type="dxa"/>
            <w:vAlign w:val="bottom"/>
          </w:tcPr>
          <w:p>
            <w:pPr>
              <w:jc w:val="right"/>
              <w:spacing w:after="0"/>
              <w:rPr>
                <w:sz w:val="20"/>
                <w:szCs w:val="20"/>
                <w:color w:val="auto"/>
              </w:rPr>
            </w:pPr>
            <w:r>
              <w:rPr>
                <w:rFonts w:ascii="Arial" w:cs="Arial" w:eastAsia="Arial" w:hAnsi="Arial"/>
                <w:sz w:val="14"/>
                <w:szCs w:val="14"/>
                <w:color w:val="auto"/>
              </w:rPr>
              <w:t>3,624,000</w:t>
            </w:r>
          </w:p>
        </w:tc>
        <w:tc>
          <w:tcPr>
            <w:tcW w:w="0" w:type="dxa"/>
            <w:vAlign w:val="bottom"/>
          </w:tcPr>
          <w:p>
            <w:pPr>
              <w:spacing w:after="0"/>
              <w:rPr>
                <w:sz w:val="1"/>
                <w:szCs w:val="1"/>
                <w:color w:val="auto"/>
              </w:rPr>
            </w:pPr>
          </w:p>
        </w:tc>
      </w:tr>
      <w:tr>
        <w:trPr>
          <w:trHeight w:val="204"/>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7"/>
              </w:rPr>
              <w:t>Indra Pamamull</w:t>
            </w: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372,000</w:t>
            </w:r>
          </w:p>
        </w:tc>
        <w:tc>
          <w:tcPr>
            <w:tcW w:w="13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20.63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8/12/2031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3,624,000</w:t>
            </w:r>
          </w:p>
        </w:tc>
        <w:tc>
          <w:tcPr>
            <w:tcW w:w="0" w:type="dxa"/>
            <w:vAlign w:val="bottom"/>
          </w:tcPr>
          <w:p>
            <w:pPr>
              <w:spacing w:after="0"/>
              <w:rPr>
                <w:sz w:val="1"/>
                <w:szCs w:val="1"/>
                <w:color w:val="auto"/>
              </w:rPr>
            </w:pPr>
          </w:p>
        </w:tc>
      </w:tr>
      <w:tr>
        <w:trPr>
          <w:trHeight w:val="193"/>
        </w:trPr>
        <w:tc>
          <w:tcPr>
            <w:tcW w:w="1060" w:type="dxa"/>
            <w:vAlign w:val="bottom"/>
          </w:tcPr>
          <w:p>
            <w:pPr>
              <w:ind w:left="20"/>
              <w:spacing w:after="0"/>
              <w:rPr>
                <w:sz w:val="20"/>
                <w:szCs w:val="20"/>
                <w:color w:val="auto"/>
              </w:rPr>
            </w:pPr>
            <w:r>
              <w:rPr>
                <w:rFonts w:ascii="Arial" w:cs="Arial" w:eastAsia="Arial" w:hAnsi="Arial"/>
                <w:sz w:val="14"/>
                <w:szCs w:val="14"/>
                <w:b w:val="1"/>
                <w:bCs w:val="1"/>
                <w:color w:val="auto"/>
                <w:w w:val="96"/>
              </w:rPr>
              <w:t>Stephan Becker</w:t>
            </w: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372,000</w:t>
            </w:r>
          </w:p>
        </w:tc>
        <w:tc>
          <w:tcPr>
            <w:tcW w:w="1380" w:type="dxa"/>
            <w:vAlign w:val="bottom"/>
          </w:tcPr>
          <w:p>
            <w:pPr>
              <w:ind w:left="1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26.50</w:t>
            </w:r>
          </w:p>
        </w:tc>
        <w:tc>
          <w:tcPr>
            <w:tcW w:w="800" w:type="dxa"/>
            <w:vAlign w:val="bottom"/>
          </w:tcPr>
          <w:p>
            <w:pPr>
              <w:jc w:val="right"/>
              <w:spacing w:after="0"/>
              <w:rPr>
                <w:sz w:val="20"/>
                <w:szCs w:val="20"/>
                <w:color w:val="auto"/>
              </w:rPr>
            </w:pPr>
            <w:r>
              <w:rPr>
                <w:rFonts w:ascii="Arial" w:cs="Arial" w:eastAsia="Arial" w:hAnsi="Arial"/>
                <w:sz w:val="14"/>
                <w:szCs w:val="14"/>
                <w:color w:val="auto"/>
              </w:rPr>
              <w:t>10/1/2031</w:t>
            </w:r>
          </w:p>
        </w:tc>
        <w:tc>
          <w:tcPr>
            <w:tcW w:w="100" w:type="dxa"/>
            <w:vAlign w:val="bottom"/>
          </w:tcPr>
          <w:p>
            <w:pPr>
              <w:spacing w:after="0"/>
              <w:rPr>
                <w:sz w:val="16"/>
                <w:szCs w:val="16"/>
                <w:color w:val="auto"/>
              </w:rPr>
            </w:pPr>
          </w:p>
        </w:tc>
        <w:tc>
          <w:tcPr>
            <w:tcW w:w="1040" w:type="dxa"/>
            <w:vAlign w:val="bottom"/>
          </w:tcPr>
          <w:p>
            <w:pPr>
              <w:ind w:left="8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187,500</w:t>
            </w:r>
          </w:p>
        </w:tc>
        <w:tc>
          <w:tcPr>
            <w:tcW w:w="1720" w:type="dxa"/>
            <w:vAlign w:val="bottom"/>
          </w:tcPr>
          <w:p>
            <w:pPr>
              <w:jc w:val="right"/>
              <w:spacing w:after="0"/>
              <w:rPr>
                <w:sz w:val="20"/>
                <w:szCs w:val="20"/>
                <w:color w:val="auto"/>
              </w:rPr>
            </w:pPr>
            <w:r>
              <w:rPr>
                <w:rFonts w:ascii="Arial" w:cs="Arial" w:eastAsia="Arial" w:hAnsi="Arial"/>
                <w:sz w:val="14"/>
                <w:szCs w:val="14"/>
                <w:color w:val="auto"/>
              </w:rPr>
              <w:t>3,624,000</w:t>
            </w:r>
          </w:p>
        </w:tc>
        <w:tc>
          <w:tcPr>
            <w:tcW w:w="0" w:type="dxa"/>
            <w:vAlign w:val="bottom"/>
          </w:tcPr>
          <w:p>
            <w:pPr>
              <w:spacing w:after="0"/>
              <w:rPr>
                <w:sz w:val="1"/>
                <w:szCs w:val="1"/>
                <w:color w:val="auto"/>
              </w:rPr>
            </w:pPr>
          </w:p>
        </w:tc>
      </w:tr>
      <w:tr>
        <w:trPr>
          <w:trHeight w:val="204"/>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Daniel Watson</w:t>
            </w:r>
          </w:p>
        </w:tc>
        <w:tc>
          <w:tcPr>
            <w:tcW w:w="10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310,000</w:t>
            </w:r>
          </w:p>
        </w:tc>
        <w:tc>
          <w:tcPr>
            <w:tcW w:w="13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12.85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5/6/2031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47" w:lineRule="exact"/>
        <w:rPr>
          <w:sz w:val="20"/>
          <w:szCs w:val="20"/>
          <w:color w:val="auto"/>
        </w:rPr>
      </w:pPr>
    </w:p>
    <w:p>
      <w:pPr>
        <w:ind w:left="320" w:hanging="314"/>
        <w:spacing w:after="0" w:line="244" w:lineRule="auto"/>
        <w:tabs>
          <w:tab w:leader="none" w:pos="346"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Represents stock options granted pursuant to the 2021 Plan that vest over four years, with 25% of the shares vesting on each of the first four anniversaries of the applicable grant date (which was March 6, 2021 for each of Messrs. Carnell and Watson and Ms. Woo, August 12, 2021 for Ms. Pamamull, and October 1, 2021 for Mr. Becker), subject to continued employment with the Company through the applicable vesting date. Such stock options are also subject to accelerated vesting in certain circumstances, as described below under “</w:t>
      </w:r>
      <w:r>
        <w:rPr>
          <w:rFonts w:ascii="Arial" w:cs="Arial" w:eastAsia="Arial" w:hAnsi="Arial"/>
          <w:sz w:val="15"/>
          <w:szCs w:val="15"/>
          <w:i w:val="1"/>
          <w:iCs w:val="1"/>
          <w:color w:val="auto"/>
        </w:rPr>
        <w:t>—Potential Payments Upon Termination or Change in Control—Accelerated Vesting of Equity Awards.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320" w:right="120" w:hanging="314"/>
        <w:spacing w:after="0" w:line="239" w:lineRule="auto"/>
        <w:tabs>
          <w:tab w:leader="none" w:pos="386"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Represents PSUs granted under the 2021 Plan that may be earned over a four-year performance period ending December 31, 2024 based on each NEO’s continuation in service through the end of the performance period and the attainment of pre-determined goals related to the Company’s stock price. For additional information, see “</w:t>
      </w:r>
      <w:r>
        <w:rPr>
          <w:rFonts w:ascii="Arial" w:cs="Arial" w:eastAsia="Arial" w:hAnsi="Arial"/>
          <w:sz w:val="15"/>
          <w:szCs w:val="15"/>
          <w:i w:val="1"/>
          <w:iCs w:val="1"/>
          <w:color w:val="auto"/>
        </w:rPr>
        <w:t>Compensation Discussion and Analysis—Equity-Based Long-Term Incentive Awards</w:t>
      </w:r>
      <w:r>
        <w:rPr>
          <w:rFonts w:ascii="Arial" w:cs="Arial" w:eastAsia="Arial" w:hAnsi="Arial"/>
          <w:sz w:val="15"/>
          <w:szCs w:val="15"/>
          <w:color w:val="auto"/>
        </w:rPr>
        <w:t>” above. Such PSUs are also subject to accelerated vesting in certain circumstances, as described below under “—</w:t>
      </w:r>
      <w:r>
        <w:rPr>
          <w:rFonts w:ascii="Arial" w:cs="Arial" w:eastAsia="Arial" w:hAnsi="Arial"/>
          <w:sz w:val="15"/>
          <w:szCs w:val="15"/>
          <w:i w:val="1"/>
          <w:iCs w:val="1"/>
          <w:color w:val="auto"/>
        </w:rPr>
        <w:t>Potential Payments Upon Termination or Change in Control—Accelerated Vesting of Equity Awards.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320" w:right="100" w:hanging="314"/>
        <w:spacing w:after="0" w:line="224" w:lineRule="auto"/>
        <w:tabs>
          <w:tab w:leader="none" w:pos="3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market value of unvested PSUs is calculated assuming stretch performance and based on the closing price of our common stock ($24.16) as reported on The Nasdaq Capital Market on December 31, 2021.</w:t>
      </w:r>
    </w:p>
    <w:p>
      <w:pPr>
        <w:spacing w:after="0" w:line="1" w:lineRule="exact"/>
        <w:rPr>
          <w:rFonts w:ascii="Arial" w:cs="Arial" w:eastAsia="Arial" w:hAnsi="Arial"/>
          <w:sz w:val="16"/>
          <w:szCs w:val="16"/>
          <w:color w:val="auto"/>
        </w:rPr>
      </w:pPr>
    </w:p>
    <w:p>
      <w:pPr>
        <w:ind w:left="360" w:hanging="354"/>
        <w:spacing w:after="0"/>
        <w:tabs>
          <w:tab w:leader="none" w:pos="3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Stock and option awards granted to Mr. Carnell during fiscal year 2021 were forfeited upon his termination.</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following summarizes the potential payments and benefits that would be made to our NEOs upon certain qualifying terminations of their employment with the Company. We are party to an employment agreement with Ms. Woo which provides for certain severance protections, and each of Messrs. Becker and Watson and Ms. Pamamull participate in our Executive Severance Plan. The severance payments and benefits provided by such employment agreement and our Executive Severance Plan are more fully described below.</w:t>
      </w:r>
    </w:p>
    <w:p>
      <w:pPr>
        <w:spacing w:after="0" w:line="263" w:lineRule="exact"/>
        <w:rPr>
          <w:sz w:val="20"/>
          <w:szCs w:val="20"/>
          <w:color w:val="auto"/>
        </w:rPr>
      </w:pPr>
    </w:p>
    <w:p>
      <w:pPr>
        <w:ind w:right="100"/>
        <w:spacing w:after="0" w:line="365" w:lineRule="auto"/>
        <w:rPr>
          <w:sz w:val="20"/>
          <w:szCs w:val="20"/>
          <w:color w:val="auto"/>
        </w:rPr>
      </w:pPr>
      <w:r>
        <w:rPr>
          <w:rFonts w:ascii="Arial" w:cs="Arial" w:eastAsia="Arial" w:hAnsi="Arial"/>
          <w:sz w:val="15"/>
          <w:szCs w:val="15"/>
          <w:color w:val="auto"/>
        </w:rPr>
        <w:t>We were party to an employment agreement with Mr. Carnell during 2021. In connection with Mr. Carnell’s separation from employment with the Company on December 31, 2021, his employment agreement terminated and he became entitled to certain severance payments and benefits, as further described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Ms. Woo</w:t>
      </w:r>
    </w:p>
    <w:p>
      <w:pPr>
        <w:spacing w:after="0" w:line="24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her employment agreement, if Ms. Woo’s employment is terminated before or more than twelve months after a “change in control” by the Company (as defined in the 2021 Plan) without “cause” or by Ms. Woo for “good reason” (each as defined in her employment agreement), she will be entitled to the following: (i) any earned, but unpaid annual bonus for the year prior to the year of termination, (ii) continued payment of her base salary for 18 months following termination, (iii) a prorated target annual bonus for the year of termination, and (iv) reimbursement of the employer portion of COBRA premium payments for up to 18 months following termination (collectively, the “Severance Benefits”).</w:t>
      </w:r>
    </w:p>
    <w:p>
      <w:pPr>
        <w:spacing w:after="0" w:line="207"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If, within 12 months following the consummation of a “change in control” of the Company, Ms. Woo’s employment is terminated by the Company without “cause” or by Ms. Woo for “good reason”, she will be entitled to receive the Severance Benefits, along with a cash payment equal to one and one-half (1.5) times her target annual bonus for the year of termination.</w:t>
      </w: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Ms. Woo’s employment is terminated due to her death or “disability” (as defined in her employment agreement) she (or her estate, as applicable) will receive a lump sum cash payment equal to her prorated target annual bonus for the year of termination, and any earned, but unpaid annual bonus for the year prior to the year of termination.</w:t>
      </w:r>
    </w:p>
    <w:p>
      <w:pPr>
        <w:spacing w:after="0" w:line="21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Ms. Woo’s right to receive the foregoing severance payments and benefits is contingent upon her execution and non-revocation of a general release of claims in favor of the Company. Her employment agreement also includes a Section 280G “best pay” provision, which provides that if any amount received by her pursuant to the agreement or otherwise that would be subject to the excise tax imposed by Section 4999 of the Code, she would receive the full amount of the payments and benefits or an amount reduced so that no portion would be subject to the excise tax, whichever would result in the largest payment to her on an after-tax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244"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Each of Messrs. Becker and Watson and Ms. Pamamull participate in our Executive Severance Plan, which provides that upon a termination of the applicable NEO’s employment without “cause” or for “good reason” (each as defined in the Executive Severance Plan) before or more than twelve months after a “change in control” by the Company (as defined in the 2021 Plan), the NEO will be entitled to: (1) continued payment of his or her base salary for 12 months (or, for Ms. Pamamull, six months) following termination, (2) a prorated target annual bonus for the year of termination, and (3) reimbursement of the employer portion of COBRA premium payments for 12 months (or, for Ms. Pamamull, six months) following termination.</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within 12 months following the consummation of a “change in control” of the Company, the applicable NEO’s employment is terminated without “cause” or for “good reason”, the NEO will be entitled to receive the same severance benefits outlined above, along with a cash payment equal to 100% (or, for Ms. Pamamull, 50%) of the NEO’s target annual bonus for the year of termination.</w:t>
      </w:r>
    </w:p>
    <w:p>
      <w:pPr>
        <w:spacing w:after="0" w:line="2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severance payments and benefits under the Executive Severance Plan are subject to the applicable NEO’s execution of a release of claims in favor of us. The Executive Severance Plan also includes a Section 280G “best pay” provision, which provides that if any amount received by the NEO pursuant to the Executive Severance Plan or otherwise that would be subject to the excise tax imposed by Section 4999 of the Code, the NEO would receive the full amount of the payments and benefits or an amount reduced so that no portion would be subject to the excise tax, whichever would result in the largest payment to the NEO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Carnell’s Severance Benefits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his separation from employment with us on December 31, 2021, Mr. Carnell became entitled to the following severance payments and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benefits: (i) continued payment of his base salary in effect as of his separation date for a period of 18 months (representing an aggregate amount equal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$1,012,500), (ii) his target bonus for 2021 (which was equal to $675,000), and (iii) reimbursement of the employer portion of COBRA premium payments for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up to 18 months following termination (valued at $23,168). Such severance payments and benefits were contingent upon Mr. Carnell’s execution and non-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revocation of a general release of claims in favor of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Equity Awards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Our NEOs are entitled to accelerated vesting of their stock options and PSUs upon certain terminations of employment, as described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Upon an NEO’s termination of employment with us due to his or her death or “disability” or, if a “change in control” of the Company is consummated after May 4, 2022 and an NEO’s employment is terminated by us without “cause” or due to such NEO’s resignation for “good reason,” in either case, within 12 months following the consummation of the change in control, his or her options will immediately vest in full. In addition, the stock options held by each of our NEOs other than Mr. Carnell and Ms. Woo provide that if a change in control of the Company occurs prior to May 4, 2022 (or pursuant to a binding agreement entered into prior to May 4, 2022) and the applicable NEO’s employment is terminated by us without “cause” or due to such NEO’s resignation for “good reason,” in either case, within 12 months following the consummation of the change in control, the option will vest pro-rata through the date of such termination (as if such option had originally been subject to monthly, rather than annual, vesting). Any accelerated vesting applicable to the NEOs’ stock options is subject to the applicable NEO’s execution of a release of claims in favor of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24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the event that a “change in control” of the Company is consummated during the four-year performance period applicable to our NEOs’ PSUs and the applicable NEO remains in employment with us until at least immediately prior to such change in control, then (i) if the underlying shares are not publicly traded following the consummation of the change in control and there is not an “assumption” of the PSUs, then a number of PSUs will vest upon the change in control based on the per-share consideration paid (or payable) in connection with the change in control (or, if the change in control is consummated after the third anniversary of the applicable vesting commencement date, based on the Company’s average stock price during the 90-day period ending on the third anniversary of the vesting commencement date (if greater)); and (ii) if the underlying shares are not publicly traded following the consummation of the change in control and there is an “assumption” of the PSUs, the PSUs will convert into a number of unvested restricted stock units based on per-share consideration paid (or payable) in connection with the change in control (or, if the change in control is consummated after the third anniversary of the applicable vesting commencement date, based on the Company’s average stock price during the 90-day period ending on the third anniversary of the vesting commencement date (if greater)). The unvested restricted stock units (as so assumed and adjusted) would remain outstanding and eligible to vest on the last day of the performance period, subject to the NEO’s continued service through the applicable vesting date.</w:t>
      </w:r>
    </w:p>
    <w:p>
      <w:pPr>
        <w:spacing w:after="0" w:line="40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event the NEO’s service with the Company terminates prior to the last day of the performance period, the PSUs will vest or be forfeited as follow (with any vesting subject to the applicable NEO’s execution of a release of claims in favor of us):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Reason for Termination</w:t>
            </w:r>
          </w:p>
        </w:tc>
        <w:tc>
          <w:tcPr>
            <w:tcW w:w="3740" w:type="dxa"/>
            <w:vAlign w:val="bottom"/>
            <w:tcBorders>
              <w:top w:val="single" w:sz="8" w:color="auto"/>
              <w:right w:val="single" w:sz="8" w:color="auto"/>
            </w:tcBorders>
          </w:tcPr>
          <w:p>
            <w:pPr>
              <w:spacing w:after="0" w:line="217" w:lineRule="exact"/>
              <w:rPr>
                <w:sz w:val="20"/>
                <w:szCs w:val="20"/>
                <w:color w:val="auto"/>
              </w:rPr>
            </w:pPr>
            <w:r>
              <w:rPr>
                <w:rFonts w:ascii="Arial" w:cs="Arial" w:eastAsia="Arial" w:hAnsi="Arial"/>
                <w:sz w:val="18"/>
                <w:szCs w:val="18"/>
                <w:b w:val="1"/>
                <w:bCs w:val="1"/>
                <w:color w:val="auto"/>
                <w:w w:val="90"/>
              </w:rPr>
              <w:t>If Termination Occurs Before 3</w:t>
            </w:r>
            <w:r>
              <w:rPr>
                <w:rFonts w:ascii="Arial" w:cs="Arial" w:eastAsia="Arial" w:hAnsi="Arial"/>
                <w:sz w:val="22"/>
                <w:szCs w:val="22"/>
                <w:b w:val="1"/>
                <w:bCs w:val="1"/>
                <w:color w:val="auto"/>
                <w:w w:val="90"/>
                <w:vertAlign w:val="superscript"/>
              </w:rPr>
              <w:t>rd</w:t>
            </w:r>
            <w:r>
              <w:rPr>
                <w:rFonts w:ascii="Arial" w:cs="Arial" w:eastAsia="Arial" w:hAnsi="Arial"/>
                <w:sz w:val="18"/>
                <w:szCs w:val="18"/>
                <w:b w:val="1"/>
                <w:bCs w:val="1"/>
                <w:color w:val="auto"/>
                <w:w w:val="90"/>
              </w:rPr>
              <w:t xml:space="preserve"> Anniversary of</w:t>
            </w:r>
          </w:p>
        </w:tc>
        <w:tc>
          <w:tcPr>
            <w:tcW w:w="3720" w:type="dxa"/>
            <w:vAlign w:val="bottom"/>
            <w:tcBorders>
              <w:top w:val="single" w:sz="8" w:color="auto"/>
              <w:right w:val="single" w:sz="8" w:color="auto"/>
            </w:tcBorders>
          </w:tcPr>
          <w:p>
            <w:pPr>
              <w:spacing w:after="0" w:line="217" w:lineRule="exact"/>
              <w:rPr>
                <w:sz w:val="20"/>
                <w:szCs w:val="20"/>
                <w:color w:val="auto"/>
              </w:rPr>
            </w:pPr>
            <w:r>
              <w:rPr>
                <w:rFonts w:ascii="Arial" w:cs="Arial" w:eastAsia="Arial" w:hAnsi="Arial"/>
                <w:sz w:val="18"/>
                <w:szCs w:val="18"/>
                <w:b w:val="1"/>
                <w:bCs w:val="1"/>
                <w:color w:val="auto"/>
              </w:rPr>
              <w:t>If Termination Occurs On or After 3</w:t>
            </w:r>
            <w:r>
              <w:rPr>
                <w:rFonts w:ascii="Arial" w:cs="Arial" w:eastAsia="Arial" w:hAnsi="Arial"/>
                <w:sz w:val="22"/>
                <w:szCs w:val="22"/>
                <w:b w:val="1"/>
                <w:bCs w:val="1"/>
                <w:color w:val="auto"/>
                <w:vertAlign w:val="superscript"/>
              </w:rPr>
              <w:t>rd</w:t>
            </w:r>
          </w:p>
        </w:tc>
        <w:tc>
          <w:tcPr>
            <w:tcW w:w="40" w:type="dxa"/>
            <w:vAlign w:val="bottom"/>
          </w:tcPr>
          <w:p>
            <w:pPr>
              <w:spacing w:after="0"/>
              <w:rPr>
                <w:sz w:val="18"/>
                <w:szCs w:val="18"/>
                <w:color w:val="auto"/>
              </w:rPr>
            </w:pPr>
          </w:p>
        </w:tc>
      </w:tr>
      <w:tr>
        <w:trPr>
          <w:trHeight w:val="202"/>
        </w:trPr>
        <w:tc>
          <w:tcPr>
            <w:tcW w:w="374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95"/>
              </w:rPr>
              <w:t>the Applicable Vesting Commencement Date,</w:t>
            </w:r>
          </w:p>
        </w:tc>
        <w:tc>
          <w:tcPr>
            <w:tcW w:w="37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94"/>
              </w:rPr>
              <w:t>Anniversary of, but before 4</w:t>
            </w:r>
            <w:r>
              <w:rPr>
                <w:rFonts w:ascii="Arial" w:cs="Arial" w:eastAsia="Arial" w:hAnsi="Arial"/>
                <w:sz w:val="22"/>
                <w:szCs w:val="22"/>
                <w:b w:val="1"/>
                <w:bCs w:val="1"/>
                <w:color w:val="auto"/>
                <w:w w:val="94"/>
                <w:vertAlign w:val="superscript"/>
              </w:rPr>
              <w:t>th</w:t>
            </w:r>
            <w:r>
              <w:rPr>
                <w:rFonts w:ascii="Arial" w:cs="Arial" w:eastAsia="Arial" w:hAnsi="Arial"/>
                <w:sz w:val="18"/>
                <w:szCs w:val="18"/>
                <w:b w:val="1"/>
                <w:bCs w:val="1"/>
                <w:color w:val="auto"/>
                <w:w w:val="94"/>
              </w:rPr>
              <w:t xml:space="preserve"> Anniversary of,</w:t>
            </w:r>
          </w:p>
        </w:tc>
        <w:tc>
          <w:tcPr>
            <w:tcW w:w="40" w:type="dxa"/>
            <w:vAlign w:val="bottom"/>
          </w:tcPr>
          <w:p>
            <w:pPr>
              <w:spacing w:after="0"/>
              <w:rPr>
                <w:sz w:val="17"/>
                <w:szCs w:val="17"/>
                <w:color w:val="auto"/>
              </w:rPr>
            </w:pPr>
          </w:p>
        </w:tc>
      </w:tr>
      <w:tr>
        <w:trPr>
          <w:trHeight w:val="199"/>
        </w:trPr>
        <w:tc>
          <w:tcPr>
            <w:tcW w:w="374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then:</w:t>
            </w:r>
          </w:p>
        </w:tc>
        <w:tc>
          <w:tcPr>
            <w:tcW w:w="372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b w:val="1"/>
                <w:bCs w:val="1"/>
                <w:color w:val="auto"/>
                <w:w w:val="95"/>
              </w:rPr>
              <w:t>the Applicable Vesting Commencement Date,</w:t>
            </w:r>
          </w:p>
        </w:tc>
        <w:tc>
          <w:tcPr>
            <w:tcW w:w="40" w:type="dxa"/>
            <w:vAlign w:val="bottom"/>
          </w:tcPr>
          <w:p>
            <w:pPr>
              <w:spacing w:after="0"/>
              <w:rPr>
                <w:sz w:val="17"/>
                <w:szCs w:val="17"/>
                <w:color w:val="auto"/>
              </w:rPr>
            </w:pPr>
          </w:p>
        </w:tc>
      </w:tr>
      <w:tr>
        <w:trPr>
          <w:trHeight w:val="237"/>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then:</w:t>
            </w:r>
          </w:p>
        </w:tc>
        <w:tc>
          <w:tcPr>
            <w:tcW w:w="40" w:type="dxa"/>
            <w:vAlign w:val="bottom"/>
          </w:tcPr>
          <w:p>
            <w:pPr>
              <w:spacing w:after="0"/>
              <w:rPr>
                <w:sz w:val="20"/>
                <w:szCs w:val="20"/>
                <w:color w:val="auto"/>
              </w:rPr>
            </w:pPr>
          </w:p>
        </w:tc>
      </w:tr>
      <w:tr>
        <w:trPr>
          <w:trHeight w:val="887"/>
        </w:trPr>
        <w:tc>
          <w:tcPr>
            <w:tcW w:w="3740" w:type="dxa"/>
            <w:vAlign w:val="bottom"/>
          </w:tcPr>
          <w:p>
            <w:pPr>
              <w:spacing w:after="0"/>
              <w:rPr>
                <w:sz w:val="24"/>
                <w:szCs w:val="24"/>
                <w:color w:val="auto"/>
              </w:rPr>
            </w:pPr>
          </w:p>
        </w:tc>
        <w:tc>
          <w:tcPr>
            <w:tcW w:w="3740" w:type="dxa"/>
            <w:vAlign w:val="bottom"/>
          </w:tcPr>
          <w:p>
            <w:pPr>
              <w:jc w:val="right"/>
              <w:ind w:right="1472"/>
              <w:spacing w:after="0"/>
              <w:rPr>
                <w:sz w:val="20"/>
                <w:szCs w:val="20"/>
                <w:color w:val="auto"/>
              </w:rPr>
            </w:pPr>
            <w:r>
              <w:rPr>
                <w:rFonts w:ascii="Arial" w:cs="Arial" w:eastAsia="Arial" w:hAnsi="Arial"/>
                <w:sz w:val="18"/>
                <w:szCs w:val="18"/>
                <w:color w:val="auto"/>
              </w:rPr>
              <w:t>141</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37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3740" w:type="dxa"/>
            <w:vAlign w:val="bottom"/>
            <w:tcBorders>
              <w:top w:val="single" w:sz="8" w:color="auto"/>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color w:val="auto"/>
              </w:rPr>
              <w:t>Death or Disability</w:t>
            </w:r>
          </w:p>
        </w:tc>
        <w:tc>
          <w:tcPr>
            <w:tcW w:w="3740" w:type="dxa"/>
            <w:vAlign w:val="bottom"/>
            <w:tcBorders>
              <w:top w:val="single" w:sz="8" w:color="auto"/>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A number of PSUs will vest based on the</w:t>
            </w:r>
          </w:p>
        </w:tc>
        <w:tc>
          <w:tcPr>
            <w:tcW w:w="3720" w:type="dxa"/>
            <w:vAlign w:val="bottom"/>
            <w:tcBorders>
              <w:top w:val="single" w:sz="8" w:color="auto"/>
              <w:right w:val="single" w:sz="8" w:color="auto"/>
            </w:tcBorders>
            <w:gridSpan w:val="3"/>
          </w:tcPr>
          <w:p>
            <w:pPr>
              <w:spacing w:after="0" w:line="186" w:lineRule="exact"/>
              <w:rPr>
                <w:sz w:val="20"/>
                <w:szCs w:val="20"/>
                <w:color w:val="auto"/>
              </w:rPr>
            </w:pPr>
            <w:r>
              <w:rPr>
                <w:rFonts w:ascii="Arial" w:cs="Arial" w:eastAsia="Arial" w:hAnsi="Arial"/>
                <w:sz w:val="18"/>
                <w:szCs w:val="18"/>
                <w:color w:val="auto"/>
                <w:w w:val="90"/>
              </w:rPr>
              <w:t>A number of PSUs will vest based on the greater of</w:t>
            </w:r>
          </w:p>
        </w:tc>
      </w:tr>
      <w:tr>
        <w:trPr>
          <w:trHeight w:val="20"/>
        </w:trPr>
        <w:tc>
          <w:tcPr>
            <w:tcW w:w="37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179"/>
        </w:trPr>
        <w:tc>
          <w:tcPr>
            <w:tcW w:w="37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9" w:lineRule="exact"/>
              <w:rPr>
                <w:sz w:val="20"/>
                <w:szCs w:val="20"/>
                <w:color w:val="auto"/>
              </w:rPr>
            </w:pPr>
            <w:r>
              <w:rPr>
                <w:rFonts w:ascii="Arial" w:cs="Arial" w:eastAsia="Arial" w:hAnsi="Arial"/>
                <w:sz w:val="18"/>
                <w:szCs w:val="18"/>
                <w:color w:val="auto"/>
                <w:w w:val="94"/>
              </w:rPr>
              <w:t>Company’s average stock price over the 90 days</w:t>
            </w:r>
          </w:p>
        </w:tc>
        <w:tc>
          <w:tcPr>
            <w:tcW w:w="3500" w:type="dxa"/>
            <w:vAlign w:val="bottom"/>
            <w:gridSpan w:val="2"/>
          </w:tcPr>
          <w:p>
            <w:pPr>
              <w:spacing w:after="0" w:line="179" w:lineRule="exact"/>
              <w:rPr>
                <w:sz w:val="20"/>
                <w:szCs w:val="20"/>
                <w:color w:val="auto"/>
              </w:rPr>
            </w:pPr>
            <w:r>
              <w:rPr>
                <w:rFonts w:ascii="Arial" w:cs="Arial" w:eastAsia="Arial" w:hAnsi="Arial"/>
                <w:sz w:val="18"/>
                <w:szCs w:val="18"/>
                <w:color w:val="auto"/>
                <w:w w:val="93"/>
              </w:rPr>
              <w:t>(i) the Company’s average stock price over the</w:t>
            </w:r>
          </w:p>
        </w:tc>
        <w:tc>
          <w:tcPr>
            <w:tcW w:w="220" w:type="dxa"/>
            <w:vAlign w:val="bottom"/>
            <w:tcBorders>
              <w:right w:val="single" w:sz="8" w:color="auto"/>
            </w:tcBorders>
          </w:tcPr>
          <w:p>
            <w:pPr>
              <w:jc w:val="right"/>
              <w:spacing w:after="0" w:line="179" w:lineRule="exact"/>
              <w:rPr>
                <w:sz w:val="20"/>
                <w:szCs w:val="20"/>
                <w:color w:val="auto"/>
              </w:rPr>
            </w:pPr>
            <w:r>
              <w:rPr>
                <w:rFonts w:ascii="Arial" w:cs="Arial" w:eastAsia="Arial" w:hAnsi="Arial"/>
                <w:sz w:val="18"/>
                <w:szCs w:val="18"/>
                <w:color w:val="auto"/>
                <w:w w:val="79"/>
              </w:rPr>
              <w:t>90</w:t>
            </w:r>
          </w:p>
        </w:tc>
      </w:tr>
      <w:tr>
        <w:trPr>
          <w:trHeight w:val="199"/>
        </w:trPr>
        <w:tc>
          <w:tcPr>
            <w:tcW w:w="374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ending on and including the termination date</w:t>
            </w:r>
          </w:p>
        </w:tc>
        <w:tc>
          <w:tcPr>
            <w:tcW w:w="372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w w:val="92"/>
              </w:rPr>
              <w:t>days ending on and including the termination date</w:t>
            </w:r>
          </w:p>
        </w:tc>
      </w:tr>
      <w:tr>
        <w:trPr>
          <w:trHeight w:val="153"/>
        </w:trPr>
        <w:tc>
          <w:tcPr>
            <w:tcW w:w="37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spacing w:after="0"/>
              <w:rPr>
                <w:sz w:val="13"/>
                <w:szCs w:val="13"/>
                <w:color w:val="auto"/>
              </w:rPr>
            </w:pPr>
          </w:p>
        </w:tc>
        <w:tc>
          <w:tcPr>
            <w:tcW w:w="372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7"/>
                <w:szCs w:val="17"/>
                <w:color w:val="auto"/>
                <w:w w:val="94"/>
              </w:rPr>
              <w:t>and (ii) the Company’s average stock price over the</w:t>
            </w:r>
          </w:p>
        </w:tc>
      </w:tr>
      <w:tr>
        <w:trPr>
          <w:trHeight w:val="193"/>
        </w:trPr>
        <w:tc>
          <w:tcPr>
            <w:tcW w:w="37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18"/>
                <w:szCs w:val="18"/>
                <w:color w:val="auto"/>
                <w:w w:val="91"/>
              </w:rPr>
              <w:t>90-day period ending on the 3</w:t>
            </w:r>
            <w:r>
              <w:rPr>
                <w:rFonts w:ascii="Arial" w:cs="Arial" w:eastAsia="Arial" w:hAnsi="Arial"/>
                <w:sz w:val="22"/>
                <w:szCs w:val="22"/>
                <w:color w:val="auto"/>
                <w:w w:val="91"/>
                <w:vertAlign w:val="superscript"/>
              </w:rPr>
              <w:t>rd</w:t>
            </w:r>
            <w:r>
              <w:rPr>
                <w:rFonts w:ascii="Arial" w:cs="Arial" w:eastAsia="Arial" w:hAnsi="Arial"/>
                <w:sz w:val="18"/>
                <w:szCs w:val="18"/>
                <w:color w:val="auto"/>
                <w:w w:val="91"/>
              </w:rPr>
              <w:t xml:space="preserve"> anniversary of the</w:t>
            </w:r>
          </w:p>
        </w:tc>
      </w:tr>
      <w:tr>
        <w:trPr>
          <w:trHeight w:val="223"/>
        </w:trPr>
        <w:tc>
          <w:tcPr>
            <w:tcW w:w="3740" w:type="dxa"/>
            <w:vAlign w:val="bottom"/>
            <w:tcBorders>
              <w:left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vesting commencement date.</w:t>
            </w:r>
          </w:p>
        </w:tc>
      </w:tr>
      <w:tr>
        <w:trPr>
          <w:trHeight w:val="253"/>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r>
      <w:tr>
        <w:trPr>
          <w:trHeight w:val="206"/>
        </w:trPr>
        <w:tc>
          <w:tcPr>
            <w:tcW w:w="3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Without cause or for good reason prior to the</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All PSUs will be forfeited without payment upon</w:t>
            </w: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 number of PSUs will vest based on the</w:t>
            </w:r>
          </w:p>
        </w:tc>
      </w:tr>
      <w:tr>
        <w:trPr>
          <w:trHeight w:val="192"/>
        </w:trPr>
        <w:tc>
          <w:tcPr>
            <w:tcW w:w="374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consummation of a change in control</w:t>
            </w:r>
          </w:p>
        </w:tc>
        <w:tc>
          <w:tcPr>
            <w:tcW w:w="374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such termination.</w:t>
            </w:r>
          </w:p>
        </w:tc>
        <w:tc>
          <w:tcPr>
            <w:tcW w:w="37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18"/>
                <w:szCs w:val="18"/>
                <w:color w:val="auto"/>
                <w:w w:val="96"/>
              </w:rPr>
              <w:t>Company’s average stock price over the 90-day</w:t>
            </w:r>
          </w:p>
        </w:tc>
      </w:tr>
      <w:tr>
        <w:trPr>
          <w:trHeight w:val="206"/>
        </w:trPr>
        <w:tc>
          <w:tcPr>
            <w:tcW w:w="374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gridSpan w:val="3"/>
          </w:tcPr>
          <w:p>
            <w:pPr>
              <w:spacing w:after="0" w:line="206" w:lineRule="exact"/>
              <w:rPr>
                <w:sz w:val="20"/>
                <w:szCs w:val="20"/>
                <w:color w:val="auto"/>
              </w:rPr>
            </w:pPr>
            <w:r>
              <w:rPr>
                <w:rFonts w:ascii="Arial" w:cs="Arial" w:eastAsia="Arial" w:hAnsi="Arial"/>
                <w:sz w:val="18"/>
                <w:szCs w:val="18"/>
                <w:color w:val="auto"/>
                <w:w w:val="91"/>
              </w:rPr>
              <w:t>period ending on the 3</w:t>
            </w:r>
            <w:r>
              <w:rPr>
                <w:rFonts w:ascii="Arial" w:cs="Arial" w:eastAsia="Arial" w:hAnsi="Arial"/>
                <w:sz w:val="22"/>
                <w:szCs w:val="22"/>
                <w:color w:val="auto"/>
                <w:w w:val="91"/>
                <w:vertAlign w:val="superscript"/>
              </w:rPr>
              <w:t>rd</w:t>
            </w:r>
            <w:r>
              <w:rPr>
                <w:rFonts w:ascii="Arial" w:cs="Arial" w:eastAsia="Arial" w:hAnsi="Arial"/>
                <w:sz w:val="18"/>
                <w:szCs w:val="18"/>
                <w:color w:val="auto"/>
                <w:w w:val="91"/>
              </w:rPr>
              <w:t xml:space="preserve"> anniversary of the vesting</w:t>
            </w:r>
          </w:p>
        </w:tc>
      </w:tr>
      <w:tr>
        <w:trPr>
          <w:trHeight w:val="23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commencement date.</w:t>
            </w:r>
          </w:p>
        </w:tc>
      </w:tr>
      <w:tr>
        <w:trPr>
          <w:trHeight w:val="186"/>
        </w:trPr>
        <w:tc>
          <w:tcPr>
            <w:tcW w:w="3740" w:type="dxa"/>
            <w:vAlign w:val="bottom"/>
            <w:tcBorders>
              <w:left w:val="single" w:sz="8" w:color="auto"/>
              <w:right w:val="single" w:sz="8" w:color="auto"/>
            </w:tcBorders>
          </w:tcPr>
          <w:p>
            <w:pPr>
              <w:ind w:left="40"/>
              <w:spacing w:after="0" w:line="165" w:lineRule="exact"/>
              <w:rPr>
                <w:sz w:val="20"/>
                <w:szCs w:val="20"/>
                <w:color w:val="auto"/>
              </w:rPr>
            </w:pPr>
            <w:r>
              <w:rPr>
                <w:rFonts w:ascii="Arial" w:cs="Arial" w:eastAsia="Arial" w:hAnsi="Arial"/>
                <w:sz w:val="18"/>
                <w:szCs w:val="18"/>
                <w:color w:val="auto"/>
                <w:w w:val="90"/>
              </w:rPr>
              <w:t>Without cause or for good reason within 24 months</w:t>
            </w:r>
          </w:p>
        </w:tc>
        <w:tc>
          <w:tcPr>
            <w:tcW w:w="374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A number of PSUs will vest based on the</w:t>
            </w:r>
          </w:p>
        </w:tc>
        <w:tc>
          <w:tcPr>
            <w:tcW w:w="3720" w:type="dxa"/>
            <w:vAlign w:val="bottom"/>
            <w:tcBorders>
              <w:right w:val="single" w:sz="8" w:color="auto"/>
            </w:tcBorders>
            <w:gridSpan w:val="3"/>
          </w:tcPr>
          <w:p>
            <w:pPr>
              <w:spacing w:after="0" w:line="165" w:lineRule="exact"/>
              <w:rPr>
                <w:sz w:val="20"/>
                <w:szCs w:val="20"/>
                <w:color w:val="auto"/>
              </w:rPr>
            </w:pPr>
            <w:r>
              <w:rPr>
                <w:rFonts w:ascii="Arial" w:cs="Arial" w:eastAsia="Arial" w:hAnsi="Arial"/>
                <w:sz w:val="18"/>
                <w:szCs w:val="18"/>
                <w:color w:val="auto"/>
                <w:w w:val="90"/>
              </w:rPr>
              <w:t>A number of PSUs will vest based on the greater of</w:t>
            </w:r>
          </w:p>
        </w:tc>
      </w:tr>
      <w:tr>
        <w:trPr>
          <w:trHeight w:val="20"/>
        </w:trPr>
        <w:tc>
          <w:tcPr>
            <w:tcW w:w="37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179"/>
        </w:trPr>
        <w:tc>
          <w:tcPr>
            <w:tcW w:w="374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8"/>
                <w:szCs w:val="18"/>
                <w:color w:val="auto"/>
              </w:rPr>
              <w:t>after consummation of a change in control</w:t>
            </w:r>
          </w:p>
        </w:tc>
        <w:tc>
          <w:tcPr>
            <w:tcW w:w="3740" w:type="dxa"/>
            <w:vAlign w:val="bottom"/>
            <w:tcBorders>
              <w:right w:val="single" w:sz="8" w:color="auto"/>
            </w:tcBorders>
          </w:tcPr>
          <w:p>
            <w:pPr>
              <w:ind w:left="20"/>
              <w:spacing w:after="0" w:line="179" w:lineRule="exact"/>
              <w:rPr>
                <w:sz w:val="20"/>
                <w:szCs w:val="20"/>
                <w:color w:val="auto"/>
              </w:rPr>
            </w:pPr>
            <w:r>
              <w:rPr>
                <w:rFonts w:ascii="Arial" w:cs="Arial" w:eastAsia="Arial" w:hAnsi="Arial"/>
                <w:sz w:val="18"/>
                <w:szCs w:val="18"/>
                <w:color w:val="auto"/>
                <w:w w:val="94"/>
              </w:rPr>
              <w:t>Company’s average stock price over the 90 days</w:t>
            </w:r>
          </w:p>
        </w:tc>
        <w:tc>
          <w:tcPr>
            <w:tcW w:w="3500" w:type="dxa"/>
            <w:vAlign w:val="bottom"/>
            <w:gridSpan w:val="2"/>
          </w:tcPr>
          <w:p>
            <w:pPr>
              <w:spacing w:after="0" w:line="179" w:lineRule="exact"/>
              <w:rPr>
                <w:sz w:val="20"/>
                <w:szCs w:val="20"/>
                <w:color w:val="auto"/>
              </w:rPr>
            </w:pPr>
            <w:r>
              <w:rPr>
                <w:rFonts w:ascii="Arial" w:cs="Arial" w:eastAsia="Arial" w:hAnsi="Arial"/>
                <w:sz w:val="18"/>
                <w:szCs w:val="18"/>
                <w:color w:val="auto"/>
                <w:w w:val="93"/>
              </w:rPr>
              <w:t>(i) the Company’s average stock price over the</w:t>
            </w:r>
          </w:p>
        </w:tc>
        <w:tc>
          <w:tcPr>
            <w:tcW w:w="220" w:type="dxa"/>
            <w:vAlign w:val="bottom"/>
            <w:tcBorders>
              <w:right w:val="single" w:sz="8" w:color="auto"/>
            </w:tcBorders>
          </w:tcPr>
          <w:p>
            <w:pPr>
              <w:jc w:val="right"/>
              <w:spacing w:after="0" w:line="179" w:lineRule="exact"/>
              <w:rPr>
                <w:sz w:val="20"/>
                <w:szCs w:val="20"/>
                <w:color w:val="auto"/>
              </w:rPr>
            </w:pPr>
            <w:r>
              <w:rPr>
                <w:rFonts w:ascii="Arial" w:cs="Arial" w:eastAsia="Arial" w:hAnsi="Arial"/>
                <w:sz w:val="18"/>
                <w:szCs w:val="18"/>
                <w:color w:val="auto"/>
                <w:w w:val="79"/>
              </w:rPr>
              <w:t>90</w:t>
            </w:r>
          </w:p>
        </w:tc>
      </w:tr>
      <w:tr>
        <w:trPr>
          <w:trHeight w:val="199"/>
        </w:trPr>
        <w:tc>
          <w:tcPr>
            <w:tcW w:w="374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ending on and including the termination date</w:t>
            </w:r>
          </w:p>
        </w:tc>
        <w:tc>
          <w:tcPr>
            <w:tcW w:w="3720" w:type="dxa"/>
            <w:vAlign w:val="bottom"/>
            <w:tcBorders>
              <w:right w:val="single" w:sz="8" w:color="auto"/>
            </w:tcBorders>
            <w:gridSpan w:val="3"/>
          </w:tcPr>
          <w:p>
            <w:pPr>
              <w:spacing w:after="0" w:line="199" w:lineRule="exact"/>
              <w:rPr>
                <w:sz w:val="20"/>
                <w:szCs w:val="20"/>
                <w:color w:val="auto"/>
              </w:rPr>
            </w:pPr>
            <w:r>
              <w:rPr>
                <w:rFonts w:ascii="Arial" w:cs="Arial" w:eastAsia="Arial" w:hAnsi="Arial"/>
                <w:sz w:val="18"/>
                <w:szCs w:val="18"/>
                <w:color w:val="auto"/>
                <w:w w:val="92"/>
              </w:rPr>
              <w:t>days ending on and including the termination date</w:t>
            </w:r>
          </w:p>
        </w:tc>
      </w:tr>
      <w:tr>
        <w:trPr>
          <w:trHeight w:val="153"/>
        </w:trPr>
        <w:tc>
          <w:tcPr>
            <w:tcW w:w="37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spacing w:after="0"/>
              <w:rPr>
                <w:sz w:val="13"/>
                <w:szCs w:val="13"/>
                <w:color w:val="auto"/>
              </w:rPr>
            </w:pPr>
          </w:p>
        </w:tc>
        <w:tc>
          <w:tcPr>
            <w:tcW w:w="372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7"/>
                <w:szCs w:val="17"/>
                <w:color w:val="auto"/>
                <w:w w:val="94"/>
              </w:rPr>
              <w:t>and (ii) the Company’s average stock price over the</w:t>
            </w:r>
          </w:p>
        </w:tc>
      </w:tr>
      <w:tr>
        <w:trPr>
          <w:trHeight w:val="193"/>
        </w:trPr>
        <w:tc>
          <w:tcPr>
            <w:tcW w:w="37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18"/>
                <w:szCs w:val="18"/>
                <w:color w:val="auto"/>
                <w:w w:val="91"/>
              </w:rPr>
              <w:t>90-day period ending on the 3</w:t>
            </w:r>
            <w:r>
              <w:rPr>
                <w:rFonts w:ascii="Arial" w:cs="Arial" w:eastAsia="Arial" w:hAnsi="Arial"/>
                <w:sz w:val="22"/>
                <w:szCs w:val="22"/>
                <w:color w:val="auto"/>
                <w:w w:val="91"/>
                <w:vertAlign w:val="superscript"/>
              </w:rPr>
              <w:t>rd</w:t>
            </w:r>
            <w:r>
              <w:rPr>
                <w:rFonts w:ascii="Arial" w:cs="Arial" w:eastAsia="Arial" w:hAnsi="Arial"/>
                <w:sz w:val="18"/>
                <w:szCs w:val="18"/>
                <w:color w:val="auto"/>
                <w:w w:val="91"/>
              </w:rPr>
              <w:t xml:space="preserve"> anniversary of the</w:t>
            </w:r>
          </w:p>
        </w:tc>
      </w:tr>
      <w:tr>
        <w:trPr>
          <w:trHeight w:val="223"/>
        </w:trPr>
        <w:tc>
          <w:tcPr>
            <w:tcW w:w="3740" w:type="dxa"/>
            <w:vAlign w:val="bottom"/>
            <w:tcBorders>
              <w:left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vesting commencement date.</w:t>
            </w:r>
          </w:p>
        </w:tc>
      </w:tr>
      <w:tr>
        <w:trPr>
          <w:trHeight w:val="253"/>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r>
      <w:tr>
        <w:trPr>
          <w:trHeight w:val="180"/>
        </w:trPr>
        <w:tc>
          <w:tcPr>
            <w:tcW w:w="37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w w:val="96"/>
              </w:rPr>
              <w:t>Any other reason (including for cause or without</w:t>
            </w:r>
          </w:p>
        </w:tc>
        <w:tc>
          <w:tcPr>
            <w:tcW w:w="374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8"/>
                <w:szCs w:val="18"/>
                <w:color w:val="auto"/>
                <w:w w:val="97"/>
              </w:rPr>
              <w:t>All PSUs will be forfeited without payment upon</w:t>
            </w:r>
          </w:p>
        </w:tc>
        <w:tc>
          <w:tcPr>
            <w:tcW w:w="372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w w:val="97"/>
              </w:rPr>
              <w:t>All PSUs will be forfeited without payment upon</w:t>
            </w:r>
          </w:p>
        </w:tc>
      </w:tr>
      <w:tr>
        <w:trPr>
          <w:trHeight w:val="257"/>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good reason)</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such termination</w:t>
            </w:r>
          </w:p>
        </w:tc>
        <w:tc>
          <w:tcPr>
            <w:tcW w:w="37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such termination.</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Potential Payments</w:t>
      </w:r>
    </w:p>
    <w:p>
      <w:pPr>
        <w:spacing w:after="0" w:line="1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following table summarizes the payments that would have been made to our NEOs (other than Mr. Carnell, whose employment with us ended on December 31, 2021 and show severance and termination benefits are described above under “—</w:t>
      </w:r>
      <w:r>
        <w:rPr>
          <w:rFonts w:ascii="Arial" w:cs="Arial" w:eastAsia="Arial" w:hAnsi="Arial"/>
          <w:sz w:val="18"/>
          <w:szCs w:val="18"/>
          <w:i w:val="1"/>
          <w:iCs w:val="1"/>
          <w:color w:val="auto"/>
        </w:rPr>
        <w:t>Mr. Carnell’s Severance Benefits</w:t>
      </w:r>
      <w:r>
        <w:rPr>
          <w:rFonts w:ascii="Arial" w:cs="Arial" w:eastAsia="Arial" w:hAnsi="Arial"/>
          <w:sz w:val="18"/>
          <w:szCs w:val="18"/>
          <w:color w:val="auto"/>
        </w:rPr>
        <w:t>”) upon the occurrence of certain qualifying terminations of employment or a change in control, in any case, occurring on December 31, 2021. Amounts shown do not include (i) accrued but unpaid base salary through the date of termination or (ii) other benefits earned or accrued by the NEO during his employment that are available to all salaried employees, such as accrued vacation.</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980" w:type="dxa"/>
            <w:vAlign w:val="bottom"/>
            <w:tcBorders>
              <w:top w:val="single" w:sz="8" w:color="auto"/>
              <w:left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Termination Without Cause</w:t>
            </w:r>
          </w:p>
        </w:tc>
        <w:tc>
          <w:tcPr>
            <w:tcW w:w="23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80" w:type="dxa"/>
            <w:vAlign w:val="bottom"/>
            <w:tcBorders>
              <w:left w:val="single" w:sz="8" w:color="auto"/>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9"/>
              </w:rPr>
              <w:t>Termination Without Cause</w:t>
            </w:r>
          </w:p>
        </w:tc>
        <w:tc>
          <w:tcPr>
            <w:tcW w:w="2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8"/>
              </w:rPr>
              <w:t>or for Good Reason / Cause</w:t>
            </w:r>
          </w:p>
        </w:tc>
        <w:tc>
          <w:tcPr>
            <w:tcW w:w="2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80" w:type="dxa"/>
            <w:vAlign w:val="bottom"/>
            <w:tcBorders>
              <w:left w:val="single" w:sz="8" w:color="auto"/>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8"/>
              </w:rPr>
              <w:t>or for Good Reason / Cause</w:t>
            </w:r>
          </w:p>
        </w:tc>
        <w:tc>
          <w:tcPr>
            <w:tcW w:w="2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8"/>
              </w:rPr>
              <w:t>in Connection with a Change</w:t>
            </w:r>
          </w:p>
        </w:tc>
        <w:tc>
          <w:tcPr>
            <w:tcW w:w="2320" w:type="dxa"/>
            <w:vAlign w:val="bottom"/>
            <w:tcBorders>
              <w:right w:val="single" w:sz="8" w:color="auto"/>
            </w:tcBorders>
          </w:tcPr>
          <w:p>
            <w:pPr>
              <w:jc w:val="right"/>
              <w:ind w:right="12"/>
              <w:spacing w:after="0" w:line="186" w:lineRule="exact"/>
              <w:rPr>
                <w:sz w:val="20"/>
                <w:szCs w:val="20"/>
                <w:color w:val="auto"/>
              </w:rPr>
            </w:pPr>
            <w:r>
              <w:rPr>
                <w:rFonts w:ascii="Arial" w:cs="Arial" w:eastAsia="Arial" w:hAnsi="Arial"/>
                <w:sz w:val="18"/>
                <w:szCs w:val="18"/>
                <w:b w:val="1"/>
                <w:bCs w:val="1"/>
                <w:color w:val="auto"/>
                <w:w w:val="91"/>
              </w:rPr>
              <w:t>Termination due to Death or</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Name</w:t>
            </w:r>
          </w:p>
        </w:tc>
        <w:tc>
          <w:tcPr>
            <w:tcW w:w="240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Type of Benefit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 Change in Control) ($)</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Control ($)</w:t>
            </w:r>
          </w:p>
        </w:tc>
        <w:tc>
          <w:tcPr>
            <w:tcW w:w="2320" w:type="dxa"/>
            <w:vAlign w:val="bottom"/>
            <w:tcBorders>
              <w:bottom w:val="single" w:sz="8" w:color="auto"/>
              <w:right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Disability</w:t>
            </w: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Liyuan Woo</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Cash - Base Salary</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622,500</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622,500</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1980" w:type="dxa"/>
            <w:vAlign w:val="bottom"/>
            <w:tcBorders>
              <w:left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Cash - Target Bonus</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249,000</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622,500</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980" w:type="dxa"/>
            <w:vAlign w:val="bottom"/>
            <w:tcBorders>
              <w:left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Equity Acceleration (1)</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3,113,016</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11,527,656</w:t>
            </w: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 Other Payments or Benefits</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22,875</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22,875</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Total (2)</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894,375</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4,380,891</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11,527,656</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7"/>
        </w:trPr>
        <w:tc>
          <w:tcPr>
            <w:tcW w:w="1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80" w:type="dxa"/>
            <w:vAlign w:val="bottom"/>
          </w:tcPr>
          <w:p>
            <w:pPr>
              <w:jc w:val="right"/>
              <w:ind w:right="652"/>
              <w:spacing w:after="0"/>
              <w:rPr>
                <w:sz w:val="20"/>
                <w:szCs w:val="20"/>
                <w:color w:val="auto"/>
              </w:rPr>
            </w:pPr>
            <w:r>
              <w:rPr>
                <w:rFonts w:ascii="Arial" w:cs="Arial" w:eastAsia="Arial" w:hAnsi="Arial"/>
                <w:sz w:val="18"/>
                <w:szCs w:val="18"/>
                <w:color w:val="auto"/>
              </w:rPr>
              <w:t>142</w:t>
            </w:r>
          </w:p>
        </w:tc>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Indra Pamamull</w:t>
            </w:r>
          </w:p>
        </w:tc>
        <w:tc>
          <w:tcPr>
            <w:tcW w:w="2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 Base Salary</w:t>
            </w:r>
          </w:p>
        </w:tc>
        <w:tc>
          <w:tcPr>
            <w:tcW w:w="22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199,633</w:t>
            </w:r>
          </w:p>
        </w:tc>
        <w:tc>
          <w:tcPr>
            <w:tcW w:w="22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199,633</w:t>
            </w:r>
          </w:p>
        </w:tc>
        <w:tc>
          <w:tcPr>
            <w:tcW w:w="23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980" w:type="dxa"/>
            <w:vAlign w:val="bottom"/>
            <w:tcBorders>
              <w:left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 Target Bonus</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239,559</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359,339</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980" w:type="dxa"/>
            <w:vAlign w:val="bottom"/>
            <w:tcBorders>
              <w:left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Equity Acceleration (1)</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3,249,804</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4,426,176</w:t>
            </w: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 Other Payments or Benefits</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980" w:type="dxa"/>
            <w:vAlign w:val="bottom"/>
            <w:tcBorders>
              <w:left w:val="single" w:sz="8" w:color="auto"/>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(2)</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445,548</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3,815,132</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4,426,176</w:t>
            </w:r>
          </w:p>
        </w:tc>
        <w:tc>
          <w:tcPr>
            <w:tcW w:w="0" w:type="dxa"/>
            <w:vAlign w:val="bottom"/>
          </w:tcPr>
          <w:p>
            <w:pPr>
              <w:spacing w:after="0"/>
              <w:rPr>
                <w:sz w:val="1"/>
                <w:szCs w:val="1"/>
                <w:color w:val="auto"/>
              </w:rPr>
            </w:pPr>
          </w:p>
        </w:tc>
      </w:tr>
      <w:tr>
        <w:trPr>
          <w:trHeight w:val="258"/>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Stephan Becker</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 Base Salary</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351,044</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351,044</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Cash - Target Bonus</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210,626</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421,253</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
        </w:trPr>
        <w:tc>
          <w:tcPr>
            <w:tcW w:w="1980" w:type="dxa"/>
            <w:vAlign w:val="bottom"/>
            <w:tcBorders>
              <w:left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right w:val="single" w:sz="8" w:color="auto"/>
            </w:tcBorders>
            <w:vMerge w:val="continue"/>
          </w:tcPr>
          <w:p>
            <w:pPr>
              <w:spacing w:after="0"/>
              <w:rPr>
                <w:sz w:val="7"/>
                <w:szCs w:val="7"/>
                <w:color w:val="auto"/>
              </w:rPr>
            </w:pPr>
          </w:p>
        </w:tc>
        <w:tc>
          <w:tcPr>
            <w:tcW w:w="2280" w:type="dxa"/>
            <w:vAlign w:val="bottom"/>
            <w:tcBorders>
              <w:bottom w:val="single" w:sz="8" w:color="auto"/>
              <w:right w:val="single" w:sz="8" w:color="auto"/>
            </w:tcBorders>
            <w:vMerge w:val="continue"/>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Equity Acceleration (1)</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3,113,016</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3,113,016</w:t>
            </w:r>
          </w:p>
        </w:tc>
        <w:tc>
          <w:tcPr>
            <w:tcW w:w="0" w:type="dxa"/>
            <w:vAlign w:val="bottom"/>
          </w:tcPr>
          <w:p>
            <w:pPr>
              <w:spacing w:after="0"/>
              <w:rPr>
                <w:sz w:val="1"/>
                <w:szCs w:val="1"/>
                <w:color w:val="auto"/>
              </w:rPr>
            </w:pPr>
          </w:p>
        </w:tc>
      </w:tr>
      <w:tr>
        <w:trPr>
          <w:trHeight w:val="84"/>
        </w:trPr>
        <w:tc>
          <w:tcPr>
            <w:tcW w:w="1980" w:type="dxa"/>
            <w:vAlign w:val="bottom"/>
            <w:tcBorders>
              <w:left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right w:val="single" w:sz="8" w:color="auto"/>
            </w:tcBorders>
            <w:vMerge w:val="continue"/>
          </w:tcPr>
          <w:p>
            <w:pPr>
              <w:spacing w:after="0"/>
              <w:rPr>
                <w:sz w:val="7"/>
                <w:szCs w:val="7"/>
                <w:color w:val="auto"/>
              </w:rPr>
            </w:pPr>
          </w:p>
        </w:tc>
        <w:tc>
          <w:tcPr>
            <w:tcW w:w="2280" w:type="dxa"/>
            <w:vAlign w:val="bottom"/>
            <w:tcBorders>
              <w:bottom w:val="single" w:sz="8" w:color="auto"/>
              <w:right w:val="single" w:sz="8" w:color="auto"/>
            </w:tcBorders>
            <w:vMerge w:val="continue"/>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 Other Payments or Benefits</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2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Total (2)</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567,262</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3,890,905</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3,113,016</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Daniel Watson</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Cash - Base Salary</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371,196</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371,196</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1980" w:type="dxa"/>
            <w:vAlign w:val="bottom"/>
            <w:tcBorders>
              <w:left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Cash - Target Bonus</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222,718</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445,436</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Equity Acceleration (1)</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584,350</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3,506,100</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 Other Payments or Benefits</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12,102</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12,102</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Total (2)</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606,016</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1,413,084</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3,506,100</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23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47" w:lineRule="exact"/>
        <w:rPr>
          <w:sz w:val="20"/>
          <w:szCs w:val="20"/>
          <w:color w:val="auto"/>
        </w:rPr>
      </w:pPr>
    </w:p>
    <w:p>
      <w:pPr>
        <w:ind w:left="320" w:right="200" w:hanging="314"/>
        <w:spacing w:after="0" w:line="246" w:lineRule="auto"/>
        <w:tabs>
          <w:tab w:leader="none" w:pos="344"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 respect to options, the value of equity acceleration was calculated by (i) multiplying the number of accelerated shares of common stock underlying the options by $24.16, the closing trading price of our common stock on December 31, 2021 as reported on The Nasdaq Capital Market and (ii) subtracting the exercise price for the options. With respect to PSUs, the value of equity acceleration was calculated by multiplying the number of accelerated PSUs by $24.16, the closing trading price of our common stock on December 31, 2021.</w:t>
      </w:r>
    </w:p>
    <w:p>
      <w:pPr>
        <w:spacing w:after="0" w:line="1" w:lineRule="exact"/>
        <w:rPr>
          <w:rFonts w:ascii="Arial" w:cs="Arial" w:eastAsia="Arial" w:hAnsi="Arial"/>
          <w:sz w:val="16"/>
          <w:szCs w:val="16"/>
          <w:color w:val="auto"/>
        </w:rPr>
      </w:pPr>
    </w:p>
    <w:p>
      <w:pPr>
        <w:ind w:left="320" w:right="280" w:hanging="314"/>
        <w:spacing w:after="0" w:line="249" w:lineRule="auto"/>
        <w:tabs>
          <w:tab w:leader="none" w:pos="338"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Amounts shown are the maximum potential payments and benefits the applicable NEO would have received as of December 31, 2021 (without taking into account any Code Section 280G “best pay” provision that may result in the reduction of such payments and benefits).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2021 Director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compensation information for fiscal year 2021 for each non-employee member of our Board of Directors: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Fees Earned or Paid in</w:t>
            </w:r>
          </w:p>
        </w:tc>
        <w:tc>
          <w:tcPr>
            <w:tcW w:w="15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Stock Awards ($)(1)</w:t>
            </w:r>
          </w:p>
        </w:tc>
        <w:tc>
          <w:tcPr>
            <w:tcW w:w="80" w:type="dxa"/>
            <w:vAlign w:val="bottom"/>
            <w:vMerge w:val="restart"/>
          </w:tcPr>
          <w:p>
            <w:pPr>
              <w:spacing w:after="0"/>
              <w:rPr>
                <w:sz w:val="14"/>
                <w:szCs w:val="14"/>
                <w:color w:val="auto"/>
              </w:rPr>
            </w:pPr>
          </w:p>
        </w:tc>
        <w:tc>
          <w:tcPr>
            <w:tcW w:w="15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Option Awards ($)(1)</w:t>
            </w:r>
          </w:p>
        </w:tc>
        <w:tc>
          <w:tcPr>
            <w:tcW w:w="100" w:type="dxa"/>
            <w:vAlign w:val="bottom"/>
            <w:vMerge w:val="restart"/>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All Other Compensation</w:t>
            </w:r>
          </w:p>
        </w:tc>
        <w:tc>
          <w:tcPr>
            <w:tcW w:w="1940" w:type="dxa"/>
            <w:vAlign w:val="bottom"/>
            <w:vMerge w:val="restart"/>
          </w:tcPr>
          <w:p>
            <w:pPr>
              <w:jc w:val="right"/>
              <w:ind w:right="64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Cash ($)</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Brent Saunders (2)</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2,182,492 </w:t>
            </w: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12,759,622</w:t>
            </w: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12,759,622</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Michael D. Capellas</w:t>
            </w:r>
          </w:p>
        </w:tc>
        <w:tc>
          <w:tcPr>
            <w:tcW w:w="1580" w:type="dxa"/>
            <w:vAlign w:val="bottom"/>
          </w:tcPr>
          <w:p>
            <w:pPr>
              <w:jc w:val="right"/>
              <w:spacing w:after="0"/>
              <w:rPr>
                <w:sz w:val="20"/>
                <w:szCs w:val="20"/>
                <w:color w:val="auto"/>
              </w:rPr>
            </w:pPr>
            <w:r>
              <w:rPr>
                <w:rFonts w:ascii="Arial" w:cs="Arial" w:eastAsia="Arial" w:hAnsi="Arial"/>
                <w:sz w:val="14"/>
                <w:szCs w:val="14"/>
                <w:color w:val="auto"/>
              </w:rPr>
              <w:t>42,918</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134,986</w:t>
            </w:r>
          </w:p>
        </w:tc>
        <w:tc>
          <w:tcPr>
            <w:tcW w:w="8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177,904</w:t>
            </w:r>
          </w:p>
        </w:tc>
        <w:tc>
          <w:tcPr>
            <w:tcW w:w="0" w:type="dxa"/>
            <w:vAlign w:val="bottom"/>
          </w:tcPr>
          <w:p>
            <w:pPr>
              <w:spacing w:after="0"/>
              <w:rPr>
                <w:sz w:val="1"/>
                <w:szCs w:val="1"/>
                <w:color w:val="auto"/>
              </w:rPr>
            </w:pPr>
          </w:p>
        </w:tc>
      </w:tr>
      <w:tr>
        <w:trPr>
          <w:trHeight w:val="20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Dr. Julius Few</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33,014</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134,986</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Michelle Kerrick</w:t>
            </w:r>
          </w:p>
        </w:tc>
        <w:tc>
          <w:tcPr>
            <w:tcW w:w="1580" w:type="dxa"/>
            <w:vAlign w:val="bottom"/>
          </w:tcPr>
          <w:p>
            <w:pPr>
              <w:jc w:val="right"/>
              <w:spacing w:after="0"/>
              <w:rPr>
                <w:sz w:val="20"/>
                <w:szCs w:val="20"/>
                <w:color w:val="auto"/>
              </w:rPr>
            </w:pPr>
            <w:r>
              <w:rPr>
                <w:rFonts w:ascii="Arial" w:cs="Arial" w:eastAsia="Arial" w:hAnsi="Arial"/>
                <w:sz w:val="14"/>
                <w:szCs w:val="14"/>
                <w:color w:val="auto"/>
              </w:rPr>
              <w:t>46,219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134,986</w:t>
            </w:r>
          </w:p>
        </w:tc>
        <w:tc>
          <w:tcPr>
            <w:tcW w:w="8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181,205</w:t>
            </w:r>
          </w:p>
        </w:tc>
        <w:tc>
          <w:tcPr>
            <w:tcW w:w="0" w:type="dxa"/>
            <w:vAlign w:val="bottom"/>
          </w:tcPr>
          <w:p>
            <w:pPr>
              <w:spacing w:after="0"/>
              <w:rPr>
                <w:sz w:val="1"/>
                <w:szCs w:val="1"/>
                <w:color w:val="auto"/>
              </w:rPr>
            </w:pPr>
          </w:p>
        </w:tc>
      </w:tr>
      <w:tr>
        <w:trPr>
          <w:trHeight w:val="20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Brian Miller</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37,966</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134,986</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172,952</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Desiree Gruber</w:t>
            </w:r>
          </w:p>
        </w:tc>
        <w:tc>
          <w:tcPr>
            <w:tcW w:w="1580" w:type="dxa"/>
            <w:vAlign w:val="bottom"/>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123,737</w:t>
            </w:r>
          </w:p>
        </w:tc>
        <w:tc>
          <w:tcPr>
            <w:tcW w:w="8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152,936</w:t>
            </w:r>
          </w:p>
        </w:tc>
        <w:tc>
          <w:tcPr>
            <w:tcW w:w="0" w:type="dxa"/>
            <w:vAlign w:val="bottom"/>
          </w:tcPr>
          <w:p>
            <w:pPr>
              <w:spacing w:after="0"/>
              <w:rPr>
                <w:sz w:val="1"/>
                <w:szCs w:val="1"/>
                <w:color w:val="auto"/>
              </w:rPr>
            </w:pPr>
          </w:p>
        </w:tc>
      </w:tr>
      <w:tr>
        <w:trPr>
          <w:trHeight w:val="20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Douglas Schillinger</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46,219</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134,986</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181,205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320" w:right="100" w:hanging="314"/>
        <w:spacing w:after="0" w:line="244" w:lineRule="auto"/>
        <w:tabs>
          <w:tab w:leader="none" w:pos="3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Amounts reflect the full grant-date fair value of time-based RSUs and, for Mr. Saunders only, stock options granted during 2021 computed in accordance with ASC Topic 718, rather than the amounts paid to or realized by the named individual. We provide information regarding the assumptions used to calculate the value of all restricted stock units and option awards made to our directors in Note 13 to the consolidated financial statements included in our Annual Report on Form 10-K for the year ended December 31, 2021.</w:t>
      </w: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320" w:hanging="314"/>
        <w:spacing w:after="0" w:line="230" w:lineRule="auto"/>
        <w:tabs>
          <w:tab w:leader="none" w:pos="346"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Saunders serves as our Executive Chairman and is also an employee of the Company. The compensation set forth in the table above for Mr. Saunders was solely in respect of his services as a member of our Board. Stock Awards consist of restricted stock units issued in lieu of Director Fees ($809,992) and performance-based restricted stock units ($1,372,500).</w:t>
      </w:r>
    </w:p>
    <w:p>
      <w:pPr>
        <w:spacing w:after="0" w:line="1" w:lineRule="exact"/>
        <w:rPr>
          <w:rFonts w:ascii="Arial" w:cs="Arial" w:eastAsia="Arial" w:hAnsi="Arial"/>
          <w:sz w:val="16"/>
          <w:szCs w:val="16"/>
          <w:color w:val="auto"/>
        </w:rPr>
      </w:pPr>
    </w:p>
    <w:p>
      <w:pPr>
        <w:ind w:left="320" w:right="20" w:hanging="314"/>
        <w:spacing w:after="0" w:line="243" w:lineRule="auto"/>
        <w:tabs>
          <w:tab w:leader="none" w:pos="344"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compensate Mr. Saunders for his service as our Executive Chairman, Mr. Saunders was eligible to receive annual compensation for 2021 targeted at 60% of Mr. Carnell’s annual compensation, based on market data for an executive chairman. For 2021, Mr. Saunders received restricted stock units covering 30,963 shares of our common stock, which had a grant-date value of $809,992 (representing 60% of Mr. Carnell’s annualized target cash compensation). The restricted stock units vested in full on December 31, 2021, upon Mr. Saunders’ continuation in service through such date. Mr. Saunders also received a stock option to purchase 1,860,000 shares of our common stock at $12.85 per share and an award of PSUs covering 225,000 shares (at maximum) (each representing 60% of the option and PSU award granted to Mr. Carnell during 2021). The vesting provisions of Mr. Saunders’ option and PSU award mirror those of our NEOs and are described more fully in the Compensation Discussion and Analysis above under “—Equity Based Long-Term Incentive Awards.”</w:t>
      </w:r>
    </w:p>
    <w:p>
      <w:pPr>
        <w:spacing w:after="0" w:line="2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table below shows the aggregate numbers of option awards (exercisable and unexercisable) and unvested stock awards held as of December 31, 2021 by each non-employee director: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2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 Awards Outstanding at 2021 Fiscal</w:t>
            </w:r>
          </w:p>
        </w:tc>
        <w:tc>
          <w:tcPr>
            <w:tcW w:w="2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vMerge w:val="restart"/>
          </w:tcPr>
          <w:p>
            <w:pPr>
              <w:spacing w:after="0"/>
              <w:rPr>
                <w:sz w:val="14"/>
                <w:szCs w:val="14"/>
                <w:color w:val="auto"/>
              </w:rPr>
            </w:pPr>
          </w:p>
        </w:tc>
        <w:tc>
          <w:tcPr>
            <w:tcW w:w="23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PSUs (at maximum)</w:t>
            </w:r>
          </w:p>
        </w:tc>
        <w:tc>
          <w:tcPr>
            <w:tcW w:w="0" w:type="dxa"/>
            <w:vAlign w:val="bottom"/>
          </w:tcPr>
          <w:p>
            <w:pPr>
              <w:spacing w:after="0"/>
              <w:rPr>
                <w:sz w:val="1"/>
                <w:szCs w:val="1"/>
                <w:color w:val="auto"/>
              </w:rPr>
            </w:pPr>
          </w:p>
        </w:tc>
      </w:tr>
      <w:tr>
        <w:trPr>
          <w:trHeight w:val="185"/>
        </w:trPr>
        <w:tc>
          <w:tcPr>
            <w:tcW w:w="3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 End</w:t>
            </w:r>
          </w:p>
        </w:tc>
        <w:tc>
          <w:tcPr>
            <w:tcW w:w="1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Brent Saunders</w:t>
            </w:r>
          </w:p>
        </w:tc>
        <w:tc>
          <w:tcPr>
            <w:tcW w:w="2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1,860,000</w:t>
            </w:r>
          </w:p>
        </w:tc>
        <w:tc>
          <w:tcPr>
            <w:tcW w:w="10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225,000</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Michael D. Capellas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360" w:type="dxa"/>
            <w:vAlign w:val="bottom"/>
          </w:tcPr>
          <w:p>
            <w:pPr>
              <w:jc w:val="center"/>
              <w:spacing w:after="0"/>
              <w:rPr>
                <w:sz w:val="20"/>
                <w:szCs w:val="20"/>
                <w:color w:val="auto"/>
              </w:rPr>
            </w:pPr>
            <w:r>
              <w:rPr>
                <w:rFonts w:ascii="Arial" w:cs="Arial" w:eastAsia="Arial" w:hAnsi="Arial"/>
                <w:sz w:val="14"/>
                <w:szCs w:val="14"/>
                <w:color w:val="auto"/>
                <w:w w:val="91"/>
              </w:rPr>
              <w:t>5,160</w:t>
            </w:r>
          </w:p>
        </w:tc>
        <w:tc>
          <w:tcPr>
            <w:tcW w:w="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Dr. Julius Few</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5,160</w:t>
            </w:r>
          </w:p>
        </w:tc>
        <w:tc>
          <w:tcPr>
            <w:tcW w:w="8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Michelle Kerrick</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360" w:type="dxa"/>
            <w:vAlign w:val="bottom"/>
          </w:tcPr>
          <w:p>
            <w:pPr>
              <w:jc w:val="center"/>
              <w:spacing w:after="0"/>
              <w:rPr>
                <w:sz w:val="20"/>
                <w:szCs w:val="20"/>
                <w:color w:val="auto"/>
              </w:rPr>
            </w:pPr>
            <w:r>
              <w:rPr>
                <w:rFonts w:ascii="Arial" w:cs="Arial" w:eastAsia="Arial" w:hAnsi="Arial"/>
                <w:sz w:val="14"/>
                <w:szCs w:val="14"/>
                <w:color w:val="auto"/>
                <w:w w:val="91"/>
              </w:rPr>
              <w:t>5,160</w:t>
            </w:r>
          </w:p>
        </w:tc>
        <w:tc>
          <w:tcPr>
            <w:tcW w:w="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Brian Miller</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5,160</w:t>
            </w:r>
          </w:p>
        </w:tc>
        <w:tc>
          <w:tcPr>
            <w:tcW w:w="8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Desiree Gruber</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360" w:type="dxa"/>
            <w:vAlign w:val="bottom"/>
          </w:tcPr>
          <w:p>
            <w:pPr>
              <w:jc w:val="center"/>
              <w:spacing w:after="0"/>
              <w:rPr>
                <w:sz w:val="20"/>
                <w:szCs w:val="20"/>
                <w:color w:val="auto"/>
              </w:rPr>
            </w:pPr>
            <w:r>
              <w:rPr>
                <w:rFonts w:ascii="Arial" w:cs="Arial" w:eastAsia="Arial" w:hAnsi="Arial"/>
                <w:sz w:val="14"/>
                <w:szCs w:val="14"/>
                <w:color w:val="auto"/>
                <w:w w:val="91"/>
              </w:rPr>
              <w:t>4,730</w:t>
            </w:r>
          </w:p>
        </w:tc>
        <w:tc>
          <w:tcPr>
            <w:tcW w:w="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Douglas Schillinger</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5,160</w:t>
            </w:r>
          </w:p>
        </w:tc>
        <w:tc>
          <w:tcPr>
            <w:tcW w:w="8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compensation program for our non-employee directors under which each non-employee director receives the following amounts for their service on the Board:</w:t>
      </w:r>
    </w:p>
    <w:p>
      <w:pPr>
        <w:spacing w:after="0" w:line="207"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of $45,000 for each non-employee director;</w:t>
      </w:r>
    </w:p>
    <w:p>
      <w:pPr>
        <w:spacing w:after="0" w:line="58"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of $10,000 for the chair of the audit committee, $7,500 for the chair of the compensation committee and $5,000 for the chair of the nominating and corporate governance committee;</w:t>
      </w:r>
    </w:p>
    <w:p>
      <w:pPr>
        <w:spacing w:after="0" w:line="21"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of $10,000 for each member of the audit committee; $7,500 for each member of the compensation committee and $5,000 for each member of the nominating and corporate governance committee;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of $25,000 for the lead director, if applicable; and</w:t>
      </w:r>
    </w:p>
    <w:p>
      <w:pPr>
        <w:spacing w:after="0" w:line="58" w:lineRule="exact"/>
        <w:rPr>
          <w:rFonts w:ascii="Arial" w:cs="Arial" w:eastAsia="Arial" w:hAnsi="Arial"/>
          <w:sz w:val="18"/>
          <w:szCs w:val="18"/>
          <w:color w:val="auto"/>
        </w:rPr>
      </w:pPr>
    </w:p>
    <w:p>
      <w:pPr>
        <w:ind w:left="640" w:right="80" w:hanging="316"/>
        <w:spacing w:after="0" w:line="252"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equity award in the form of restricted stock units with a grant date fair value of $135,000 (the “Annual Award”), which vests on the earlier of the one-year anniversary of the grant and the next annual meeting of stockholders to occur following the grant date, subject to the director’s continuous service and further subject to full accelerated vesting upon a change in control of the Company or the applicable director’s termination of service due to death or disability; and</w:t>
      </w:r>
    </w:p>
    <w:p>
      <w:pPr>
        <w:spacing w:after="0" w:line="3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directors who are elected or appointed to the Board on a date other than the date of any annual meeting of stockholders, a pro-rated Annual Award in connection with his or her commencement of service on the Board.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Director fees under the program are payable in arrears in four equal quarterly installments.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50"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We believe that our compensation policies and practices do not create risks that are reasonably likely to have a material adverse effect on us or create undesired or unintentional risk of a material nature.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also believe that our incentive compensation arrangements provide incentives that do not encourage risk taking beyond our ability to effectively identify and manage significant risks and are compatible with effective internal controls and our risk management practices.</w:t>
      </w:r>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Compensation Committee monitors our compensation programs on at least an annual basis and expects to make modifications as necessary to address any changes in our business or risk profile.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Compensation Plan Information</w:t>
      </w:r>
    </w:p>
    <w:p>
      <w:pPr>
        <w:spacing w:after="0" w:line="2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provides information as of as of December 31, 2021, with respect to the shares of the Company’s common stock that may be issued under the Company’s existing compensation plans: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6"/>
              </w:rPr>
              <w:t>Securities</w:t>
            </w: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5"/>
              </w:rPr>
              <w:t>to be Issued</w:t>
            </w: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Upon</w:t>
            </w: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Exercise of</w:t>
            </w:r>
          </w:p>
        </w:tc>
        <w:tc>
          <w:tcPr>
            <w:tcW w:w="1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Weighted-Average</w:t>
            </w:r>
          </w:p>
        </w:tc>
        <w:tc>
          <w:tcPr>
            <w:tcW w:w="16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9"/>
              </w:rPr>
              <w:t>Outstanding</w:t>
            </w:r>
          </w:p>
        </w:tc>
        <w:tc>
          <w:tcPr>
            <w:tcW w:w="1940" w:type="dxa"/>
            <w:vAlign w:val="bottom"/>
            <w:gridSpan w:val="2"/>
            <w:vMerge w:val="continue"/>
          </w:tcPr>
          <w:p>
            <w:pPr>
              <w:spacing w:after="0"/>
              <w:rPr>
                <w:sz w:val="11"/>
                <w:szCs w:val="11"/>
                <w:color w:val="auto"/>
              </w:rPr>
            </w:pPr>
          </w:p>
        </w:tc>
        <w:tc>
          <w:tcPr>
            <w:tcW w:w="16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0"/>
              </w:rPr>
              <w:t>Issuance Under</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7"/>
              </w:rPr>
              <w:t>Options,</w:t>
            </w:r>
          </w:p>
        </w:tc>
        <w:tc>
          <w:tcPr>
            <w:tcW w:w="19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Exercise Price of</w:t>
            </w:r>
          </w:p>
        </w:tc>
        <w:tc>
          <w:tcPr>
            <w:tcW w:w="16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3"/>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7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Warrants</w:t>
            </w:r>
          </w:p>
        </w:tc>
        <w:tc>
          <w:tcPr>
            <w:tcW w:w="19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0"/>
              </w:rPr>
              <w:t>Outstanding Options,</w:t>
            </w:r>
          </w:p>
        </w:tc>
        <w:tc>
          <w:tcPr>
            <w:tcW w:w="16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4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Warrants and Rights</w:t>
            </w:r>
          </w:p>
        </w:tc>
        <w:tc>
          <w:tcPr>
            <w:tcW w:w="4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8,140,795</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8,667,882</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780" w:type="dxa"/>
            <w:vAlign w:val="bottom"/>
            <w:gridSpan w:val="2"/>
            <w:shd w:val="clear" w:color="auto" w:fill="CCEEFF"/>
          </w:tcPr>
          <w:p>
            <w:pPr>
              <w:jc w:val="right"/>
              <w:ind w:right="280"/>
              <w:spacing w:after="0" w:line="218" w:lineRule="exact"/>
              <w:rPr>
                <w:sz w:val="20"/>
                <w:szCs w:val="20"/>
                <w:color w:val="auto"/>
              </w:rPr>
            </w:pPr>
            <w:r>
              <w:rPr>
                <w:rFonts w:ascii="Arial" w:cs="Arial" w:eastAsia="Arial" w:hAnsi="Arial"/>
                <w:sz w:val="16"/>
                <w:szCs w:val="16"/>
                <w:color w:val="auto"/>
              </w:rPr>
              <w:t xml:space="preserve">8,140,795 </w:t>
            </w:r>
            <w:r>
              <w:rPr>
                <w:rFonts w:ascii="Arial" w:cs="Arial" w:eastAsia="Arial" w:hAnsi="Arial"/>
                <w:sz w:val="25"/>
                <w:szCs w:val="25"/>
                <w:color w:val="auto"/>
                <w:vertAlign w:val="subscript"/>
              </w:rPr>
              <w:t>(1)</w:t>
            </w:r>
          </w:p>
        </w:tc>
        <w:tc>
          <w:tcPr>
            <w:tcW w:w="1940" w:type="dxa"/>
            <w:vAlign w:val="bottom"/>
            <w:gridSpan w:val="2"/>
            <w:shd w:val="clear" w:color="auto" w:fill="CCEEFF"/>
          </w:tcPr>
          <w:p>
            <w:pPr>
              <w:jc w:val="right"/>
              <w:ind w:right="260"/>
              <w:spacing w:after="0" w:line="218" w:lineRule="exact"/>
              <w:rPr>
                <w:sz w:val="20"/>
                <w:szCs w:val="20"/>
                <w:color w:val="auto"/>
              </w:rPr>
            </w:pPr>
            <w:r>
              <w:rPr>
                <w:rFonts w:ascii="Arial" w:cs="Arial" w:eastAsia="Arial" w:hAnsi="Arial"/>
                <w:sz w:val="16"/>
                <w:szCs w:val="16"/>
                <w:color w:val="auto"/>
              </w:rPr>
              <w:t xml:space="preserve">17.01 </w:t>
            </w:r>
            <w:r>
              <w:rPr>
                <w:rFonts w:ascii="Arial" w:cs="Arial" w:eastAsia="Arial" w:hAnsi="Arial"/>
                <w:sz w:val="25"/>
                <w:szCs w:val="25"/>
                <w:color w:val="auto"/>
                <w:vertAlign w:val="subscript"/>
              </w:rPr>
              <w:t>(2)</w:t>
            </w:r>
          </w:p>
        </w:tc>
        <w:tc>
          <w:tcPr>
            <w:tcW w:w="1680" w:type="dxa"/>
            <w:vAlign w:val="bottom"/>
            <w:gridSpan w:val="2"/>
            <w:shd w:val="clear" w:color="auto" w:fill="CCEEFF"/>
          </w:tcPr>
          <w:p>
            <w:pPr>
              <w:jc w:val="right"/>
              <w:ind w:right="300"/>
              <w:spacing w:after="0" w:line="218" w:lineRule="exact"/>
              <w:rPr>
                <w:sz w:val="20"/>
                <w:szCs w:val="20"/>
                <w:color w:val="auto"/>
              </w:rPr>
            </w:pPr>
            <w:r>
              <w:rPr>
                <w:rFonts w:ascii="Arial" w:cs="Arial" w:eastAsia="Arial" w:hAnsi="Arial"/>
                <w:sz w:val="16"/>
                <w:szCs w:val="16"/>
                <w:color w:val="auto"/>
              </w:rPr>
              <w:t xml:space="preserve">8,667,882 </w:t>
            </w:r>
            <w:r>
              <w:rPr>
                <w:rFonts w:ascii="Arial" w:cs="Arial" w:eastAsia="Arial" w:hAnsi="Arial"/>
                <w:sz w:val="25"/>
                <w:szCs w:val="25"/>
                <w:color w:val="auto"/>
                <w:vertAlign w:val="subscript"/>
              </w:rPr>
              <w:t>(3)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hanging="314"/>
        <w:spacing w:after="0" w:line="251" w:lineRule="auto"/>
        <w:tabs>
          <w:tab w:leader="none" w:pos="3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Comprises 6,785,020 shares issuable upon exercise of options outstanding under the 2021 Plan, 380,775 shares issuable upon vesting of outstanding RSUs under the 2021 Plan, and 975,000 shares issuable upon vesting settlement of PSUs outstanding under the 2021 Plan.</w:t>
      </w:r>
    </w:p>
    <w:p>
      <w:pPr>
        <w:ind w:left="320" w:right="180" w:hanging="314"/>
        <w:spacing w:after="0" w:line="241" w:lineRule="auto"/>
        <w:tabs>
          <w:tab w:leader="none" w:pos="38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weighted average exercise price does not take into account the RSUs or PSUs that have no exercise price. In addition, the weighted average exercise price does not take into account rights outstanding under the 2021 ESPP.</w:t>
      </w:r>
    </w:p>
    <w:p>
      <w:pPr>
        <w:spacing w:after="0" w:line="1" w:lineRule="exact"/>
        <w:rPr>
          <w:rFonts w:ascii="Arial" w:cs="Arial" w:eastAsia="Arial" w:hAnsi="Arial"/>
          <w:sz w:val="16"/>
          <w:szCs w:val="16"/>
          <w:color w:val="auto"/>
        </w:rPr>
      </w:pPr>
    </w:p>
    <w:p>
      <w:pPr>
        <w:ind w:left="320" w:right="80" w:hanging="314"/>
        <w:spacing w:after="0" w:line="249" w:lineRule="auto"/>
        <w:tabs>
          <w:tab w:leader="none" w:pos="3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Comprises 6,667,882 shares available for future issuance under the 2021 Plan and 2,000,000 shares available for future issuance under the 2021 ESPP, in each case, as of December 31,2021.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Beneficial Ownership</w:t>
      </w:r>
    </w:p>
    <w:p>
      <w:pPr>
        <w:spacing w:after="0" w:line="2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table sets forth information pertaining to “beneficial ownership” (as defined below) of our voting securities as of February 18, 2021, by (i) individuals or entities known by us to own more than five percent of any class of our voting securities, (ii) each director and director nominees, (iii) our named executive officers and (iv) all directors and executive officers as a group. The table below is based upon information supplied by officers, directors and principal stockholders and Schedules 13G filed with the SEC.</w:t>
      </w:r>
    </w:p>
    <w:p>
      <w:pPr>
        <w:spacing w:after="0" w:line="2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number of shares “beneficially owned” by a given stockholder is determined under SEC Rules, and the designation of ownership set forth below is not necessarily indicative of ownership for any other purpose. In general, the beneficial ownership as set forth below includes shares over which a director, director nominee, principal stockholder, or executive officer has sole or shared voting or investment power and certain shares which such person has a vested right to acquire, under stock options or otherwise, within sixty (60) days of the date hereof.</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beneficial ownership percentages set forth in the table below are based on 150,598,047 shares of common stock outstanding as of February 18, 2022.</w:t>
      </w:r>
    </w:p>
    <w:p>
      <w:pPr>
        <w:spacing w:after="0" w:line="2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as otherwise set forth in the table below, the address of each of the persons listed below is c/o The Beauty Health Company, 2165 Spring Street, Long Beach, California 90806.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Beneficially Owned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8"/>
                <w:szCs w:val="18"/>
                <w:b w:val="1"/>
                <w:bCs w:val="1"/>
                <w:color w:val="auto"/>
                <w:w w:val="88"/>
              </w:rPr>
              <w:t>Percent of Total</w:t>
            </w:r>
          </w:p>
        </w:tc>
        <w:tc>
          <w:tcPr>
            <w:tcW w:w="0" w:type="dxa"/>
            <w:vAlign w:val="bottom"/>
          </w:tcPr>
          <w:p>
            <w:pPr>
              <w:spacing w:after="0"/>
              <w:rPr>
                <w:sz w:val="1"/>
                <w:szCs w:val="1"/>
                <w:color w:val="auto"/>
              </w:rPr>
            </w:pPr>
          </w:p>
        </w:tc>
      </w:tr>
      <w:tr>
        <w:trPr>
          <w:trHeight w:val="172"/>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4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Number of Shares</w:t>
            </w:r>
          </w:p>
        </w:tc>
        <w:tc>
          <w:tcPr>
            <w:tcW w:w="192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8"/>
              </w:rPr>
              <w:t>Outstanding Common</w:t>
            </w:r>
          </w:p>
        </w:tc>
        <w:tc>
          <w:tcPr>
            <w:tcW w:w="0" w:type="dxa"/>
            <w:vAlign w:val="bottom"/>
          </w:tcPr>
          <w:p>
            <w:pPr>
              <w:spacing w:after="0"/>
              <w:rPr>
                <w:sz w:val="1"/>
                <w:szCs w:val="1"/>
                <w:color w:val="auto"/>
              </w:rPr>
            </w:pPr>
          </w:p>
        </w:tc>
      </w:tr>
      <w:tr>
        <w:trPr>
          <w:trHeight w:val="225"/>
        </w:trPr>
        <w:tc>
          <w:tcPr>
            <w:tcW w:w="7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18"/>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9,599,134</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 Vanguard Blvd., Malvern, PA 19355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4"/>
                <w:szCs w:val="14"/>
                <w:color w:val="auto"/>
              </w:rPr>
              <w:t>(2)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22,446,042</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14.9%</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245 Summer Street, Boston, MA 02210</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LCP Edge Holdco LLC </w:t>
            </w:r>
            <w:r>
              <w:rPr>
                <w:rFonts w:ascii="Arial" w:cs="Arial" w:eastAsia="Arial" w:hAnsi="Arial"/>
                <w:sz w:val="14"/>
                <w:szCs w:val="14"/>
                <w:color w:val="auto"/>
              </w:rPr>
              <w:t>(3)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36,568,002</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24.3%</w:t>
            </w:r>
          </w:p>
        </w:tc>
        <w:tc>
          <w:tcPr>
            <w:tcW w:w="0" w:type="dxa"/>
            <w:vAlign w:val="bottom"/>
          </w:tcPr>
          <w:p>
            <w:pPr>
              <w:spacing w:after="0"/>
              <w:rPr>
                <w:sz w:val="1"/>
                <w:szCs w:val="1"/>
                <w:color w:val="auto"/>
              </w:rPr>
            </w:pPr>
          </w:p>
        </w:tc>
      </w:tr>
      <w:tr>
        <w:trPr>
          <w:trHeight w:val="225"/>
        </w:trPr>
        <w:tc>
          <w:tcPr>
            <w:tcW w:w="75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150 N Riverside Plaza, Suite 5100, Chicago, IL 60606</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Liyuan Woo</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347,335</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Indra Pamamull</w:t>
            </w: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Stephan Becker</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Daniel Watson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217,361</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Brent Saunders </w:t>
            </w:r>
            <w:r>
              <w:rPr>
                <w:rFonts w:ascii="Arial" w:cs="Arial" w:eastAsia="Arial" w:hAnsi="Arial"/>
                <w:sz w:val="14"/>
                <w:szCs w:val="14"/>
                <w:color w:val="auto"/>
              </w:rPr>
              <w:t>(4)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13,193,969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Michael Capellas </w:t>
            </w:r>
            <w:r>
              <w:rPr>
                <w:rFonts w:ascii="Arial" w:cs="Arial" w:eastAsia="Arial" w:hAnsi="Arial"/>
                <w:sz w:val="14"/>
                <w:szCs w:val="14"/>
                <w:color w:val="auto"/>
              </w:rPr>
              <w:t>(5)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369,495</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Dr. Julius Few </w:t>
            </w:r>
            <w:r>
              <w:rPr>
                <w:rFonts w:ascii="Arial" w:cs="Arial" w:eastAsia="Arial" w:hAnsi="Arial"/>
                <w:sz w:val="14"/>
                <w:szCs w:val="14"/>
                <w:color w:val="auto"/>
              </w:rPr>
              <w:t>(6)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130,570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Desiree Gruber </w:t>
            </w:r>
            <w:r>
              <w:rPr>
                <w:rFonts w:ascii="Arial" w:cs="Arial" w:eastAsia="Arial" w:hAnsi="Arial"/>
                <w:sz w:val="14"/>
                <w:szCs w:val="14"/>
                <w:color w:val="auto"/>
              </w:rPr>
              <w:t>(7)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77,956</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Michelle Kerrick</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Brian Miller </w:t>
            </w:r>
            <w:r>
              <w:rPr>
                <w:rFonts w:ascii="Arial" w:cs="Arial" w:eastAsia="Arial" w:hAnsi="Arial"/>
                <w:sz w:val="14"/>
                <w:szCs w:val="14"/>
                <w:color w:val="auto"/>
              </w:rPr>
              <w:t>(8)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36,568,002</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24.3%</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Douglas Schillinger </w:t>
            </w:r>
            <w:r>
              <w:rPr>
                <w:rFonts w:ascii="Arial" w:cs="Arial" w:eastAsia="Arial" w:hAnsi="Arial"/>
                <w:sz w:val="14"/>
                <w:szCs w:val="14"/>
                <w:color w:val="auto"/>
              </w:rPr>
              <w:t>(9)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2,600,391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Arial" w:cs="Arial" w:eastAsia="Arial" w:hAnsi="Arial"/>
                <w:sz w:val="18"/>
                <w:szCs w:val="18"/>
                <w:color w:val="auto"/>
              </w:rPr>
              <w:t>Clinton Carnell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2,470,174</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Stanleick</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All executive officers and directors as a group (13 persons)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55,975,253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37.2%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0"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2"/>
          <w:szCs w:val="12"/>
          <w:color w:val="auto"/>
        </w:rPr>
        <w:t>Less than one percent.</w:t>
      </w:r>
    </w:p>
    <w:p>
      <w:pPr>
        <w:spacing w:after="0" w:line="16" w:lineRule="exact"/>
        <w:rPr>
          <w:sz w:val="20"/>
          <w:szCs w:val="20"/>
          <w:color w:val="auto"/>
        </w:rPr>
      </w:pPr>
    </w:p>
    <w:p>
      <w:pPr>
        <w:ind w:left="320" w:right="140" w:hanging="314"/>
        <w:spacing w:after="0" w:line="241" w:lineRule="auto"/>
        <w:tabs>
          <w:tab w:leader="none" w:pos="3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solely on information contained in Schedule 13G filed with the Securities and Exchange Commission on February 9, 2021. The Vanguard Group and Christine M. Buchanan reported The Vanguard Group and Christine M. Buchanan has shared voting power of 159,863 shares, sole dispositive power of 9,371,536 shares, and shared dispositive power of 227,598 shares.</w:t>
      </w:r>
    </w:p>
    <w:p>
      <w:pPr>
        <w:spacing w:after="0" w:line="2" w:lineRule="exact"/>
        <w:rPr>
          <w:rFonts w:ascii="Arial" w:cs="Arial" w:eastAsia="Arial" w:hAnsi="Arial"/>
          <w:sz w:val="16"/>
          <w:szCs w:val="16"/>
          <w:color w:val="auto"/>
        </w:rPr>
      </w:pPr>
    </w:p>
    <w:p>
      <w:pPr>
        <w:ind w:left="320" w:right="220" w:hanging="314"/>
        <w:spacing w:after="0" w:line="276" w:lineRule="auto"/>
        <w:tabs>
          <w:tab w:leader="none" w:pos="386"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solely on information contained in Schedule 13G/A filed with the Securities and Exchange Commission on February 9, 2021. FMR LLC and Abigail P. Johnson reported that FMR LLC and Abigail P. Johnson has sole power to direct the voting of 5,464,847 shares and sole power to direct the disposition of 22,446,042 shares.</w:t>
      </w:r>
    </w:p>
    <w:p>
      <w:pPr>
        <w:ind w:left="320" w:right="20" w:hanging="314"/>
        <w:spacing w:after="0" w:line="276" w:lineRule="auto"/>
        <w:tabs>
          <w:tab w:leader="none" w:pos="386"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solely on information contained in Schedule 13G/A filed with the Securities and Exchange Commission on July 19, 2021, by LCP Edge Holdco LLC, Linden Capital III LLC, Linden Manager III LP, Linden Capital Partners III LP, Linden Capital Partners III-A LP, Brian Miller and Anthony Davis (collectively the Reporting Persons), each of the Reporting Persons may be deemed to directly or indirectly beneficially own the shares of Class A Common Stock held by LCP Edge Holdco LLC. The aggregate number of shares of Class A Common Stock beneficially owned collectively by the Reporting Persons is 36,508,096 shares over which they have shared voting and dispositive power over. Based solely on information contained in Form 4 filed with the Securities and Exchange Commission on August 27, 2021 the Reporting Persons acquired 59,906 shares, transacted on August 25, 2021, adjusting the number of shares of Class A Common Stock beneficially owned collectively by the Reporting Persons to 36,568,002. The reported acquisition reflects working capital adjustment shares issued pursuant to the Business Combination.</w:t>
      </w:r>
    </w:p>
    <w:p>
      <w:pPr>
        <w:spacing w:after="0" w:line="2" w:lineRule="exact"/>
        <w:rPr>
          <w:rFonts w:ascii="Arial" w:cs="Arial" w:eastAsia="Arial" w:hAnsi="Arial"/>
          <w:sz w:val="14"/>
          <w:szCs w:val="14"/>
          <w:color w:val="auto"/>
        </w:rPr>
      </w:pPr>
    </w:p>
    <w:p>
      <w:pPr>
        <w:ind w:left="320" w:right="20" w:hanging="314"/>
        <w:spacing w:after="0" w:line="258" w:lineRule="auto"/>
        <w:tabs>
          <w:tab w:leader="none" w:pos="386"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Consists of (i) 5,557,685 shares held by Mr. Saunders, (ii) 1,681,771 shares held by Triplet Enterprises III, LLC ("Triplet"), (iii) 1,121,180 shares held by Saunders Family Trust ("Trust"), (iv) 3,166,666 convertible warrants held by Mr. Saunders, (v) 1,000,000 convertible warrants held by Triplet, and (vi) 666,667 convertible warrants held by Trust. As the managing member of Triplet, Mr. Saunders may be deemed to indirectly beneficially own shares held by Triplet, but disclaims beneficial ownership of such shares except to the extent of his pecuniary interest therein. Mr. Saunders has voting and dispositive control over the securities held by Trust and thus Mr. Saunders may be deemed to indirectly beneficially own shares held by Trust, but disclaims beneficial ownership of such shares except to the extent of his pecuniary interest therein. The business address of this stockholder is 1142 N Venetian Dr., Miami Beach, FL 33139.</w:t>
      </w:r>
    </w:p>
    <w:p>
      <w:pPr>
        <w:ind w:left="400" w:hanging="394"/>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136,162 shares and 233,333 convertible warrants.</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63,903 shares and 66,667 convertible warrants.</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24,623 shares and 53,333 convertible warrants.</w:t>
      </w:r>
    </w:p>
    <w:p>
      <w:pPr>
        <w:spacing w:after="0" w:line="1" w:lineRule="exact"/>
        <w:rPr>
          <w:rFonts w:ascii="Arial" w:cs="Arial" w:eastAsia="Arial" w:hAnsi="Arial"/>
          <w:sz w:val="16"/>
          <w:szCs w:val="16"/>
          <w:color w:val="auto"/>
        </w:rPr>
      </w:pPr>
    </w:p>
    <w:p>
      <w:pPr>
        <w:ind w:left="320" w:right="180" w:hanging="314"/>
        <w:spacing w:after="0" w:line="249" w:lineRule="auto"/>
        <w:tabs>
          <w:tab w:leader="none" w:pos="3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shares of Class A Common Stock beneficially held by LCP Edge Holdco LLC. Brian Miller, as Co-Founder and Managing Partner of LCP Edge Holdco LLC, may be deemed to directly or indirectly beneficially own the shares as he shares voting and</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dispositive power over the 36,568,002 shares. The business address of this stockholder is 150 North Riverside Plaza, Suite 5100, Chicago, IL 60606.</w:t>
      </w:r>
    </w:p>
    <w:p>
      <w:pPr>
        <w:spacing w:after="0" w:line="16" w:lineRule="exact"/>
        <w:rPr>
          <w:sz w:val="20"/>
          <w:szCs w:val="20"/>
          <w:color w:val="auto"/>
        </w:rPr>
      </w:pPr>
    </w:p>
    <w:p>
      <w:pPr>
        <w:ind w:left="320" w:right="140" w:hanging="314"/>
        <w:spacing w:after="0" w:line="245" w:lineRule="auto"/>
        <w:tabs>
          <w:tab w:leader="none" w:pos="386"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2,600,391 shares held by DW Healthcare Partners IV (B) LP. Doug Schillinger, as the Managing Director of DW Healthcare Partners IV (B) LP, disclaims beneficial ownership of the shares other than to the extent of any pecuniary interest he may have therein, directly or indirectly. The business address of this stockholder is 1413 Center Dr., Suite 220, Park City UT 84098.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are not aware of any arrangements that may result in a change in control.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includes a summary of transactions since January 1, 2021 to which we have been a party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the section entitled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25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information set forth in Part III, Item 11 under the heading, “</w:t>
      </w:r>
      <w:r>
        <w:rPr>
          <w:rFonts w:ascii="Arial" w:cs="Arial" w:eastAsia="Arial" w:hAnsi="Arial"/>
          <w:sz w:val="18"/>
          <w:szCs w:val="18"/>
          <w:i w:val="1"/>
          <w:iCs w:val="1"/>
          <w:color w:val="auto"/>
        </w:rPr>
        <w:t>Summary of Executive Compensation Arrangements</w:t>
      </w:r>
      <w:r>
        <w:rPr>
          <w:rFonts w:ascii="Arial" w:cs="Arial" w:eastAsia="Arial" w:hAnsi="Arial"/>
          <w:sz w:val="18"/>
          <w:szCs w:val="18"/>
          <w:color w:val="auto"/>
        </w:rPr>
        <w:t>”, including under the subheadings, “</w:t>
      </w:r>
      <w:r>
        <w:rPr>
          <w:rFonts w:ascii="Arial" w:cs="Arial" w:eastAsia="Arial" w:hAnsi="Arial"/>
          <w:sz w:val="18"/>
          <w:szCs w:val="18"/>
          <w:i w:val="1"/>
          <w:iCs w:val="1"/>
          <w:color w:val="auto"/>
        </w:rPr>
        <w:t>Employment Agreements with Mr. Carnell and Ms. Woo</w:t>
      </w:r>
      <w:r>
        <w:rPr>
          <w:rFonts w:ascii="Arial" w:cs="Arial" w:eastAsia="Arial" w:hAnsi="Arial"/>
          <w:sz w:val="18"/>
          <w:szCs w:val="18"/>
          <w:color w:val="auto"/>
        </w:rPr>
        <w:t>”, “</w:t>
      </w:r>
      <w:r>
        <w:rPr>
          <w:rFonts w:ascii="Arial" w:cs="Arial" w:eastAsia="Arial" w:hAnsi="Arial"/>
          <w:sz w:val="18"/>
          <w:szCs w:val="18"/>
          <w:i w:val="1"/>
          <w:iCs w:val="1"/>
          <w:color w:val="auto"/>
        </w:rPr>
        <w:t>Employment Offer Letter with Ms. Pamamull</w:t>
      </w:r>
      <w:r>
        <w:rPr>
          <w:rFonts w:ascii="Arial" w:cs="Arial" w:eastAsia="Arial" w:hAnsi="Arial"/>
          <w:sz w:val="18"/>
          <w:szCs w:val="18"/>
          <w:color w:val="auto"/>
        </w:rPr>
        <w:t>”, “</w:t>
      </w:r>
      <w:r>
        <w:rPr>
          <w:rFonts w:ascii="Arial" w:cs="Arial" w:eastAsia="Arial" w:hAnsi="Arial"/>
          <w:sz w:val="18"/>
          <w:szCs w:val="18"/>
          <w:i w:val="1"/>
          <w:iCs w:val="1"/>
          <w:color w:val="auto"/>
        </w:rPr>
        <w:t>Employment Agreement with Mr. Becker</w:t>
      </w:r>
      <w:r>
        <w:rPr>
          <w:rFonts w:ascii="Arial" w:cs="Arial" w:eastAsia="Arial" w:hAnsi="Arial"/>
          <w:sz w:val="18"/>
          <w:szCs w:val="18"/>
          <w:color w:val="auto"/>
        </w:rPr>
        <w:t>”, and “</w:t>
      </w:r>
      <w:r>
        <w:rPr>
          <w:rFonts w:ascii="Arial" w:cs="Arial" w:eastAsia="Arial" w:hAnsi="Arial"/>
          <w:sz w:val="18"/>
          <w:szCs w:val="18"/>
          <w:i w:val="1"/>
          <w:iCs w:val="1"/>
          <w:color w:val="auto"/>
        </w:rPr>
        <w:t>Employment Offer Letter with Mr. Watson</w:t>
      </w:r>
      <w:r>
        <w:rPr>
          <w:rFonts w:ascii="Arial" w:cs="Arial" w:eastAsia="Arial" w:hAnsi="Arial"/>
          <w:sz w:val="18"/>
          <w:szCs w:val="18"/>
          <w:color w:val="auto"/>
        </w:rPr>
        <w:t>”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connection with the consummation of the Business Combination, on May 4, 2021, the Company entered into indemnity agreements with each of its directors and executive officers and certain other officers of the Company. Each indemnity agreement provides for indemnification and advancement by the Company of certain expenses and costs relating to claims, suits or proceedings arising from service to the Company or, at its request, service to other entities, as officers or directors to the maximum extent permitted by applicable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50" w:lineRule="exact"/>
        <w:rPr>
          <w:sz w:val="20"/>
          <w:szCs w:val="20"/>
          <w:color w:val="auto"/>
        </w:rPr>
      </w:pPr>
    </w:p>
    <w:p>
      <w:pPr>
        <w:ind w:right="840"/>
        <w:spacing w:after="0" w:line="294" w:lineRule="auto"/>
        <w:rPr>
          <w:sz w:val="20"/>
          <w:szCs w:val="20"/>
          <w:color w:val="auto"/>
        </w:rPr>
      </w:pPr>
      <w:r>
        <w:rPr>
          <w:rFonts w:ascii="Arial" w:cs="Arial" w:eastAsia="Arial" w:hAnsi="Arial"/>
          <w:sz w:val="17"/>
          <w:szCs w:val="17"/>
          <w:color w:val="auto"/>
        </w:rPr>
        <w:t>In connection with the consummation of the Business Combination, on May 4, 2021, the Company entered into that certain Amended and Restated Registration Rights Agreement (the “Registration Rights Agreement”) with the Sponsor and the HydraFacial Stockholders.</w:t>
      </w:r>
    </w:p>
    <w:p>
      <w:pPr>
        <w:spacing w:after="0" w:line="184"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a the Sponsor or the HydraFacial Stockholders (together, the “Restricted Stockholders”) as of the date of the Registration Rights Agreement or thereafter acquired by a Restricted Stockholder (including the shares of Class A Common Stock issued upon conversion of the Class B Common Stock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8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Registration Rights Agreement provides that the Company will, within 60 days after the consummation of the transactions contemplated by the Merger Agreement,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Stockholders agree in the Registration Rights Agreement to provide customary indemnification in connection with any offerings of Common Stock effected pursuant to the terms of the Registration Rights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w:t>
      </w:r>
    </w:p>
    <w:p>
      <w:pPr>
        <w:spacing w:after="0" w:line="25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connection with the consummation of the Business Combination, on May 4, 2021, the Company, the Sponsor and the HydraFacial Stockholders entered into a Lock-Up Agreement, pursuant to which the HydraFacial Stockholders agreed, subject to certain exceptions, not to sell, transfer to another or otherwise dispose of, in whole or in part, the Common Stock held by the HydraFacial Stockholders during the period commencing from the closing of the Business Combination and through the earlier of (i) the 180-day anniversary of the date of the closing of the Business Combination and (ii) the date after the closing of the Business Combination on which the Company consummates certain transactions involving a change of control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entered into that certain Investor Rights Agreement (the “Investor Rights Agreement”). Pursuant to the Investor Rights Agreement, LCP will have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Management Services Agreement</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HydraFacial entered into a Management Services Agreement, dated December 1, 2016 with Linden Capital Partners III LP (“Linden Capital Partners III”) and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DW Management Services, L.L.C. (“DW Management Services”) pursuant to which the parties receive quarterly monitoring fees of the greater of (a)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$125,000 and (b) 1.25% of Last Twelve Months EBITDA multiplied by the quotient of (x) the aggregate capital invested by the DWHP Investors into LCP</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and/or its subsidiaries as of such date, divided by (y) the sum of (i) the aggregate capital invested by the DWHP Investors into LCP and/or its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plus (ii) the aggregate capital invested by the Linden Capital Partners III into LCP and/or its subsidiaries as of the date of payment. In addition,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management services agreement provides for other fees in relation to services that may be provided in connection with equity and/or debt financing,</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acquisition of any other business, company, product line or enterprise, or divestiture of any division, business, and product or material assets. The fees vary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between 1% and 2% of the related transaction amount. Linden Capital Partners III also received a transaction fee upon the consummation of the Business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Combination. In connection with the consummation of the Business Combination, HydraFacial and Linden Capital Partners III amended the Management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Services Agreement such that Linden Capital Partners III will continue to provide advisory services to HydraFacial related to mergers and acquisitions for one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year following the Business Combination. As consideration for such services, HydraFacial will pay a fee, equal to 1% of enterprise value, to Linden Capital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Partners III upon the consummation of any such transaction. Fees paid to these investors totaled $1.8 million, $1.8 million and $3.2 million during the year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2020, 2019 and 2018, respectively. A Management Services Agreement with DW Management Services was terminated at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consummation of the Business Combination.</w:t>
      </w:r>
    </w:p>
    <w:p>
      <w:pPr>
        <w:spacing w:after="0" w:line="232"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In connection with the consummation of the Business Combination, on May 4, 2021, the Company, its subsidiary, Edge Systems LLC, and the Linden Manager entered into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Company has also agreed to reimburse the Linden Manager for certain expenses in connection with such advisory services. However, pursuant to the Linden Management Services Agreement, the Company’s obligation to pay the 1% Fee expires twelve months after the consummation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the Company’s Former Chief Executive Officer</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HydraFacial entered into a promissory note (the “Carnell Promissory Note”) with Mr. Carnell in December 2016 to finance his initial $550,000 co-investment in HydraFacial. Interest on the Carnell Promissory Note accrued at an annual rate of 8% and was scheduled to mature in December 2022. In December 2019, HydraFacial agreed to subordinate its rights under the Carnell Promissory Note, which as of December 31, 2020 had accrued to $760,159.89, and allow Mr. Carnell to pledge certain options</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both"/>
        <w:ind w:right="420"/>
        <w:spacing w:after="0" w:line="330" w:lineRule="auto"/>
        <w:rPr>
          <w:sz w:val="20"/>
          <w:szCs w:val="20"/>
          <w:color w:val="auto"/>
        </w:rPr>
      </w:pPr>
      <w:r>
        <w:rPr>
          <w:rFonts w:ascii="Arial" w:cs="Arial" w:eastAsia="Arial" w:hAnsi="Arial"/>
          <w:sz w:val="15"/>
          <w:szCs w:val="15"/>
          <w:color w:val="auto"/>
        </w:rPr>
        <w:t>granted to him by HydraFacial to a third party lender for an additional $1,500,000 loan Mr. Carnell obtained from such third party lender. This loan was amended in June 2020 to allow Mr. Carnell to cancel his options pledged as collateral for the loan and instead pledge certain management incentive units issued or to be issued to him by HydraFacial. Both loans were repaid at the consummation of the Business Combination.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audit committee charter of the Company provides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the compensation arrangements with directors and named executive officers described elsewhere in this annual report on Form 10-K, since January 1, 2021, there has not been a transaction or series of related transactions in which we were or are a party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board of directors determined that each of our directors, other than Mr. Saunders, qualify as independent directors, as defined under the listing rules of Nasdaq (the “Nasdaq listing rules”) and that our board of directors consists of a majority of “independent directors,” as defined under the rules of the SEC and the Nasdaq listing rules relating to director independence requirements.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0"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color w:val="auto"/>
        </w:rPr>
        <w:t>The Audit Committee of the Board has selected Deloitte &amp; Touche LLP (“Deloitte”) as our independent registered public accounting firm for the fiscal year ended December 31, 2021. Deloitte has audited our consolidated financial statements for the years ended December 31, 2021 and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0" w:type="dxa"/>
            <w:vAlign w:val="bottom"/>
            <w:tcBorders>
              <w:bottom w:val="single" w:sz="8" w:color="auto"/>
            </w:tcBorders>
          </w:tcPr>
          <w:p>
            <w:pPr>
              <w:spacing w:after="0"/>
              <w:rPr>
                <w:sz w:val="16"/>
                <w:szCs w:val="16"/>
                <w:color w:val="auto"/>
              </w:rPr>
            </w:pPr>
          </w:p>
        </w:tc>
      </w:tr>
      <w:tr>
        <w:trPr>
          <w:trHeight w:val="192"/>
        </w:trPr>
        <w:tc>
          <w:tcPr>
            <w:tcW w:w="7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4"/>
                <w:szCs w:val="14"/>
                <w:color w:val="auto"/>
              </w:rPr>
              <w:t>(1)</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231F20"/>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4"/>
              </w:rPr>
              <w:t>1,452,495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668,300</w:t>
            </w:r>
          </w:p>
        </w:tc>
      </w:tr>
      <w:tr>
        <w:trPr>
          <w:trHeight w:val="238"/>
        </w:trPr>
        <w:tc>
          <w:tcPr>
            <w:tcW w:w="7100" w:type="dxa"/>
            <w:vAlign w:val="bottom"/>
          </w:tcPr>
          <w:p>
            <w:pPr>
              <w:ind w:left="20"/>
              <w:spacing w:after="0"/>
              <w:rPr>
                <w:sz w:val="20"/>
                <w:szCs w:val="20"/>
                <w:color w:val="auto"/>
              </w:rPr>
            </w:pPr>
            <w:r>
              <w:rPr>
                <w:rFonts w:ascii="Arial" w:cs="Arial" w:eastAsia="Arial" w:hAnsi="Arial"/>
                <w:sz w:val="18"/>
                <w:szCs w:val="18"/>
                <w:color w:val="auto"/>
              </w:rPr>
              <w:t xml:space="preserve">Audit related fees </w:t>
            </w:r>
            <w:r>
              <w:rPr>
                <w:rFonts w:ascii="Arial" w:cs="Arial" w:eastAsia="Arial" w:hAnsi="Arial"/>
                <w:sz w:val="15"/>
                <w:szCs w:val="15"/>
                <w:color w:val="auto"/>
              </w:rPr>
              <w:t>(2)</w:t>
            </w:r>
          </w:p>
        </w:tc>
        <w:tc>
          <w:tcPr>
            <w:tcW w:w="1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262,500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3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4"/>
              </w:rPr>
              <w:t>1,236,038</w:t>
            </w: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39,145</w:t>
            </w:r>
          </w:p>
        </w:tc>
      </w:tr>
      <w:tr>
        <w:trPr>
          <w:trHeight w:val="218"/>
        </w:trPr>
        <w:tc>
          <w:tcPr>
            <w:tcW w:w="7100" w:type="dxa"/>
            <w:vAlign w:val="bottom"/>
          </w:tcPr>
          <w:p>
            <w:pPr>
              <w:ind w:left="20"/>
              <w:spacing w:after="0" w:line="204" w:lineRule="exact"/>
              <w:rPr>
                <w:sz w:val="20"/>
                <w:szCs w:val="20"/>
                <w:color w:val="auto"/>
              </w:rPr>
            </w:pPr>
            <w:r>
              <w:rPr>
                <w:rFonts w:ascii="Arial" w:cs="Arial" w:eastAsia="Arial" w:hAnsi="Arial"/>
                <w:sz w:val="18"/>
                <w:szCs w:val="18"/>
                <w:color w:val="auto"/>
              </w:rPr>
              <w:t xml:space="preserve">Total fees </w:t>
            </w:r>
            <w:r>
              <w:rPr>
                <w:rFonts w:ascii="Arial" w:cs="Arial" w:eastAsia="Arial" w:hAnsi="Arial"/>
                <w:sz w:val="15"/>
                <w:szCs w:val="15"/>
                <w:color w:val="auto"/>
              </w:rPr>
              <w:t>(3)</w:t>
            </w:r>
          </w:p>
        </w:tc>
        <w:tc>
          <w:tcPr>
            <w:tcW w:w="1240" w:type="dxa"/>
            <w:vAlign w:val="bottom"/>
            <w:tcBorders>
              <w:bottom w:val="single" w:sz="8" w:color="auto"/>
            </w:tcBorders>
          </w:tcPr>
          <w:p>
            <w:pPr>
              <w:jc w:val="right"/>
              <w:ind w:right="1058"/>
              <w:spacing w:after="0"/>
              <w:rPr>
                <w:sz w:val="20"/>
                <w:szCs w:val="20"/>
                <w:color w:val="auto"/>
              </w:rPr>
            </w:pPr>
            <w:r>
              <w:rPr>
                <w:rFonts w:ascii="Arial" w:cs="Arial" w:eastAsia="Arial" w:hAnsi="Arial"/>
                <w:sz w:val="18"/>
                <w:szCs w:val="18"/>
                <w:color w:val="231F20"/>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4"/>
              </w:rPr>
              <w:t>2,951,033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707,445</w:t>
            </w:r>
          </w:p>
        </w:tc>
      </w:tr>
      <w:tr>
        <w:trPr>
          <w:trHeight w:val="20"/>
        </w:trPr>
        <w:tc>
          <w:tcPr>
            <w:tcW w:w="7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7" w:lineRule="exact"/>
        <w:rPr>
          <w:sz w:val="20"/>
          <w:szCs w:val="20"/>
          <w:color w:val="auto"/>
        </w:rPr>
      </w:pPr>
    </w:p>
    <w:p>
      <w:pPr>
        <w:ind w:left="320" w:right="620" w:hanging="314"/>
        <w:spacing w:after="0" w:line="241" w:lineRule="auto"/>
        <w:tabs>
          <w:tab w:leader="none" w:pos="3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Fees for audit services included fees associated with the annual audits for the years ended December 31, 2021 and 2020 and the quarterly reviews of the financial statements included in our quarterly reports on Form 10-Q in 2021.</w:t>
      </w:r>
    </w:p>
    <w:p>
      <w:pPr>
        <w:spacing w:after="0" w:line="1" w:lineRule="exact"/>
        <w:rPr>
          <w:rFonts w:ascii="Arial" w:cs="Arial" w:eastAsia="Arial" w:hAnsi="Arial"/>
          <w:sz w:val="16"/>
          <w:szCs w:val="16"/>
          <w:color w:val="auto"/>
        </w:rPr>
      </w:pPr>
    </w:p>
    <w:p>
      <w:pPr>
        <w:ind w:left="320" w:right="120" w:hanging="314"/>
        <w:spacing w:after="0" w:line="241" w:lineRule="auto"/>
        <w:tabs>
          <w:tab w:leader="none" w:pos="338" w:val="left"/>
        </w:tabs>
        <w:numPr>
          <w:ilvl w:val="0"/>
          <w:numId w:val="69"/>
        </w:numPr>
        <w:rPr>
          <w:rFonts w:ascii="Arial" w:cs="Arial" w:eastAsia="Arial" w:hAnsi="Arial"/>
          <w:sz w:val="16"/>
          <w:szCs w:val="16"/>
          <w:color w:val="auto"/>
        </w:rPr>
      </w:pPr>
      <w:r>
        <w:rPr>
          <w:rFonts w:ascii="Arial" w:cs="Arial" w:eastAsia="Arial" w:hAnsi="Arial"/>
          <w:sz w:val="16"/>
          <w:szCs w:val="16"/>
          <w:color w:val="auto"/>
        </w:rPr>
        <w:t>Audited related fees were for services related to consent letters issued in connection with the filing of our registration statements, comfort letter issued in connection with our offering of convertible senior notes, and other merger and acquisition related services.</w:t>
      </w:r>
    </w:p>
    <w:p>
      <w:pPr>
        <w:spacing w:after="0" w:line="1" w:lineRule="exact"/>
        <w:rPr>
          <w:rFonts w:ascii="Arial" w:cs="Arial" w:eastAsia="Arial" w:hAnsi="Arial"/>
          <w:sz w:val="16"/>
          <w:szCs w:val="16"/>
          <w:color w:val="auto"/>
        </w:rPr>
      </w:pPr>
    </w:p>
    <w:p>
      <w:pPr>
        <w:ind w:left="360" w:hanging="354"/>
        <w:spacing w:after="0"/>
        <w:tabs>
          <w:tab w:leader="none" w:pos="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Excludes fees for services rendered by Marcum LLP as the principal accountant for Vesper prior to the Business Combination.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5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Audit Committee’s policy is to pre-approve all audit and permissible non-audit services rendered by Deloitte, our independent registered public accounting firm. The Audit Committee pre-approves specified services in defined categories of audit services, audit- related services and tax services up to specified amounts, as part of the Audit Committee’s approval of the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scope of the engagement of Deloitte or on an individual case-by-case basis before Deloitte is engaged to provide a service. The Audit Committee has determined that the rendering of the services other than audit services by Deloitte is compatible with maintaining the principal accountant’s independence.</w:t>
      </w:r>
    </w:p>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320" w:top="140" w:right="67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Statements and Supplementary Data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in Item 8 of this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All financial statement schedules have been omitted as the information is not required under the related instructions or is not applicable or because the</w:t>
      </w:r>
    </w:p>
    <w:p>
      <w:pPr>
        <w:sectPr>
          <w:pgSz w:w="11900" w:h="16838" w:orient="portrait"/>
          <w:cols w:equalWidth="0" w:num="1">
            <w:col w:w="11240"/>
          </w:cols>
          <w:pgMar w:left="320" w:top="140"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information required is already included in the financial statements or the notes those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The documents set forth below are filed herewith or incorporated herein by reference to the location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17"/>
          </w:tcPr>
          <w:p>
            <w:pPr>
              <w:ind w:left="820"/>
              <w:spacing w:after="0"/>
              <w:rPr>
                <w:sz w:val="20"/>
                <w:szCs w:val="20"/>
                <w:color w:val="auto"/>
              </w:rPr>
            </w:pPr>
            <w:r>
              <w:rPr>
                <w:rFonts w:ascii="Arial" w:cs="Arial" w:eastAsia="Arial" w:hAnsi="Arial"/>
                <w:sz w:val="18"/>
                <w:szCs w:val="18"/>
                <w:b w:val="1"/>
                <w:bCs w:val="1"/>
                <w:color w:val="auto"/>
              </w:rPr>
              <w:t>EXHIBIT INDEX</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0"/>
          </w:tcPr>
          <w:p>
            <w:pPr>
              <w:ind w:left="620"/>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Form</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File No.</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bottom w:val="single" w:sz="8" w:color="0000FF"/>
            </w:tcBorders>
            <w:gridSpan w:val="11"/>
          </w:tcPr>
          <w:p>
            <w:pPr>
              <w:spacing w:after="0" w:line="179" w:lineRule="exact"/>
              <w:rPr>
                <w:rFonts w:ascii="Arial" w:cs="Arial" w:eastAsia="Arial" w:hAnsi="Arial"/>
                <w:sz w:val="18"/>
                <w:szCs w:val="18"/>
                <w:color w:val="0000FF"/>
                <w:w w:val="87"/>
              </w:rPr>
            </w:pPr>
            <w:hyperlink r:id="rId180">
              <w:r>
                <w:rPr>
                  <w:rFonts w:ascii="Arial" w:cs="Arial" w:eastAsia="Arial" w:hAnsi="Arial"/>
                  <w:sz w:val="18"/>
                  <w:szCs w:val="18"/>
                  <w:color w:val="0000FF"/>
                  <w:w w:val="87"/>
                </w:rPr>
                <w:t>Agreement and Plan of Merger, dated as of December 8, 2020, by and</w:t>
              </w:r>
            </w:hyperlink>
          </w:p>
        </w:tc>
        <w:tc>
          <w:tcPr>
            <w:tcW w:w="440" w:type="dxa"/>
            <w:vAlign w:val="bottom"/>
            <w:gridSpan w:val="11"/>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22"/>
          </w:tcPr>
          <w:p>
            <w:pPr>
              <w:spacing w:after="0" w:line="152" w:lineRule="exact"/>
              <w:rPr>
                <w:rFonts w:ascii="Arial" w:cs="Arial" w:eastAsia="Arial" w:hAnsi="Arial"/>
                <w:sz w:val="17"/>
                <w:szCs w:val="17"/>
                <w:color w:val="0000FF"/>
                <w:w w:val="98"/>
              </w:rPr>
            </w:pPr>
            <w:hyperlink r:id="rId180">
              <w:r>
                <w:rPr>
                  <w:rFonts w:ascii="Arial" w:cs="Arial" w:eastAsia="Arial" w:hAnsi="Arial"/>
                  <w:sz w:val="17"/>
                  <w:szCs w:val="17"/>
                  <w:color w:val="0000FF"/>
                  <w:w w:val="98"/>
                </w:rPr>
                <w:t>among Vesper Healthcare Acquisition Corp., Hydrate Merger Sub I, Inc.,</w:t>
              </w:r>
            </w:hyperlink>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220" w:type="dxa"/>
            <w:vAlign w:val="bottom"/>
            <w:vMerge w:val="restart"/>
          </w:tcPr>
          <w:p>
            <w:pPr>
              <w:spacing w:after="0"/>
              <w:rPr>
                <w:rFonts w:ascii="Arial" w:cs="Arial" w:eastAsia="Arial" w:hAnsi="Arial"/>
                <w:sz w:val="18"/>
                <w:szCs w:val="18"/>
                <w:color w:val="0000FF"/>
                <w:w w:val="79"/>
              </w:rPr>
            </w:pPr>
            <w:hyperlink r:id="rId180">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w w:val="94"/>
              </w:rPr>
            </w:pPr>
            <w:hyperlink r:id="rId180">
              <w:r>
                <w:rPr>
                  <w:rFonts w:ascii="Arial" w:cs="Arial" w:eastAsia="Arial" w:hAnsi="Arial"/>
                  <w:sz w:val="17"/>
                  <w:szCs w:val="17"/>
                  <w:color w:val="0000FF"/>
                  <w:w w:val="94"/>
                </w:rPr>
                <w:t>Hydrate Merger Sub II, LLC, LCP Edge Intermediate, Inc. and LCP Edge</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16"/>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Holdco, LLC, in its capacity as the Stockholders’ 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vMerge w:val="restart"/>
          </w:tcPr>
          <w:p>
            <w:pPr>
              <w:spacing w:after="0"/>
              <w:rPr>
                <w:rFonts w:ascii="Arial" w:cs="Arial" w:eastAsia="Arial" w:hAnsi="Arial"/>
                <w:sz w:val="18"/>
                <w:szCs w:val="18"/>
                <w:color w:val="0000FF"/>
                <w:w w:val="79"/>
              </w:rPr>
            </w:pPr>
            <w:hyperlink r:id="rId18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205"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Second Amended and Restated Certificate of Incorporation of The Beauty</w:t>
              </w:r>
            </w:hyperlink>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81">
              <w:r>
                <w:rPr>
                  <w:rFonts w:ascii="Arial" w:cs="Arial" w:eastAsia="Arial" w:hAnsi="Arial"/>
                  <w:sz w:val="17"/>
                  <w:szCs w:val="17"/>
                  <w:color w:val="0000FF"/>
                </w:rPr>
                <w:t>Health Company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18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tcBorders>
              <w:bottom w:val="single" w:sz="8" w:color="0000FF"/>
            </w:tcBorders>
            <w:gridSpan w:val="8"/>
          </w:tcPr>
          <w:p>
            <w:pPr>
              <w:spacing w:after="0"/>
              <w:rPr>
                <w:rFonts w:ascii="Arial" w:cs="Arial" w:eastAsia="Arial" w:hAnsi="Arial"/>
                <w:sz w:val="18"/>
                <w:szCs w:val="18"/>
                <w:color w:val="0000FF"/>
                <w:w w:val="89"/>
              </w:rPr>
            </w:pPr>
            <w:hyperlink r:id="rId182">
              <w:r>
                <w:rPr>
                  <w:rFonts w:ascii="Arial" w:cs="Arial" w:eastAsia="Arial" w:hAnsi="Arial"/>
                  <w:sz w:val="18"/>
                  <w:szCs w:val="18"/>
                  <w:color w:val="0000FF"/>
                  <w:w w:val="89"/>
                </w:rPr>
                <w:t>Amended and Restated Bylaws of The Beauty Health Company</w:t>
              </w:r>
            </w:hyperlink>
          </w:p>
        </w:tc>
        <w:tc>
          <w:tcPr>
            <w:tcW w:w="820" w:type="dxa"/>
            <w:vAlign w:val="bottom"/>
            <w:gridSpan w:val="14"/>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vMerge w:val="restart"/>
          </w:tcPr>
          <w:p>
            <w:pPr>
              <w:spacing w:after="0"/>
              <w:rPr>
                <w:rFonts w:ascii="Arial" w:cs="Arial" w:eastAsia="Arial" w:hAnsi="Arial"/>
                <w:sz w:val="18"/>
                <w:szCs w:val="18"/>
                <w:color w:val="0000FF"/>
                <w:w w:val="79"/>
              </w:rPr>
            </w:pPr>
            <w:hyperlink r:id="rId18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205" w:lineRule="exact"/>
              <w:rPr>
                <w:rFonts w:ascii="Arial" w:cs="Arial" w:eastAsia="Arial" w:hAnsi="Arial"/>
                <w:sz w:val="18"/>
                <w:szCs w:val="18"/>
                <w:color w:val="0000FF"/>
                <w:w w:val="93"/>
              </w:rPr>
            </w:pPr>
            <w:hyperlink r:id="rId183">
              <w:r>
                <w:rPr>
                  <w:rFonts w:ascii="Arial" w:cs="Arial" w:eastAsia="Arial" w:hAnsi="Arial"/>
                  <w:sz w:val="18"/>
                  <w:szCs w:val="18"/>
                  <w:color w:val="0000FF"/>
                  <w:w w:val="93"/>
                </w:rPr>
                <w:t>Indenture, dated as of September 14, 2021, between The Beauty Health</w:t>
              </w:r>
            </w:hyperlink>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r:id="rId183">
              <w:r>
                <w:rPr>
                  <w:rFonts w:ascii="Arial" w:cs="Arial" w:eastAsia="Arial" w:hAnsi="Arial"/>
                  <w:sz w:val="17"/>
                  <w:szCs w:val="17"/>
                  <w:color w:val="0000FF"/>
                </w:rPr>
                <w:t>Company and U.S. Bank National Association, as trustee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vMerge w:val="restart"/>
          </w:tcPr>
          <w:p>
            <w:pPr>
              <w:spacing w:after="0"/>
              <w:rPr>
                <w:rFonts w:ascii="Arial" w:cs="Arial" w:eastAsia="Arial" w:hAnsi="Arial"/>
                <w:sz w:val="18"/>
                <w:szCs w:val="18"/>
                <w:color w:val="0000FF"/>
                <w:w w:val="79"/>
              </w:rPr>
            </w:pPr>
            <w:hyperlink r:id="rId18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205" w:lineRule="exact"/>
              <w:rPr>
                <w:rFonts w:ascii="Arial" w:cs="Arial" w:eastAsia="Arial" w:hAnsi="Arial"/>
                <w:sz w:val="18"/>
                <w:szCs w:val="18"/>
                <w:color w:val="0000FF"/>
                <w:w w:val="93"/>
              </w:rPr>
            </w:pPr>
            <w:hyperlink r:id="rId183">
              <w:r>
                <w:rPr>
                  <w:rFonts w:ascii="Arial" w:cs="Arial" w:eastAsia="Arial" w:hAnsi="Arial"/>
                  <w:sz w:val="18"/>
                  <w:szCs w:val="18"/>
                  <w:color w:val="0000FF"/>
                  <w:w w:val="93"/>
                </w:rPr>
                <w:t>Form of certificate representing the 1.25% Convertible Senior Notes due</w:t>
              </w:r>
            </w:hyperlink>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183">
              <w:r>
                <w:rPr>
                  <w:rFonts w:ascii="Arial" w:cs="Arial" w:eastAsia="Arial" w:hAnsi="Arial"/>
                  <w:sz w:val="17"/>
                  <w:szCs w:val="17"/>
                  <w:color w:val="0000FF"/>
                </w:rPr>
                <w:t>2026 (included as Exhibit A to Exhibit 4.1)</w:t>
              </w:r>
            </w:hyperlink>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40" w:type="dxa"/>
            <w:vAlign w:val="bottom"/>
            <w:gridSpan w:val="2"/>
            <w:vMerge w:val="restart"/>
          </w:tcPr>
          <w:p>
            <w:pPr>
              <w:ind w:left="20"/>
              <w:spacing w:after="0"/>
              <w:rPr>
                <w:rFonts w:ascii="Arial" w:cs="Arial" w:eastAsia="Arial" w:hAnsi="Arial"/>
                <w:sz w:val="18"/>
                <w:szCs w:val="18"/>
                <w:color w:val="0000FF"/>
                <w:w w:val="79"/>
              </w:rPr>
            </w:pPr>
            <w:hyperlink r:id="rId18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199" w:lineRule="exact"/>
              <w:rPr>
                <w:rFonts w:ascii="Arial" w:cs="Arial" w:eastAsia="Arial" w:hAnsi="Arial"/>
                <w:sz w:val="18"/>
                <w:szCs w:val="18"/>
                <w:color w:val="0000FF"/>
                <w:w w:val="88"/>
              </w:rPr>
            </w:pPr>
            <w:hyperlink r:id="rId184">
              <w:r>
                <w:rPr>
                  <w:rFonts w:ascii="Arial" w:cs="Arial" w:eastAsia="Arial" w:hAnsi="Arial"/>
                  <w:sz w:val="18"/>
                  <w:szCs w:val="18"/>
                  <w:color w:val="0000FF"/>
                  <w:w w:val="88"/>
                </w:rPr>
                <w:t>Warrant Agreement, dated September 29, 2020, between the Company and</w:t>
              </w:r>
            </w:hyperlink>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65"/>
        </w:trPr>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84">
              <w:r>
                <w:rPr>
                  <w:rFonts w:ascii="Arial" w:cs="Arial" w:eastAsia="Arial" w:hAnsi="Arial"/>
                  <w:sz w:val="17"/>
                  <w:szCs w:val="17"/>
                  <w:color w:val="0000FF"/>
                </w:rPr>
                <w:t>Continental Stock Transfer &amp; Trust Company, as warrant agent</w:t>
              </w:r>
            </w:hyperlink>
          </w:p>
        </w:tc>
        <w:tc>
          <w:tcPr>
            <w:tcW w:w="10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gridSpan w:val="2"/>
            <w:vMerge w:val="restart"/>
          </w:tcPr>
          <w:p>
            <w:pPr>
              <w:ind w:left="20"/>
              <w:spacing w:after="0"/>
              <w:rPr>
                <w:rFonts w:ascii="Arial" w:cs="Arial" w:eastAsia="Arial" w:hAnsi="Arial"/>
                <w:sz w:val="18"/>
                <w:szCs w:val="18"/>
                <w:color w:val="0000FF"/>
                <w:w w:val="79"/>
              </w:rPr>
            </w:pPr>
            <w:hyperlink w:anchor="page15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199" w:lineRule="exact"/>
              <w:rPr>
                <w:rFonts w:ascii="Arial" w:cs="Arial" w:eastAsia="Arial" w:hAnsi="Arial"/>
                <w:sz w:val="18"/>
                <w:szCs w:val="18"/>
                <w:color w:val="0000FF"/>
                <w:w w:val="90"/>
              </w:rPr>
            </w:pPr>
            <w:hyperlink w:anchor="page157">
              <w:r>
                <w:rPr>
                  <w:rFonts w:ascii="Arial" w:cs="Arial" w:eastAsia="Arial" w:hAnsi="Arial"/>
                  <w:sz w:val="18"/>
                  <w:szCs w:val="18"/>
                  <w:color w:val="0000FF"/>
                  <w:w w:val="90"/>
                </w:rPr>
                <w:t>Description of Registrant’s Securities Registered Pursuant to Section 12 of</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19"/>
          </w:tcPr>
          <w:p>
            <w:pPr>
              <w:spacing w:after="0" w:line="165" w:lineRule="exact"/>
              <w:rPr>
                <w:rFonts w:ascii="Arial" w:cs="Arial" w:eastAsia="Arial" w:hAnsi="Arial"/>
                <w:sz w:val="18"/>
                <w:szCs w:val="18"/>
                <w:color w:val="0000FF"/>
              </w:rPr>
            </w:pPr>
            <w:hyperlink w:anchor="page157">
              <w:r>
                <w:rPr>
                  <w:rFonts w:ascii="Arial" w:cs="Arial" w:eastAsia="Arial" w:hAnsi="Arial"/>
                  <w:sz w:val="18"/>
                  <w:szCs w:val="18"/>
                  <w:color w:val="0000FF"/>
                </w:rPr>
                <w:t>the Securities Exchange Act of 1934</w:t>
              </w:r>
            </w:hyperlink>
          </w:p>
        </w:tc>
        <w:tc>
          <w:tcPr>
            <w:tcW w:w="12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199"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Amended and Restated Registration Rights Agreement dated as of May 4,</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r:id="rId18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185">
              <w:r>
                <w:rPr>
                  <w:rFonts w:ascii="Arial" w:cs="Arial" w:eastAsia="Arial" w:hAnsi="Arial"/>
                  <w:sz w:val="17"/>
                  <w:szCs w:val="17"/>
                  <w:color w:val="0000FF"/>
                </w:rPr>
                <w:t>2021, by and among the Company, BLS Investor Group LLC and the</w:t>
              </w:r>
            </w:hyperlink>
          </w:p>
        </w:tc>
        <w:tc>
          <w:tcPr>
            <w:tcW w:w="160" w:type="dxa"/>
            <w:vAlign w:val="bottom"/>
            <w:gridSpan w:val="5"/>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20" w:type="dxa"/>
            <w:vAlign w:val="bottom"/>
            <w:tcBorders>
              <w:bottom w:val="single" w:sz="8" w:color="0000FF"/>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r:id="rId185">
              <w:r>
                <w:rPr>
                  <w:rFonts w:ascii="Arial" w:cs="Arial" w:eastAsia="Arial" w:hAnsi="Arial"/>
                  <w:sz w:val="17"/>
                  <w:szCs w:val="17"/>
                  <w:color w:val="0000FF"/>
                  <w:w w:val="94"/>
                </w:rPr>
                <w:t>stockholders of LCP Edge Intermediate, Inc.</w:t>
              </w:r>
            </w:hyperlink>
          </w:p>
        </w:tc>
        <w:tc>
          <w:tcPr>
            <w:tcW w:w="1740" w:type="dxa"/>
            <w:vAlign w:val="bottom"/>
            <w:tcBorders>
              <w:top w:val="single" w:sz="8" w:color="0000FF"/>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280" w:type="dxa"/>
            <w:vAlign w:val="bottom"/>
            <w:gridSpan w:val="9"/>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r:id="rId18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22"/>
          </w:tcPr>
          <w:p>
            <w:pPr>
              <w:spacing w:after="0" w:line="205"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Investor Rights Agreement dated as of May 4, 2021, by and between the</w:t>
              </w:r>
            </w:hyperlink>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2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3"/>
          </w:tcPr>
          <w:p>
            <w:pPr>
              <w:spacing w:after="0" w:line="165"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Company and LCP Edge Holdco, LLC</w:t>
              </w:r>
            </w:hyperlink>
          </w:p>
        </w:tc>
        <w:tc>
          <w:tcPr>
            <w:tcW w:w="2360" w:type="dxa"/>
            <w:vAlign w:val="bottom"/>
            <w:tcBorders>
              <w:top w:val="single" w:sz="8" w:color="0000FF"/>
            </w:tcBorders>
            <w:gridSpan w:val="10"/>
          </w:tcPr>
          <w:p>
            <w:pPr>
              <w:spacing w:after="0"/>
              <w:rPr>
                <w:sz w:val="14"/>
                <w:szCs w:val="14"/>
                <w:color w:val="auto"/>
              </w:rPr>
            </w:pPr>
          </w:p>
        </w:tc>
        <w:tc>
          <w:tcPr>
            <w:tcW w:w="280" w:type="dxa"/>
            <w:vAlign w:val="bottom"/>
            <w:gridSpan w:val="9"/>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0" w:type="dxa"/>
            <w:vAlign w:val="bottom"/>
            <w:tcBorders>
              <w:bottom w:val="single" w:sz="8" w:color="0000FF"/>
            </w:tcBorders>
            <w:gridSpan w:val="3"/>
          </w:tcPr>
          <w:p>
            <w:pPr>
              <w:spacing w:after="0"/>
              <w:rPr>
                <w:rFonts w:ascii="Arial" w:cs="Arial" w:eastAsia="Arial" w:hAnsi="Arial"/>
                <w:sz w:val="18"/>
                <w:szCs w:val="18"/>
                <w:color w:val="0000FF"/>
                <w:w w:val="84"/>
              </w:rPr>
            </w:pPr>
            <w:hyperlink r:id="rId18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w:t>
              </w:r>
            </w:hyperlink>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Borders>
              <w:bottom w:val="single" w:sz="8" w:color="0000FF"/>
            </w:tcBorders>
            <w:gridSpan w:val="6"/>
          </w:tcPr>
          <w:p>
            <w:pPr>
              <w:spacing w:after="0"/>
              <w:rPr>
                <w:rFonts w:ascii="Arial" w:cs="Arial" w:eastAsia="Arial" w:hAnsi="Arial"/>
                <w:sz w:val="18"/>
                <w:szCs w:val="18"/>
                <w:color w:val="0000FF"/>
                <w:w w:val="89"/>
              </w:rPr>
            </w:pPr>
            <w:hyperlink r:id="rId187">
              <w:r>
                <w:rPr>
                  <w:rFonts w:ascii="Arial" w:cs="Arial" w:eastAsia="Arial" w:hAnsi="Arial"/>
                  <w:sz w:val="18"/>
                  <w:szCs w:val="18"/>
                  <w:color w:val="0000FF"/>
                  <w:w w:val="89"/>
                </w:rPr>
                <w:t>The Beauty Health Company 2021 Incentive Award Plan</w:t>
              </w:r>
            </w:hyperlink>
          </w:p>
        </w:tc>
        <w:tc>
          <w:tcPr>
            <w:tcW w:w="1360" w:type="dxa"/>
            <w:vAlign w:val="bottom"/>
            <w:gridSpan w:val="1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tcBorders>
              <w:bottom w:val="single" w:sz="8" w:color="0000FF"/>
            </w:tcBorders>
            <w:gridSpan w:val="3"/>
          </w:tcPr>
          <w:p>
            <w:pPr>
              <w:spacing w:after="0"/>
              <w:rPr>
                <w:rFonts w:ascii="Arial" w:cs="Arial" w:eastAsia="Arial" w:hAnsi="Arial"/>
                <w:sz w:val="18"/>
                <w:szCs w:val="18"/>
                <w:color w:val="0000FF"/>
                <w:w w:val="84"/>
              </w:rPr>
            </w:pPr>
            <w:hyperlink r:id="rId1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w:t>
              </w:r>
            </w:hyperlink>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tcBorders>
              <w:bottom w:val="single" w:sz="8" w:color="0000FF"/>
            </w:tcBorders>
            <w:gridSpan w:val="9"/>
          </w:tcPr>
          <w:p>
            <w:pPr>
              <w:spacing w:after="0"/>
              <w:rPr>
                <w:rFonts w:ascii="Arial" w:cs="Arial" w:eastAsia="Arial" w:hAnsi="Arial"/>
                <w:sz w:val="18"/>
                <w:szCs w:val="18"/>
                <w:color w:val="0000FF"/>
                <w:w w:val="88"/>
              </w:rPr>
            </w:pPr>
            <w:hyperlink r:id="rId188">
              <w:r>
                <w:rPr>
                  <w:rFonts w:ascii="Arial" w:cs="Arial" w:eastAsia="Arial" w:hAnsi="Arial"/>
                  <w:sz w:val="18"/>
                  <w:szCs w:val="18"/>
                  <w:color w:val="0000FF"/>
                  <w:w w:val="88"/>
                </w:rPr>
                <w:t>The Beauty Health Company 2021 Employee Stock Purchase Plan</w:t>
              </w:r>
            </w:hyperlink>
          </w:p>
        </w:tc>
        <w:tc>
          <w:tcPr>
            <w:tcW w:w="680" w:type="dxa"/>
            <w:vAlign w:val="bottom"/>
            <w:gridSpan w:val="13"/>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-2877185</wp:posOffset>
            </wp:positionV>
            <wp:extent cx="7134860" cy="4794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-2127885</wp:posOffset>
            </wp:positionV>
            <wp:extent cx="7134860" cy="151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-1724025</wp:posOffset>
            </wp:positionV>
            <wp:extent cx="7134860" cy="269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-1185545</wp:posOffset>
            </wp:positionV>
            <wp:extent cx="7134860" cy="269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-554990</wp:posOffset>
            </wp:positionV>
            <wp:extent cx="7134860" cy="269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-133985</wp:posOffset>
            </wp:positionV>
            <wp:extent cx="7134860" cy="151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vMerge w:val="restart"/>
          </w:tcPr>
          <w:p>
            <w:pPr>
              <w:spacing w:after="0"/>
              <w:rPr>
                <w:sz w:val="17"/>
                <w:szCs w:val="17"/>
                <w:color w:val="auto"/>
              </w:rPr>
            </w:pPr>
          </w:p>
        </w:tc>
        <w:tc>
          <w:tcPr>
            <w:tcW w:w="15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Filing Date</w:t>
            </w:r>
          </w:p>
        </w:tc>
        <w:tc>
          <w:tcPr>
            <w:tcW w:w="80" w:type="dxa"/>
            <w:vAlign w:val="bottom"/>
            <w:vMerge w:val="restart"/>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5"/>
        </w:trPr>
        <w:tc>
          <w:tcPr>
            <w:tcW w:w="6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734"/>
        </w:trPr>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December 9,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14,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14,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5,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70"/>
        </w:trPr>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00" w:space="100"/>
            <w:col w:w="3140"/>
          </w:cols>
          <w:pgMar w:left="320" w:top="140"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1" w:name="page152"/>
    <w:bookmarkEnd w:id="151"/>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EXHIBIT 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31"/>
          </w:tcPr>
          <w:p>
            <w:pPr>
              <w:ind w:left="60"/>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tcPr>
          <w:p>
            <w:pPr>
              <w:spacing w:after="0"/>
              <w:rPr>
                <w:sz w:val="19"/>
                <w:szCs w:val="19"/>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Form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36"/>
          </w:tcPr>
          <w:p>
            <w:pPr>
              <w:spacing w:after="0" w:line="193" w:lineRule="exact"/>
              <w:rPr>
                <w:rFonts w:ascii="Arial" w:cs="Arial" w:eastAsia="Arial" w:hAnsi="Arial"/>
                <w:sz w:val="18"/>
                <w:szCs w:val="18"/>
                <w:color w:val="0000FF"/>
                <w:w w:val="96"/>
              </w:rPr>
            </w:pPr>
            <w:hyperlink r:id="rId196">
              <w:r>
                <w:rPr>
                  <w:rFonts w:ascii="Arial" w:cs="Arial" w:eastAsia="Arial" w:hAnsi="Arial"/>
                  <w:sz w:val="18"/>
                  <w:szCs w:val="18"/>
                  <w:color w:val="0000FF"/>
                  <w:w w:val="96"/>
                </w:rPr>
                <w:t>Employment Agreement, dated as of May 4, 2021, between Clinton E.</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tcBorders>
            <w:gridSpan w:val="23"/>
          </w:tcPr>
          <w:p>
            <w:pPr>
              <w:spacing w:after="0" w:line="179"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Carnell, Edge Systems LLC d/b/a The HydraFacial Company and The</w:t>
              </w:r>
            </w:hyperlink>
          </w:p>
        </w:tc>
        <w:tc>
          <w:tcPr>
            <w:tcW w:w="42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0" w:type="dxa"/>
            <w:vAlign w:val="bottom"/>
            <w:gridSpan w:val="3"/>
          </w:tcPr>
          <w:p>
            <w:pPr>
              <w:ind w:left="20"/>
              <w:spacing w:after="0" w:line="179" w:lineRule="exact"/>
              <w:rPr>
                <w:rFonts w:ascii="Arial" w:cs="Arial" w:eastAsia="Arial" w:hAnsi="Arial"/>
                <w:sz w:val="18"/>
                <w:szCs w:val="18"/>
                <w:color w:val="0000FF"/>
                <w:w w:val="84"/>
              </w:rPr>
            </w:pPr>
            <w:hyperlink r:id="rId19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w:t>
              </w:r>
            </w:hyperlink>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4"/>
          </w:tcPr>
          <w:p>
            <w:pPr>
              <w:spacing w:after="0" w:line="165"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Beauty Health Company</w:t>
              </w:r>
            </w:hyperlink>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700" w:type="dxa"/>
            <w:vAlign w:val="bottom"/>
          </w:tcPr>
          <w:p>
            <w:pPr>
              <w:ind w:left="20"/>
              <w:spacing w:after="0" w:line="179"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199"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Employment Agreement, dated as of May 4, 2021, between Liyuan Woo,</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84"/>
              </w:rPr>
            </w:pPr>
            <w:hyperlink r:id="rId19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9"/>
          </w:tcPr>
          <w:p>
            <w:pPr>
              <w:spacing w:after="0" w:line="152" w:lineRule="exact"/>
              <w:rPr>
                <w:rFonts w:ascii="Arial" w:cs="Arial" w:eastAsia="Arial" w:hAnsi="Arial"/>
                <w:sz w:val="17"/>
                <w:szCs w:val="17"/>
                <w:color w:val="0000FF"/>
                <w:w w:val="99"/>
              </w:rPr>
            </w:pPr>
            <w:hyperlink r:id="rId197">
              <w:r>
                <w:rPr>
                  <w:rFonts w:ascii="Arial" w:cs="Arial" w:eastAsia="Arial" w:hAnsi="Arial"/>
                  <w:sz w:val="17"/>
                  <w:szCs w:val="17"/>
                  <w:color w:val="0000FF"/>
                  <w:w w:val="99"/>
                </w:rPr>
                <w:t>Edge Systems LLC d/b/a The HydraFacial Company and The Beauty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197">
              <w:r>
                <w:rPr>
                  <w:rFonts w:ascii="Arial" w:cs="Arial" w:eastAsia="Arial" w:hAnsi="Arial"/>
                  <w:sz w:val="17"/>
                  <w:szCs w:val="17"/>
                  <w:color w:val="0000FF"/>
                </w:rPr>
                <w:t>Health 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 w:type="dxa"/>
            <w:vAlign w:val="bottom"/>
            <w:gridSpan w:val="2"/>
            <w:vMerge w:val="restart"/>
          </w:tcPr>
          <w:p>
            <w:pPr>
              <w:spacing w:after="0"/>
              <w:rPr>
                <w:rFonts w:ascii="Arial" w:cs="Arial" w:eastAsia="Arial" w:hAnsi="Arial"/>
                <w:sz w:val="18"/>
                <w:szCs w:val="18"/>
                <w:color w:val="0000FF"/>
                <w:w w:val="84"/>
              </w:rPr>
            </w:pPr>
            <w:hyperlink w:anchor="page16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w:t>
              </w:r>
            </w:hyperlink>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205" w:lineRule="exact"/>
              <w:rPr>
                <w:rFonts w:ascii="Arial" w:cs="Arial" w:eastAsia="Arial" w:hAnsi="Arial"/>
                <w:sz w:val="18"/>
                <w:szCs w:val="18"/>
                <w:color w:val="0000FF"/>
                <w:w w:val="99"/>
              </w:rPr>
            </w:pPr>
            <w:hyperlink w:anchor="page160">
              <w:r>
                <w:rPr>
                  <w:rFonts w:ascii="Arial" w:cs="Arial" w:eastAsia="Arial" w:hAnsi="Arial"/>
                  <w:sz w:val="18"/>
                  <w:szCs w:val="18"/>
                  <w:color w:val="0000FF"/>
                  <w:w w:val="99"/>
                </w:rPr>
                <w:t>Employment Agreement, dated as of August 4, 2021, between Indra</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w:anchor="page160">
              <w:r>
                <w:rPr>
                  <w:rFonts w:ascii="Arial" w:cs="Arial" w:eastAsia="Arial" w:hAnsi="Arial"/>
                  <w:sz w:val="17"/>
                  <w:szCs w:val="17"/>
                  <w:color w:val="0000FF"/>
                </w:rPr>
                <w:t>Pamamull and The Beauty Health Company</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FF"/>
            </w:tcBorders>
            <w:gridSpan w:val="20"/>
          </w:tcPr>
          <w:p>
            <w:pPr>
              <w:spacing w:after="0" w:line="199" w:lineRule="exact"/>
              <w:rPr>
                <w:rFonts w:ascii="Arial" w:cs="Arial" w:eastAsia="Arial" w:hAnsi="Arial"/>
                <w:sz w:val="18"/>
                <w:szCs w:val="18"/>
                <w:color w:val="0000FF"/>
                <w:w w:val="88"/>
              </w:rPr>
            </w:pPr>
            <w:hyperlink w:anchor="page166">
              <w:r>
                <w:rPr>
                  <w:rFonts w:ascii="Arial" w:cs="Arial" w:eastAsia="Arial" w:hAnsi="Arial"/>
                  <w:sz w:val="18"/>
                  <w:szCs w:val="18"/>
                  <w:color w:val="0000FF"/>
                  <w:w w:val="88"/>
                </w:rPr>
                <w:t>Offer Letter, dated as of August 4, 2021, between Edge Systems LLC</w:t>
              </w:r>
            </w:hyperlink>
          </w:p>
        </w:tc>
        <w:tc>
          <w:tcPr>
            <w:tcW w:w="48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20" w:type="dxa"/>
            <w:vAlign w:val="bottom"/>
            <w:gridSpan w:val="3"/>
            <w:vMerge w:val="restart"/>
          </w:tcPr>
          <w:p>
            <w:pPr>
              <w:ind w:left="20"/>
              <w:spacing w:after="0"/>
              <w:rPr>
                <w:rFonts w:ascii="Arial" w:cs="Arial" w:eastAsia="Arial" w:hAnsi="Arial"/>
                <w:sz w:val="18"/>
                <w:szCs w:val="18"/>
                <w:color w:val="0000FF"/>
                <w:w w:val="84"/>
              </w:rPr>
            </w:pPr>
            <w:hyperlink w:anchor="page16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8#</w:t>
              </w:r>
            </w:hyperlink>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36"/>
          </w:tcPr>
          <w:p>
            <w:pPr>
              <w:spacing w:after="0" w:line="165" w:lineRule="exact"/>
              <w:rPr>
                <w:rFonts w:ascii="Arial" w:cs="Arial" w:eastAsia="Arial" w:hAnsi="Arial"/>
                <w:sz w:val="18"/>
                <w:szCs w:val="18"/>
                <w:color w:val="0000FF"/>
                <w:w w:val="92"/>
              </w:rPr>
            </w:pPr>
            <w:hyperlink w:anchor="page166">
              <w:r>
                <w:rPr>
                  <w:rFonts w:ascii="Arial" w:cs="Arial" w:eastAsia="Arial" w:hAnsi="Arial"/>
                  <w:sz w:val="18"/>
                  <w:szCs w:val="18"/>
                  <w:color w:val="0000FF"/>
                  <w:w w:val="92"/>
                </w:rPr>
                <w:t>d/b/a The HydraFacial Company, The Beauty Health Company and Indra</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w:anchor="page166">
              <w:r>
                <w:rPr>
                  <w:rFonts w:ascii="Arial" w:cs="Arial" w:eastAsia="Arial" w:hAnsi="Arial"/>
                  <w:sz w:val="17"/>
                  <w:szCs w:val="17"/>
                  <w:color w:val="0000FF"/>
                </w:rPr>
                <w:t>Pamamull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00" w:type="dxa"/>
            <w:vAlign w:val="bottom"/>
            <w:gridSpan w:val="2"/>
            <w:vMerge w:val="restart"/>
          </w:tcPr>
          <w:p>
            <w:pPr>
              <w:spacing w:after="0"/>
              <w:rPr>
                <w:rFonts w:ascii="Arial" w:cs="Arial" w:eastAsia="Arial" w:hAnsi="Arial"/>
                <w:sz w:val="18"/>
                <w:szCs w:val="18"/>
                <w:color w:val="0000FF"/>
                <w:w w:val="84"/>
              </w:rPr>
            </w:pPr>
            <w:hyperlink w:anchor="page16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9#</w:t>
              </w:r>
            </w:hyperlink>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199" w:lineRule="exact"/>
              <w:rPr>
                <w:rFonts w:ascii="Arial" w:cs="Arial" w:eastAsia="Arial" w:hAnsi="Arial"/>
                <w:sz w:val="18"/>
                <w:szCs w:val="18"/>
                <w:color w:val="0000FF"/>
                <w:w w:val="93"/>
              </w:rPr>
            </w:pPr>
            <w:hyperlink w:anchor="page168">
              <w:r>
                <w:rPr>
                  <w:rFonts w:ascii="Arial" w:cs="Arial" w:eastAsia="Arial" w:hAnsi="Arial"/>
                  <w:sz w:val="18"/>
                  <w:szCs w:val="18"/>
                  <w:color w:val="0000FF"/>
                  <w:w w:val="93"/>
                </w:rPr>
                <w:t>Employment Agreement, dated as of October 1, 2021, between Stephan</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00" w:type="dxa"/>
            <w:vAlign w:val="bottom"/>
            <w:tcBorders>
              <w:bottom w:val="single" w:sz="8" w:color="0000FF"/>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3"/>
              </w:rPr>
            </w:pPr>
            <w:hyperlink w:anchor="page168">
              <w:r>
                <w:rPr>
                  <w:rFonts w:ascii="Arial" w:cs="Arial" w:eastAsia="Arial" w:hAnsi="Arial"/>
                  <w:sz w:val="17"/>
                  <w:szCs w:val="17"/>
                  <w:color w:val="0000FF"/>
                  <w:w w:val="93"/>
                </w:rPr>
                <w:t>Becker and The Beauty Health Company</w:t>
              </w:r>
            </w:hyperlink>
          </w:p>
        </w:tc>
        <w:tc>
          <w:tcPr>
            <w:tcW w:w="2160" w:type="dxa"/>
            <w:vAlign w:val="bottom"/>
            <w:tcBorders>
              <w:top w:val="single" w:sz="8" w:color="0000FF"/>
            </w:tcBorders>
            <w:gridSpan w:val="18"/>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199" w:lineRule="exact"/>
              <w:rPr>
                <w:rFonts w:ascii="Arial" w:cs="Arial" w:eastAsia="Arial" w:hAnsi="Arial"/>
                <w:sz w:val="18"/>
                <w:szCs w:val="18"/>
                <w:color w:val="0000FF"/>
                <w:w w:val="97"/>
              </w:rPr>
            </w:pPr>
            <w:hyperlink r:id="rId198">
              <w:r>
                <w:rPr>
                  <w:rFonts w:ascii="Arial" w:cs="Arial" w:eastAsia="Arial" w:hAnsi="Arial"/>
                  <w:sz w:val="18"/>
                  <w:szCs w:val="18"/>
                  <w:color w:val="0000FF"/>
                  <w:w w:val="97"/>
                </w:rPr>
                <w:t>Offer Letter dated as of April 29, 2021, between Daniel Watson, Edge</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80" w:type="dxa"/>
            <w:vAlign w:val="bottom"/>
            <w:gridSpan w:val="3"/>
            <w:vMerge w:val="restart"/>
          </w:tcPr>
          <w:p>
            <w:pPr>
              <w:spacing w:after="0"/>
              <w:rPr>
                <w:rFonts w:ascii="Arial" w:cs="Arial" w:eastAsia="Arial" w:hAnsi="Arial"/>
                <w:sz w:val="18"/>
                <w:szCs w:val="18"/>
                <w:color w:val="0000FF"/>
                <w:w w:val="83"/>
              </w:rPr>
            </w:pPr>
            <w:hyperlink r:id="rId198">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10#</w:t>
              </w:r>
            </w:hyperlink>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21"/>
          </w:tcPr>
          <w:p>
            <w:pPr>
              <w:spacing w:after="0" w:line="165" w:lineRule="exact"/>
              <w:rPr>
                <w:rFonts w:ascii="Arial" w:cs="Arial" w:eastAsia="Arial" w:hAnsi="Arial"/>
                <w:sz w:val="18"/>
                <w:szCs w:val="18"/>
                <w:color w:val="0000FF"/>
                <w:w w:val="87"/>
              </w:rPr>
            </w:pPr>
            <w:hyperlink r:id="rId198">
              <w:r>
                <w:rPr>
                  <w:rFonts w:ascii="Arial" w:cs="Arial" w:eastAsia="Arial" w:hAnsi="Arial"/>
                  <w:sz w:val="18"/>
                  <w:szCs w:val="18"/>
                  <w:color w:val="0000FF"/>
                  <w:w w:val="87"/>
                </w:rPr>
                <w:t>Systems LLC d/b/a The HydraFacial Company and The Beauty Health</w:t>
              </w:r>
            </w:hyperlink>
          </w:p>
        </w:tc>
        <w:tc>
          <w:tcPr>
            <w:tcW w:w="8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80" w:type="dxa"/>
            <w:vAlign w:val="bottom"/>
            <w:tcBorders>
              <w:bottom w:val="single" w:sz="8" w:color="0000FF"/>
            </w:tcBorders>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0000FF"/>
            </w:tcBorders>
            <w:gridSpan w:val="2"/>
          </w:tcPr>
          <w:p>
            <w:pPr>
              <w:spacing w:after="0" w:line="152" w:lineRule="exact"/>
              <w:rPr>
                <w:rFonts w:ascii="Arial" w:cs="Arial" w:eastAsia="Arial" w:hAnsi="Arial"/>
                <w:sz w:val="17"/>
                <w:szCs w:val="17"/>
                <w:color w:val="0000FF"/>
                <w:w w:val="93"/>
              </w:rPr>
            </w:pPr>
            <w:hyperlink r:id="rId198">
              <w:r>
                <w:rPr>
                  <w:rFonts w:ascii="Arial" w:cs="Arial" w:eastAsia="Arial" w:hAnsi="Arial"/>
                  <w:sz w:val="17"/>
                  <w:szCs w:val="17"/>
                  <w:color w:val="0000FF"/>
                  <w:w w:val="93"/>
                </w:rPr>
                <w:t>Company</w:t>
              </w:r>
            </w:hyperlink>
          </w:p>
        </w:tc>
        <w:tc>
          <w:tcPr>
            <w:tcW w:w="430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 w:type="dxa"/>
            <w:vAlign w:val="bottom"/>
            <w:tcBorders>
              <w:bottom w:val="single" w:sz="8" w:color="0000FF"/>
            </w:tcBorders>
            <w:gridSpan w:val="3"/>
          </w:tcPr>
          <w:p>
            <w:pPr>
              <w:spacing w:after="0"/>
              <w:rPr>
                <w:rFonts w:ascii="Arial" w:cs="Arial" w:eastAsia="Arial" w:hAnsi="Arial"/>
                <w:sz w:val="18"/>
                <w:szCs w:val="18"/>
                <w:color w:val="0000FF"/>
                <w:w w:val="83"/>
              </w:rPr>
            </w:pPr>
            <w:hyperlink r:id="rId199">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11#</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Borders>
              <w:bottom w:val="single" w:sz="8" w:color="0000FF"/>
            </w:tcBorders>
            <w:gridSpan w:val="12"/>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Form of Stock Option Award Agreement (CEO and CFO)</w:t>
              </w:r>
            </w:hyperlink>
          </w:p>
        </w:tc>
        <w:tc>
          <w:tcPr>
            <w:tcW w:w="1300" w:type="dxa"/>
            <w:vAlign w:val="bottom"/>
            <w:gridSpan w:val="24"/>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80" w:type="dxa"/>
            <w:vAlign w:val="bottom"/>
            <w:gridSpan w:val="3"/>
          </w:tcPr>
          <w:p>
            <w:pPr>
              <w:spacing w:after="0"/>
              <w:rPr>
                <w:rFonts w:ascii="Arial" w:cs="Arial" w:eastAsia="Arial" w:hAnsi="Arial"/>
                <w:sz w:val="18"/>
                <w:szCs w:val="18"/>
                <w:color w:val="0000FF"/>
                <w:w w:val="83"/>
              </w:rPr>
            </w:pPr>
            <w:hyperlink r:id="rId200">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12#</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36"/>
          </w:tcPr>
          <w:p>
            <w:pPr>
              <w:spacing w:after="0"/>
              <w:rPr>
                <w:rFonts w:ascii="Arial" w:cs="Arial" w:eastAsia="Arial" w:hAnsi="Arial"/>
                <w:sz w:val="18"/>
                <w:szCs w:val="18"/>
                <w:color w:val="0000FF"/>
                <w:w w:val="99"/>
              </w:rPr>
            </w:pPr>
            <w:hyperlink r:id="rId200">
              <w:r>
                <w:rPr>
                  <w:rFonts w:ascii="Arial" w:cs="Arial" w:eastAsia="Arial" w:hAnsi="Arial"/>
                  <w:sz w:val="18"/>
                  <w:szCs w:val="18"/>
                  <w:color w:val="0000FF"/>
                  <w:w w:val="99"/>
                </w:rPr>
                <w:t>Form of Stock Option Award Agreement Form (Non-CEO and CFO)</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Borders>
              <w:top w:val="single" w:sz="8" w:color="0000FF"/>
            </w:tcBorders>
            <w:gridSpan w:val="3"/>
          </w:tcPr>
          <w:p>
            <w:pPr>
              <w:spacing w:after="0" w:line="192" w:lineRule="exact"/>
              <w:rPr>
                <w:rFonts w:ascii="Arial" w:cs="Arial" w:eastAsia="Arial" w:hAnsi="Arial"/>
                <w:sz w:val="18"/>
                <w:szCs w:val="18"/>
                <w:color w:val="0000FF"/>
                <w:w w:val="83"/>
              </w:rPr>
            </w:pPr>
            <w:hyperlink r:id="rId201">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13#</w:t>
              </w:r>
            </w:hyperlink>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tcBorders>
              <w:top w:val="single" w:sz="8" w:color="0000FF"/>
            </w:tcBorders>
            <w:gridSpan w:val="18"/>
          </w:tcPr>
          <w:p>
            <w:pPr>
              <w:spacing w:after="0" w:line="192" w:lineRule="exact"/>
              <w:rPr>
                <w:rFonts w:ascii="Arial" w:cs="Arial" w:eastAsia="Arial" w:hAnsi="Arial"/>
                <w:sz w:val="18"/>
                <w:szCs w:val="18"/>
                <w:color w:val="0000FF"/>
                <w:w w:val="98"/>
              </w:rPr>
            </w:pPr>
            <w:hyperlink r:id="rId201">
              <w:r>
                <w:rPr>
                  <w:rFonts w:ascii="Arial" w:cs="Arial" w:eastAsia="Arial" w:hAnsi="Arial"/>
                  <w:sz w:val="18"/>
                  <w:szCs w:val="18"/>
                  <w:color w:val="0000FF"/>
                  <w:w w:val="98"/>
                </w:rPr>
                <w:t>Form of Performance-Based Restricted Stock Unit Agreement</w:t>
              </w:r>
            </w:hyperlink>
          </w:p>
        </w:tc>
        <w:tc>
          <w:tcPr>
            <w:tcW w:w="520" w:type="dxa"/>
            <w:vAlign w:val="bottom"/>
            <w:gridSpan w:val="18"/>
          </w:tcPr>
          <w:p>
            <w:pPr>
              <w:spacing w:after="0"/>
              <w:rPr>
                <w:sz w:val="18"/>
                <w:szCs w:val="18"/>
                <w:color w:val="auto"/>
              </w:rPr>
            </w:pPr>
          </w:p>
        </w:tc>
        <w:tc>
          <w:tcPr>
            <w:tcW w:w="700" w:type="dxa"/>
            <w:vAlign w:val="bottom"/>
          </w:tcPr>
          <w:p>
            <w:pPr>
              <w:ind w:left="20"/>
              <w:spacing w:after="0" w:line="192"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 w:type="dxa"/>
            <w:vAlign w:val="bottom"/>
            <w:tcBorders>
              <w:top w:val="single" w:sz="8" w:color="0000FF"/>
            </w:tcBorders>
            <w:gridSpan w:val="3"/>
          </w:tcPr>
          <w:p>
            <w:pPr>
              <w:spacing w:after="0"/>
              <w:rPr>
                <w:rFonts w:ascii="Arial" w:cs="Arial" w:eastAsia="Arial" w:hAnsi="Arial"/>
                <w:sz w:val="18"/>
                <w:szCs w:val="18"/>
                <w:color w:val="0000FF"/>
                <w:w w:val="83"/>
              </w:rPr>
            </w:pPr>
            <w:hyperlink r:id="rId202">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14#</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top w:val="single" w:sz="8" w:color="0000FF"/>
            </w:tcBorders>
            <w:gridSpan w:val="14"/>
          </w:tcPr>
          <w:p>
            <w:pPr>
              <w:spacing w:after="0"/>
              <w:rPr>
                <w:rFonts w:ascii="Arial" w:cs="Arial" w:eastAsia="Arial" w:hAnsi="Arial"/>
                <w:sz w:val="18"/>
                <w:szCs w:val="18"/>
                <w:color w:val="0000FF"/>
                <w:w w:val="98"/>
              </w:rPr>
            </w:pPr>
            <w:hyperlink r:id="rId202">
              <w:r>
                <w:rPr>
                  <w:rFonts w:ascii="Arial" w:cs="Arial" w:eastAsia="Arial" w:hAnsi="Arial"/>
                  <w:sz w:val="18"/>
                  <w:szCs w:val="18"/>
                  <w:color w:val="0000FF"/>
                  <w:w w:val="98"/>
                </w:rPr>
                <w:t>The Beauty Health Company Executive Severance Plan</w:t>
              </w:r>
            </w:hyperlink>
          </w:p>
        </w:tc>
        <w:tc>
          <w:tcPr>
            <w:tcW w:w="1000" w:type="dxa"/>
            <w:vAlign w:val="bottom"/>
            <w:gridSpan w:val="22"/>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80" w:type="dxa"/>
            <w:vAlign w:val="bottom"/>
            <w:tcBorders>
              <w:top w:val="single" w:sz="8" w:color="0000FF"/>
            </w:tcBorders>
            <w:gridSpan w:val="3"/>
          </w:tcPr>
          <w:p>
            <w:pPr>
              <w:spacing w:after="0"/>
              <w:rPr>
                <w:rFonts w:ascii="Arial" w:cs="Arial" w:eastAsia="Arial" w:hAnsi="Arial"/>
                <w:sz w:val="18"/>
                <w:szCs w:val="18"/>
                <w:color w:val="0000FF"/>
                <w:w w:val="83"/>
              </w:rPr>
            </w:pPr>
            <w:hyperlink r:id="rId203">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15#</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top w:val="single" w:sz="8" w:color="0000FF"/>
            </w:tcBorders>
            <w:gridSpan w:val="11"/>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Indemnity Agreement.</w:t>
              </w:r>
            </w:hyperlink>
          </w:p>
        </w:tc>
        <w:tc>
          <w:tcPr>
            <w:tcW w:w="1460" w:type="dxa"/>
            <w:vAlign w:val="bottom"/>
            <w:gridSpan w:val="25"/>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205"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Amended and Restated Management Services Agreement dated as of May</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80" w:type="dxa"/>
            <w:vAlign w:val="bottom"/>
            <w:gridSpan w:val="3"/>
            <w:vMerge w:val="restart"/>
          </w:tcPr>
          <w:p>
            <w:pPr>
              <w:spacing w:after="0"/>
              <w:rPr>
                <w:rFonts w:ascii="Arial" w:cs="Arial" w:eastAsia="Arial" w:hAnsi="Arial"/>
                <w:sz w:val="18"/>
                <w:szCs w:val="18"/>
                <w:color w:val="0000FF"/>
                <w:w w:val="83"/>
              </w:rPr>
            </w:pPr>
            <w:hyperlink r:id="rId204">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16#</w:t>
              </w:r>
            </w:hyperlink>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34"/>
          </w:tcPr>
          <w:p>
            <w:pPr>
              <w:spacing w:after="0" w:line="165"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4, 2021, by and among Linden Manager III LP, Edge Systems LLC d/b/a</w:t>
              </w:r>
            </w:hyperlink>
          </w:p>
        </w:tc>
        <w:tc>
          <w:tcPr>
            <w:tcW w:w="120" w:type="dxa"/>
            <w:vAlign w:val="bottom"/>
            <w:gridSpan w:val="2"/>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80" w:type="dxa"/>
            <w:vAlign w:val="bottom"/>
            <w:tcBorders>
              <w:bottom w:val="single" w:sz="8" w:color="0000FF"/>
            </w:tcBorders>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13"/>
          </w:tcPr>
          <w:p>
            <w:pPr>
              <w:spacing w:after="0" w:line="165"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The HydraFacial Company and The Beauty Health Company</w:t>
              </w:r>
            </w:hyperlink>
          </w:p>
        </w:tc>
        <w:tc>
          <w:tcPr>
            <w:tcW w:w="8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 w:type="dxa"/>
            <w:vAlign w:val="bottom"/>
            <w:gridSpan w:val="3"/>
          </w:tcPr>
          <w:p>
            <w:pPr>
              <w:spacing w:after="0"/>
              <w:rPr>
                <w:rFonts w:ascii="Arial" w:cs="Arial" w:eastAsia="Arial" w:hAnsi="Arial"/>
                <w:sz w:val="18"/>
                <w:szCs w:val="18"/>
                <w:color w:val="0000FF"/>
                <w:w w:val="83"/>
              </w:rPr>
            </w:pPr>
            <w:hyperlink r:id="rId205">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17#</w:t>
              </w:r>
            </w:hyperlink>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36"/>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Confirmation for Capped Call Transactions</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205"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Credit Agreement, dated as of December 30, 2021, among Edge Systems</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84"/>
              </w:rPr>
            </w:pPr>
            <w:hyperlink r:id="rId20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28"/>
          </w:tcPr>
          <w:p>
            <w:pPr>
              <w:spacing w:after="0" w:line="152" w:lineRule="exact"/>
              <w:rPr>
                <w:rFonts w:ascii="Arial" w:cs="Arial" w:eastAsia="Arial" w:hAnsi="Arial"/>
                <w:sz w:val="17"/>
                <w:szCs w:val="17"/>
                <w:color w:val="0000FF"/>
                <w:w w:val="95"/>
              </w:rPr>
            </w:pPr>
            <w:hyperlink r:id="rId206">
              <w:r>
                <w:rPr>
                  <w:rFonts w:ascii="Arial" w:cs="Arial" w:eastAsia="Arial" w:hAnsi="Arial"/>
                  <w:sz w:val="17"/>
                  <w:szCs w:val="17"/>
                  <w:color w:val="0000FF"/>
                  <w:w w:val="95"/>
                </w:rPr>
                <w:t>LLC, as borrower, the other loan parties thereto, the other lenders party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06">
              <w:r>
                <w:rPr>
                  <w:rFonts w:ascii="Arial" w:cs="Arial" w:eastAsia="Arial" w:hAnsi="Arial"/>
                  <w:sz w:val="17"/>
                  <w:szCs w:val="17"/>
                  <w:color w:val="0000FF"/>
                </w:rPr>
                <w:t>thereto and JPMorgan Chase Bank, N.A., as administrative agent</w:t>
              </w:r>
            </w:hyperlink>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line="205" w:lineRule="exact"/>
              <w:rPr>
                <w:rFonts w:ascii="Arial" w:cs="Arial" w:eastAsia="Arial" w:hAnsi="Arial"/>
                <w:sz w:val="18"/>
                <w:szCs w:val="18"/>
                <w:color w:val="0000FF"/>
                <w:w w:val="85"/>
              </w:rPr>
            </w:pPr>
            <w:hyperlink w:anchor="page188">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0000FF"/>
            </w:tcBorders>
            <w:gridSpan w:val="15"/>
          </w:tcPr>
          <w:p>
            <w:pPr>
              <w:spacing w:after="0" w:line="205" w:lineRule="exact"/>
              <w:rPr>
                <w:rFonts w:ascii="Arial" w:cs="Arial" w:eastAsia="Arial" w:hAnsi="Arial"/>
                <w:sz w:val="18"/>
                <w:szCs w:val="18"/>
                <w:color w:val="0000FF"/>
              </w:rPr>
            </w:pPr>
            <w:hyperlink w:anchor="page188">
              <w:r>
                <w:rPr>
                  <w:rFonts w:ascii="Arial" w:cs="Arial" w:eastAsia="Arial" w:hAnsi="Arial"/>
                  <w:sz w:val="18"/>
                  <w:szCs w:val="18"/>
                  <w:color w:val="0000FF"/>
                </w:rPr>
                <w:t>Subsidiaries of registrant</w:t>
              </w:r>
            </w:hyperlink>
          </w:p>
        </w:tc>
        <w:tc>
          <w:tcPr>
            <w:tcW w:w="80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line="205" w:lineRule="exact"/>
              <w:rPr>
                <w:rFonts w:ascii="Arial" w:cs="Arial" w:eastAsia="Arial" w:hAnsi="Arial"/>
                <w:sz w:val="18"/>
                <w:szCs w:val="18"/>
                <w:color w:val="0000FF"/>
                <w:w w:val="85"/>
              </w:rPr>
            </w:pPr>
            <w:hyperlink w:anchor="page189">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205" w:lineRule="exact"/>
              <w:rPr>
                <w:rFonts w:ascii="Arial" w:cs="Arial" w:eastAsia="Arial" w:hAnsi="Arial"/>
                <w:sz w:val="18"/>
                <w:szCs w:val="18"/>
                <w:color w:val="0000FF"/>
              </w:rPr>
            </w:pPr>
            <w:hyperlink w:anchor="page189">
              <w:r>
                <w:rPr>
                  <w:rFonts w:ascii="Arial" w:cs="Arial" w:eastAsia="Arial" w:hAnsi="Arial"/>
                  <w:sz w:val="18"/>
                  <w:szCs w:val="18"/>
                  <w:color w:val="0000FF"/>
                </w:rPr>
                <w:t>Consent of Deloitte &amp; Touche LLP</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16"/>
          </w:tcPr>
          <w:p>
            <w:pPr>
              <w:spacing w:after="0" w:line="205" w:lineRule="exact"/>
              <w:rPr>
                <w:rFonts w:ascii="Arial" w:cs="Arial" w:eastAsia="Arial" w:hAnsi="Arial"/>
                <w:sz w:val="18"/>
                <w:szCs w:val="18"/>
                <w:color w:val="0000FF"/>
                <w:w w:val="90"/>
              </w:rPr>
            </w:pPr>
            <w:hyperlink w:anchor="page190">
              <w:r>
                <w:rPr>
                  <w:rFonts w:ascii="Arial" w:cs="Arial" w:eastAsia="Arial" w:hAnsi="Arial"/>
                  <w:sz w:val="18"/>
                  <w:szCs w:val="18"/>
                  <w:color w:val="0000FF"/>
                  <w:w w:val="90"/>
                </w:rPr>
                <w:t>Certification of Principal Executive Officer Pursuant to Securities</w:t>
              </w:r>
            </w:hyperlink>
          </w:p>
        </w:tc>
        <w:tc>
          <w:tcPr>
            <w:tcW w:w="74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90"/>
              </w:rPr>
            </w:pPr>
            <w:hyperlink w:anchor="page190">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36"/>
          </w:tcPr>
          <w:p>
            <w:pPr>
              <w:spacing w:after="0" w:line="152" w:lineRule="exact"/>
              <w:rPr>
                <w:rFonts w:ascii="Arial" w:cs="Arial" w:eastAsia="Arial" w:hAnsi="Arial"/>
                <w:sz w:val="17"/>
                <w:szCs w:val="17"/>
                <w:color w:val="0000FF"/>
                <w:w w:val="96"/>
              </w:rPr>
            </w:pPr>
            <w:hyperlink w:anchor="page190">
              <w:r>
                <w:rPr>
                  <w:rFonts w:ascii="Arial" w:cs="Arial" w:eastAsia="Arial" w:hAnsi="Arial"/>
                  <w:sz w:val="17"/>
                  <w:szCs w:val="17"/>
                  <w:color w:val="0000FF"/>
                  <w:w w:val="96"/>
                </w:rPr>
                <w:t>Exchange Act Rules 13a-14(a), as adopted Pursuant to Section 302 of the</w:t>
              </w:r>
            </w:hyperlink>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w:anchor="page190">
              <w:r>
                <w:rPr>
                  <w:rFonts w:ascii="Arial" w:cs="Arial" w:eastAsia="Arial" w:hAnsi="Arial"/>
                  <w:sz w:val="17"/>
                  <w:szCs w:val="17"/>
                  <w:color w:val="0000FF"/>
                  <w:w w:val="94"/>
                </w:rPr>
                <w:t>Sarbanes-Oxley Act of 2002</w:t>
              </w:r>
            </w:hyperlink>
          </w:p>
        </w:tc>
        <w:tc>
          <w:tcPr>
            <w:tcW w:w="32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36"/>
          </w:tcPr>
          <w:p>
            <w:pPr>
              <w:spacing w:after="0" w:line="185" w:lineRule="exact"/>
              <w:rPr>
                <w:rFonts w:ascii="Arial" w:cs="Arial" w:eastAsia="Arial" w:hAnsi="Arial"/>
                <w:sz w:val="18"/>
                <w:szCs w:val="18"/>
                <w:color w:val="0000FF"/>
              </w:rPr>
            </w:pPr>
            <w:hyperlink w:anchor="page191">
              <w:r>
                <w:rPr>
                  <w:rFonts w:ascii="Arial" w:cs="Arial" w:eastAsia="Arial" w:hAnsi="Arial"/>
                  <w:sz w:val="18"/>
                  <w:szCs w:val="18"/>
                  <w:color w:val="0000FF"/>
                </w:rPr>
                <w:t>Certification of Principal Financial Officer Pursuant to Securities</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40" w:type="dxa"/>
            <w:vAlign w:val="bottom"/>
            <w:gridSpan w:val="14"/>
            <w:shd w:val="clear" w:color="auto" w:fill="0000FF"/>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90"/>
              </w:rPr>
            </w:pPr>
            <w:hyperlink w:anchor="page191">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36"/>
          </w:tcPr>
          <w:p>
            <w:pPr>
              <w:spacing w:after="0" w:line="152" w:lineRule="exact"/>
              <w:rPr>
                <w:rFonts w:ascii="Arial" w:cs="Arial" w:eastAsia="Arial" w:hAnsi="Arial"/>
                <w:sz w:val="17"/>
                <w:szCs w:val="17"/>
                <w:color w:val="0000FF"/>
                <w:w w:val="96"/>
              </w:rPr>
            </w:pPr>
            <w:hyperlink w:anchor="page191">
              <w:r>
                <w:rPr>
                  <w:rFonts w:ascii="Arial" w:cs="Arial" w:eastAsia="Arial" w:hAnsi="Arial"/>
                  <w:sz w:val="17"/>
                  <w:szCs w:val="17"/>
                  <w:color w:val="0000FF"/>
                  <w:w w:val="96"/>
                </w:rPr>
                <w:t>Exchange Act Rules 13a-14(a), as adopted Pursuant to Section 302 of the</w:t>
              </w:r>
            </w:hyperlink>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tcBorders>
              <w:bottom w:val="single" w:sz="8" w:color="0000FF"/>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w:anchor="page191">
              <w:r>
                <w:rPr>
                  <w:rFonts w:ascii="Arial" w:cs="Arial" w:eastAsia="Arial" w:hAnsi="Arial"/>
                  <w:sz w:val="17"/>
                  <w:szCs w:val="17"/>
                  <w:color w:val="0000FF"/>
                  <w:w w:val="94"/>
                </w:rPr>
                <w:t>Sarbanes-Oxley Act of 2002</w:t>
              </w:r>
            </w:hyperlink>
          </w:p>
        </w:tc>
        <w:tc>
          <w:tcPr>
            <w:tcW w:w="32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205" w:lineRule="exact"/>
              <w:rPr>
                <w:rFonts w:ascii="Arial" w:cs="Arial" w:eastAsia="Arial" w:hAnsi="Arial"/>
                <w:sz w:val="18"/>
                <w:szCs w:val="18"/>
                <w:color w:val="0000FF"/>
                <w:w w:val="93"/>
              </w:rPr>
            </w:pPr>
            <w:hyperlink w:anchor="page192">
              <w:r>
                <w:rPr>
                  <w:rFonts w:ascii="Arial" w:cs="Arial" w:eastAsia="Arial" w:hAnsi="Arial"/>
                  <w:sz w:val="18"/>
                  <w:szCs w:val="18"/>
                  <w:color w:val="0000FF"/>
                  <w:w w:val="93"/>
                </w:rPr>
                <w:t>Certification of Principal Executive Officer Pursuant to 18 U.S.C. Section</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90"/>
              </w:rPr>
            </w:pPr>
            <w:hyperlink w:anchor="page192">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33"/>
          </w:tcPr>
          <w:p>
            <w:pPr>
              <w:spacing w:after="0" w:line="152" w:lineRule="exact"/>
              <w:rPr>
                <w:rFonts w:ascii="Arial" w:cs="Arial" w:eastAsia="Arial" w:hAnsi="Arial"/>
                <w:sz w:val="17"/>
                <w:szCs w:val="17"/>
                <w:color w:val="0000FF"/>
                <w:w w:val="97"/>
              </w:rPr>
            </w:pPr>
            <w:hyperlink w:anchor="page192">
              <w:r>
                <w:rPr>
                  <w:rFonts w:ascii="Arial" w:cs="Arial" w:eastAsia="Arial" w:hAnsi="Arial"/>
                  <w:sz w:val="17"/>
                  <w:szCs w:val="17"/>
                  <w:color w:val="0000FF"/>
                  <w:w w:val="97"/>
                </w:rPr>
                <w:t>1350, as adopted Pursuant to Section 906 of the Sarbanes-Oxley Act of</w:t>
              </w:r>
            </w:hyperlink>
          </w:p>
        </w:tc>
        <w:tc>
          <w:tcPr>
            <w:tcW w:w="14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tcBorders>
              <w:bottom w:val="single" w:sz="8" w:color="0000FF"/>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9"/>
              </w:rPr>
            </w:pPr>
            <w:hyperlink w:anchor="page192">
              <w:r>
                <w:rPr>
                  <w:rFonts w:ascii="Arial" w:cs="Arial" w:eastAsia="Arial" w:hAnsi="Arial"/>
                  <w:sz w:val="17"/>
                  <w:szCs w:val="17"/>
                  <w:color w:val="0000FF"/>
                  <w:w w:val="89"/>
                </w:rPr>
                <w:t>2002</w:t>
              </w:r>
            </w:hyperlink>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6"/>
          </w:tcPr>
          <w:p>
            <w:pPr>
              <w:spacing w:after="0" w:line="205" w:lineRule="exact"/>
              <w:rPr>
                <w:rFonts w:ascii="Arial" w:cs="Arial" w:eastAsia="Arial" w:hAnsi="Arial"/>
                <w:sz w:val="18"/>
                <w:szCs w:val="18"/>
                <w:color w:val="0000FF"/>
                <w:w w:val="94"/>
              </w:rPr>
            </w:pPr>
            <w:hyperlink w:anchor="page193">
              <w:r>
                <w:rPr>
                  <w:rFonts w:ascii="Arial" w:cs="Arial" w:eastAsia="Arial" w:hAnsi="Arial"/>
                  <w:sz w:val="18"/>
                  <w:szCs w:val="18"/>
                  <w:color w:val="0000FF"/>
                  <w:w w:val="94"/>
                </w:rPr>
                <w:t>Certification of Principal Financial Officer Pursuant to 18 U.S.C. Section</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90"/>
              </w:rPr>
            </w:pPr>
            <w:hyperlink w:anchor="page193">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2*</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30"/>
          </w:tcPr>
          <w:p>
            <w:pPr>
              <w:spacing w:after="0" w:line="152" w:lineRule="exact"/>
              <w:rPr>
                <w:rFonts w:ascii="Arial" w:cs="Arial" w:eastAsia="Arial" w:hAnsi="Arial"/>
                <w:sz w:val="17"/>
                <w:szCs w:val="17"/>
                <w:color w:val="0000FF"/>
                <w:w w:val="95"/>
              </w:rPr>
            </w:pPr>
            <w:hyperlink w:anchor="page193">
              <w:r>
                <w:rPr>
                  <w:rFonts w:ascii="Arial" w:cs="Arial" w:eastAsia="Arial" w:hAnsi="Arial"/>
                  <w:sz w:val="17"/>
                  <w:szCs w:val="17"/>
                  <w:color w:val="0000FF"/>
                  <w:w w:val="95"/>
                </w:rPr>
                <w:t>1350, as adopted Pursuant to Section 906 of the Sarbanes-Oxley Act of</w:t>
              </w:r>
            </w:hyperlink>
          </w:p>
        </w:tc>
        <w:tc>
          <w:tcPr>
            <w:tcW w:w="200" w:type="dxa"/>
            <w:vAlign w:val="bottom"/>
            <w:gridSpan w:val="6"/>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tcBorders>
              <w:bottom w:val="single" w:sz="8" w:color="0000FF"/>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9"/>
              </w:rPr>
            </w:pPr>
            <w:hyperlink w:anchor="page193">
              <w:r>
                <w:rPr>
                  <w:rFonts w:ascii="Arial" w:cs="Arial" w:eastAsia="Arial" w:hAnsi="Arial"/>
                  <w:sz w:val="17"/>
                  <w:szCs w:val="17"/>
                  <w:color w:val="0000FF"/>
                  <w:w w:val="89"/>
                </w:rPr>
                <w:t>2002</w:t>
              </w:r>
            </w:hyperlink>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-5047615</wp:posOffset>
            </wp:positionV>
            <wp:extent cx="7134860" cy="3619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34860" cy="3619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-4416425</wp:posOffset>
            </wp:positionV>
            <wp:extent cx="7134860" cy="386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34860" cy="386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-3760470</wp:posOffset>
            </wp:positionV>
            <wp:extent cx="7134860" cy="386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34860" cy="386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-3221990</wp:posOffset>
            </wp:positionV>
            <wp:extent cx="7134860" cy="151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-2919095</wp:posOffset>
            </wp:positionV>
            <wp:extent cx="7134860" cy="151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-2616200</wp:posOffset>
            </wp:positionV>
            <wp:extent cx="7134860" cy="387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4860" cy="387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-2077720</wp:posOffset>
            </wp:positionV>
            <wp:extent cx="7134860" cy="3619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34860" cy="3619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-1572895</wp:posOffset>
            </wp:positionV>
            <wp:extent cx="7134860" cy="142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-1068070</wp:posOffset>
            </wp:positionV>
            <wp:extent cx="7134860" cy="3619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34860" cy="3619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-344170</wp:posOffset>
            </wp:positionV>
            <wp:extent cx="7134860" cy="3619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34860" cy="361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File No.</w:t>
            </w:r>
          </w:p>
        </w:tc>
        <w:tc>
          <w:tcPr>
            <w:tcW w:w="100" w:type="dxa"/>
            <w:vAlign w:val="bottom"/>
            <w:vMerge w:val="restart"/>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vMerge w:val="restart"/>
          </w:tcPr>
          <w:p>
            <w:pPr>
              <w:spacing w:after="0"/>
              <w:rPr>
                <w:sz w:val="17"/>
                <w:szCs w:val="17"/>
                <w:color w:val="auto"/>
              </w:rPr>
            </w:pPr>
          </w:p>
        </w:tc>
        <w:tc>
          <w:tcPr>
            <w:tcW w:w="15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Filing Date</w:t>
            </w:r>
          </w:p>
        </w:tc>
        <w:tc>
          <w:tcPr>
            <w:tcW w:w="80" w:type="dxa"/>
            <w:vAlign w:val="bottom"/>
            <w:vMerge w:val="restart"/>
          </w:tcPr>
          <w:p>
            <w:pPr>
              <w:spacing w:after="0"/>
              <w:rPr>
                <w:sz w:val="17"/>
                <w:szCs w:val="17"/>
                <w:color w:val="auto"/>
              </w:rPr>
            </w:pPr>
          </w:p>
        </w:tc>
        <w:tc>
          <w:tcPr>
            <w:tcW w:w="820" w:type="dxa"/>
            <w:vAlign w:val="bottom"/>
          </w:tcPr>
          <w:p>
            <w:pPr>
              <w:ind w:left="220"/>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25"/>
        </w:trPr>
        <w:tc>
          <w:tcPr>
            <w:tcW w:w="8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641"/>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0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24"/>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09"/>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0"/>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14,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4,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6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6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6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7060" w:space="80"/>
            <w:col w:w="4100"/>
          </w:cols>
          <w:pgMar w:left="320" w:top="140"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6400" w:type="dxa"/>
            <w:vAlign w:val="bottom"/>
            <w:gridSpan w:val="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Table of </w:t>
              </w:r>
            </w:hyperlink>
            <w:r>
              <w:rPr>
                <w:rFonts w:ascii="Arial" w:cs="Arial" w:eastAsia="Arial" w:hAnsi="Arial"/>
                <w:sz w:val="18"/>
                <w:szCs w:val="18"/>
                <w:color w:val="0000FF"/>
              </w:rPr>
              <w:t>Contents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3"/>
        </w:trPr>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140" w:type="dxa"/>
            <w:vAlign w:val="bottom"/>
            <w:gridSpan w:val="2"/>
          </w:tcPr>
          <w:p>
            <w:pPr>
              <w:ind w:left="3680"/>
              <w:spacing w:after="0"/>
              <w:rPr>
                <w:sz w:val="20"/>
                <w:szCs w:val="20"/>
                <w:color w:val="auto"/>
              </w:rPr>
            </w:pPr>
            <w:r>
              <w:rPr>
                <w:rFonts w:ascii="Arial" w:cs="Arial" w:eastAsia="Arial" w:hAnsi="Arial"/>
                <w:sz w:val="18"/>
                <w:szCs w:val="18"/>
                <w:b w:val="1"/>
                <w:bCs w:val="1"/>
                <w:color w:val="auto"/>
              </w:rPr>
              <w:t>EXHIBIT INDEX</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w:t>
            </w:r>
          </w:p>
        </w:tc>
        <w:tc>
          <w:tcPr>
            <w:tcW w:w="8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vMerge w:val="restart"/>
          </w:tcPr>
          <w:p>
            <w:pPr>
              <w:ind w:left="1540"/>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vMerge w:val="restart"/>
          </w:tcPr>
          <w:p>
            <w:pPr>
              <w:spacing w:after="0"/>
              <w:rPr>
                <w:sz w:val="17"/>
                <w:szCs w:val="17"/>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Form</w:t>
            </w:r>
          </w:p>
        </w:tc>
        <w:tc>
          <w:tcPr>
            <w:tcW w:w="80" w:type="dxa"/>
            <w:vAlign w:val="bottom"/>
            <w:vMerge w:val="restart"/>
          </w:tcPr>
          <w:p>
            <w:pPr>
              <w:spacing w:after="0"/>
              <w:rPr>
                <w:sz w:val="17"/>
                <w:szCs w:val="17"/>
                <w:color w:val="auto"/>
              </w:rPr>
            </w:pPr>
          </w:p>
        </w:tc>
        <w:tc>
          <w:tcPr>
            <w:tcW w:w="168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File No.   Exhibit</w:t>
            </w:r>
          </w:p>
        </w:tc>
        <w:tc>
          <w:tcPr>
            <w:tcW w:w="15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Filing Date</w:t>
            </w:r>
          </w:p>
        </w:tc>
        <w:tc>
          <w:tcPr>
            <w:tcW w:w="820" w:type="dxa"/>
            <w:vAlign w:val="bottom"/>
          </w:tcPr>
          <w:p>
            <w:pPr>
              <w:ind w:left="220"/>
              <w:spacing w:after="0" w:line="200"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25"/>
        </w:trPr>
        <w:tc>
          <w:tcPr>
            <w:tcW w:w="8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50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18"/>
                <w:szCs w:val="18"/>
                <w:color w:val="auto"/>
              </w:rPr>
            </w:pPr>
          </w:p>
        </w:tc>
        <w:tc>
          <w:tcPr>
            <w:tcW w:w="5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Inline XBRL Instance Document</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54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54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3"/>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5440" w:type="dxa"/>
            <w:vAlign w:val="bottom"/>
            <w:gridSpan w:val="3"/>
          </w:tcPr>
          <w:p>
            <w:pPr>
              <w:ind w:left="20"/>
              <w:spacing w:after="0" w:line="173" w:lineRule="exact"/>
              <w:rPr>
                <w:sz w:val="20"/>
                <w:szCs w:val="20"/>
                <w:color w:val="auto"/>
              </w:rPr>
            </w:pPr>
            <w:r>
              <w:rPr>
                <w:rFonts w:ascii="Arial" w:cs="Arial" w:eastAsia="Arial" w:hAnsi="Arial"/>
                <w:sz w:val="18"/>
                <w:szCs w:val="18"/>
                <w:color w:val="auto"/>
                <w:w w:val="91"/>
              </w:rPr>
              <w:t>Cover Page Interactive Data File (formatted as Inline XBRL and contained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gridSpan w:val="3"/>
          </w:tcPr>
          <w:p>
            <w:pPr>
              <w:ind w:left="20"/>
              <w:spacing w:after="0"/>
              <w:rPr>
                <w:sz w:val="20"/>
                <w:szCs w:val="20"/>
                <w:color w:val="auto"/>
              </w:rPr>
            </w:pPr>
            <w:r>
              <w:rPr>
                <w:rFonts w:ascii="Arial" w:cs="Arial" w:eastAsia="Arial" w:hAnsi="Arial"/>
                <w:sz w:val="18"/>
                <w:szCs w:val="18"/>
                <w:color w:val="auto"/>
              </w:rPr>
              <w:t>in Exhibit 101 attachments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2" w:lineRule="exact"/>
        <w:rPr>
          <w:sz w:val="20"/>
          <w:szCs w:val="20"/>
          <w:color w:val="auto"/>
        </w:rPr>
      </w:pPr>
    </w:p>
    <w:p>
      <w:pPr>
        <w:jc w:val="both"/>
        <w:ind w:left="220" w:right="120" w:hanging="317"/>
        <w:spacing w:after="0" w:line="223" w:lineRule="auto"/>
        <w:tabs>
          <w:tab w:leader="none" w:pos="200" w:val="left"/>
        </w:tabs>
        <w:rPr>
          <w:sz w:val="20"/>
          <w:szCs w:val="20"/>
          <w:color w:val="auto"/>
        </w:rPr>
      </w:pPr>
      <w:r>
        <w:rPr>
          <w:rFonts w:ascii="Arial" w:cs="Arial" w:eastAsia="Arial" w:hAnsi="Arial"/>
          <w:sz w:val="14"/>
          <w:szCs w:val="14"/>
          <w:color w:val="auto"/>
        </w:rPr>
        <w:t>*</w:t>
        <w:tab/>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ind w:left="280" w:right="40" w:hanging="317"/>
        <w:spacing w:after="0" w:line="217" w:lineRule="auto"/>
        <w:tabs>
          <w:tab w:leader="none" w:pos="260" w:val="left"/>
        </w:tabs>
        <w:rPr>
          <w:sz w:val="20"/>
          <w:szCs w:val="20"/>
          <w:color w:val="auto"/>
        </w:rPr>
      </w:pPr>
      <w:r>
        <w:rPr>
          <w:rFonts w:ascii="Arial" w:cs="Arial" w:eastAsia="Arial" w:hAnsi="Arial"/>
          <w:sz w:val="14"/>
          <w:szCs w:val="14"/>
          <w:color w:val="auto"/>
        </w:rPr>
        <w:t>**</w:t>
        <w:tab/>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8040" w:type="dxa"/>
            <w:vAlign w:val="bottom"/>
            <w:gridSpan w:val="2"/>
          </w:tcPr>
          <w:p>
            <w:pPr>
              <w:jc w:val="center"/>
              <w:ind w:right="2032"/>
              <w:spacing w:after="0"/>
              <w:rPr>
                <w:sz w:val="20"/>
                <w:szCs w:val="20"/>
                <w:color w:val="auto"/>
              </w:rPr>
            </w:pPr>
            <w:r>
              <w:rPr>
                <w:rFonts w:ascii="Arial" w:cs="Arial" w:eastAsia="Arial" w:hAnsi="Arial"/>
                <w:sz w:val="18"/>
                <w:szCs w:val="18"/>
                <w:b w:val="1"/>
                <w:bCs w:val="1"/>
                <w:color w:val="auto"/>
                <w:w w:val="99"/>
              </w:rPr>
              <w:t>THE BEAUTY HEALTH COMPANY</w:t>
            </w:r>
          </w:p>
        </w:tc>
      </w:tr>
      <w:tr>
        <w:trPr>
          <w:trHeight w:val="478"/>
        </w:trPr>
        <w:tc>
          <w:tcPr>
            <w:tcW w:w="2960" w:type="dxa"/>
            <w:vAlign w:val="bottom"/>
          </w:tcPr>
          <w:p>
            <w:pPr>
              <w:spacing w:after="0"/>
              <w:rPr>
                <w:sz w:val="20"/>
                <w:szCs w:val="20"/>
                <w:color w:val="auto"/>
              </w:rPr>
            </w:pPr>
            <w:r>
              <w:rPr>
                <w:rFonts w:ascii="Arial" w:cs="Arial" w:eastAsia="Arial" w:hAnsi="Arial"/>
                <w:sz w:val="18"/>
                <w:szCs w:val="18"/>
                <w:color w:val="auto"/>
              </w:rPr>
              <w:t>Date: March 1, 2022</w:t>
            </w:r>
          </w:p>
        </w:tc>
        <w:tc>
          <w:tcPr>
            <w:tcW w:w="8040" w:type="dxa"/>
            <w:vAlign w:val="bottom"/>
            <w:gridSpan w:val="2"/>
          </w:tcPr>
          <w:p>
            <w:pPr>
              <w:ind w:left="2040"/>
              <w:spacing w:after="0"/>
              <w:rPr>
                <w:sz w:val="20"/>
                <w:szCs w:val="20"/>
                <w:color w:val="auto"/>
              </w:rPr>
            </w:pPr>
            <w:r>
              <w:rPr>
                <w:rFonts w:ascii="Arial" w:cs="Arial" w:eastAsia="Arial" w:hAnsi="Arial"/>
                <w:sz w:val="18"/>
                <w:szCs w:val="18"/>
                <w:color w:val="auto"/>
              </w:rPr>
              <w:t>By: /s/ Andrew Stanleick</w:t>
            </w:r>
          </w:p>
        </w:tc>
      </w:tr>
      <w:tr>
        <w:trPr>
          <w:trHeight w:val="20"/>
        </w:trPr>
        <w:tc>
          <w:tcPr>
            <w:tcW w:w="2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2960" w:type="dxa"/>
            <w:vAlign w:val="bottom"/>
          </w:tcPr>
          <w:p>
            <w:pPr>
              <w:spacing w:after="0"/>
              <w:rPr>
                <w:sz w:val="18"/>
                <w:szCs w:val="18"/>
                <w:color w:val="auto"/>
              </w:rPr>
            </w:pPr>
          </w:p>
        </w:tc>
        <w:tc>
          <w:tcPr>
            <w:tcW w:w="8040" w:type="dxa"/>
            <w:vAlign w:val="bottom"/>
            <w:gridSpan w:val="2"/>
          </w:tcPr>
          <w:p>
            <w:pPr>
              <w:ind w:left="1820"/>
              <w:spacing w:after="0"/>
              <w:rPr>
                <w:sz w:val="20"/>
                <w:szCs w:val="20"/>
                <w:color w:val="auto"/>
              </w:rPr>
            </w:pPr>
            <w:r>
              <w:rPr>
                <w:rFonts w:ascii="Arial" w:cs="Arial" w:eastAsia="Arial" w:hAnsi="Arial"/>
                <w:sz w:val="18"/>
                <w:szCs w:val="18"/>
                <w:color w:val="auto"/>
              </w:rPr>
              <w:t>Name: Andrew Stanleick</w:t>
            </w:r>
          </w:p>
        </w:tc>
      </w:tr>
      <w:tr>
        <w:trPr>
          <w:trHeight w:val="225"/>
        </w:trPr>
        <w:tc>
          <w:tcPr>
            <w:tcW w:w="2960" w:type="dxa"/>
            <w:vAlign w:val="bottom"/>
          </w:tcPr>
          <w:p>
            <w:pPr>
              <w:spacing w:after="0"/>
              <w:rPr>
                <w:sz w:val="19"/>
                <w:szCs w:val="19"/>
                <w:color w:val="auto"/>
              </w:rPr>
            </w:pPr>
          </w:p>
        </w:tc>
        <w:tc>
          <w:tcPr>
            <w:tcW w:w="8040" w:type="dxa"/>
            <w:vAlign w:val="bottom"/>
            <w:gridSpan w:val="2"/>
          </w:tcPr>
          <w:p>
            <w:pPr>
              <w:jc w:val="center"/>
              <w:ind w:right="2012"/>
              <w:spacing w:after="0"/>
              <w:rPr>
                <w:sz w:val="20"/>
                <w:szCs w:val="20"/>
                <w:color w:val="auto"/>
              </w:rPr>
            </w:pPr>
            <w:r>
              <w:rPr>
                <w:rFonts w:ascii="Arial" w:cs="Arial" w:eastAsia="Arial" w:hAnsi="Arial"/>
                <w:sz w:val="18"/>
                <w:szCs w:val="18"/>
                <w:color w:val="auto"/>
                <w:w w:val="92"/>
              </w:rPr>
              <w:t>Title: Chief Executive Officer</w:t>
            </w:r>
          </w:p>
        </w:tc>
      </w:tr>
      <w:tr>
        <w:trPr>
          <w:trHeight w:val="225"/>
        </w:trPr>
        <w:tc>
          <w:tcPr>
            <w:tcW w:w="29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140" w:type="dxa"/>
            <w:vAlign w:val="bottom"/>
            <w:gridSpan w:val="3"/>
          </w:tcPr>
          <w:p>
            <w:pPr>
              <w:ind w:left="180"/>
              <w:spacing w:after="0"/>
              <w:rPr>
                <w:sz w:val="20"/>
                <w:szCs w:val="20"/>
                <w:color w:val="auto"/>
              </w:rPr>
            </w:pPr>
            <w:r>
              <w:rPr>
                <w:rFonts w:ascii="Arial" w:cs="Arial" w:eastAsia="Arial" w:hAnsi="Arial"/>
                <w:sz w:val="18"/>
                <w:szCs w:val="18"/>
                <w:b w:val="1"/>
                <w:bCs w:val="1"/>
                <w:color w:val="auto"/>
              </w:rPr>
              <w:t>Title</w:t>
            </w:r>
          </w:p>
        </w:tc>
        <w:tc>
          <w:tcPr>
            <w:tcW w:w="1620" w:type="dxa"/>
            <w:vAlign w:val="bottom"/>
            <w:gridSpan w:val="3"/>
          </w:tcPr>
          <w:p>
            <w:pPr>
              <w:ind w:left="600"/>
              <w:spacing w:after="0"/>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0"/>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Brenton L. Saunders</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Executive Chairman</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Brenton L. Saunders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Stanleick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Andrew Stanleick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Liyuan Woo</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Liyuan Woo</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D. Capellas</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Michael D. Capellas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Julius Few</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Julius Few</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Desiree Gruber</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Desiree Gruber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Michelle Kerrick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Michelle Kerrick</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Miller</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Brian Miller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 Schillinger</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2022</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Doug Schillinger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88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40" w:type="dxa"/>
            <w:vAlign w:val="bottom"/>
            <w:gridSpan w:val="3"/>
          </w:tcPr>
          <w:p>
            <w:pPr>
              <w:ind w:left="2920"/>
              <w:spacing w:after="0"/>
              <w:rPr>
                <w:sz w:val="20"/>
                <w:szCs w:val="20"/>
                <w:color w:val="auto"/>
              </w:rPr>
            </w:pPr>
            <w:r>
              <w:rPr>
                <w:rFonts w:ascii="Arial" w:cs="Arial" w:eastAsia="Arial" w:hAnsi="Arial"/>
                <w:sz w:val="18"/>
                <w:szCs w:val="18"/>
                <w:color w:val="auto"/>
              </w:rPr>
              <w:t>156</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960"/>
          </w:cols>
          <w:pgMar w:left="320" w:top="140" w:right="6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6" w:lineRule="exact"/>
        <w:rPr>
          <w:sz w:val="20"/>
          <w:szCs w:val="20"/>
          <w:color w:val="auto"/>
        </w:rPr>
      </w:pPr>
    </w:p>
    <w:p>
      <w:pPr>
        <w:ind w:right="120" w:firstLine="433"/>
        <w:spacing w:after="0" w:line="283" w:lineRule="auto"/>
        <w:rPr>
          <w:sz w:val="20"/>
          <w:szCs w:val="20"/>
          <w:color w:val="auto"/>
        </w:rPr>
      </w:pPr>
      <w:r>
        <w:rPr>
          <w:rFonts w:ascii="Arial" w:cs="Arial" w:eastAsia="Arial" w:hAnsi="Arial"/>
          <w:sz w:val="15"/>
          <w:szCs w:val="15"/>
          <w:color w:val="auto"/>
        </w:rPr>
        <w:t>The following summary of the material terms of the securities of The Beauty Health Company registered pursuant to Section 12 of the Securities Exchange Act of 1934, as amended (the “Exchange Act”). This description of the terms of our stock does not purport to be a complete summary of the rights and preferences of such securities and is subject to and qualified by reference to the full text of the Second Amended and Restated Certificate of</w:t>
      </w:r>
    </w:p>
    <w:p>
      <w:pPr>
        <w:ind w:right="220"/>
        <w:spacing w:after="0" w:line="248" w:lineRule="auto"/>
        <w:rPr>
          <w:sz w:val="20"/>
          <w:szCs w:val="20"/>
          <w:color w:val="auto"/>
        </w:rPr>
      </w:pPr>
      <w:r>
        <w:rPr>
          <w:rFonts w:ascii="Arial" w:cs="Arial" w:eastAsia="Arial" w:hAnsi="Arial"/>
          <w:sz w:val="15"/>
          <w:szCs w:val="15"/>
          <w:color w:val="auto"/>
        </w:rPr>
        <w:t>Incorporation and Amended and Restated Bylaws, copies of which have been filed as exhibits to this Annual Report on Form 10-K filed with the Securities and Exchange Commission (“SEC”). We urge you to read our Second Amended and Restated Certificate of Incorporation and our Amended and Restated</w:t>
      </w:r>
    </w:p>
    <w:p>
      <w:pPr>
        <w:spacing w:after="0" w:line="1" w:lineRule="exact"/>
        <w:rPr>
          <w:sz w:val="20"/>
          <w:szCs w:val="20"/>
          <w:color w:val="auto"/>
        </w:rPr>
      </w:pPr>
    </w:p>
    <w:p>
      <w:pPr>
        <w:ind w:right="440"/>
        <w:spacing w:after="0" w:line="215" w:lineRule="auto"/>
        <w:rPr>
          <w:sz w:val="20"/>
          <w:szCs w:val="20"/>
          <w:color w:val="auto"/>
        </w:rPr>
      </w:pPr>
      <w:r>
        <w:rPr>
          <w:rFonts w:ascii="Arial" w:cs="Arial" w:eastAsia="Arial" w:hAnsi="Arial"/>
          <w:sz w:val="17"/>
          <w:szCs w:val="17"/>
          <w:color w:val="auto"/>
        </w:rPr>
        <w:t>Bylaws in their entirety for a complete description of the rights and preferences of our securities. As used in this “Description of Registrant’s Securities Registered Pursuant to Section 12 of the Securities Exchange Act of 1934,” references to the “Company,” “we,” “our” or “us” refer solely to The Beauty Health Company and not to any of its subsidiaries, unless otherwise expressly stated or the context otherwise requires.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3" w:lineRule="exact"/>
        <w:rPr>
          <w:sz w:val="20"/>
          <w:szCs w:val="20"/>
          <w:color w:val="auto"/>
        </w:rPr>
      </w:pPr>
    </w:p>
    <w:p>
      <w:pPr>
        <w:ind w:right="60" w:firstLine="433"/>
        <w:spacing w:after="0" w:line="222" w:lineRule="auto"/>
        <w:rPr>
          <w:sz w:val="20"/>
          <w:szCs w:val="20"/>
          <w:color w:val="auto"/>
        </w:rPr>
      </w:pPr>
      <w:r>
        <w:rPr>
          <w:rFonts w:ascii="Arial" w:cs="Arial" w:eastAsia="Arial" w:hAnsi="Arial"/>
          <w:sz w:val="18"/>
          <w:szCs w:val="18"/>
          <w:color w:val="auto"/>
        </w:rPr>
        <w:t>The Second Amended and Restated Certificate of Incorporation authorizes the issuance of 321,000,000 shares of capital stock, consisting of (i) 320,000,000 shares of Common Stock, consisting entirely of 320,000,000 shares of Class A Stock, $0.0001 par value per share (after giving effect to the conversion of each outstanding share of Class B Stock immediately prior to the closing of the Business Combination into one share of Class A Stock) and (ii) 1,000,000 shares of preferred stock, par value $0.0001 per share. The outstanding shares of our Common Stock are, and the shares of Common Stock issuable in connection with the Business Combination pursuant to the Merger Agreement and the Private Placement will be, duly authorized, validly issued, fully paid and non assessable.</w:t>
      </w:r>
    </w:p>
    <w:p>
      <w:pPr>
        <w:spacing w:after="0" w:line="229" w:lineRule="exact"/>
        <w:rPr>
          <w:sz w:val="20"/>
          <w:szCs w:val="20"/>
          <w:color w:val="auto"/>
        </w:rPr>
      </w:pPr>
    </w:p>
    <w:p>
      <w:pPr>
        <w:ind w:right="80" w:firstLine="433"/>
        <w:spacing w:after="0" w:line="249" w:lineRule="auto"/>
        <w:rPr>
          <w:sz w:val="20"/>
          <w:szCs w:val="20"/>
          <w:color w:val="auto"/>
        </w:rPr>
      </w:pPr>
      <w:r>
        <w:rPr>
          <w:rFonts w:ascii="Arial" w:cs="Arial" w:eastAsia="Arial" w:hAnsi="Arial"/>
          <w:sz w:val="18"/>
          <w:szCs w:val="18"/>
          <w:color w:val="auto"/>
        </w:rPr>
        <w:t>As of December 31, 2021, we had 150,598,047 shares of Class A Stock outstanding. The outstanding shares of our Common Stock are duly authorized, validly issued, fully paid and non 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Power</w:t>
      </w:r>
    </w:p>
    <w:p>
      <w:pPr>
        <w:spacing w:after="0" w:line="244" w:lineRule="exact"/>
        <w:rPr>
          <w:sz w:val="20"/>
          <w:szCs w:val="20"/>
          <w:color w:val="auto"/>
        </w:rPr>
      </w:pPr>
    </w:p>
    <w:p>
      <w:pPr>
        <w:ind w:right="100" w:firstLine="433"/>
        <w:spacing w:after="0" w:line="286" w:lineRule="auto"/>
        <w:rPr>
          <w:sz w:val="20"/>
          <w:szCs w:val="20"/>
          <w:color w:val="auto"/>
        </w:rPr>
      </w:pPr>
      <w:r>
        <w:rPr>
          <w:rFonts w:ascii="Arial" w:cs="Arial" w:eastAsia="Arial" w:hAnsi="Arial"/>
          <w:sz w:val="15"/>
          <w:szCs w:val="15"/>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 share on</w:t>
      </w:r>
    </w:p>
    <w:p>
      <w:pPr>
        <w:ind w:right="440"/>
        <w:spacing w:after="0" w:line="213" w:lineRule="auto"/>
        <w:rPr>
          <w:sz w:val="20"/>
          <w:szCs w:val="20"/>
          <w:color w:val="auto"/>
        </w:rPr>
      </w:pPr>
      <w:r>
        <w:rPr>
          <w:rFonts w:ascii="Arial" w:cs="Arial" w:eastAsia="Arial" w:hAnsi="Arial"/>
          <w:sz w:val="18"/>
          <w:szCs w:val="18"/>
          <w:color w:val="auto"/>
        </w:rPr>
        <w:t>matters to be voted on by stockholders. The holders of Class A Stock shall at all times vote together as one class on all matters submitted to a vote of the holders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17" w:lineRule="exact"/>
        <w:rPr>
          <w:sz w:val="20"/>
          <w:szCs w:val="20"/>
          <w:color w:val="auto"/>
        </w:rPr>
      </w:pPr>
    </w:p>
    <w:p>
      <w:pPr>
        <w:ind w:right="120" w:firstLine="433"/>
        <w:spacing w:after="0" w:line="229" w:lineRule="auto"/>
        <w:rPr>
          <w:sz w:val="20"/>
          <w:szCs w:val="20"/>
          <w:color w:val="auto"/>
        </w:rPr>
      </w:pPr>
      <w:r>
        <w:rPr>
          <w:rFonts w:ascii="Arial" w:cs="Arial" w:eastAsia="Arial" w:hAnsi="Arial"/>
          <w:sz w:val="18"/>
          <w:szCs w:val="18"/>
          <w:color w:val="auto"/>
        </w:rPr>
        <w:t>Subject to the rights, if any of the holders of any outstanding shares of preferred stock, holders of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204" w:lineRule="exact"/>
        <w:rPr>
          <w:sz w:val="20"/>
          <w:szCs w:val="20"/>
          <w:color w:val="auto"/>
        </w:rPr>
      </w:pPr>
    </w:p>
    <w:p>
      <w:pPr>
        <w:ind w:right="200" w:firstLine="397"/>
        <w:spacing w:after="0" w:line="239"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Common Stock will be entitled to receive all the remaining assets of the post- combination company available for distribution to stockholders, ratably in proportion to the number of shares of Common Stock held by them, after the rights of the holders of the preferred stock have been satisfied.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Other Rights</w:t>
      </w:r>
    </w:p>
    <w:p>
      <w:pPr>
        <w:spacing w:after="0" w:line="244" w:lineRule="exact"/>
        <w:rPr>
          <w:sz w:val="20"/>
          <w:szCs w:val="20"/>
          <w:color w:val="auto"/>
        </w:rPr>
      </w:pPr>
    </w:p>
    <w:p>
      <w:pPr>
        <w:ind w:right="220" w:firstLine="397"/>
        <w:spacing w:after="0" w:line="221" w:lineRule="auto"/>
        <w:rPr>
          <w:sz w:val="20"/>
          <w:szCs w:val="20"/>
          <w:color w:val="auto"/>
        </w:rPr>
      </w:pPr>
      <w:r>
        <w:rPr>
          <w:rFonts w:ascii="Arial" w:cs="Arial" w:eastAsia="Arial" w:hAnsi="Arial"/>
          <w:sz w:val="18"/>
          <w:szCs w:val="18"/>
          <w:color w:val="auto"/>
        </w:rPr>
        <w:t>Our stockholders have no preemptive or other subscription rights and there are no sinking fund or redemption provisions applicable to our Common Stock.</w:t>
      </w:r>
    </w:p>
    <w:p>
      <w:pPr>
        <w:sectPr>
          <w:pgSz w:w="11900" w:h="16838" w:orient="portrait"/>
          <w:cols w:equalWidth="0" w:num="1">
            <w:col w:w="11240"/>
          </w:cols>
          <w:pgMar w:left="320" w:top="1075"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i w:val="1"/>
          <w:iCs w:val="1"/>
          <w:color w:val="auto"/>
        </w:rPr>
        <w:t>Election of Directors</w:t>
      </w:r>
    </w:p>
    <w:p>
      <w:pPr>
        <w:spacing w:after="0" w:line="244"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There is no cumulative voting with respect to the election of directors, with the result that directions will be elected by a plurality of the votes cast at a meeting of stockholders by holders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7" w:lineRule="exact"/>
        <w:rPr>
          <w:sz w:val="20"/>
          <w:szCs w:val="20"/>
          <w:color w:val="auto"/>
        </w:rPr>
      </w:pPr>
    </w:p>
    <w:p>
      <w:pPr>
        <w:ind w:right="20" w:firstLine="433"/>
        <w:spacing w:after="0" w:line="269" w:lineRule="auto"/>
        <w:rPr>
          <w:sz w:val="20"/>
          <w:szCs w:val="20"/>
          <w:color w:val="auto"/>
        </w:rPr>
      </w:pPr>
      <w:r>
        <w:rPr>
          <w:rFonts w:ascii="Arial" w:cs="Arial" w:eastAsia="Arial" w:hAnsi="Arial"/>
          <w:sz w:val="15"/>
          <w:szCs w:val="15"/>
          <w:color w:val="auto"/>
        </w:rPr>
        <w:t>Our Second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23" w:lineRule="exact"/>
        <w:rPr>
          <w:sz w:val="20"/>
          <w:szCs w:val="20"/>
          <w:color w:val="auto"/>
        </w:rPr>
      </w:pPr>
    </w:p>
    <w:p>
      <w:pPr>
        <w:ind w:firstLine="433"/>
        <w:spacing w:after="0" w:line="266" w:lineRule="auto"/>
        <w:rPr>
          <w:sz w:val="20"/>
          <w:szCs w:val="20"/>
          <w:color w:val="auto"/>
        </w:rPr>
      </w:pPr>
      <w:r>
        <w:rPr>
          <w:rFonts w:ascii="Arial" w:cs="Arial" w:eastAsia="Arial" w:hAnsi="Arial"/>
          <w:sz w:val="15"/>
          <w:szCs w:val="15"/>
          <w:color w:val="auto"/>
        </w:rPr>
        <w:t>Our Second Amended and Restated Certificate of Incorporation requires, unless the Company consents in writing to the selection of an alternative forum, that the Court of Chancery of the State of Delaware (or, in the event that the Court of Chancery does not have jurisdiction, the federal district court for the District of Delaware or, in the event that the federal district court for the District of Delaware does not have jurisdiction, other state courts of the State of Delaware) will be the sole and exclusive forum for (i) any derivative action, suit or proceeding brought on behalf of the Company, (ii) any action, suit or proceeding asserting a claim of breach of a fiduciary duty owed by any director, officer, employee or stockholder of the Company to the Company or its stockholders, (iii) any action, suit or proceeding asserting a claim against the Company, its directors, officers or employees arising pursuant to any provision of the DGCL or the Amended and Restated Bylaws or the Second Amended and Restated Certificate of Incorporation or (iv) any action, suit or proceeding asserting a claim against the Company, its directors, officers or employees governed by the internal affairs doctrine. If an action is brought outside of Delaware, the stockholder bringing the suit will be deemed to have consented to service of process on such stockholder’ s counsel.</w:t>
      </w:r>
    </w:p>
    <w:p>
      <w:pPr>
        <w:spacing w:after="0" w:line="187" w:lineRule="exact"/>
        <w:rPr>
          <w:sz w:val="20"/>
          <w:szCs w:val="20"/>
          <w:color w:val="auto"/>
        </w:rPr>
      </w:pPr>
    </w:p>
    <w:p>
      <w:pPr>
        <w:ind w:right="280" w:firstLine="433"/>
        <w:spacing w:after="0" w:line="222" w:lineRule="auto"/>
        <w:rPr>
          <w:sz w:val="20"/>
          <w:szCs w:val="20"/>
          <w:color w:val="auto"/>
        </w:rPr>
      </w:pPr>
      <w:r>
        <w:rPr>
          <w:rFonts w:ascii="Arial" w:cs="Arial" w:eastAsia="Arial" w:hAnsi="Arial"/>
          <w:sz w:val="18"/>
          <w:szCs w:val="18"/>
          <w:color w:val="auto"/>
        </w:rPr>
        <w:t>In addition, our Second Amended and Restated Certificate of Incorporation requires, unless the Company consents in writing to the selection of an alternative forum, that the federal district courts of the United States of America will be the exclusive forum for the resolution of any complaint asserting a cause of action arising under the Securities Act of 1933, as amended, or the rules and regulations promulgated thereunder. We note, however, that investors cannot waive compliance with the federal securities laws and the rules and regulations thereunder. Section 22 of the Securities Act creates concurrent jurisdiction for federal and state courts over all suits brought to enforce any duty or liability created by the Securities Act or the rules and regulations thereunder.</w:t>
      </w:r>
    </w:p>
    <w:p>
      <w:pPr>
        <w:spacing w:after="0" w:line="203" w:lineRule="exact"/>
        <w:rPr>
          <w:sz w:val="20"/>
          <w:szCs w:val="20"/>
          <w:color w:val="auto"/>
        </w:rPr>
      </w:pPr>
    </w:p>
    <w:p>
      <w:pPr>
        <w:ind w:right="40" w:firstLine="433"/>
        <w:spacing w:after="0" w:line="239" w:lineRule="auto"/>
        <w:rPr>
          <w:sz w:val="20"/>
          <w:szCs w:val="20"/>
          <w:color w:val="auto"/>
        </w:rPr>
      </w:pPr>
      <w:r>
        <w:rPr>
          <w:rFonts w:ascii="Arial" w:cs="Arial" w:eastAsia="Arial" w:hAnsi="Arial"/>
          <w:sz w:val="17"/>
          <w:szCs w:val="17"/>
          <w:color w:val="auto"/>
        </w:rPr>
        <w:t>Our Second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0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b w:val="1"/>
          <w:bCs w:val="1"/>
          <w:i w:val="1"/>
          <w:iCs w:val="1"/>
          <w:color w:val="auto"/>
        </w:rPr>
        <w:t>Anti-takeover provisions contained in our Second Amended and Restated Certificate of Incorporation and the Amended and Restated Bylaws, as well as provisions of Delaware law, could impair a takeover attempt.</w:t>
      </w:r>
    </w:p>
    <w:p>
      <w:pPr>
        <w:spacing w:after="0" w:line="201" w:lineRule="exact"/>
        <w:rPr>
          <w:sz w:val="20"/>
          <w:szCs w:val="20"/>
          <w:color w:val="auto"/>
        </w:rPr>
      </w:pPr>
    </w:p>
    <w:p>
      <w:pPr>
        <w:ind w:right="60" w:firstLine="433"/>
        <w:spacing w:after="0" w:line="281" w:lineRule="auto"/>
        <w:rPr>
          <w:sz w:val="20"/>
          <w:szCs w:val="20"/>
          <w:color w:val="auto"/>
        </w:rPr>
      </w:pPr>
      <w:r>
        <w:rPr>
          <w:rFonts w:ascii="Arial" w:cs="Arial" w:eastAsia="Arial" w:hAnsi="Arial"/>
          <w:sz w:val="15"/>
          <w:szCs w:val="15"/>
          <w:color w:val="auto"/>
        </w:rPr>
        <w:t>The Second Amended and Restated Certificate of Incorporation and the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73"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ectPr>
          <w:pgSz w:w="11900" w:h="16838" w:orient="portrait"/>
          <w:cols w:equalWidth="0" w:num="1">
            <w:col w:w="11240"/>
          </w:cols>
          <w:pgMar w:left="320" w:top="1108" w:right="339" w:bottom="1440" w:gutter="0" w:footer="0" w:header="0"/>
        </w:sectPr>
      </w:pPr>
    </w:p>
    <w:bookmarkStart w:id="158" w:name="page159"/>
    <w:bookmarkEnd w:id="158"/>
    <w:p>
      <w:pPr>
        <w:ind w:left="640" w:right="80" w:hanging="316"/>
        <w:spacing w:after="0" w:line="237"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200"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217" w:lineRule="exact"/>
        <w:rPr>
          <w:rFonts w:ascii="Arial" w:cs="Arial" w:eastAsia="Arial" w:hAnsi="Arial"/>
          <w:sz w:val="18"/>
          <w:szCs w:val="18"/>
          <w:color w:val="auto"/>
        </w:rPr>
      </w:pPr>
    </w:p>
    <w:p>
      <w:pPr>
        <w:ind w:left="640" w:right="180" w:hanging="316"/>
        <w:spacing w:after="0" w:line="237"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200" w:lineRule="exact"/>
        <w:rPr>
          <w:rFonts w:ascii="Arial" w:cs="Arial" w:eastAsia="Arial" w:hAnsi="Arial"/>
          <w:sz w:val="18"/>
          <w:szCs w:val="18"/>
          <w:color w:val="auto"/>
        </w:rPr>
      </w:pPr>
    </w:p>
    <w:p>
      <w:pPr>
        <w:ind w:left="640" w:right="880" w:hanging="316"/>
        <w:spacing w:after="0" w:line="237"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00" w:lineRule="exact"/>
        <w:rPr>
          <w:rFonts w:ascii="Arial" w:cs="Arial" w:eastAsia="Arial" w:hAnsi="Arial"/>
          <w:sz w:val="18"/>
          <w:szCs w:val="18"/>
          <w:color w:val="auto"/>
        </w:rPr>
      </w:pPr>
    </w:p>
    <w:p>
      <w:pPr>
        <w:ind w:left="640" w:right="300" w:hanging="316"/>
        <w:spacing w:after="0" w:line="328" w:lineRule="auto"/>
        <w:tabs>
          <w:tab w:leader="none" w:pos="635"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138" w:lineRule="exact"/>
        <w:rPr>
          <w:rFonts w:ascii="Arial" w:cs="Arial" w:eastAsia="Arial" w:hAnsi="Arial"/>
          <w:sz w:val="15"/>
          <w:szCs w:val="15"/>
          <w:color w:val="auto"/>
        </w:rPr>
      </w:pPr>
    </w:p>
    <w:p>
      <w:pPr>
        <w:ind w:left="640" w:right="320" w:hanging="316"/>
        <w:spacing w:after="0" w:line="237"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certificate of incorporation or bylaws must be approved by holders of at least two-thirds of the Common Stock of the post-combination company; and</w:t>
      </w:r>
    </w:p>
    <w:p>
      <w:pPr>
        <w:spacing w:after="0" w:line="200" w:lineRule="exact"/>
        <w:rPr>
          <w:rFonts w:ascii="Arial" w:cs="Arial" w:eastAsia="Arial" w:hAnsi="Arial"/>
          <w:sz w:val="18"/>
          <w:szCs w:val="18"/>
          <w:color w:val="auto"/>
        </w:rPr>
      </w:pPr>
    </w:p>
    <w:p>
      <w:pPr>
        <w:ind w:left="640" w:hanging="316"/>
        <w:spacing w:after="0" w:line="229"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“SKIN.”</w:t>
      </w:r>
    </w:p>
    <w:p>
      <w:pPr>
        <w:sectPr>
          <w:pgSz w:w="11900" w:h="16838" w:orient="portrait"/>
          <w:cols w:equalWidth="0" w:num="1">
            <w:col w:w="11200"/>
          </w:cols>
          <w:pgMar w:left="320" w:top="1307" w:right="379" w:bottom="1440" w:gutter="0" w:footer="0" w:header="0"/>
        </w:sectPr>
      </w:pPr>
    </w:p>
    <w:bookmarkStart w:id="159" w:name="page160"/>
    <w:bookmarkEnd w:id="159"/>
    <w:p>
      <w:pPr>
        <w:spacing w:after="0"/>
        <w:rPr>
          <w:sz w:val="20"/>
          <w:szCs w:val="20"/>
          <w:color w:val="auto"/>
        </w:rPr>
      </w:pPr>
      <w:r>
        <w:rPr>
          <w:rFonts w:ascii="Arial" w:cs="Arial" w:eastAsia="Arial" w:hAnsi="Arial"/>
          <w:sz w:val="19"/>
          <w:szCs w:val="19"/>
          <w:b w:val="1"/>
          <w:bCs w:val="1"/>
          <w:color w:val="auto"/>
        </w:rPr>
        <w:t>STRICTLY PRIVATE AND CONFIDENTIAL</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August 4, 2021</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Indra Pamamull</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[REDACTED]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19"/>
          <w:szCs w:val="19"/>
          <w:b w:val="1"/>
          <w:bCs w:val="1"/>
          <w:color w:val="auto"/>
        </w:rPr>
        <w:t>Indra Pamamull,</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 APPOINTMENT AS President of APAC OF CLIENT, Edge Systems LLC dba The HydraFacial Company</w:t>
      </w:r>
    </w:p>
    <w:p>
      <w:pPr>
        <w:spacing w:after="0" w:line="312" w:lineRule="exact"/>
        <w:rPr>
          <w:sz w:val="20"/>
          <w:szCs w:val="20"/>
          <w:color w:val="auto"/>
        </w:rPr>
      </w:pPr>
    </w:p>
    <w:p>
      <w:pPr>
        <w:ind w:right="120"/>
        <w:spacing w:after="0" w:line="327" w:lineRule="auto"/>
        <w:rPr>
          <w:sz w:val="20"/>
          <w:szCs w:val="20"/>
          <w:color w:val="auto"/>
        </w:rPr>
      </w:pPr>
      <w:r>
        <w:rPr>
          <w:rFonts w:ascii="Arial" w:cs="Arial" w:eastAsia="Arial" w:hAnsi="Arial"/>
          <w:sz w:val="19"/>
          <w:szCs w:val="19"/>
          <w:color w:val="auto"/>
        </w:rPr>
        <w:t xml:space="preserve">We, GoGlobal GEO Pte. Ltd. (Reg. No. 201834049C) (“Company”), are pleased to offer you the position of </w:t>
      </w:r>
      <w:r>
        <w:rPr>
          <w:rFonts w:ascii="Arial" w:cs="Arial" w:eastAsia="Arial" w:hAnsi="Arial"/>
          <w:sz w:val="19"/>
          <w:szCs w:val="19"/>
          <w:b w:val="1"/>
          <w:bCs w:val="1"/>
          <w:color w:val="auto"/>
        </w:rPr>
        <w:t>President of APAC</w:t>
      </w:r>
      <w:r>
        <w:rPr>
          <w:rFonts w:ascii="Arial" w:cs="Arial" w:eastAsia="Arial" w:hAnsi="Arial"/>
          <w:sz w:val="19"/>
          <w:szCs w:val="19"/>
          <w:color w:val="auto"/>
        </w:rPr>
        <w:t xml:space="preserve"> on the following terms and conditions:</w:t>
      </w:r>
    </w:p>
    <w:p>
      <w:pPr>
        <w:spacing w:after="0" w:line="1" w:lineRule="exact"/>
        <w:rPr>
          <w:sz w:val="20"/>
          <w:szCs w:val="20"/>
          <w:color w:val="auto"/>
        </w:rPr>
      </w:pPr>
    </w:p>
    <w:p>
      <w:pPr>
        <w:ind w:left="620" w:hanging="312"/>
        <w:spacing w:after="0"/>
        <w:tabs>
          <w:tab w:leader="none" w:pos="62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p>
    <w:p>
      <w:pPr>
        <w:spacing w:after="0" w:line="245" w:lineRule="exact"/>
        <w:rPr>
          <w:rFonts w:ascii="Arial" w:cs="Arial" w:eastAsia="Arial" w:hAnsi="Arial"/>
          <w:sz w:val="19"/>
          <w:szCs w:val="19"/>
          <w:b w:val="1"/>
          <w:bCs w:val="1"/>
          <w:color w:val="auto"/>
        </w:rPr>
      </w:pPr>
    </w:p>
    <w:p>
      <w:pPr>
        <w:jc w:val="both"/>
        <w:ind w:left="620"/>
        <w:spacing w:after="0" w:line="285" w:lineRule="auto"/>
        <w:rPr>
          <w:rFonts w:ascii="Arial" w:cs="Arial" w:eastAsia="Arial" w:hAnsi="Arial"/>
          <w:sz w:val="19"/>
          <w:szCs w:val="19"/>
          <w:b w:val="1"/>
          <w:bCs w:val="1"/>
          <w:color w:val="auto"/>
        </w:rPr>
      </w:pPr>
      <w:r>
        <w:rPr>
          <w:rFonts w:ascii="Arial" w:cs="Arial" w:eastAsia="Arial" w:hAnsi="Arial"/>
          <w:sz w:val="19"/>
          <w:szCs w:val="19"/>
          <w:color w:val="auto"/>
        </w:rPr>
        <w:t xml:space="preserve">Subject to the terms of this offer letter, the Company, with intention and entrustment of </w:t>
      </w:r>
      <w:r>
        <w:rPr>
          <w:rFonts w:ascii="Arial" w:cs="Arial" w:eastAsia="Arial" w:hAnsi="Arial"/>
          <w:sz w:val="19"/>
          <w:szCs w:val="19"/>
          <w:b w:val="1"/>
          <w:bCs w:val="1"/>
          <w:color w:val="auto"/>
        </w:rPr>
        <w:t>Edge Systems LLC dba 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HydraFacial Company </w:t>
      </w:r>
      <w:r>
        <w:rPr>
          <w:rFonts w:ascii="Arial" w:cs="Arial" w:eastAsia="Arial" w:hAnsi="Arial"/>
          <w:sz w:val="19"/>
          <w:szCs w:val="19"/>
          <w:color w:val="auto"/>
        </w:rPr>
        <w:t>(the “Client”) offers to employ the Employee for assignment to</w:t>
      </w:r>
      <w:r>
        <w:rPr>
          <w:rFonts w:ascii="Arial" w:cs="Arial" w:eastAsia="Arial" w:hAnsi="Arial"/>
          <w:sz w:val="19"/>
          <w:szCs w:val="19"/>
          <w:b w:val="1"/>
          <w:bCs w:val="1"/>
          <w:color w:val="auto"/>
        </w:rPr>
        <w:t xml:space="preserve"> President of APAC </w:t>
      </w:r>
      <w:r>
        <w:rPr>
          <w:rFonts w:ascii="Arial" w:cs="Arial" w:eastAsia="Arial" w:hAnsi="Arial"/>
          <w:sz w:val="19"/>
          <w:szCs w:val="19"/>
          <w:color w:val="auto"/>
        </w:rPr>
        <w:t>for the Client.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accepts such offer and agrees to be employed by the Company for dedicated assignment to the Client. Employee's rights, benefits and obligations as an employee, including but not limited to compensation and allowances, promotion, duties and responsibilities, reporting and the like will be implemented in accordance with the Client determinations.</w:t>
      </w:r>
    </w:p>
    <w:p>
      <w:pPr>
        <w:spacing w:after="0" w:line="165" w:lineRule="exact"/>
        <w:rPr>
          <w:rFonts w:ascii="Arial" w:cs="Arial" w:eastAsia="Arial" w:hAnsi="Arial"/>
          <w:sz w:val="19"/>
          <w:szCs w:val="19"/>
          <w:b w:val="1"/>
          <w:bCs w:val="1"/>
          <w:color w:val="auto"/>
        </w:rPr>
      </w:pPr>
    </w:p>
    <w:p>
      <w:pPr>
        <w:ind w:left="620" w:hanging="312"/>
        <w:spacing w:after="0"/>
        <w:tabs>
          <w:tab w:leader="none" w:pos="62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Commencement Date</w:t>
      </w:r>
    </w:p>
    <w:p>
      <w:pPr>
        <w:spacing w:after="0" w:line="232" w:lineRule="exact"/>
        <w:rPr>
          <w:rFonts w:ascii="Arial" w:cs="Arial" w:eastAsia="Arial" w:hAnsi="Arial"/>
          <w:sz w:val="19"/>
          <w:szCs w:val="19"/>
          <w:b w:val="1"/>
          <w:bCs w:val="1"/>
          <w:color w:val="auto"/>
        </w:rPr>
      </w:pPr>
    </w:p>
    <w:p>
      <w:pPr>
        <w:ind w:left="620" w:right="20"/>
        <w:spacing w:after="0" w:line="319" w:lineRule="auto"/>
        <w:rPr>
          <w:rFonts w:ascii="Arial" w:cs="Arial" w:eastAsia="Arial" w:hAnsi="Arial"/>
          <w:sz w:val="19"/>
          <w:szCs w:val="19"/>
          <w:b w:val="1"/>
          <w:bCs w:val="1"/>
          <w:color w:val="auto"/>
        </w:rPr>
      </w:pPr>
      <w:r>
        <w:rPr>
          <w:rFonts w:ascii="Arial" w:cs="Arial" w:eastAsia="Arial" w:hAnsi="Arial"/>
          <w:sz w:val="19"/>
          <w:szCs w:val="19"/>
          <w:color w:val="auto"/>
        </w:rPr>
        <w:t xml:space="preserve">The term of the employment and this Agreement shall commence on </w:t>
      </w:r>
      <w:r>
        <w:rPr>
          <w:rFonts w:ascii="Arial" w:cs="Arial" w:eastAsia="Arial" w:hAnsi="Arial"/>
          <w:sz w:val="19"/>
          <w:szCs w:val="19"/>
          <w:b w:val="1"/>
          <w:bCs w:val="1"/>
          <w:color w:val="auto"/>
        </w:rPr>
        <w:t>August 10, 2021</w:t>
      </w:r>
      <w:r>
        <w:rPr>
          <w:rFonts w:ascii="Arial" w:cs="Arial" w:eastAsia="Arial" w:hAnsi="Arial"/>
          <w:sz w:val="19"/>
          <w:szCs w:val="19"/>
          <w:color w:val="auto"/>
        </w:rPr>
        <w:t xml:space="preserve"> and shall continue until this Agreement is terminated in accordance with this Agreement.</w:t>
      </w:r>
    </w:p>
    <w:p>
      <w:pPr>
        <w:spacing w:after="0" w:line="198" w:lineRule="exact"/>
        <w:rPr>
          <w:rFonts w:ascii="Arial" w:cs="Arial" w:eastAsia="Arial" w:hAnsi="Arial"/>
          <w:sz w:val="19"/>
          <w:szCs w:val="19"/>
          <w:b w:val="1"/>
          <w:bCs w:val="1"/>
          <w:color w:val="auto"/>
        </w:rPr>
      </w:pPr>
    </w:p>
    <w:p>
      <w:pPr>
        <w:jc w:val="both"/>
        <w:ind w:left="620"/>
        <w:spacing w:after="0" w:line="284" w:lineRule="auto"/>
        <w:rPr>
          <w:rFonts w:ascii="Arial" w:cs="Arial" w:eastAsia="Arial" w:hAnsi="Arial"/>
          <w:sz w:val="19"/>
          <w:szCs w:val="19"/>
          <w:b w:val="1"/>
          <w:bCs w:val="1"/>
          <w:color w:val="auto"/>
        </w:rPr>
      </w:pPr>
      <w:r>
        <w:rPr>
          <w:rFonts w:ascii="Arial" w:cs="Arial" w:eastAsia="Arial" w:hAnsi="Arial"/>
          <w:sz w:val="19"/>
          <w:szCs w:val="19"/>
          <w:color w:val="auto"/>
        </w:rPr>
        <w:t>The Appointment is conditional on the satisfaction of the following conditions and, if it is begun before all or any of those conditions are satisfied, may be terminated without notice if they are not satisfied within such reasonable time thereafter as the Company may at its discretion determine:</w:t>
      </w:r>
    </w:p>
    <w:p>
      <w:pPr>
        <w:spacing w:after="0" w:line="191" w:lineRule="exact"/>
        <w:rPr>
          <w:rFonts w:ascii="Arial" w:cs="Arial" w:eastAsia="Arial" w:hAnsi="Arial"/>
          <w:sz w:val="19"/>
          <w:szCs w:val="19"/>
          <w:b w:val="1"/>
          <w:bCs w:val="1"/>
          <w:color w:val="auto"/>
        </w:rPr>
      </w:pPr>
    </w:p>
    <w:p>
      <w:pPr>
        <w:ind w:left="1260" w:hanging="409"/>
        <w:spacing w:after="0"/>
        <w:tabs>
          <w:tab w:leader="none" w:pos="1260"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Company obtaining references satisfactory to it;</w:t>
      </w:r>
    </w:p>
    <w:p>
      <w:pPr>
        <w:spacing w:after="0" w:line="33" w:lineRule="exact"/>
        <w:rPr>
          <w:rFonts w:ascii="Arial" w:cs="Arial" w:eastAsia="Arial" w:hAnsi="Arial"/>
          <w:sz w:val="19"/>
          <w:szCs w:val="19"/>
          <w:color w:val="auto"/>
        </w:rPr>
      </w:pPr>
    </w:p>
    <w:p>
      <w:pPr>
        <w:ind w:left="1260" w:hanging="409"/>
        <w:spacing w:after="0" w:line="293" w:lineRule="auto"/>
        <w:tabs>
          <w:tab w:leader="none" w:pos="1072" w:val="left"/>
        </w:tabs>
        <w:numPr>
          <w:ilvl w:val="1"/>
          <w:numId w:val="73"/>
        </w:numPr>
        <w:rPr>
          <w:rFonts w:ascii="Arial" w:cs="Arial" w:eastAsia="Arial" w:hAnsi="Arial"/>
          <w:sz w:val="19"/>
          <w:szCs w:val="19"/>
          <w:color w:val="auto"/>
        </w:rPr>
      </w:pPr>
      <w:r>
        <w:rPr>
          <w:rFonts w:ascii="Arial" w:cs="Arial" w:eastAsia="Arial" w:hAnsi="Arial"/>
          <w:sz w:val="19"/>
          <w:szCs w:val="19"/>
          <w:color w:val="auto"/>
        </w:rPr>
        <w:t>you obtain the work visa/permit from the government (if required) and/or you produce upon request any documentation requested by the Company for the purpose of establishing your right to work in Singapore.</w:t>
      </w:r>
    </w:p>
    <w:p>
      <w:pPr>
        <w:spacing w:after="0" w:line="396" w:lineRule="exact"/>
        <w:rPr>
          <w:rFonts w:ascii="Arial" w:cs="Arial" w:eastAsia="Arial" w:hAnsi="Arial"/>
          <w:sz w:val="19"/>
          <w:szCs w:val="19"/>
          <w:color w:val="auto"/>
        </w:rPr>
      </w:pPr>
    </w:p>
    <w:p>
      <w:pPr>
        <w:ind w:left="620" w:hanging="312"/>
        <w:spacing w:after="0"/>
        <w:tabs>
          <w:tab w:leader="none" w:pos="62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Scope of Work: Major Duties and Responsibilities</w:t>
      </w:r>
    </w:p>
    <w:p>
      <w:pPr>
        <w:spacing w:after="0" w:line="30"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Arial" w:cs="Arial" w:eastAsia="Arial" w:hAnsi="Arial"/>
          <w:sz w:val="19"/>
          <w:szCs w:val="19"/>
          <w:color w:val="auto"/>
        </w:rPr>
        <w:t>The main duties are set out in the job description annexed to this contract (</w:t>
      </w:r>
      <w:r>
        <w:rPr>
          <w:rFonts w:ascii="Arial" w:cs="Arial" w:eastAsia="Arial" w:hAnsi="Arial"/>
          <w:sz w:val="19"/>
          <w:szCs w:val="19"/>
          <w:b w:val="1"/>
          <w:bCs w:val="1"/>
          <w:color w:val="auto"/>
        </w:rPr>
        <w:t>Annex 1)</w:t>
      </w:r>
    </w:p>
    <w:p>
      <w:pPr>
        <w:sectPr>
          <w:pgSz w:w="11900" w:h="16838" w:orient="portrait"/>
          <w:cols w:equalWidth="0" w:num="1">
            <w:col w:w="11020"/>
          </w:cols>
          <w:pgMar w:left="440" w:top="1238" w:right="439" w:bottom="1440" w:gutter="0" w:footer="0" w:header="0"/>
        </w:sectPr>
      </w:pPr>
    </w:p>
    <w:bookmarkStart w:id="160" w:name="page161"/>
    <w:bookmarkEnd w:id="160"/>
    <w:p>
      <w:pPr>
        <w:spacing w:after="0" w:line="342" w:lineRule="exact"/>
        <w:rPr>
          <w:sz w:val="20"/>
          <w:szCs w:val="20"/>
          <w:color w:val="auto"/>
        </w:rPr>
      </w:pPr>
    </w:p>
    <w:p>
      <w:pPr>
        <w:ind w:left="331" w:hanging="331"/>
        <w:spacing w:after="0"/>
        <w:tabs>
          <w:tab w:leader="none" w:pos="331"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Hours of employment and Overtime</w:t>
      </w:r>
    </w:p>
    <w:p>
      <w:pPr>
        <w:spacing w:after="0" w:line="44" w:lineRule="exact"/>
        <w:rPr>
          <w:rFonts w:ascii="Arial" w:cs="Arial" w:eastAsia="Arial" w:hAnsi="Arial"/>
          <w:sz w:val="19"/>
          <w:szCs w:val="19"/>
          <w:b w:val="1"/>
          <w:bCs w:val="1"/>
          <w:color w:val="auto"/>
        </w:rPr>
      </w:pPr>
    </w:p>
    <w:p>
      <w:pPr>
        <w:ind w:left="311" w:right="20"/>
        <w:spacing w:after="0" w:line="293" w:lineRule="auto"/>
        <w:rPr>
          <w:rFonts w:ascii="Arial" w:cs="Arial" w:eastAsia="Arial" w:hAnsi="Arial"/>
          <w:sz w:val="19"/>
          <w:szCs w:val="19"/>
          <w:b w:val="1"/>
          <w:bCs w:val="1"/>
          <w:color w:val="auto"/>
        </w:rPr>
      </w:pPr>
      <w:r>
        <w:rPr>
          <w:rFonts w:ascii="Arial" w:cs="Arial" w:eastAsia="Arial" w:hAnsi="Arial"/>
          <w:sz w:val="19"/>
          <w:szCs w:val="19"/>
          <w:color w:val="auto"/>
        </w:rPr>
        <w:t>Your total monthly hours is 8 hours multiplied by the number of work days (Mondays to Fridays), and you will have flexibility to start and end time.</w:t>
      </w:r>
    </w:p>
    <w:p>
      <w:pPr>
        <w:spacing w:after="0" w:line="158" w:lineRule="exact"/>
        <w:rPr>
          <w:rFonts w:ascii="Arial" w:cs="Arial" w:eastAsia="Arial" w:hAnsi="Arial"/>
          <w:sz w:val="19"/>
          <w:szCs w:val="19"/>
          <w:b w:val="1"/>
          <w:bCs w:val="1"/>
          <w:color w:val="auto"/>
        </w:rPr>
      </w:pPr>
    </w:p>
    <w:p>
      <w:pPr>
        <w:ind w:left="331" w:hanging="331"/>
        <w:spacing w:after="0"/>
        <w:tabs>
          <w:tab w:leader="none" w:pos="331"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Place of employment</w:t>
      </w:r>
    </w:p>
    <w:p>
      <w:pPr>
        <w:spacing w:after="0" w:line="57" w:lineRule="exact"/>
        <w:rPr>
          <w:rFonts w:ascii="Arial" w:cs="Arial" w:eastAsia="Arial" w:hAnsi="Arial"/>
          <w:sz w:val="19"/>
          <w:szCs w:val="19"/>
          <w:b w:val="1"/>
          <w:bCs w:val="1"/>
          <w:color w:val="auto"/>
        </w:rPr>
      </w:pPr>
    </w:p>
    <w:p>
      <w:pPr>
        <w:ind w:left="311"/>
        <w:spacing w:after="0"/>
        <w:rPr>
          <w:rFonts w:ascii="Arial" w:cs="Arial" w:eastAsia="Arial" w:hAnsi="Arial"/>
          <w:sz w:val="19"/>
          <w:szCs w:val="19"/>
          <w:b w:val="1"/>
          <w:bCs w:val="1"/>
          <w:color w:val="auto"/>
        </w:rPr>
      </w:pPr>
      <w:r>
        <w:rPr>
          <w:rFonts w:ascii="Arial" w:cs="Arial" w:eastAsia="Arial" w:hAnsi="Arial"/>
          <w:sz w:val="19"/>
          <w:szCs w:val="19"/>
          <w:color w:val="auto"/>
        </w:rPr>
        <w:t>Your principal place of work shall be in Singapore and you will work out of your residence until further notice.</w:t>
      </w:r>
    </w:p>
    <w:p>
      <w:pPr>
        <w:spacing w:after="0" w:line="234" w:lineRule="exact"/>
        <w:rPr>
          <w:rFonts w:ascii="Arial" w:cs="Arial" w:eastAsia="Arial" w:hAnsi="Arial"/>
          <w:sz w:val="19"/>
          <w:szCs w:val="19"/>
          <w:b w:val="1"/>
          <w:bCs w:val="1"/>
          <w:color w:val="auto"/>
        </w:rPr>
      </w:pPr>
    </w:p>
    <w:p>
      <w:pPr>
        <w:ind w:left="331" w:hanging="331"/>
        <w:spacing w:after="0"/>
        <w:tabs>
          <w:tab w:leader="none" w:pos="331"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Remuneration and Allowance</w:t>
      </w:r>
    </w:p>
    <w:p>
      <w:pPr>
        <w:spacing w:after="0" w:line="39" w:lineRule="exact"/>
        <w:rPr>
          <w:rFonts w:ascii="Arial" w:cs="Arial" w:eastAsia="Arial" w:hAnsi="Arial"/>
          <w:sz w:val="19"/>
          <w:szCs w:val="19"/>
          <w:b w:val="1"/>
          <w:bCs w:val="1"/>
          <w:color w:val="auto"/>
        </w:rPr>
      </w:pPr>
    </w:p>
    <w:p>
      <w:pPr>
        <w:jc w:val="both"/>
        <w:ind w:left="311" w:hanging="1"/>
        <w:spacing w:after="0" w:line="287" w:lineRule="auto"/>
        <w:rPr>
          <w:rFonts w:ascii="Arial" w:cs="Arial" w:eastAsia="Arial" w:hAnsi="Arial"/>
          <w:sz w:val="19"/>
          <w:szCs w:val="19"/>
          <w:b w:val="1"/>
          <w:bCs w:val="1"/>
          <w:color w:val="auto"/>
        </w:rPr>
      </w:pPr>
      <w:r>
        <w:rPr>
          <w:rFonts w:ascii="Arial" w:cs="Arial" w:eastAsia="Arial" w:hAnsi="Arial"/>
          <w:sz w:val="19"/>
          <w:szCs w:val="19"/>
          <w:color w:val="auto"/>
        </w:rPr>
        <w:t xml:space="preserve">Your </w:t>
      </w:r>
      <w:r>
        <w:rPr>
          <w:rFonts w:ascii="Arial" w:cs="Arial" w:eastAsia="Arial" w:hAnsi="Arial"/>
          <w:sz w:val="19"/>
          <w:szCs w:val="19"/>
          <w:b w:val="1"/>
          <w:bCs w:val="1"/>
          <w:color w:val="auto"/>
        </w:rPr>
        <w:t>annual</w:t>
      </w:r>
      <w:r>
        <w:rPr>
          <w:rFonts w:ascii="Arial" w:cs="Arial" w:eastAsia="Arial" w:hAnsi="Arial"/>
          <w:sz w:val="19"/>
          <w:szCs w:val="19"/>
          <w:color w:val="auto"/>
        </w:rPr>
        <w:t xml:space="preserve"> basic salary shall be fixed at Singapore Dollars </w:t>
      </w:r>
      <w:r>
        <w:rPr>
          <w:rFonts w:ascii="Arial" w:cs="Arial" w:eastAsia="Arial" w:hAnsi="Arial"/>
          <w:sz w:val="19"/>
          <w:szCs w:val="19"/>
          <w:b w:val="1"/>
          <w:bCs w:val="1"/>
          <w:color w:val="auto"/>
        </w:rPr>
        <w:t>SGD 540,000</w:t>
      </w:r>
      <w:r>
        <w:rPr>
          <w:rFonts w:ascii="Arial" w:cs="Arial" w:eastAsia="Arial" w:hAnsi="Arial"/>
          <w:sz w:val="19"/>
          <w:szCs w:val="19"/>
          <w:color w:val="auto"/>
        </w:rPr>
        <w:t xml:space="preserve"> (which shall be deemed to accrue from day to day). The Company will bear the Employer related statutory payments, if any. You are expected to bear and cover the Employee related statutory payment and your own transport or car park.</w:t>
      </w:r>
    </w:p>
    <w:p>
      <w:pPr>
        <w:spacing w:after="0" w:line="227" w:lineRule="exact"/>
        <w:rPr>
          <w:rFonts w:ascii="Arial" w:cs="Arial" w:eastAsia="Arial" w:hAnsi="Arial"/>
          <w:sz w:val="19"/>
          <w:szCs w:val="19"/>
          <w:b w:val="1"/>
          <w:bCs w:val="1"/>
          <w:color w:val="auto"/>
        </w:rPr>
      </w:pPr>
    </w:p>
    <w:p>
      <w:pPr>
        <w:ind w:left="311"/>
        <w:spacing w:after="0" w:line="293" w:lineRule="auto"/>
        <w:rPr>
          <w:rFonts w:ascii="Arial" w:cs="Arial" w:eastAsia="Arial" w:hAnsi="Arial"/>
          <w:sz w:val="19"/>
          <w:szCs w:val="19"/>
          <w:b w:val="1"/>
          <w:bCs w:val="1"/>
          <w:color w:val="auto"/>
        </w:rPr>
      </w:pPr>
      <w:r>
        <w:rPr>
          <w:rFonts w:ascii="Arial" w:cs="Arial" w:eastAsia="Arial" w:hAnsi="Arial"/>
          <w:sz w:val="19"/>
          <w:szCs w:val="19"/>
          <w:color w:val="auto"/>
        </w:rPr>
        <w:t>The Monthly Salary shall be calculated from the first day to the last day of the month. If the Employee has worked for less than the full calendar month, the Monthly Salary shall be prorated based on the number of calendar days worked.</w:t>
      </w:r>
    </w:p>
    <w:p>
      <w:pPr>
        <w:spacing w:after="0" w:line="208" w:lineRule="exact"/>
        <w:rPr>
          <w:rFonts w:ascii="Arial" w:cs="Arial" w:eastAsia="Arial" w:hAnsi="Arial"/>
          <w:sz w:val="19"/>
          <w:szCs w:val="19"/>
          <w:b w:val="1"/>
          <w:bCs w:val="1"/>
          <w:color w:val="auto"/>
        </w:rPr>
      </w:pPr>
    </w:p>
    <w:p>
      <w:pPr>
        <w:ind w:left="311"/>
        <w:spacing w:after="0"/>
        <w:rPr>
          <w:rFonts w:ascii="Arial" w:cs="Arial" w:eastAsia="Arial" w:hAnsi="Arial"/>
          <w:sz w:val="19"/>
          <w:szCs w:val="19"/>
          <w:b w:val="1"/>
          <w:bCs w:val="1"/>
          <w:color w:val="auto"/>
        </w:rPr>
      </w:pPr>
      <w:r>
        <w:rPr>
          <w:rFonts w:ascii="Arial" w:cs="Arial" w:eastAsia="Arial" w:hAnsi="Arial"/>
          <w:sz w:val="19"/>
          <w:szCs w:val="19"/>
          <w:color w:val="auto"/>
        </w:rPr>
        <w:t>You will be eligible to enroll onto available Health Benefits Plan, for yourself, and if applicable, your spouse/dependents.</w:t>
      </w:r>
    </w:p>
    <w:p>
      <w:pPr>
        <w:spacing w:after="0" w:line="285" w:lineRule="exact"/>
        <w:rPr>
          <w:rFonts w:ascii="Arial" w:cs="Arial" w:eastAsia="Arial" w:hAnsi="Arial"/>
          <w:sz w:val="19"/>
          <w:szCs w:val="19"/>
          <w:b w:val="1"/>
          <w:bCs w:val="1"/>
          <w:color w:val="auto"/>
        </w:rPr>
      </w:pPr>
    </w:p>
    <w:p>
      <w:pPr>
        <w:jc w:val="both"/>
        <w:ind w:left="311"/>
        <w:spacing w:after="0" w:line="299" w:lineRule="auto"/>
        <w:rPr>
          <w:rFonts w:ascii="Arial" w:cs="Arial" w:eastAsia="Arial" w:hAnsi="Arial"/>
          <w:sz w:val="19"/>
          <w:szCs w:val="19"/>
          <w:b w:val="1"/>
          <w:bCs w:val="1"/>
          <w:color w:val="auto"/>
        </w:rPr>
      </w:pPr>
      <w:r>
        <w:rPr>
          <w:rFonts w:ascii="Arial" w:cs="Arial" w:eastAsia="Arial" w:hAnsi="Arial"/>
          <w:sz w:val="19"/>
          <w:szCs w:val="19"/>
          <w:color w:val="auto"/>
        </w:rPr>
        <w:t>All out-of-pocket expenses incurred during the normal course of work shall be reimbursed to you but you acknowledge, understand and agree that only out-of-pocket expenses duly supported by receipts, bills, vouchers, etc, will be reimbursed.</w:t>
      </w:r>
    </w:p>
    <w:p>
      <w:pPr>
        <w:spacing w:after="0" w:line="200" w:lineRule="exact"/>
        <w:rPr>
          <w:rFonts w:ascii="Arial" w:cs="Arial" w:eastAsia="Arial" w:hAnsi="Arial"/>
          <w:sz w:val="19"/>
          <w:szCs w:val="19"/>
          <w:b w:val="1"/>
          <w:bCs w:val="1"/>
          <w:color w:val="auto"/>
        </w:rPr>
      </w:pPr>
    </w:p>
    <w:p>
      <w:pPr>
        <w:spacing w:after="0" w:line="249" w:lineRule="exact"/>
        <w:rPr>
          <w:rFonts w:ascii="Arial" w:cs="Arial" w:eastAsia="Arial" w:hAnsi="Arial"/>
          <w:sz w:val="19"/>
          <w:szCs w:val="19"/>
          <w:b w:val="1"/>
          <w:bCs w:val="1"/>
          <w:color w:val="auto"/>
        </w:rPr>
      </w:pPr>
    </w:p>
    <w:p>
      <w:pPr>
        <w:jc w:val="both"/>
        <w:ind w:left="311"/>
        <w:spacing w:after="0" w:line="284" w:lineRule="auto"/>
        <w:rPr>
          <w:rFonts w:ascii="Arial" w:cs="Arial" w:eastAsia="Arial" w:hAnsi="Arial"/>
          <w:sz w:val="19"/>
          <w:szCs w:val="19"/>
          <w:b w:val="1"/>
          <w:bCs w:val="1"/>
          <w:color w:val="auto"/>
        </w:rPr>
      </w:pPr>
      <w:r>
        <w:rPr>
          <w:rFonts w:ascii="Arial" w:cs="Arial" w:eastAsia="Arial" w:hAnsi="Arial"/>
          <w:sz w:val="19"/>
          <w:szCs w:val="19"/>
          <w:color w:val="auto"/>
        </w:rPr>
        <w:t>All Benefits in Kind (BIK) allowances received by an Employee pursuant to this employment are taxable as per local regulation unless it is specifically mentioned to be exempted from tax by the local Taxation Law. The Employee shall be responsible for such taxes.</w:t>
      </w:r>
    </w:p>
    <w:p>
      <w:pPr>
        <w:spacing w:after="0" w:line="167" w:lineRule="exact"/>
        <w:rPr>
          <w:rFonts w:ascii="Arial" w:cs="Arial" w:eastAsia="Arial" w:hAnsi="Arial"/>
          <w:sz w:val="19"/>
          <w:szCs w:val="19"/>
          <w:b w:val="1"/>
          <w:bCs w:val="1"/>
          <w:color w:val="auto"/>
        </w:rPr>
      </w:pPr>
    </w:p>
    <w:p>
      <w:pPr>
        <w:ind w:left="331" w:hanging="331"/>
        <w:spacing w:after="0"/>
        <w:tabs>
          <w:tab w:leader="none" w:pos="331"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Probation</w:t>
      </w:r>
    </w:p>
    <w:p>
      <w:pPr>
        <w:spacing w:after="0" w:line="30" w:lineRule="exact"/>
        <w:rPr>
          <w:rFonts w:ascii="Arial" w:cs="Arial" w:eastAsia="Arial" w:hAnsi="Arial"/>
          <w:sz w:val="19"/>
          <w:szCs w:val="19"/>
          <w:b w:val="1"/>
          <w:bCs w:val="1"/>
          <w:color w:val="auto"/>
        </w:rPr>
      </w:pPr>
    </w:p>
    <w:p>
      <w:pPr>
        <w:ind w:left="311"/>
        <w:spacing w:after="0"/>
        <w:rPr>
          <w:rFonts w:ascii="Arial" w:cs="Arial" w:eastAsia="Arial" w:hAnsi="Arial"/>
          <w:sz w:val="19"/>
          <w:szCs w:val="19"/>
          <w:b w:val="1"/>
          <w:bCs w:val="1"/>
          <w:color w:val="auto"/>
        </w:rPr>
      </w:pPr>
      <w:r>
        <w:rPr>
          <w:rFonts w:ascii="Arial" w:cs="Arial" w:eastAsia="Arial" w:hAnsi="Arial"/>
          <w:sz w:val="19"/>
          <w:szCs w:val="19"/>
          <w:color w:val="auto"/>
        </w:rPr>
        <w:t>There is no probation period arrangement in this employment agreement.</w:t>
      </w:r>
    </w:p>
    <w:p>
      <w:pPr>
        <w:spacing w:after="0" w:line="181" w:lineRule="exact"/>
        <w:rPr>
          <w:rFonts w:ascii="Arial" w:cs="Arial" w:eastAsia="Arial" w:hAnsi="Arial"/>
          <w:sz w:val="19"/>
          <w:szCs w:val="19"/>
          <w:b w:val="1"/>
          <w:bCs w:val="1"/>
          <w:color w:val="auto"/>
        </w:rPr>
      </w:pPr>
    </w:p>
    <w:p>
      <w:pPr>
        <w:ind w:left="331" w:hanging="331"/>
        <w:spacing w:after="0"/>
        <w:tabs>
          <w:tab w:leader="none" w:pos="331"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Bonus</w:t>
      </w:r>
    </w:p>
    <w:p>
      <w:pPr>
        <w:spacing w:after="0" w:line="57" w:lineRule="exact"/>
        <w:rPr>
          <w:rFonts w:ascii="Arial" w:cs="Arial" w:eastAsia="Arial" w:hAnsi="Arial"/>
          <w:sz w:val="19"/>
          <w:szCs w:val="19"/>
          <w:b w:val="1"/>
          <w:bCs w:val="1"/>
          <w:color w:val="auto"/>
        </w:rPr>
      </w:pPr>
    </w:p>
    <w:p>
      <w:pPr>
        <w:jc w:val="both"/>
        <w:ind w:left="311"/>
        <w:spacing w:after="0" w:line="278" w:lineRule="auto"/>
        <w:rPr>
          <w:rFonts w:ascii="Arial" w:cs="Arial" w:eastAsia="Arial" w:hAnsi="Arial"/>
          <w:sz w:val="19"/>
          <w:szCs w:val="19"/>
          <w:b w:val="1"/>
          <w:bCs w:val="1"/>
          <w:color w:val="auto"/>
        </w:rPr>
      </w:pPr>
      <w:r>
        <w:rPr>
          <w:rFonts w:ascii="Arial" w:cs="Arial" w:eastAsia="Arial" w:hAnsi="Arial"/>
          <w:sz w:val="19"/>
          <w:szCs w:val="19"/>
          <w:color w:val="auto"/>
        </w:rPr>
        <w:t>For each fiscal year of the Company during your employment with the Company (commencing with 2021), you will be eligible to participate in, and earn a cash performance bonus (“</w:t>
      </w:r>
      <w:r>
        <w:rPr>
          <w:rFonts w:ascii="Arial" w:cs="Arial" w:eastAsia="Arial" w:hAnsi="Arial"/>
          <w:sz w:val="19"/>
          <w:szCs w:val="19"/>
          <w:b w:val="1"/>
          <w:bCs w:val="1"/>
          <w:color w:val="auto"/>
        </w:rPr>
        <w:t>Annual Bonus</w:t>
      </w:r>
      <w:r>
        <w:rPr>
          <w:rFonts w:ascii="Arial" w:cs="Arial" w:eastAsia="Arial" w:hAnsi="Arial"/>
          <w:sz w:val="19"/>
          <w:szCs w:val="19"/>
          <w:color w:val="auto"/>
        </w:rPr>
        <w:t>”) under the HydraFacial Company Incentive Plan (the “</w:t>
      </w:r>
      <w:r>
        <w:rPr>
          <w:rFonts w:ascii="Arial" w:cs="Arial" w:eastAsia="Arial" w:hAnsi="Arial"/>
          <w:sz w:val="19"/>
          <w:szCs w:val="19"/>
          <w:b w:val="1"/>
          <w:bCs w:val="1"/>
          <w:color w:val="auto"/>
        </w:rPr>
        <w:t>Bonus Plan</w:t>
      </w:r>
      <w:r>
        <w:rPr>
          <w:rFonts w:ascii="Arial" w:cs="Arial" w:eastAsia="Arial" w:hAnsi="Arial"/>
          <w:sz w:val="19"/>
          <w:szCs w:val="19"/>
          <w:color w:val="auto"/>
        </w:rPr>
        <w:t>” – Annex 2). The target Annual Bonus will be up to 60% of your Basic Salary. The actual amount of any Annual Bonus will be determined based on the satisfaction of Client (measured by individual and/or other performance metrics established by the Board of Directors of the Parent Company or the Compensation Committee of the HydraFacial Company) and communicated to you by March 31 of the respective fiscal year. The Bonus Plan may be amended or changed by the Client from time to time. Any Annual Bonus that becomes payable will be paid at such time(s) as annual bonuses are generally paid to senior leaders of the Client, subject to your continued</w:t>
      </w:r>
    </w:p>
    <w:p>
      <w:pPr>
        <w:sectPr>
          <w:pgSz w:w="11900" w:h="16838" w:orient="portrait"/>
          <w:cols w:equalWidth="0" w:num="1">
            <w:col w:w="10711"/>
          </w:cols>
          <w:pgMar w:left="749" w:top="1440" w:right="439" w:bottom="1440" w:gutter="0" w:footer="0" w:header="0"/>
        </w:sectPr>
      </w:pPr>
    </w:p>
    <w:bookmarkStart w:id="161" w:name="page162"/>
    <w:bookmarkEnd w:id="161"/>
    <w:p>
      <w:pPr>
        <w:spacing w:after="0" w:line="88" w:lineRule="exact"/>
        <w:rPr>
          <w:sz w:val="20"/>
          <w:szCs w:val="20"/>
          <w:color w:val="auto"/>
        </w:rPr>
      </w:pPr>
    </w:p>
    <w:p>
      <w:pPr>
        <w:ind w:left="312"/>
        <w:spacing w:after="0" w:line="293" w:lineRule="auto"/>
        <w:rPr>
          <w:sz w:val="20"/>
          <w:szCs w:val="20"/>
          <w:color w:val="auto"/>
        </w:rPr>
      </w:pPr>
      <w:r>
        <w:rPr>
          <w:rFonts w:ascii="Arial" w:cs="Arial" w:eastAsia="Arial" w:hAnsi="Arial"/>
          <w:sz w:val="19"/>
          <w:szCs w:val="19"/>
          <w:color w:val="auto"/>
        </w:rPr>
        <w:t>employment with the Company through the applicable payment date. The Bonus Plan year runs from January through December, and any 2021 Bonus will be pro-rated based upon your start date.</w:t>
      </w:r>
    </w:p>
    <w:p>
      <w:pPr>
        <w:spacing w:after="0" w:line="162" w:lineRule="exact"/>
        <w:rPr>
          <w:sz w:val="20"/>
          <w:szCs w:val="20"/>
          <w:color w:val="auto"/>
        </w:rPr>
      </w:pPr>
    </w:p>
    <w:p>
      <w:pPr>
        <w:ind w:left="312" w:hanging="312"/>
        <w:spacing w:after="0"/>
        <w:tabs>
          <w:tab w:leader="none" w:pos="312"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Public Holiday and Annual Leave</w:t>
      </w:r>
    </w:p>
    <w:p>
      <w:pPr>
        <w:ind w:left="952" w:hanging="634"/>
        <w:spacing w:after="0" w:line="203" w:lineRule="auto"/>
        <w:tabs>
          <w:tab w:leader="none" w:pos="952" w:val="left"/>
        </w:tabs>
        <w:numPr>
          <w:ilvl w:val="1"/>
          <w:numId w:val="76"/>
        </w:numPr>
        <w:rPr>
          <w:rFonts w:ascii="Arial" w:cs="Arial" w:eastAsia="Arial" w:hAnsi="Arial"/>
          <w:sz w:val="19"/>
          <w:szCs w:val="19"/>
          <w:color w:val="auto"/>
        </w:rPr>
      </w:pPr>
      <w:r>
        <w:rPr>
          <w:rFonts w:ascii="Arial" w:cs="Arial" w:eastAsia="Arial" w:hAnsi="Arial"/>
          <w:sz w:val="19"/>
          <w:szCs w:val="19"/>
          <w:color w:val="auto"/>
        </w:rPr>
        <w:t>You are entitled to Singapore Public Holidays in accordance with the Employment Act.</w:t>
      </w:r>
    </w:p>
    <w:p>
      <w:pPr>
        <w:ind w:left="952" w:right="20" w:hanging="634"/>
        <w:spacing w:after="0" w:line="230" w:lineRule="auto"/>
        <w:tabs>
          <w:tab w:leader="none" w:pos="945" w:val="left"/>
        </w:tabs>
        <w:numPr>
          <w:ilvl w:val="1"/>
          <w:numId w:val="76"/>
        </w:numPr>
        <w:rPr>
          <w:rFonts w:ascii="Arial" w:cs="Arial" w:eastAsia="Arial" w:hAnsi="Arial"/>
          <w:sz w:val="19"/>
          <w:szCs w:val="19"/>
          <w:color w:val="auto"/>
        </w:rPr>
      </w:pPr>
      <w:r>
        <w:rPr>
          <w:rFonts w:ascii="Arial" w:cs="Arial" w:eastAsia="Arial" w:hAnsi="Arial"/>
          <w:sz w:val="19"/>
          <w:szCs w:val="19"/>
          <w:color w:val="auto"/>
        </w:rPr>
        <w:t>You are entitled to the minimum annual leave to be calculated proportionately from the date of commencement as below;</w:t>
      </w:r>
    </w:p>
    <w:p>
      <w:pPr>
        <w:spacing w:after="0" w:line="214" w:lineRule="exact"/>
        <w:rPr>
          <w:sz w:val="20"/>
          <w:szCs w:val="20"/>
          <w:color w:val="auto"/>
        </w:rPr>
      </w:pPr>
    </w:p>
    <w:tbl>
      <w:tblPr>
        <w:tblLayout w:type="fixed"/>
        <w:tblInd w:w="1062" w:type="dxa"/>
        <w:tblCellMar>
          <w:top w:w="0" w:type="dxa"/>
          <w:left w:w="0" w:type="dxa"/>
          <w:bottom w:w="0" w:type="dxa"/>
          <w:right w:w="0" w:type="dxa"/>
        </w:tblCellMar>
      </w:tblPr>
      <w:tr>
        <w:trPr>
          <w:trHeight w:val="297"/>
        </w:trPr>
        <w:tc>
          <w:tcPr>
            <w:tcW w:w="2660" w:type="dxa"/>
            <w:vAlign w:val="bottom"/>
            <w:tcBorders>
              <w:top w:val="single" w:sz="8" w:color="auto"/>
              <w:left w:val="single" w:sz="8" w:color="auto"/>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9"/>
                <w:szCs w:val="19"/>
                <w:b w:val="1"/>
                <w:bCs w:val="1"/>
                <w:color w:val="auto"/>
              </w:rPr>
              <w:t>Year of service</w:t>
            </w:r>
          </w:p>
        </w:tc>
        <w:tc>
          <w:tcPr>
            <w:tcW w:w="4000" w:type="dxa"/>
            <w:vAlign w:val="bottom"/>
            <w:tcBorders>
              <w:top w:val="single" w:sz="8" w:color="auto"/>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9"/>
                <w:szCs w:val="19"/>
                <w:b w:val="1"/>
                <w:bCs w:val="1"/>
                <w:color w:val="auto"/>
              </w:rPr>
              <w:t>Days of leave</w:t>
            </w:r>
          </w:p>
        </w:tc>
      </w:tr>
      <w:tr>
        <w:trPr>
          <w:trHeight w:val="250"/>
        </w:trPr>
        <w:tc>
          <w:tcPr>
            <w:tcW w:w="2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1st</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10</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2nd</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10</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3rd</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10</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4th</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10</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5th</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11</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6th</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12</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7th</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13</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8th and thereafter</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14</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left="952" w:hanging="634"/>
        <w:spacing w:after="0" w:line="214" w:lineRule="auto"/>
        <w:tabs>
          <w:tab w:leader="none" w:pos="949" w:val="left"/>
        </w:tabs>
        <w:numPr>
          <w:ilvl w:val="1"/>
          <w:numId w:val="77"/>
        </w:numPr>
        <w:rPr>
          <w:rFonts w:ascii="Arial" w:cs="Arial" w:eastAsia="Arial" w:hAnsi="Arial"/>
          <w:sz w:val="19"/>
          <w:szCs w:val="19"/>
          <w:color w:val="auto"/>
        </w:rPr>
      </w:pPr>
      <w:r>
        <w:rPr>
          <w:rFonts w:ascii="Arial" w:cs="Arial" w:eastAsia="Arial" w:hAnsi="Arial"/>
          <w:sz w:val="19"/>
          <w:szCs w:val="19"/>
          <w:color w:val="auto"/>
        </w:rPr>
        <w:t>You are permitted to carry forward your accrued and unused annual leave entitlement into the next annual leave year. Such carried over accrued and unused annual leave entitlement must be used by 31 March of the next annual leave year, or such accrued and unused annual leave entitlement shall be forfeited. You shall not be entitled to receive payment in lieu of such accrued and unused annual leave (other than the year in which the employment terminates).</w:t>
      </w:r>
    </w:p>
    <w:p>
      <w:pPr>
        <w:spacing w:after="0" w:line="191" w:lineRule="exact"/>
        <w:rPr>
          <w:rFonts w:ascii="Arial" w:cs="Arial" w:eastAsia="Arial" w:hAnsi="Arial"/>
          <w:sz w:val="19"/>
          <w:szCs w:val="19"/>
          <w:color w:val="auto"/>
        </w:rPr>
      </w:pPr>
    </w:p>
    <w:p>
      <w:pPr>
        <w:jc w:val="both"/>
        <w:ind w:left="952" w:hanging="633"/>
        <w:spacing w:after="0" w:line="221" w:lineRule="auto"/>
        <w:tabs>
          <w:tab w:leader="none" w:pos="945" w:val="left"/>
        </w:tabs>
        <w:numPr>
          <w:ilvl w:val="1"/>
          <w:numId w:val="77"/>
        </w:numPr>
        <w:rPr>
          <w:rFonts w:ascii="Arial" w:cs="Arial" w:eastAsia="Arial" w:hAnsi="Arial"/>
          <w:sz w:val="19"/>
          <w:szCs w:val="19"/>
          <w:color w:val="auto"/>
        </w:rPr>
      </w:pPr>
      <w:r>
        <w:rPr>
          <w:rFonts w:ascii="Arial" w:cs="Arial" w:eastAsia="Arial" w:hAnsi="Arial"/>
          <w:sz w:val="19"/>
          <w:szCs w:val="19"/>
          <w:color w:val="auto"/>
        </w:rPr>
        <w:t>If you leave the Company’s employment with accrued but unused annual leave for the annual leave year in which your employment terminates, you will, in addition to any other sums to which you may be entitled, be paid a sum for such accrued and unused annual leave, in accordance with applicable laws and regulations.</w:t>
      </w:r>
    </w:p>
    <w:p>
      <w:pPr>
        <w:spacing w:after="0" w:line="204" w:lineRule="exact"/>
        <w:rPr>
          <w:rFonts w:ascii="Arial" w:cs="Arial" w:eastAsia="Arial" w:hAnsi="Arial"/>
          <w:sz w:val="19"/>
          <w:szCs w:val="19"/>
          <w:color w:val="auto"/>
        </w:rPr>
      </w:pPr>
    </w:p>
    <w:p>
      <w:pPr>
        <w:ind w:left="952" w:hanging="633"/>
        <w:spacing w:after="0"/>
        <w:tabs>
          <w:tab w:leader="none" w:pos="952" w:val="left"/>
        </w:tabs>
        <w:numPr>
          <w:ilvl w:val="1"/>
          <w:numId w:val="77"/>
        </w:numPr>
        <w:rPr>
          <w:rFonts w:ascii="Arial" w:cs="Arial" w:eastAsia="Arial" w:hAnsi="Arial"/>
          <w:sz w:val="19"/>
          <w:szCs w:val="19"/>
          <w:color w:val="auto"/>
        </w:rPr>
      </w:pPr>
      <w:r>
        <w:rPr>
          <w:rFonts w:ascii="Arial" w:cs="Arial" w:eastAsia="Arial" w:hAnsi="Arial"/>
          <w:sz w:val="19"/>
          <w:szCs w:val="19"/>
          <w:color w:val="auto"/>
        </w:rPr>
        <w:t>Leave applications should be submitted seven (7) days prior to commencement date of leave.</w:t>
      </w:r>
    </w:p>
    <w:p>
      <w:pPr>
        <w:spacing w:after="0" w:line="205" w:lineRule="exact"/>
        <w:rPr>
          <w:rFonts w:ascii="Arial" w:cs="Arial" w:eastAsia="Arial" w:hAnsi="Arial"/>
          <w:sz w:val="19"/>
          <w:szCs w:val="19"/>
          <w:color w:val="auto"/>
        </w:rPr>
      </w:pPr>
    </w:p>
    <w:p>
      <w:pPr>
        <w:jc w:val="both"/>
        <w:ind w:left="952" w:hanging="633"/>
        <w:spacing w:after="0" w:line="221" w:lineRule="auto"/>
        <w:tabs>
          <w:tab w:leader="none" w:pos="9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In conjunction with the entitlement for annual leave, you will be entitled to Permissive Paid Time Off plan which allows you to take leave when you require it, subject to approval by the Company or your superior. Details of Permissive Paid Time Off will be communicated with you separately, by the Client.</w:t>
      </w:r>
    </w:p>
    <w:p>
      <w:pPr>
        <w:spacing w:after="0" w:line="204" w:lineRule="exact"/>
        <w:rPr>
          <w:rFonts w:ascii="Arial" w:cs="Arial" w:eastAsia="Arial" w:hAnsi="Arial"/>
          <w:sz w:val="19"/>
          <w:szCs w:val="19"/>
          <w:color w:val="auto"/>
        </w:rPr>
      </w:pPr>
    </w:p>
    <w:p>
      <w:pPr>
        <w:ind w:left="972" w:hanging="653"/>
        <w:spacing w:after="0"/>
        <w:tabs>
          <w:tab w:leader="none" w:pos="972" w:val="left"/>
        </w:tabs>
        <w:numPr>
          <w:ilvl w:val="1"/>
          <w:numId w:val="77"/>
        </w:numPr>
        <w:rPr>
          <w:rFonts w:ascii="Arial" w:cs="Arial" w:eastAsia="Arial" w:hAnsi="Arial"/>
          <w:sz w:val="19"/>
          <w:szCs w:val="19"/>
          <w:color w:val="auto"/>
        </w:rPr>
      </w:pPr>
      <w:r>
        <w:rPr>
          <w:rFonts w:ascii="Arial" w:cs="Arial" w:eastAsia="Arial" w:hAnsi="Arial"/>
          <w:sz w:val="19"/>
          <w:szCs w:val="19"/>
          <w:color w:val="auto"/>
        </w:rPr>
        <w:t>You shall notify the length and timing of annual paid leave in writing to superior well in advance.</w:t>
      </w:r>
    </w:p>
    <w:p>
      <w:pPr>
        <w:spacing w:after="0" w:line="218" w:lineRule="exact"/>
        <w:rPr>
          <w:rFonts w:ascii="Arial" w:cs="Arial" w:eastAsia="Arial" w:hAnsi="Arial"/>
          <w:sz w:val="19"/>
          <w:szCs w:val="19"/>
          <w:color w:val="auto"/>
        </w:rPr>
      </w:pPr>
    </w:p>
    <w:p>
      <w:pPr>
        <w:ind w:left="952" w:hanging="633"/>
        <w:spacing w:after="0" w:line="230" w:lineRule="auto"/>
        <w:tabs>
          <w:tab w:leader="none" w:pos="953"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Company or the superior may require you to change the timing of which you notify the superior due to reasonable business reasons.</w:t>
      </w:r>
    </w:p>
    <w:p>
      <w:pPr>
        <w:spacing w:after="0" w:line="179" w:lineRule="exact"/>
        <w:rPr>
          <w:rFonts w:ascii="Arial" w:cs="Arial" w:eastAsia="Arial" w:hAnsi="Arial"/>
          <w:sz w:val="19"/>
          <w:szCs w:val="19"/>
          <w:color w:val="auto"/>
        </w:rPr>
      </w:pPr>
    </w:p>
    <w:p>
      <w:pPr>
        <w:ind w:left="332" w:hanging="331"/>
        <w:spacing w:after="0"/>
        <w:tabs>
          <w:tab w:leader="none" w:pos="332"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Maternity or Paternity Leave</w:t>
      </w:r>
    </w:p>
    <w:p>
      <w:pPr>
        <w:spacing w:after="0" w:line="57" w:lineRule="exact"/>
        <w:rPr>
          <w:rFonts w:ascii="Arial" w:cs="Arial" w:eastAsia="Arial" w:hAnsi="Arial"/>
          <w:sz w:val="19"/>
          <w:szCs w:val="19"/>
          <w:b w:val="1"/>
          <w:bCs w:val="1"/>
          <w:color w:val="auto"/>
        </w:rPr>
      </w:pPr>
    </w:p>
    <w:p>
      <w:pPr>
        <w:ind w:left="952" w:right="20" w:hanging="633"/>
        <w:spacing w:after="0" w:line="293" w:lineRule="auto"/>
        <w:tabs>
          <w:tab w:leader="none" w:pos="955" w:val="left"/>
        </w:tabs>
        <w:numPr>
          <w:ilvl w:val="1"/>
          <w:numId w:val="78"/>
        </w:numPr>
        <w:rPr>
          <w:rFonts w:ascii="Arial" w:cs="Arial" w:eastAsia="Arial" w:hAnsi="Arial"/>
          <w:sz w:val="19"/>
          <w:szCs w:val="19"/>
          <w:color w:val="auto"/>
        </w:rPr>
      </w:pPr>
      <w:r>
        <w:rPr>
          <w:rFonts w:ascii="Arial" w:cs="Arial" w:eastAsia="Arial" w:hAnsi="Arial"/>
          <w:sz w:val="19"/>
          <w:szCs w:val="19"/>
          <w:color w:val="auto"/>
        </w:rPr>
        <w:t>On the occasion of each birth of a child from your first legal marriage, you shall be entitled to sixteen (16) weeks of paid maternity leave or two (2) weeks of paid</w:t>
      </w:r>
    </w:p>
    <w:p>
      <w:pPr>
        <w:sectPr>
          <w:pgSz w:w="11900" w:h="16838" w:orient="portrait"/>
          <w:cols w:equalWidth="0" w:num="1">
            <w:col w:w="10712"/>
          </w:cols>
          <w:pgMar w:left="748" w:top="1440" w:right="439" w:bottom="1440" w:gutter="0" w:footer="0" w:header="0"/>
        </w:sectPr>
      </w:pPr>
    </w:p>
    <w:bookmarkStart w:id="162" w:name="page163"/>
    <w:bookmarkEnd w:id="162"/>
    <w:p>
      <w:pPr>
        <w:spacing w:after="0" w:line="88" w:lineRule="exact"/>
        <w:rPr>
          <w:sz w:val="20"/>
          <w:szCs w:val="20"/>
          <w:color w:val="auto"/>
        </w:rPr>
      </w:pPr>
    </w:p>
    <w:p>
      <w:pPr>
        <w:ind w:left="951"/>
        <w:spacing w:after="0"/>
        <w:rPr>
          <w:sz w:val="20"/>
          <w:szCs w:val="20"/>
          <w:color w:val="auto"/>
        </w:rPr>
      </w:pPr>
      <w:r>
        <w:rPr>
          <w:rFonts w:ascii="Arial" w:cs="Arial" w:eastAsia="Arial" w:hAnsi="Arial"/>
          <w:sz w:val="19"/>
          <w:szCs w:val="19"/>
          <w:color w:val="auto"/>
        </w:rPr>
        <w:t>paternity leave, provided criteria as prescribed by the Ministry of Manpower have been met.</w:t>
      </w:r>
    </w:p>
    <w:p>
      <w:pPr>
        <w:spacing w:after="0" w:line="47" w:lineRule="exact"/>
        <w:rPr>
          <w:sz w:val="20"/>
          <w:szCs w:val="20"/>
          <w:color w:val="auto"/>
        </w:rPr>
      </w:pPr>
    </w:p>
    <w:p>
      <w:pPr>
        <w:ind w:left="951" w:right="20" w:hanging="634"/>
        <w:spacing w:after="0" w:line="293" w:lineRule="auto"/>
        <w:tabs>
          <w:tab w:leader="none" w:pos="944" w:val="left"/>
        </w:tabs>
        <w:numPr>
          <w:ilvl w:val="1"/>
          <w:numId w:val="79"/>
        </w:numPr>
        <w:rPr>
          <w:rFonts w:ascii="Arial" w:cs="Arial" w:eastAsia="Arial" w:hAnsi="Arial"/>
          <w:sz w:val="19"/>
          <w:szCs w:val="19"/>
          <w:color w:val="auto"/>
        </w:rPr>
      </w:pPr>
      <w:r>
        <w:rPr>
          <w:rFonts w:ascii="Arial" w:cs="Arial" w:eastAsia="Arial" w:hAnsi="Arial"/>
          <w:sz w:val="19"/>
          <w:szCs w:val="19"/>
          <w:color w:val="auto"/>
        </w:rPr>
        <w:t>You shall be required to produce documentary evidence to the satisfaction of the Group in support of the above to qualify for the benefit upon his return to work.</w:t>
      </w:r>
    </w:p>
    <w:p>
      <w:pPr>
        <w:spacing w:after="0" w:line="158" w:lineRule="exact"/>
        <w:rPr>
          <w:rFonts w:ascii="Arial" w:cs="Arial" w:eastAsia="Arial" w:hAnsi="Arial"/>
          <w:sz w:val="19"/>
          <w:szCs w:val="19"/>
          <w:color w:val="auto"/>
        </w:rPr>
      </w:pPr>
    </w:p>
    <w:p>
      <w:pPr>
        <w:ind w:left="331" w:hanging="331"/>
        <w:spacing w:after="0"/>
        <w:tabs>
          <w:tab w:leader="none" w:pos="331"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Childcare leave</w:t>
      </w:r>
    </w:p>
    <w:p>
      <w:pPr>
        <w:spacing w:after="0" w:line="57" w:lineRule="exact"/>
        <w:rPr>
          <w:rFonts w:ascii="Arial" w:cs="Arial" w:eastAsia="Arial" w:hAnsi="Arial"/>
          <w:sz w:val="19"/>
          <w:szCs w:val="19"/>
          <w:b w:val="1"/>
          <w:bCs w:val="1"/>
          <w:color w:val="auto"/>
        </w:rPr>
      </w:pPr>
    </w:p>
    <w:p>
      <w:pPr>
        <w:ind w:left="951" w:right="1000" w:hanging="633"/>
        <w:spacing w:after="0" w:line="261" w:lineRule="auto"/>
        <w:tabs>
          <w:tab w:leader="none" w:pos="954" w:val="left"/>
        </w:tabs>
        <w:numPr>
          <w:ilvl w:val="1"/>
          <w:numId w:val="80"/>
        </w:numPr>
        <w:rPr>
          <w:rFonts w:ascii="Arial" w:cs="Arial" w:eastAsia="Arial" w:hAnsi="Arial"/>
          <w:sz w:val="19"/>
          <w:szCs w:val="19"/>
          <w:color w:val="auto"/>
        </w:rPr>
      </w:pPr>
      <w:r>
        <w:rPr>
          <w:rFonts w:ascii="Arial" w:cs="Arial" w:eastAsia="Arial" w:hAnsi="Arial"/>
          <w:sz w:val="19"/>
          <w:szCs w:val="19"/>
          <w:color w:val="auto"/>
        </w:rPr>
        <w:t>You shall be entitled childcare leave until the you’re your child turns 7 years old in accordance with the Employment Act:</w:t>
      </w:r>
    </w:p>
    <w:p>
      <w:pPr>
        <w:spacing w:after="0" w:line="1" w:lineRule="exact"/>
        <w:rPr>
          <w:rFonts w:ascii="Arial" w:cs="Arial" w:eastAsia="Arial" w:hAnsi="Arial"/>
          <w:sz w:val="19"/>
          <w:szCs w:val="19"/>
          <w:color w:val="auto"/>
        </w:rPr>
      </w:pPr>
    </w:p>
    <w:p>
      <w:pPr>
        <w:ind w:left="1291" w:hanging="337"/>
        <w:spacing w:after="0"/>
        <w:tabs>
          <w:tab w:leader="none" w:pos="1291" w:val="left"/>
        </w:tabs>
        <w:numPr>
          <w:ilvl w:val="3"/>
          <w:numId w:val="80"/>
        </w:numPr>
        <w:rPr>
          <w:rFonts w:ascii="Arial" w:cs="Arial" w:eastAsia="Arial" w:hAnsi="Arial"/>
          <w:sz w:val="19"/>
          <w:szCs w:val="19"/>
          <w:color w:val="auto"/>
        </w:rPr>
      </w:pPr>
      <w:r>
        <w:rPr>
          <w:rFonts w:ascii="Arial" w:cs="Arial" w:eastAsia="Arial" w:hAnsi="Arial"/>
          <w:sz w:val="19"/>
          <w:szCs w:val="19"/>
          <w:color w:val="auto"/>
        </w:rPr>
        <w:t>Up to 6 days per year for Singapore citizen children</w:t>
      </w:r>
    </w:p>
    <w:p>
      <w:pPr>
        <w:spacing w:after="0" w:line="6" w:lineRule="exact"/>
        <w:rPr>
          <w:rFonts w:ascii="Arial" w:cs="Arial" w:eastAsia="Arial" w:hAnsi="Arial"/>
          <w:sz w:val="19"/>
          <w:szCs w:val="19"/>
          <w:color w:val="auto"/>
        </w:rPr>
      </w:pPr>
    </w:p>
    <w:p>
      <w:pPr>
        <w:ind w:left="1271" w:hanging="317"/>
        <w:spacing w:after="0" w:line="232" w:lineRule="auto"/>
        <w:tabs>
          <w:tab w:leader="none" w:pos="1271" w:val="left"/>
        </w:tabs>
        <w:numPr>
          <w:ilvl w:val="3"/>
          <w:numId w:val="80"/>
        </w:numPr>
        <w:rPr>
          <w:rFonts w:ascii="Arial" w:cs="Arial" w:eastAsia="Arial" w:hAnsi="Arial"/>
          <w:sz w:val="19"/>
          <w:szCs w:val="19"/>
          <w:color w:val="auto"/>
        </w:rPr>
      </w:pPr>
      <w:r>
        <w:rPr>
          <w:rFonts w:ascii="Arial" w:cs="Arial" w:eastAsia="Arial" w:hAnsi="Arial"/>
          <w:sz w:val="19"/>
          <w:szCs w:val="19"/>
          <w:color w:val="auto"/>
        </w:rPr>
        <w:t>Up to 2 days per year for non-Singapore citizen children</w:t>
      </w:r>
    </w:p>
    <w:p>
      <w:pPr>
        <w:ind w:left="951" w:hanging="633"/>
        <w:spacing w:after="0"/>
        <w:tabs>
          <w:tab w:leader="none" w:pos="951"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current year entitlement of childcare leave could not carry forward to next year.</w:t>
      </w:r>
    </w:p>
    <w:p>
      <w:pPr>
        <w:spacing w:after="0" w:line="194" w:lineRule="exact"/>
        <w:rPr>
          <w:rFonts w:ascii="Arial" w:cs="Arial" w:eastAsia="Arial" w:hAnsi="Arial"/>
          <w:sz w:val="19"/>
          <w:szCs w:val="19"/>
          <w:color w:val="auto"/>
        </w:rPr>
      </w:pPr>
    </w:p>
    <w:p>
      <w:pPr>
        <w:ind w:left="331" w:hanging="331"/>
        <w:spacing w:after="0"/>
        <w:tabs>
          <w:tab w:leader="none" w:pos="331"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Sick Leave, Hospitalisation Leave and Medical reimbursement</w:t>
      </w:r>
    </w:p>
    <w:p>
      <w:pPr>
        <w:spacing w:after="0" w:line="44" w:lineRule="exact"/>
        <w:rPr>
          <w:rFonts w:ascii="Arial" w:cs="Arial" w:eastAsia="Arial" w:hAnsi="Arial"/>
          <w:sz w:val="19"/>
          <w:szCs w:val="19"/>
          <w:b w:val="1"/>
          <w:bCs w:val="1"/>
          <w:color w:val="auto"/>
        </w:rPr>
      </w:pPr>
    </w:p>
    <w:p>
      <w:pPr>
        <w:ind w:left="951" w:right="460" w:hanging="633"/>
        <w:spacing w:after="0" w:line="293" w:lineRule="auto"/>
        <w:tabs>
          <w:tab w:leader="none" w:pos="954" w:val="left"/>
        </w:tabs>
        <w:numPr>
          <w:ilvl w:val="1"/>
          <w:numId w:val="80"/>
        </w:numPr>
        <w:rPr>
          <w:rFonts w:ascii="Arial" w:cs="Arial" w:eastAsia="Arial" w:hAnsi="Arial"/>
          <w:sz w:val="19"/>
          <w:szCs w:val="19"/>
          <w:color w:val="auto"/>
        </w:rPr>
      </w:pPr>
      <w:r>
        <w:rPr>
          <w:rFonts w:ascii="Arial" w:cs="Arial" w:eastAsia="Arial" w:hAnsi="Arial"/>
          <w:sz w:val="19"/>
          <w:szCs w:val="19"/>
          <w:color w:val="auto"/>
        </w:rPr>
        <w:t>You shall be entitled outpatient sick leave, hospitalisation leave and medical reimbursement according to the provisions of Employment Act;</w:t>
      </w:r>
    </w:p>
    <w:p>
      <w:pPr>
        <w:spacing w:after="0" w:line="171" w:lineRule="exact"/>
        <w:rPr>
          <w:rFonts w:ascii="Arial" w:cs="Arial" w:eastAsia="Arial" w:hAnsi="Arial"/>
          <w:sz w:val="19"/>
          <w:szCs w:val="19"/>
          <w:color w:val="auto"/>
        </w:rPr>
      </w:pPr>
    </w:p>
    <w:p>
      <w:pPr>
        <w:ind w:left="331" w:hanging="331"/>
        <w:spacing w:after="0"/>
        <w:tabs>
          <w:tab w:leader="none" w:pos="331"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Statutory Benefits</w:t>
      </w:r>
    </w:p>
    <w:p>
      <w:pPr>
        <w:spacing w:after="0" w:line="57" w:lineRule="exact"/>
        <w:rPr>
          <w:rFonts w:ascii="Arial" w:cs="Arial" w:eastAsia="Arial" w:hAnsi="Arial"/>
          <w:sz w:val="19"/>
          <w:szCs w:val="19"/>
          <w:b w:val="1"/>
          <w:bCs w:val="1"/>
          <w:color w:val="auto"/>
        </w:rPr>
      </w:pPr>
    </w:p>
    <w:p>
      <w:pPr>
        <w:ind w:left="951" w:right="920" w:hanging="633"/>
        <w:spacing w:after="0" w:line="293" w:lineRule="auto"/>
        <w:tabs>
          <w:tab w:leader="none" w:pos="954" w:val="left"/>
        </w:tabs>
        <w:numPr>
          <w:ilvl w:val="1"/>
          <w:numId w:val="80"/>
        </w:numPr>
        <w:rPr>
          <w:rFonts w:ascii="Arial" w:cs="Arial" w:eastAsia="Arial" w:hAnsi="Arial"/>
          <w:sz w:val="19"/>
          <w:szCs w:val="19"/>
          <w:color w:val="auto"/>
        </w:rPr>
      </w:pPr>
      <w:r>
        <w:rPr>
          <w:rFonts w:ascii="Arial" w:cs="Arial" w:eastAsia="Arial" w:hAnsi="Arial"/>
          <w:sz w:val="19"/>
          <w:szCs w:val="19"/>
          <w:color w:val="auto"/>
        </w:rPr>
        <w:t>You will be entitled benefits in accordance with the local Singapore laws and regulations as required by Singapore government.</w:t>
      </w:r>
    </w:p>
    <w:p>
      <w:pPr>
        <w:spacing w:after="0" w:line="158" w:lineRule="exact"/>
        <w:rPr>
          <w:rFonts w:ascii="Arial" w:cs="Arial" w:eastAsia="Arial" w:hAnsi="Arial"/>
          <w:sz w:val="19"/>
          <w:szCs w:val="19"/>
          <w:color w:val="auto"/>
        </w:rPr>
      </w:pPr>
    </w:p>
    <w:p>
      <w:pPr>
        <w:ind w:left="331" w:hanging="331"/>
        <w:spacing w:after="0"/>
        <w:tabs>
          <w:tab w:leader="none" w:pos="331"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w:t>
      </w:r>
    </w:p>
    <w:p>
      <w:pPr>
        <w:spacing w:after="0" w:line="57" w:lineRule="exact"/>
        <w:rPr>
          <w:rFonts w:ascii="Arial" w:cs="Arial" w:eastAsia="Arial" w:hAnsi="Arial"/>
          <w:sz w:val="19"/>
          <w:szCs w:val="19"/>
          <w:b w:val="1"/>
          <w:bCs w:val="1"/>
          <w:color w:val="auto"/>
        </w:rPr>
      </w:pPr>
    </w:p>
    <w:p>
      <w:pPr>
        <w:jc w:val="both"/>
        <w:ind w:left="951" w:hanging="633"/>
        <w:spacing w:after="0" w:line="276" w:lineRule="auto"/>
        <w:tabs>
          <w:tab w:leader="none" w:pos="954" w:val="left"/>
        </w:tabs>
        <w:numPr>
          <w:ilvl w:val="1"/>
          <w:numId w:val="80"/>
        </w:numPr>
        <w:rPr>
          <w:rFonts w:ascii="Arial" w:cs="Arial" w:eastAsia="Arial" w:hAnsi="Arial"/>
          <w:sz w:val="19"/>
          <w:szCs w:val="19"/>
          <w:color w:val="auto"/>
        </w:rPr>
      </w:pPr>
      <w:r>
        <w:rPr>
          <w:rFonts w:ascii="Arial" w:cs="Arial" w:eastAsia="Arial" w:hAnsi="Arial"/>
          <w:sz w:val="19"/>
          <w:szCs w:val="19"/>
          <w:color w:val="auto"/>
        </w:rPr>
        <w:t>You are aware that in the course of your employment you will have access to and be entrusted with information in respect of our business as well as those that the Company invests in, financing and our transactions and affairs (and likewise in relation to our subsidiary and/or associate companies), all of which information is or may be confidential.</w:t>
      </w:r>
    </w:p>
    <w:p>
      <w:pPr>
        <w:spacing w:after="0" w:line="1" w:lineRule="exact"/>
        <w:rPr>
          <w:rFonts w:ascii="Arial" w:cs="Arial" w:eastAsia="Arial" w:hAnsi="Arial"/>
          <w:sz w:val="19"/>
          <w:szCs w:val="19"/>
          <w:color w:val="auto"/>
        </w:rPr>
      </w:pPr>
    </w:p>
    <w:p>
      <w:pPr>
        <w:jc w:val="both"/>
        <w:ind w:left="951" w:hanging="633"/>
        <w:spacing w:after="0" w:line="276" w:lineRule="auto"/>
        <w:tabs>
          <w:tab w:leader="none" w:pos="9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You shall not (except in the proper course of your duties) during or after the period of your employment herein divulge to any person whatever or otherwise make use of any trade secret or any confidential information concerning our business or finances or any of our dealings, transactions or affairs or any trade secret or any such confidential information concerning any of our subsidiary and/or associate companies or any of our subsidiary and/or our associate companies’ suppliers agents distributors or customers.</w:t>
      </w:r>
    </w:p>
    <w:p>
      <w:pPr>
        <w:spacing w:after="0" w:line="2" w:lineRule="exact"/>
        <w:rPr>
          <w:rFonts w:ascii="Arial" w:cs="Arial" w:eastAsia="Arial" w:hAnsi="Arial"/>
          <w:sz w:val="19"/>
          <w:szCs w:val="19"/>
          <w:color w:val="auto"/>
        </w:rPr>
      </w:pPr>
    </w:p>
    <w:p>
      <w:pPr>
        <w:jc w:val="both"/>
        <w:ind w:left="951" w:hanging="633"/>
        <w:spacing w:after="0" w:line="279" w:lineRule="auto"/>
        <w:tabs>
          <w:tab w:leader="none" w:pos="948" w:val="left"/>
        </w:tabs>
        <w:numPr>
          <w:ilvl w:val="1"/>
          <w:numId w:val="82"/>
        </w:numPr>
        <w:rPr>
          <w:rFonts w:ascii="Arial" w:cs="Arial" w:eastAsia="Arial" w:hAnsi="Arial"/>
          <w:sz w:val="19"/>
          <w:szCs w:val="19"/>
          <w:color w:val="auto"/>
        </w:rPr>
      </w:pPr>
      <w:r>
        <w:rPr>
          <w:rFonts w:ascii="Arial" w:cs="Arial" w:eastAsia="Arial" w:hAnsi="Arial"/>
          <w:sz w:val="19"/>
          <w:szCs w:val="19"/>
          <w:color w:val="auto"/>
        </w:rPr>
        <w:t>All notes and memoranda of any trade secrets or confidential information concerning our company and/or our subsidiary and/or associate companies or any of our subsidiary and/or our associate companies’, strategic / channel partners, associates, agents or customers / clients, which you may have acquired, received or made by you during the course of your employment with us shall be our property and you shall surrender the same to someone duly authorised by us at the termination of your employment or at our request at any time during the course of your employment.</w:t>
      </w:r>
    </w:p>
    <w:p>
      <w:pPr>
        <w:spacing w:after="0" w:line="174" w:lineRule="exact"/>
        <w:rPr>
          <w:rFonts w:ascii="Arial" w:cs="Arial" w:eastAsia="Arial" w:hAnsi="Arial"/>
          <w:sz w:val="19"/>
          <w:szCs w:val="19"/>
          <w:color w:val="auto"/>
        </w:rPr>
      </w:pPr>
    </w:p>
    <w:p>
      <w:pPr>
        <w:ind w:left="331" w:hanging="331"/>
        <w:spacing w:after="0"/>
        <w:tabs>
          <w:tab w:leader="none" w:pos="331"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Intellectual Property Right</w:t>
      </w:r>
    </w:p>
    <w:p>
      <w:pPr>
        <w:spacing w:after="0" w:line="44" w:lineRule="exact"/>
        <w:rPr>
          <w:rFonts w:ascii="Arial" w:cs="Arial" w:eastAsia="Arial" w:hAnsi="Arial"/>
          <w:sz w:val="19"/>
          <w:szCs w:val="19"/>
          <w:b w:val="1"/>
          <w:bCs w:val="1"/>
          <w:color w:val="auto"/>
        </w:rPr>
      </w:pPr>
    </w:p>
    <w:p>
      <w:pPr>
        <w:ind w:left="311" w:right="160"/>
        <w:spacing w:after="0" w:line="293" w:lineRule="auto"/>
        <w:rPr>
          <w:rFonts w:ascii="Arial" w:cs="Arial" w:eastAsia="Arial" w:hAnsi="Arial"/>
          <w:sz w:val="19"/>
          <w:szCs w:val="19"/>
          <w:b w:val="1"/>
          <w:bCs w:val="1"/>
          <w:color w:val="auto"/>
        </w:rPr>
      </w:pPr>
      <w:r>
        <w:rPr>
          <w:rFonts w:ascii="Arial" w:cs="Arial" w:eastAsia="Arial" w:hAnsi="Arial"/>
          <w:sz w:val="19"/>
          <w:szCs w:val="19"/>
          <w:color w:val="auto"/>
        </w:rPr>
        <w:t>All work performed by you, including all intellectual property rights, moral rights and other intangible rights in and to that work, will belong (i) to Client and (ii) that you will not disclose</w:t>
      </w:r>
    </w:p>
    <w:p>
      <w:pPr>
        <w:sectPr>
          <w:pgSz w:w="11900" w:h="16838" w:orient="portrait"/>
          <w:cols w:equalWidth="0" w:num="1">
            <w:col w:w="10711"/>
          </w:cols>
          <w:pgMar w:left="749" w:top="1440" w:right="439" w:bottom="1440" w:gutter="0" w:footer="0" w:header="0"/>
        </w:sectPr>
      </w:pPr>
    </w:p>
    <w:bookmarkStart w:id="163" w:name="page164"/>
    <w:bookmarkEnd w:id="163"/>
    <w:p>
      <w:pPr>
        <w:spacing w:after="0" w:line="6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Client Confidential information.</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All work product will be owned by the Client.</w:t>
      </w:r>
    </w:p>
    <w:p>
      <w:pPr>
        <w:spacing w:after="0" w:line="232" w:lineRule="exact"/>
        <w:rPr>
          <w:sz w:val="20"/>
          <w:szCs w:val="20"/>
          <w:color w:val="auto"/>
        </w:rPr>
      </w:pPr>
    </w:p>
    <w:p>
      <w:pPr>
        <w:ind w:left="620" w:right="1420"/>
        <w:spacing w:after="0" w:line="293" w:lineRule="auto"/>
        <w:rPr>
          <w:sz w:val="20"/>
          <w:szCs w:val="20"/>
          <w:color w:val="auto"/>
        </w:rPr>
      </w:pPr>
      <w:r>
        <w:rPr>
          <w:rFonts w:ascii="Arial" w:cs="Arial" w:eastAsia="Arial" w:hAnsi="Arial"/>
          <w:sz w:val="19"/>
          <w:szCs w:val="19"/>
          <w:color w:val="auto"/>
        </w:rPr>
        <w:t>You shall be further subject to the Client’s Proprietary Information and Inventions Assignment Agreement (</w:t>
      </w:r>
      <w:r>
        <w:rPr>
          <w:rFonts w:ascii="Arial" w:cs="Arial" w:eastAsia="Arial" w:hAnsi="Arial"/>
          <w:sz w:val="19"/>
          <w:szCs w:val="19"/>
          <w:b w:val="1"/>
          <w:bCs w:val="1"/>
          <w:color w:val="auto"/>
        </w:rPr>
        <w:t>Annex 3</w:t>
      </w:r>
      <w:r>
        <w:rPr>
          <w:rFonts w:ascii="Arial" w:cs="Arial" w:eastAsia="Arial" w:hAnsi="Arial"/>
          <w:sz w:val="19"/>
          <w:szCs w:val="19"/>
          <w:color w:val="auto"/>
        </w:rPr>
        <w:t>).</w:t>
      </w:r>
    </w:p>
    <w:p>
      <w:pPr>
        <w:spacing w:after="0" w:line="158" w:lineRule="exact"/>
        <w:rPr>
          <w:sz w:val="20"/>
          <w:szCs w:val="20"/>
          <w:color w:val="auto"/>
        </w:rPr>
      </w:pPr>
    </w:p>
    <w:p>
      <w:pPr>
        <w:ind w:left="640" w:hanging="331"/>
        <w:spacing w:after="0"/>
        <w:tabs>
          <w:tab w:leader="none" w:pos="64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Resignation and Compensation</w:t>
      </w:r>
    </w:p>
    <w:p>
      <w:pPr>
        <w:spacing w:after="0" w:line="57" w:lineRule="exact"/>
        <w:rPr>
          <w:rFonts w:ascii="Arial" w:cs="Arial" w:eastAsia="Arial" w:hAnsi="Arial"/>
          <w:sz w:val="19"/>
          <w:szCs w:val="19"/>
          <w:b w:val="1"/>
          <w:bCs w:val="1"/>
          <w:color w:val="auto"/>
        </w:rPr>
      </w:pPr>
    </w:p>
    <w:p>
      <w:pPr>
        <w:jc w:val="both"/>
        <w:ind w:left="620"/>
        <w:spacing w:after="0" w:line="280" w:lineRule="auto"/>
        <w:rPr>
          <w:rFonts w:ascii="Arial" w:cs="Arial" w:eastAsia="Arial" w:hAnsi="Arial"/>
          <w:sz w:val="19"/>
          <w:szCs w:val="19"/>
          <w:b w:val="1"/>
          <w:bCs w:val="1"/>
          <w:color w:val="auto"/>
        </w:rPr>
      </w:pPr>
      <w:r>
        <w:rPr>
          <w:rFonts w:ascii="Arial" w:cs="Arial" w:eastAsia="Arial" w:hAnsi="Arial"/>
          <w:sz w:val="19"/>
          <w:szCs w:val="19"/>
          <w:color w:val="auto"/>
        </w:rPr>
        <w:t>Either party may terminate your employment without cause under consideration by giving the other party a 6-month notice in writing. You understand, accept and agree that your appointment under this Employment Letter will be determined or terminated without notice if (a) you are guilty of any gross default or misconduct; (b) in breach of or fails to observe Company Policies or any of the stipulations contained herein, which is detrimental to our interest; (c) you are convicted criminally in any court of law; or (d) you commit moral turpitude.</w:t>
      </w:r>
    </w:p>
    <w:p>
      <w:pPr>
        <w:spacing w:after="0" w:line="222" w:lineRule="exact"/>
        <w:rPr>
          <w:rFonts w:ascii="Arial" w:cs="Arial" w:eastAsia="Arial" w:hAnsi="Arial"/>
          <w:sz w:val="19"/>
          <w:szCs w:val="19"/>
          <w:b w:val="1"/>
          <w:bCs w:val="1"/>
          <w:color w:val="auto"/>
        </w:rPr>
      </w:pPr>
    </w:p>
    <w:p>
      <w:pPr>
        <w:jc w:val="both"/>
        <w:ind w:left="620"/>
        <w:spacing w:after="0" w:line="282" w:lineRule="auto"/>
        <w:rPr>
          <w:rFonts w:ascii="Arial" w:cs="Arial" w:eastAsia="Arial" w:hAnsi="Arial"/>
          <w:sz w:val="19"/>
          <w:szCs w:val="19"/>
          <w:b w:val="1"/>
          <w:bCs w:val="1"/>
          <w:color w:val="auto"/>
        </w:rPr>
      </w:pPr>
      <w:r>
        <w:rPr>
          <w:rFonts w:ascii="Arial" w:cs="Arial" w:eastAsia="Arial" w:hAnsi="Arial"/>
          <w:sz w:val="19"/>
          <w:szCs w:val="19"/>
          <w:color w:val="auto"/>
        </w:rPr>
        <w:t>As a senior leader, you will be designated as a “Tier Two” participant of The HydraFacial Company’s Executive Severance Plan (Annex 4). This entitles you to a severance payment under the terms of the Severance Plan in the event of a Qualifying Termination or a Change- in-Control Termination, as each is defined in the Severance Plan, in accordance with the terms of the Severance Plan, subject to the requirements, terms, and conditions set forth therein.</w:t>
      </w:r>
    </w:p>
    <w:p>
      <w:pPr>
        <w:spacing w:after="0" w:line="181" w:lineRule="exact"/>
        <w:rPr>
          <w:rFonts w:ascii="Arial" w:cs="Arial" w:eastAsia="Arial" w:hAnsi="Arial"/>
          <w:sz w:val="19"/>
          <w:szCs w:val="19"/>
          <w:b w:val="1"/>
          <w:bCs w:val="1"/>
          <w:color w:val="auto"/>
        </w:rPr>
      </w:pPr>
    </w:p>
    <w:p>
      <w:pPr>
        <w:ind w:left="640" w:hanging="331"/>
        <w:spacing w:after="0"/>
        <w:tabs>
          <w:tab w:leader="none" w:pos="64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Non-solicitation</w:t>
      </w:r>
    </w:p>
    <w:p>
      <w:pPr>
        <w:spacing w:after="0" w:line="44" w:lineRule="exact"/>
        <w:rPr>
          <w:rFonts w:ascii="Arial" w:cs="Arial" w:eastAsia="Arial" w:hAnsi="Arial"/>
          <w:sz w:val="19"/>
          <w:szCs w:val="19"/>
          <w:b w:val="1"/>
          <w:bCs w:val="1"/>
          <w:color w:val="auto"/>
        </w:rPr>
      </w:pPr>
    </w:p>
    <w:p>
      <w:pPr>
        <w:ind w:left="620"/>
        <w:spacing w:after="0" w:line="276" w:lineRule="auto"/>
        <w:rPr>
          <w:rFonts w:ascii="Arial" w:cs="Arial" w:eastAsia="Arial" w:hAnsi="Arial"/>
          <w:sz w:val="19"/>
          <w:szCs w:val="19"/>
          <w:b w:val="1"/>
          <w:bCs w:val="1"/>
          <w:color w:val="auto"/>
        </w:rPr>
      </w:pPr>
      <w:r>
        <w:rPr>
          <w:rFonts w:ascii="Arial" w:cs="Arial" w:eastAsia="Arial" w:hAnsi="Arial"/>
          <w:sz w:val="19"/>
          <w:szCs w:val="19"/>
          <w:color w:val="auto"/>
        </w:rPr>
        <w:t>You will not for the period of one (1) year after ceasing to be employed by us (without our prior written consent), on your own behalf or on behalf of any person firm or company directly or indirectly:</w:t>
      </w:r>
    </w:p>
    <w:p>
      <w:pPr>
        <w:ind w:left="1260" w:hanging="633"/>
        <w:spacing w:after="0"/>
        <w:tabs>
          <w:tab w:leader="none" w:pos="12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seek to procure orders from or do business with any person, firm or company who has at any time during the one</w:t>
      </w:r>
    </w:p>
    <w:p>
      <w:pPr>
        <w:spacing w:after="0" w:line="33"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(1) year immediately preceding such cessation which has done business with us or our associate companies; or</w:t>
      </w:r>
    </w:p>
    <w:p>
      <w:pPr>
        <w:spacing w:after="0" w:line="33" w:lineRule="exact"/>
        <w:rPr>
          <w:rFonts w:ascii="Arial" w:cs="Arial" w:eastAsia="Arial" w:hAnsi="Arial"/>
          <w:sz w:val="19"/>
          <w:szCs w:val="19"/>
          <w:color w:val="auto"/>
        </w:rPr>
      </w:pPr>
    </w:p>
    <w:p>
      <w:pPr>
        <w:jc w:val="both"/>
        <w:ind w:left="1260" w:hanging="633"/>
        <w:spacing w:after="0" w:line="282" w:lineRule="auto"/>
        <w:tabs>
          <w:tab w:leader="none" w:pos="1254" w:val="left"/>
        </w:tabs>
        <w:numPr>
          <w:ilvl w:val="1"/>
          <w:numId w:val="84"/>
        </w:numPr>
        <w:rPr>
          <w:rFonts w:ascii="Arial" w:cs="Arial" w:eastAsia="Arial" w:hAnsi="Arial"/>
          <w:sz w:val="19"/>
          <w:szCs w:val="19"/>
          <w:color w:val="auto"/>
        </w:rPr>
      </w:pPr>
      <w:r>
        <w:rPr>
          <w:rFonts w:ascii="Arial" w:cs="Arial" w:eastAsia="Arial" w:hAnsi="Arial"/>
          <w:sz w:val="19"/>
          <w:szCs w:val="19"/>
          <w:color w:val="auto"/>
        </w:rPr>
        <w:t>endeavour to entice away from us any person who has at any time during the one (1) year immediately preceding such cessation which has been employed or engaged by us or any of our associate companies. PROVIDED that nothing in this clause prohibits the seeking or procuring of orders or the doing of business not relating or not similar to the business.</w:t>
      </w:r>
    </w:p>
    <w:p>
      <w:pPr>
        <w:spacing w:after="0" w:line="181" w:lineRule="exact"/>
        <w:rPr>
          <w:rFonts w:ascii="Arial" w:cs="Arial" w:eastAsia="Arial" w:hAnsi="Arial"/>
          <w:sz w:val="19"/>
          <w:szCs w:val="19"/>
          <w:color w:val="auto"/>
        </w:rPr>
      </w:pPr>
    </w:p>
    <w:p>
      <w:pPr>
        <w:ind w:left="640" w:hanging="331"/>
        <w:spacing w:after="0"/>
        <w:tabs>
          <w:tab w:leader="none" w:pos="64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Terms</w:t>
      </w:r>
    </w:p>
    <w:p>
      <w:pPr>
        <w:spacing w:after="0" w:line="44" w:lineRule="exact"/>
        <w:rPr>
          <w:rFonts w:ascii="Arial" w:cs="Arial" w:eastAsia="Arial" w:hAnsi="Arial"/>
          <w:sz w:val="19"/>
          <w:szCs w:val="19"/>
          <w:b w:val="1"/>
          <w:bCs w:val="1"/>
          <w:color w:val="auto"/>
        </w:rPr>
      </w:pPr>
    </w:p>
    <w:p>
      <w:pPr>
        <w:ind w:left="620"/>
        <w:spacing w:after="0" w:line="293" w:lineRule="auto"/>
        <w:rPr>
          <w:rFonts w:ascii="Arial" w:cs="Arial" w:eastAsia="Arial" w:hAnsi="Arial"/>
          <w:sz w:val="19"/>
          <w:szCs w:val="19"/>
          <w:b w:val="1"/>
          <w:bCs w:val="1"/>
          <w:color w:val="auto"/>
        </w:rPr>
      </w:pPr>
      <w:r>
        <w:rPr>
          <w:rFonts w:ascii="Arial" w:cs="Arial" w:eastAsia="Arial" w:hAnsi="Arial"/>
          <w:sz w:val="19"/>
          <w:szCs w:val="19"/>
          <w:color w:val="auto"/>
        </w:rPr>
        <w:t>All other terms and conditions are as per the Company’s employment policy. The Company, however, reserves the right to review, amend, or alter the above terms and conditions.</w:t>
      </w:r>
    </w:p>
    <w:p>
      <w:pPr>
        <w:spacing w:after="0" w:line="158" w:lineRule="exact"/>
        <w:rPr>
          <w:rFonts w:ascii="Arial" w:cs="Arial" w:eastAsia="Arial" w:hAnsi="Arial"/>
          <w:sz w:val="19"/>
          <w:szCs w:val="19"/>
          <w:b w:val="1"/>
          <w:bCs w:val="1"/>
          <w:color w:val="auto"/>
        </w:rPr>
      </w:pPr>
    </w:p>
    <w:p>
      <w:pPr>
        <w:ind w:left="640" w:hanging="331"/>
        <w:spacing w:after="0"/>
        <w:tabs>
          <w:tab w:leader="none" w:pos="64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Agreement and Laws</w:t>
      </w:r>
    </w:p>
    <w:p>
      <w:pPr>
        <w:spacing w:after="0" w:line="30"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Arial" w:cs="Arial" w:eastAsia="Arial" w:hAnsi="Arial"/>
          <w:sz w:val="19"/>
          <w:szCs w:val="19"/>
          <w:color w:val="auto"/>
        </w:rPr>
        <w:t>This Agreement shall be governed by and enforced in accordance to the laws of Singapore.</w:t>
      </w:r>
    </w:p>
    <w:p>
      <w:pPr>
        <w:spacing w:after="0" w:line="245" w:lineRule="exact"/>
        <w:rPr>
          <w:sz w:val="20"/>
          <w:szCs w:val="20"/>
          <w:color w:val="auto"/>
        </w:rPr>
      </w:pPr>
    </w:p>
    <w:p>
      <w:pPr>
        <w:ind w:right="240"/>
        <w:spacing w:after="0" w:line="293" w:lineRule="auto"/>
        <w:rPr>
          <w:sz w:val="20"/>
          <w:szCs w:val="20"/>
          <w:color w:val="auto"/>
        </w:rPr>
      </w:pPr>
      <w:r>
        <w:rPr>
          <w:rFonts w:ascii="Arial" w:cs="Arial" w:eastAsia="Arial" w:hAnsi="Arial"/>
          <w:sz w:val="19"/>
          <w:szCs w:val="19"/>
          <w:color w:val="auto"/>
        </w:rPr>
        <w:t>This offer of employment is made subject to the correctness of the information supplied to us in the course of your application, whether or not you have since commenced work. The offer of employment</w:t>
      </w:r>
    </w:p>
    <w:p>
      <w:pPr>
        <w:sectPr>
          <w:pgSz w:w="11900" w:h="16838" w:orient="portrait"/>
          <w:cols w:equalWidth="0" w:num="1">
            <w:col w:w="11020"/>
          </w:cols>
          <w:pgMar w:left="440" w:top="1440" w:right="439" w:bottom="1440" w:gutter="0" w:footer="0" w:header="0"/>
        </w:sectPr>
      </w:pPr>
    </w:p>
    <w:bookmarkStart w:id="164" w:name="page165"/>
    <w:bookmarkEnd w:id="164"/>
    <w:p>
      <w:pPr>
        <w:spacing w:after="0" w:line="88" w:lineRule="exact"/>
        <w:rPr>
          <w:sz w:val="20"/>
          <w:szCs w:val="20"/>
          <w:color w:val="auto"/>
        </w:rPr>
      </w:pPr>
    </w:p>
    <w:p>
      <w:pPr>
        <w:ind w:left="120"/>
        <w:spacing w:after="0" w:line="293" w:lineRule="auto"/>
        <w:rPr>
          <w:sz w:val="20"/>
          <w:szCs w:val="20"/>
          <w:color w:val="auto"/>
        </w:rPr>
      </w:pPr>
      <w:r>
        <w:rPr>
          <w:rFonts w:ascii="Arial" w:cs="Arial" w:eastAsia="Arial" w:hAnsi="Arial"/>
          <w:sz w:val="19"/>
          <w:szCs w:val="19"/>
          <w:color w:val="auto"/>
        </w:rPr>
        <w:t>will only be valid and effective upon the Company obtaining for you, an employment pass from the Singapore’s Ministry of Manpower.</w:t>
      </w: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Kindly signify your acceptance of the above terms and conditions by signing on the duplicate copy enclosed herewith.</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Mung Suen</w:t>
      </w: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SUEN Mung Lam</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Human Resources Director</w:t>
      </w: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GoGlobal GEO Pte. Ltd. (Reg. No. 201834049C) Dated: August 11,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right="1180"/>
        <w:spacing w:after="0" w:line="377"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b w:val="1"/>
          <w:bCs w:val="1"/>
          <w:color w:val="auto"/>
        </w:rPr>
        <w:t>Indra Pamamull</w:t>
      </w:r>
      <w:r>
        <w:rPr>
          <w:rFonts w:ascii="Arial" w:cs="Arial" w:eastAsia="Arial" w:hAnsi="Arial"/>
          <w:sz w:val="19"/>
          <w:szCs w:val="19"/>
          <w:color w:val="auto"/>
        </w:rPr>
        <w:t xml:space="preserve">, Passport Number [REDACTED], hereby accept the appointment as </w:t>
      </w:r>
      <w:r>
        <w:rPr>
          <w:rFonts w:ascii="Arial" w:cs="Arial" w:eastAsia="Arial" w:hAnsi="Arial"/>
          <w:sz w:val="19"/>
          <w:szCs w:val="19"/>
          <w:b w:val="1"/>
          <w:bCs w:val="1"/>
          <w:color w:val="auto"/>
        </w:rPr>
        <w:t>President of APAC</w:t>
      </w:r>
      <w:r>
        <w:rPr>
          <w:rFonts w:ascii="Arial" w:cs="Arial" w:eastAsia="Arial" w:hAnsi="Arial"/>
          <w:sz w:val="19"/>
          <w:szCs w:val="19"/>
          <w:color w:val="auto"/>
        </w:rPr>
        <w:t xml:space="preserve"> with your Company on the terms and conditions as aforementioned above.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Indra Pamamull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Indra Pamamull</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Dated: August 11, 2021</w:t>
      </w:r>
    </w:p>
    <w:p>
      <w:pPr>
        <w:sectPr>
          <w:pgSz w:w="11900" w:h="16838" w:orient="portrait"/>
          <w:cols w:equalWidth="0" w:num="1">
            <w:col w:w="10540"/>
          </w:cols>
          <w:pgMar w:left="320" w:top="1440" w:right="10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10.8</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August 3, 2021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Indra Pamamull</w:t>
      </w:r>
    </w:p>
    <w:p>
      <w:pPr>
        <w:spacing w:after="0"/>
        <w:rPr>
          <w:sz w:val="20"/>
          <w:szCs w:val="20"/>
          <w:color w:val="auto"/>
        </w:rPr>
      </w:pPr>
      <w:r>
        <w:rPr>
          <w:rFonts w:ascii="Arial" w:cs="Arial" w:eastAsia="Arial" w:hAnsi="Arial"/>
          <w:sz w:val="19"/>
          <w:szCs w:val="19"/>
          <w:color w:val="auto"/>
        </w:rPr>
        <w:t>[REDACTED]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Dear Indra,</w:t>
      </w:r>
    </w:p>
    <w:p>
      <w:pPr>
        <w:spacing w:after="0" w:line="153" w:lineRule="exact"/>
        <w:rPr>
          <w:sz w:val="20"/>
          <w:szCs w:val="20"/>
          <w:color w:val="auto"/>
        </w:rPr>
      </w:pPr>
    </w:p>
    <w:p>
      <w:pPr>
        <w:ind w:right="160"/>
        <w:spacing w:after="0" w:line="214" w:lineRule="auto"/>
        <w:rPr>
          <w:sz w:val="20"/>
          <w:szCs w:val="20"/>
          <w:color w:val="auto"/>
        </w:rPr>
      </w:pPr>
      <w:r>
        <w:rPr>
          <w:rFonts w:ascii="Arial" w:cs="Arial" w:eastAsia="Arial" w:hAnsi="Arial"/>
          <w:sz w:val="19"/>
          <w:szCs w:val="19"/>
          <w:color w:val="auto"/>
        </w:rPr>
        <w:t>We are excited to extend you an offer to join Edge Systems d/b/a HydraFacial, a BeautyHealth Company, as our President of APAC. In this role, you will report directly to Clint Carnell, Chief Executive Officer. You will be employed in Singapore, although your role will require you to travel throughout the APAC region as well as to other locations for company trainings, meetings, and other events. Most of your business travel will be international, and the company will reimburse you for the business travel related expenses as per company policy. Your start date will be on August 10, 2021.</w:t>
      </w:r>
    </w:p>
    <w:p>
      <w:pPr>
        <w:spacing w:after="0" w:line="152" w:lineRule="exact"/>
        <w:rPr>
          <w:sz w:val="20"/>
          <w:szCs w:val="20"/>
          <w:color w:val="auto"/>
        </w:rPr>
      </w:pPr>
    </w:p>
    <w:p>
      <w:pPr>
        <w:jc w:val="both"/>
        <w:ind w:right="40"/>
        <w:spacing w:after="0" w:line="221" w:lineRule="auto"/>
        <w:rPr>
          <w:sz w:val="20"/>
          <w:szCs w:val="20"/>
          <w:color w:val="auto"/>
        </w:rPr>
      </w:pPr>
      <w:r>
        <w:rPr>
          <w:rFonts w:ascii="Arial" w:cs="Arial" w:eastAsia="Arial" w:hAnsi="Arial"/>
          <w:sz w:val="19"/>
          <w:szCs w:val="19"/>
          <w:color w:val="auto"/>
        </w:rPr>
        <w:t>This letter serves as an official offer and letter of intent. You will be an employee of the company and will be paid through a local PEO in Singapore to start. On or before your start date, you will receive an employment agreement that is Singapore-compliant and that includes the details in this offer.</w:t>
      </w:r>
    </w:p>
    <w:p>
      <w:pPr>
        <w:spacing w:after="0" w:line="152" w:lineRule="exact"/>
        <w:rPr>
          <w:sz w:val="20"/>
          <w:szCs w:val="20"/>
          <w:color w:val="auto"/>
        </w:rPr>
      </w:pPr>
    </w:p>
    <w:p>
      <w:pPr>
        <w:jc w:val="both"/>
        <w:ind w:right="80"/>
        <w:spacing w:after="0" w:line="221" w:lineRule="auto"/>
        <w:rPr>
          <w:sz w:val="20"/>
          <w:szCs w:val="20"/>
          <w:color w:val="auto"/>
        </w:rPr>
      </w:pPr>
      <w:r>
        <w:rPr>
          <w:rFonts w:ascii="Arial" w:cs="Arial" w:eastAsia="Arial" w:hAnsi="Arial"/>
          <w:sz w:val="19"/>
          <w:szCs w:val="19"/>
          <w:color w:val="auto"/>
        </w:rPr>
        <w:t>Your Base Salary ("Base Salary") will be paid at a rate of SGD$540,000 per year, payable in substantially equal installments in line with the Company's standard payroll practices. Your Base Salary will be reviewed no less frequently than annually and may be adjusted by the Company's Board of Directors in its sole discretion.</w:t>
      </w:r>
    </w:p>
    <w:p>
      <w:pPr>
        <w:spacing w:after="0" w:line="138" w:lineRule="exact"/>
        <w:rPr>
          <w:sz w:val="20"/>
          <w:szCs w:val="20"/>
          <w:color w:val="auto"/>
        </w:rPr>
      </w:pPr>
    </w:p>
    <w:p>
      <w:pPr>
        <w:ind w:right="40"/>
        <w:spacing w:after="0" w:line="217" w:lineRule="auto"/>
        <w:rPr>
          <w:sz w:val="20"/>
          <w:szCs w:val="20"/>
          <w:color w:val="auto"/>
        </w:rPr>
      </w:pPr>
      <w:r>
        <w:rPr>
          <w:rFonts w:ascii="Arial" w:cs="Arial" w:eastAsia="Arial" w:hAnsi="Arial"/>
          <w:sz w:val="19"/>
          <w:szCs w:val="19"/>
          <w:color w:val="auto"/>
        </w:rPr>
        <w:t>As discussed, the Company is amenable to carving out a portion of your Base Salary for tax-free allowances that you are used to enjoying with other companies that have employed you in Singapore. These allowances could include but are not limited to: School Fees, Home Flights, Club Membership, or Flexible Benefits. Please let Deb Rodriguez know your preferences before we draft the employment contract.</w:t>
      </w:r>
    </w:p>
    <w:p>
      <w:pPr>
        <w:spacing w:after="0" w:line="151" w:lineRule="exact"/>
        <w:rPr>
          <w:sz w:val="20"/>
          <w:szCs w:val="20"/>
          <w:color w:val="auto"/>
        </w:rPr>
      </w:pPr>
    </w:p>
    <w:p>
      <w:pPr>
        <w:spacing w:after="0" w:line="214" w:lineRule="auto"/>
        <w:rPr>
          <w:sz w:val="20"/>
          <w:szCs w:val="20"/>
          <w:color w:val="auto"/>
        </w:rPr>
      </w:pPr>
      <w:r>
        <w:rPr>
          <w:rFonts w:ascii="Arial" w:cs="Arial" w:eastAsia="Arial" w:hAnsi="Arial"/>
          <w:sz w:val="19"/>
          <w:szCs w:val="19"/>
          <w:color w:val="auto"/>
        </w:rPr>
        <w:t>You will be eligible to receive a cash performance bonus ("Annual Incentive") targeted at 60% of Base Salary ("Target Incentive"). The actual amount of any Annual Incentive will be based upon achievement of specified levels of performance goals set by the Company's Board. Any Annual Incentive that becomes payable will be paid as annual incentive bonuses are generally paid to senior executives, subject to your continued employment through the applicable payment date. In the first year, any earned bonus will be prorated based upon start date. Attached is a copy of the 2021 Corporate Incentive Plan.</w:t>
      </w:r>
    </w:p>
    <w:p>
      <w:pPr>
        <w:spacing w:after="0" w:line="152" w:lineRule="exact"/>
        <w:rPr>
          <w:sz w:val="20"/>
          <w:szCs w:val="20"/>
          <w:color w:val="auto"/>
        </w:rPr>
      </w:pPr>
    </w:p>
    <w:p>
      <w:pPr>
        <w:spacing w:after="0" w:line="210" w:lineRule="auto"/>
        <w:rPr>
          <w:sz w:val="20"/>
          <w:szCs w:val="20"/>
          <w:color w:val="auto"/>
        </w:rPr>
      </w:pPr>
      <w:r>
        <w:rPr>
          <w:rFonts w:ascii="Arial" w:cs="Arial" w:eastAsia="Arial" w:hAnsi="Arial"/>
          <w:sz w:val="19"/>
          <w:szCs w:val="19"/>
          <w:color w:val="auto"/>
        </w:rPr>
        <w:t>As soon as practicable following your start date, and subject to the approval of the HydraFacial &amp; BeautyHealth Company Board of Directors, the Company will grant an option to purchase 372,000 shares of the Beauty Health Company common stock ("Option") pursuant to the Company's 2021 Incentive Award Plan. The Option will have an exercise price per share equal to the Fair Market Value (as defined in the Plan) of a share of the Beauty Health common stock on the grant date. Twenty-five percent (25%) of the shares of the common stock subject to the Option will vest on each of first four (4) anniversaries of the Grant Date, subject to your continued employment with the company through the applicable vesting date. The Option will be subject to the terms and conditions of the Plan and an award agreement substantially in the form attached as Exhibit A ("Option Agreement") will be entered into between the Company and you.</w:t>
      </w:r>
    </w:p>
    <w:p>
      <w:pPr>
        <w:spacing w:after="0" w:line="140" w:lineRule="exact"/>
        <w:rPr>
          <w:sz w:val="20"/>
          <w:szCs w:val="20"/>
          <w:color w:val="auto"/>
        </w:rPr>
      </w:pPr>
    </w:p>
    <w:p>
      <w:pPr>
        <w:ind w:right="240"/>
        <w:spacing w:after="0" w:line="214" w:lineRule="auto"/>
        <w:rPr>
          <w:sz w:val="20"/>
          <w:szCs w:val="20"/>
          <w:color w:val="auto"/>
        </w:rPr>
      </w:pPr>
      <w:r>
        <w:rPr>
          <w:rFonts w:ascii="Arial" w:cs="Arial" w:eastAsia="Arial" w:hAnsi="Arial"/>
          <w:sz w:val="19"/>
          <w:szCs w:val="19"/>
          <w:color w:val="auto"/>
        </w:rPr>
        <w:t>As soon as practicable following your start date and the filing of the Form S-8 relating to the Incentive Plan, and subject to the approval of the HydraFacial &amp; BeautyHealth Company Board of Directors, the Company will grant to you an award of performance share units covering 50,000 shares of the Beauty Health Company common stock ("PSUs") under the Incentive Plan. The PSUs will be subject to the terms and conditions (including vesting conditions set forth in the Incentive Plan and award agreement substantially in the form attached as Exhibit B, to be entered into between the Company and you.</w:t>
      </w:r>
    </w:p>
    <w:p>
      <w:pPr>
        <w:sectPr>
          <w:pgSz w:w="11900" w:h="16838" w:orient="portrait"/>
          <w:cols w:equalWidth="0" w:num="1">
            <w:col w:w="11000"/>
          </w:cols>
          <w:pgMar w:left="320" w:top="1141" w:right="579" w:bottom="1440" w:gutter="0" w:footer="0" w:header="0"/>
        </w:sectPr>
      </w:pPr>
    </w:p>
    <w:bookmarkStart w:id="166" w:name="page167"/>
    <w:bookmarkEnd w:id="166"/>
    <w:p>
      <w:pPr>
        <w:spacing w:after="0" w:line="214" w:lineRule="auto"/>
        <w:rPr>
          <w:sz w:val="20"/>
          <w:szCs w:val="20"/>
          <w:color w:val="auto"/>
        </w:rPr>
      </w:pPr>
      <w:r>
        <w:rPr>
          <w:rFonts w:ascii="Arial" w:cs="Arial" w:eastAsia="Arial" w:hAnsi="Arial"/>
          <w:sz w:val="19"/>
          <w:szCs w:val="19"/>
          <w:color w:val="auto"/>
        </w:rPr>
        <w:t>In addition, during each fiscal year of employment with the Company, beginning in 2022, Employee will be eligible for one or more grants of long-term incentive awards ("Awards"). The amount, type and terms and conditions (including vesting conditions) of any such Award shall be determined by the Compensation Committee of the Parent Company in its sole discretion. Each Award will be subject to the terms and conditions of the Incentive Plan and an award agreement entered into between the Parent Company and the Employee, which will evidence the grant of the Award.</w:t>
      </w:r>
    </w:p>
    <w:p>
      <w:pPr>
        <w:spacing w:after="0" w:line="152" w:lineRule="exact"/>
        <w:rPr>
          <w:sz w:val="20"/>
          <w:szCs w:val="20"/>
          <w:color w:val="auto"/>
        </w:rPr>
      </w:pPr>
    </w:p>
    <w:p>
      <w:pPr>
        <w:ind w:right="140"/>
        <w:spacing w:after="0" w:line="230" w:lineRule="auto"/>
        <w:rPr>
          <w:sz w:val="20"/>
          <w:szCs w:val="20"/>
          <w:color w:val="auto"/>
        </w:rPr>
      </w:pPr>
      <w:r>
        <w:rPr>
          <w:rFonts w:ascii="Arial" w:cs="Arial" w:eastAsia="Arial" w:hAnsi="Arial"/>
          <w:sz w:val="19"/>
          <w:szCs w:val="19"/>
          <w:color w:val="auto"/>
        </w:rPr>
        <w:t>Either you or the Company may terminate the employment relationship without cause under consideration of a notice period of six months.</w:t>
      </w:r>
    </w:p>
    <w:p>
      <w:pPr>
        <w:spacing w:after="0" w:line="138" w:lineRule="exact"/>
        <w:rPr>
          <w:sz w:val="20"/>
          <w:szCs w:val="20"/>
          <w:color w:val="auto"/>
        </w:rPr>
      </w:pPr>
    </w:p>
    <w:p>
      <w:pPr>
        <w:ind w:right="20"/>
        <w:spacing w:after="0" w:line="214" w:lineRule="auto"/>
        <w:rPr>
          <w:sz w:val="20"/>
          <w:szCs w:val="20"/>
          <w:color w:val="auto"/>
        </w:rPr>
      </w:pPr>
      <w:r>
        <w:rPr>
          <w:rFonts w:ascii="Arial" w:cs="Arial" w:eastAsia="Arial" w:hAnsi="Arial"/>
          <w:sz w:val="19"/>
          <w:szCs w:val="19"/>
          <w:color w:val="auto"/>
        </w:rPr>
        <w:t>As a senior leader of the organization, you will be designated as a "Tier Two" participant in the Company's Executive Severance Plan (the " Severance Plan"), a copy of which is attached hereto. As a participant in the Severance Plan, you will be eligible to receive certain severance payments and benefits upon your Qualifying Termination or CIC Termination (each as defined in the Severance Plan) in accordance with the terms of the Severance Plan, subject to the requirements, terms and conditions set forth therein.</w:t>
      </w:r>
    </w:p>
    <w:p>
      <w:pPr>
        <w:spacing w:after="0" w:line="152" w:lineRule="exact"/>
        <w:rPr>
          <w:sz w:val="20"/>
          <w:szCs w:val="20"/>
          <w:color w:val="auto"/>
        </w:rPr>
      </w:pPr>
    </w:p>
    <w:p>
      <w:pPr>
        <w:ind w:right="200"/>
        <w:spacing w:after="0" w:line="221" w:lineRule="auto"/>
        <w:rPr>
          <w:sz w:val="20"/>
          <w:szCs w:val="20"/>
          <w:color w:val="auto"/>
        </w:rPr>
      </w:pPr>
      <w:r>
        <w:rPr>
          <w:rFonts w:ascii="Arial" w:cs="Arial" w:eastAsia="Arial" w:hAnsi="Arial"/>
          <w:sz w:val="19"/>
          <w:szCs w:val="19"/>
          <w:color w:val="auto"/>
        </w:rPr>
        <w:t>Additionally, the company will provide you with the standard social insurances that include healthcare insurances and pension contributions, as required by law. You will also be eligible to enroll in available supplemental health plans for you and your eligible dependent(s).</w:t>
      </w:r>
    </w:p>
    <w:p>
      <w:pPr>
        <w:spacing w:after="0" w:line="152" w:lineRule="exact"/>
        <w:rPr>
          <w:sz w:val="20"/>
          <w:szCs w:val="20"/>
          <w:color w:val="auto"/>
        </w:rPr>
      </w:pPr>
    </w:p>
    <w:p>
      <w:pPr>
        <w:ind w:right="160"/>
        <w:spacing w:after="0" w:line="230" w:lineRule="auto"/>
        <w:rPr>
          <w:sz w:val="20"/>
          <w:szCs w:val="20"/>
          <w:color w:val="auto"/>
        </w:rPr>
      </w:pPr>
      <w:r>
        <w:rPr>
          <w:rFonts w:ascii="Arial" w:cs="Arial" w:eastAsia="Arial" w:hAnsi="Arial"/>
          <w:sz w:val="19"/>
          <w:szCs w:val="19"/>
          <w:color w:val="auto"/>
        </w:rPr>
        <w:t>Indra, we are excited to invite you to join the team at HydraFacial, a BeautyHealth Company! Our team members are talented, highly motivated professionals with a tremendous passion for our products and services.</w:t>
      </w:r>
    </w:p>
    <w:p>
      <w:pPr>
        <w:spacing w:after="0" w:line="138" w:lineRule="exact"/>
        <w:rPr>
          <w:sz w:val="20"/>
          <w:szCs w:val="20"/>
          <w:color w:val="auto"/>
        </w:rPr>
      </w:pPr>
    </w:p>
    <w:p>
      <w:pPr>
        <w:ind w:right="500"/>
        <w:spacing w:after="0" w:line="230" w:lineRule="auto"/>
        <w:rPr>
          <w:sz w:val="20"/>
          <w:szCs w:val="20"/>
          <w:color w:val="auto"/>
        </w:rPr>
      </w:pPr>
      <w:r>
        <w:rPr>
          <w:rFonts w:ascii="Arial" w:cs="Arial" w:eastAsia="Arial" w:hAnsi="Arial"/>
          <w:sz w:val="19"/>
          <w:szCs w:val="19"/>
          <w:color w:val="auto"/>
        </w:rPr>
        <w:t>I look forward to receiving your acceptance this week. Please contact Deborah Rodriguez or me if you have any questions about this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 Clint Carnell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Clint Carnell</w:t>
      </w:r>
    </w:p>
    <w:p>
      <w:pPr>
        <w:spacing w:after="0"/>
        <w:rPr>
          <w:sz w:val="20"/>
          <w:szCs w:val="20"/>
          <w:color w:val="auto"/>
        </w:rPr>
      </w:pPr>
      <w:r>
        <w:rPr>
          <w:rFonts w:ascii="Arial" w:cs="Arial" w:eastAsia="Arial" w:hAnsi="Arial"/>
          <w:sz w:val="19"/>
          <w:szCs w:val="19"/>
          <w:color w:val="auto"/>
        </w:rPr>
        <w:t>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Accepted and agreed to on </w:t>
      </w:r>
      <w:r>
        <w:rPr>
          <w:rFonts w:ascii="Arial" w:cs="Arial" w:eastAsia="Arial" w:hAnsi="Arial"/>
          <w:sz w:val="19"/>
          <w:szCs w:val="19"/>
          <w:u w:val="single" w:color="auto"/>
          <w:color w:val="auto"/>
        </w:rPr>
        <w:t>August 4, 2021</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/s/ Indra Pamamull</w:t>
      </w:r>
    </w:p>
    <w:p>
      <w:pPr>
        <w:spacing w:after="0" w:line="203" w:lineRule="auto"/>
        <w:rPr>
          <w:sz w:val="20"/>
          <w:szCs w:val="20"/>
          <w:color w:val="auto"/>
        </w:rPr>
      </w:pPr>
      <w:r>
        <w:rPr>
          <w:rFonts w:ascii="Arial" w:cs="Arial" w:eastAsia="Arial" w:hAnsi="Arial"/>
          <w:sz w:val="19"/>
          <w:szCs w:val="19"/>
          <w:color w:val="auto"/>
        </w:rPr>
        <w:t>________________________________________</w:t>
      </w:r>
    </w:p>
    <w:p>
      <w:pPr>
        <w:spacing w:after="0" w:line="204" w:lineRule="auto"/>
        <w:rPr>
          <w:sz w:val="20"/>
          <w:szCs w:val="20"/>
          <w:color w:val="auto"/>
        </w:rPr>
      </w:pPr>
      <w:r>
        <w:rPr>
          <w:rFonts w:ascii="Arial" w:cs="Arial" w:eastAsia="Arial" w:hAnsi="Arial"/>
          <w:sz w:val="19"/>
          <w:szCs w:val="19"/>
          <w:color w:val="auto"/>
        </w:rPr>
        <w:t>Signature</w:t>
      </w:r>
    </w:p>
    <w:p>
      <w:pPr>
        <w:spacing w:after="0"/>
        <w:rPr>
          <w:sz w:val="20"/>
          <w:szCs w:val="20"/>
          <w:color w:val="auto"/>
        </w:rPr>
      </w:pPr>
      <w:r>
        <w:rPr>
          <w:rFonts w:ascii="Arial" w:cs="Arial" w:eastAsia="Arial" w:hAnsi="Arial"/>
          <w:sz w:val="19"/>
          <w:szCs w:val="19"/>
          <w:b w:val="1"/>
          <w:bCs w:val="1"/>
          <w:color w:val="auto"/>
        </w:rPr>
        <w:t>Indra Pamamull</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Attachments:</w:t>
      </w:r>
    </w:p>
    <w:p>
      <w:pPr>
        <w:spacing w:after="0" w:line="203" w:lineRule="auto"/>
        <w:rPr>
          <w:sz w:val="20"/>
          <w:szCs w:val="20"/>
          <w:color w:val="auto"/>
        </w:rPr>
      </w:pPr>
      <w:r>
        <w:rPr>
          <w:rFonts w:ascii="Arial" w:cs="Arial" w:eastAsia="Arial" w:hAnsi="Arial"/>
          <w:sz w:val="19"/>
          <w:szCs w:val="19"/>
          <w:color w:val="auto"/>
        </w:rPr>
        <w:t>2021 Corporate Annual Incentive Plan</w:t>
      </w:r>
    </w:p>
    <w:p>
      <w:pPr>
        <w:spacing w:after="0" w:line="204" w:lineRule="auto"/>
        <w:rPr>
          <w:sz w:val="20"/>
          <w:szCs w:val="20"/>
          <w:color w:val="auto"/>
        </w:rPr>
      </w:pPr>
      <w:r>
        <w:rPr>
          <w:rFonts w:ascii="Arial" w:cs="Arial" w:eastAsia="Arial" w:hAnsi="Arial"/>
          <w:sz w:val="19"/>
          <w:szCs w:val="19"/>
          <w:color w:val="auto"/>
        </w:rPr>
        <w:t>PRSU Agreement</w:t>
      </w:r>
    </w:p>
    <w:p>
      <w:pPr>
        <w:spacing w:after="0" w:line="204" w:lineRule="auto"/>
        <w:rPr>
          <w:sz w:val="20"/>
          <w:szCs w:val="20"/>
          <w:color w:val="auto"/>
        </w:rPr>
      </w:pPr>
      <w:r>
        <w:rPr>
          <w:rFonts w:ascii="Arial" w:cs="Arial" w:eastAsia="Arial" w:hAnsi="Arial"/>
          <w:sz w:val="19"/>
          <w:szCs w:val="19"/>
          <w:color w:val="auto"/>
        </w:rPr>
        <w:t>Incentive Award Agreement</w:t>
      </w:r>
    </w:p>
    <w:p>
      <w:pPr>
        <w:spacing w:after="0" w:line="204" w:lineRule="auto"/>
        <w:rPr>
          <w:sz w:val="20"/>
          <w:szCs w:val="20"/>
          <w:color w:val="auto"/>
        </w:rPr>
      </w:pPr>
      <w:r>
        <w:rPr>
          <w:rFonts w:ascii="Arial" w:cs="Arial" w:eastAsia="Arial" w:hAnsi="Arial"/>
          <w:sz w:val="19"/>
          <w:szCs w:val="19"/>
          <w:color w:val="auto"/>
        </w:rPr>
        <w:t>Executive Severance Plan</w:t>
      </w:r>
    </w:p>
    <w:p>
      <w:pPr>
        <w:spacing w:after="0"/>
        <w:rPr>
          <w:sz w:val="20"/>
          <w:szCs w:val="20"/>
          <w:color w:val="auto"/>
        </w:rPr>
      </w:pPr>
      <w:r>
        <w:rPr>
          <w:rFonts w:ascii="Arial" w:cs="Arial" w:eastAsia="Arial" w:hAnsi="Arial"/>
          <w:sz w:val="19"/>
          <w:szCs w:val="19"/>
          <w:color w:val="auto"/>
        </w:rPr>
        <w:t>Proprietary Information Agreement</w:t>
      </w:r>
    </w:p>
    <w:p>
      <w:pPr>
        <w:sectPr>
          <w:pgSz w:w="11900" w:h="16838" w:orient="portrait"/>
          <w:cols w:equalWidth="0" w:num="1">
            <w:col w:w="10980"/>
          </w:cols>
          <w:pgMar w:left="320" w:top="1156" w:right="5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7"/>
              </w:rPr>
              <w:t>Employment Contract</w:t>
            </w:r>
          </w:p>
        </w:tc>
        <w:tc>
          <w:tcPr>
            <w:tcW w:w="5560" w:type="dxa"/>
            <w:vAlign w:val="bottom"/>
          </w:tcPr>
          <w:p>
            <w:pPr>
              <w:jc w:val="center"/>
              <w:ind w:left="2032"/>
              <w:spacing w:after="0"/>
              <w:rPr>
                <w:sz w:val="20"/>
                <w:szCs w:val="20"/>
                <w:color w:val="auto"/>
              </w:rPr>
            </w:pPr>
            <w:r>
              <w:rPr>
                <w:rFonts w:ascii="Arial" w:cs="Arial" w:eastAsia="Arial" w:hAnsi="Arial"/>
                <w:sz w:val="18"/>
                <w:szCs w:val="18"/>
                <w:b w:val="1"/>
                <w:bCs w:val="1"/>
                <w:color w:val="auto"/>
                <w:w w:val="97"/>
              </w:rPr>
              <w:t>Arbeitsvertrag</w:t>
            </w:r>
          </w:p>
        </w:tc>
      </w:tr>
      <w:tr>
        <w:trPr>
          <w:trHeight w:val="345"/>
        </w:trPr>
        <w:tc>
          <w:tcPr>
            <w:tcW w:w="3160" w:type="dxa"/>
            <w:vAlign w:val="bottom"/>
          </w:tcPr>
          <w:p>
            <w:pPr>
              <w:jc w:val="center"/>
              <w:spacing w:after="0"/>
              <w:rPr>
                <w:sz w:val="20"/>
                <w:szCs w:val="20"/>
                <w:color w:val="auto"/>
              </w:rPr>
            </w:pPr>
            <w:r>
              <w:rPr>
                <w:rFonts w:ascii="Arial" w:cs="Arial" w:eastAsia="Arial" w:hAnsi="Arial"/>
                <w:sz w:val="18"/>
                <w:szCs w:val="18"/>
                <w:color w:val="auto"/>
                <w:w w:val="96"/>
              </w:rPr>
              <w:t>between</w:t>
            </w:r>
          </w:p>
        </w:tc>
        <w:tc>
          <w:tcPr>
            <w:tcW w:w="5560" w:type="dxa"/>
            <w:vAlign w:val="bottom"/>
          </w:tcPr>
          <w:p>
            <w:pPr>
              <w:jc w:val="center"/>
              <w:ind w:left="2032"/>
              <w:spacing w:after="0"/>
              <w:rPr>
                <w:sz w:val="20"/>
                <w:szCs w:val="20"/>
                <w:color w:val="auto"/>
              </w:rPr>
            </w:pPr>
            <w:r>
              <w:rPr>
                <w:rFonts w:ascii="Arial" w:cs="Arial" w:eastAsia="Arial" w:hAnsi="Arial"/>
                <w:sz w:val="18"/>
                <w:szCs w:val="18"/>
                <w:color w:val="auto"/>
                <w:w w:val="97"/>
              </w:rPr>
              <w:t>zwischen</w:t>
            </w:r>
          </w:p>
        </w:tc>
      </w:tr>
      <w:tr>
        <w:trPr>
          <w:trHeight w:val="358"/>
        </w:trPr>
        <w:tc>
          <w:tcPr>
            <w:tcW w:w="872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8"/>
              </w:rPr>
              <w:t>HydraFacial Germany GmbH</w:t>
            </w:r>
          </w:p>
        </w:tc>
      </w:tr>
      <w:tr>
        <w:trPr>
          <w:trHeight w:val="212"/>
        </w:trPr>
        <w:tc>
          <w:tcPr>
            <w:tcW w:w="3160" w:type="dxa"/>
            <w:vAlign w:val="bottom"/>
          </w:tcPr>
          <w:p>
            <w:pPr>
              <w:spacing w:after="0"/>
              <w:rPr>
                <w:sz w:val="18"/>
                <w:szCs w:val="18"/>
                <w:color w:val="auto"/>
              </w:rPr>
            </w:pPr>
          </w:p>
        </w:tc>
        <w:tc>
          <w:tcPr>
            <w:tcW w:w="5560" w:type="dxa"/>
            <w:vAlign w:val="bottom"/>
          </w:tcPr>
          <w:p>
            <w:pPr>
              <w:jc w:val="center"/>
              <w:ind w:right="3232"/>
              <w:spacing w:after="0"/>
              <w:rPr>
                <w:sz w:val="20"/>
                <w:szCs w:val="20"/>
                <w:color w:val="auto"/>
              </w:rPr>
            </w:pPr>
            <w:r>
              <w:rPr>
                <w:rFonts w:ascii="Arial" w:cs="Arial" w:eastAsia="Arial" w:hAnsi="Arial"/>
                <w:sz w:val="18"/>
                <w:szCs w:val="18"/>
                <w:color w:val="auto"/>
                <w:w w:val="97"/>
              </w:rPr>
              <w:t>Borsig Straße 18</w:t>
            </w:r>
          </w:p>
        </w:tc>
      </w:tr>
      <w:tr>
        <w:trPr>
          <w:trHeight w:val="238"/>
        </w:trPr>
        <w:tc>
          <w:tcPr>
            <w:tcW w:w="3160" w:type="dxa"/>
            <w:vAlign w:val="bottom"/>
          </w:tcPr>
          <w:p>
            <w:pPr>
              <w:spacing w:after="0"/>
              <w:rPr>
                <w:sz w:val="20"/>
                <w:szCs w:val="20"/>
                <w:color w:val="auto"/>
              </w:rPr>
            </w:pPr>
          </w:p>
        </w:tc>
        <w:tc>
          <w:tcPr>
            <w:tcW w:w="5560" w:type="dxa"/>
            <w:vAlign w:val="bottom"/>
          </w:tcPr>
          <w:p>
            <w:pPr>
              <w:jc w:val="center"/>
              <w:ind w:right="3232"/>
              <w:spacing w:after="0"/>
              <w:rPr>
                <w:sz w:val="20"/>
                <w:szCs w:val="20"/>
                <w:color w:val="auto"/>
              </w:rPr>
            </w:pPr>
            <w:r>
              <w:rPr>
                <w:rFonts w:ascii="Arial" w:cs="Arial" w:eastAsia="Arial" w:hAnsi="Arial"/>
                <w:sz w:val="18"/>
                <w:szCs w:val="18"/>
                <w:color w:val="auto"/>
                <w:w w:val="98"/>
              </w:rPr>
              <w:t>65025 Wiesbaden Germany</w:t>
            </w:r>
          </w:p>
        </w:tc>
      </w:tr>
      <w:tr>
        <w:trPr>
          <w:trHeight w:val="384"/>
        </w:trPr>
        <w:tc>
          <w:tcPr>
            <w:tcW w:w="3160" w:type="dxa"/>
            <w:vAlign w:val="bottom"/>
          </w:tcPr>
          <w:p>
            <w:pPr>
              <w:jc w:val="center"/>
              <w:spacing w:after="0"/>
              <w:rPr>
                <w:sz w:val="20"/>
                <w:szCs w:val="20"/>
                <w:color w:val="auto"/>
              </w:rPr>
            </w:pPr>
            <w:r>
              <w:rPr>
                <w:rFonts w:ascii="Arial" w:cs="Arial" w:eastAsia="Arial" w:hAnsi="Arial"/>
                <w:sz w:val="18"/>
                <w:szCs w:val="18"/>
                <w:color w:val="auto"/>
                <w:w w:val="98"/>
              </w:rPr>
              <w:t>- Hereinafter referred to as "Company" -</w:t>
            </w:r>
          </w:p>
        </w:tc>
        <w:tc>
          <w:tcPr>
            <w:tcW w:w="5560" w:type="dxa"/>
            <w:vAlign w:val="bottom"/>
          </w:tcPr>
          <w:p>
            <w:pPr>
              <w:jc w:val="center"/>
              <w:ind w:left="2032"/>
              <w:spacing w:after="0"/>
              <w:rPr>
                <w:sz w:val="20"/>
                <w:szCs w:val="20"/>
                <w:color w:val="auto"/>
              </w:rPr>
            </w:pPr>
            <w:r>
              <w:rPr>
                <w:rFonts w:ascii="Arial" w:cs="Arial" w:eastAsia="Arial" w:hAnsi="Arial"/>
                <w:sz w:val="18"/>
                <w:szCs w:val="18"/>
                <w:color w:val="auto"/>
                <w:w w:val="98"/>
              </w:rPr>
              <w:t>- im Folgenden „die Gesellschaft“ genannt –</w:t>
            </w:r>
          </w:p>
        </w:tc>
      </w:tr>
      <w:tr>
        <w:trPr>
          <w:trHeight w:val="371"/>
        </w:trPr>
        <w:tc>
          <w:tcPr>
            <w:tcW w:w="3160" w:type="dxa"/>
            <w:vAlign w:val="bottom"/>
          </w:tcPr>
          <w:p>
            <w:pPr>
              <w:jc w:val="center"/>
              <w:spacing w:after="0"/>
              <w:rPr>
                <w:sz w:val="20"/>
                <w:szCs w:val="20"/>
                <w:color w:val="auto"/>
              </w:rPr>
            </w:pPr>
            <w:r>
              <w:rPr>
                <w:rFonts w:ascii="Arial" w:cs="Arial" w:eastAsia="Arial" w:hAnsi="Arial"/>
                <w:sz w:val="18"/>
                <w:szCs w:val="18"/>
                <w:color w:val="auto"/>
                <w:w w:val="99"/>
              </w:rPr>
              <w:t>and</w:t>
            </w:r>
          </w:p>
        </w:tc>
        <w:tc>
          <w:tcPr>
            <w:tcW w:w="5560" w:type="dxa"/>
            <w:vAlign w:val="bottom"/>
          </w:tcPr>
          <w:p>
            <w:pPr>
              <w:jc w:val="center"/>
              <w:ind w:left="2032"/>
              <w:spacing w:after="0"/>
              <w:rPr>
                <w:sz w:val="20"/>
                <w:szCs w:val="20"/>
                <w:color w:val="auto"/>
              </w:rPr>
            </w:pPr>
            <w:r>
              <w:rPr>
                <w:rFonts w:ascii="Arial" w:cs="Arial" w:eastAsia="Arial" w:hAnsi="Arial"/>
                <w:sz w:val="18"/>
                <w:szCs w:val="18"/>
                <w:color w:val="auto"/>
                <w:w w:val="93"/>
              </w:rPr>
              <w:t>und</w:t>
            </w:r>
          </w:p>
        </w:tc>
      </w:tr>
    </w:tbl>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Stephan Becker</w:t>
      </w:r>
    </w:p>
    <w:p>
      <w:pPr>
        <w:spacing w:after="0" w:line="31"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[REDACTED]</w:t>
      </w:r>
    </w:p>
    <w:p>
      <w:pPr>
        <w:spacing w:after="0" w:line="168" w:lineRule="exact"/>
        <w:rPr>
          <w:sz w:val="20"/>
          <w:szCs w:val="20"/>
          <w:color w:val="auto"/>
        </w:rPr>
      </w:pPr>
    </w:p>
    <w:p>
      <w:pPr>
        <w:ind w:left="1100"/>
        <w:spacing w:after="0"/>
        <w:tabs>
          <w:tab w:leader="none" w:pos="6500" w:val="left"/>
        </w:tabs>
        <w:rPr>
          <w:sz w:val="20"/>
          <w:szCs w:val="20"/>
          <w:color w:val="auto"/>
        </w:rPr>
      </w:pPr>
      <w:r>
        <w:rPr>
          <w:rFonts w:ascii="Arial" w:cs="Arial" w:eastAsia="Arial" w:hAnsi="Arial"/>
          <w:sz w:val="18"/>
          <w:szCs w:val="18"/>
          <w:color w:val="auto"/>
        </w:rPr>
        <w:t>- Hereinafter referred to as "Employee" –</w:t>
      </w:r>
      <w:r>
        <w:rPr>
          <w:sz w:val="20"/>
          <w:szCs w:val="20"/>
          <w:color w:val="auto"/>
        </w:rPr>
        <w:tab/>
      </w:r>
      <w:r>
        <w:rPr>
          <w:rFonts w:ascii="Arial" w:cs="Arial" w:eastAsia="Arial" w:hAnsi="Arial"/>
          <w:sz w:val="17"/>
          <w:szCs w:val="17"/>
          <w:color w:val="auto"/>
        </w:rPr>
        <w:t>- im Folgenden „Arbeitnehmer“ genannt -</w:t>
      </w:r>
    </w:p>
    <w:p>
      <w:pPr>
        <w:sectPr>
          <w:pgSz w:w="11900" w:h="16838" w:orient="portrait"/>
          <w:cols w:equalWidth="0" w:num="1">
            <w:col w:w="11100"/>
          </w:cols>
          <w:pgMar w:left="460" w:top="1141" w:right="339" w:bottom="1440" w:gutter="0" w:footer="0" w:header="0"/>
        </w:sectPr>
      </w:pPr>
    </w:p>
    <w:p>
      <w:pPr>
        <w:spacing w:after="0" w:line="24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Sec. 1</w:t>
      </w:r>
    </w:p>
    <w:p>
      <w:pPr>
        <w:spacing w:after="0" w:line="204"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Start of employment, Duration</w:t>
      </w:r>
    </w:p>
    <w:p>
      <w:pPr>
        <w:spacing w:after="0" w:line="14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Employment Agreement shall commence on 1 October 2021 for an indefinite period of time.</w:t>
      </w:r>
    </w:p>
    <w:p>
      <w:pPr>
        <w:spacing w:after="0" w:line="218"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Sec. 2</w:t>
      </w:r>
    </w:p>
    <w:p>
      <w:pPr>
        <w:spacing w:after="0" w:line="217"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Company policies</w:t>
      </w:r>
    </w:p>
    <w:p>
      <w:pPr>
        <w:spacing w:after="0" w:line="173" w:lineRule="exact"/>
        <w:rPr>
          <w:sz w:val="20"/>
          <w:szCs w:val="20"/>
          <w:color w:val="auto"/>
        </w:rPr>
      </w:pPr>
    </w:p>
    <w:p>
      <w:pPr>
        <w:jc w:val="both"/>
        <w:ind w:left="40"/>
        <w:spacing w:after="0" w:line="262" w:lineRule="auto"/>
        <w:rPr>
          <w:sz w:val="20"/>
          <w:szCs w:val="20"/>
          <w:color w:val="auto"/>
        </w:rPr>
      </w:pPr>
      <w:r>
        <w:rPr>
          <w:rFonts w:ascii="Arial" w:cs="Arial" w:eastAsia="Arial" w:hAnsi="Arial"/>
          <w:sz w:val="18"/>
          <w:szCs w:val="18"/>
          <w:color w:val="auto"/>
        </w:rPr>
        <w:t>The currently applicable Company Policies of the Company and the Company Policies of Hy- draFacial &amp; The Beauty Health Company (based in U.S.) shall apply to the employment relationship (see attached). As far as this Em- ployment Agreement deviates from these com- pany policies, the deviating rules shall apply.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 1</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Beginn des Arbeitsverhältnisses, Dauer</w:t>
      </w:r>
    </w:p>
    <w:p>
      <w:pPr>
        <w:spacing w:after="0" w:line="17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Dieses Arbeitsverhältnis beginnt am 1. Oktober 2021 und ist unbefristet.</w:t>
      </w:r>
    </w:p>
    <w:p>
      <w:pPr>
        <w:spacing w:after="0" w:line="88"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 2</w:t>
      </w:r>
    </w:p>
    <w:p>
      <w:pPr>
        <w:spacing w:after="0" w:line="21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Betriebliche Richtlinien</w:t>
      </w:r>
    </w:p>
    <w:p>
      <w:pPr>
        <w:spacing w:after="0" w:line="173"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Auf das Arbeitsverhältnis finden die betrieblichen Richtlinien sowie die Richtlinien der HydraFacial &amp; The Beauty Health Company (U.S.) in der aktuell gültigen Fassung Anwendung (vgl. Anlage). Soweit in diesem Arbeitsvertrag von den Richtlinien abweichende Regelungen getroffen werden,</w:t>
      </w:r>
    </w:p>
    <w:p>
      <w:pPr>
        <w:spacing w:after="0"/>
        <w:rPr>
          <w:sz w:val="20"/>
          <w:szCs w:val="20"/>
          <w:color w:val="auto"/>
        </w:rPr>
      </w:pPr>
      <w:r>
        <w:rPr>
          <w:rFonts w:ascii="Arial" w:cs="Arial" w:eastAsia="Arial" w:hAnsi="Arial"/>
          <w:sz w:val="18"/>
          <w:szCs w:val="18"/>
          <w:color w:val="auto"/>
        </w:rPr>
        <w:t>gehen diese vor.</w:t>
      </w:r>
    </w:p>
    <w:p>
      <w:pPr>
        <w:sectPr>
          <w:pgSz w:w="11900" w:h="16838" w:orient="portrait"/>
          <w:cols w:equalWidth="0" w:num="2">
            <w:col w:w="5300" w:space="200"/>
            <w:col w:w="5600"/>
          </w:cols>
          <w:pgMar w:left="460" w:top="1141" w:right="339" w:bottom="1440" w:gutter="0" w:footer="0" w:header="0"/>
          <w:type w:val="continuous"/>
        </w:sectPr>
      </w:pPr>
    </w:p>
    <w:bookmarkStart w:id="168" w:name="page169"/>
    <w:bookmarkEnd w:id="168"/>
    <w:p>
      <w:pPr>
        <w:jc w:val="center"/>
        <w:ind w:left="46"/>
        <w:spacing w:after="0"/>
        <w:rPr>
          <w:sz w:val="20"/>
          <w:szCs w:val="20"/>
          <w:color w:val="auto"/>
        </w:rPr>
      </w:pPr>
      <w:r>
        <w:rPr>
          <w:rFonts w:ascii="Arial" w:cs="Arial" w:eastAsia="Arial" w:hAnsi="Arial"/>
          <w:sz w:val="18"/>
          <w:szCs w:val="18"/>
          <w:b w:val="1"/>
          <w:bCs w:val="1"/>
          <w:color w:val="auto"/>
        </w:rPr>
        <w:t>Sec. 3</w:t>
      </w:r>
    </w:p>
    <w:p>
      <w:pPr>
        <w:spacing w:after="0" w:line="257" w:lineRule="exact"/>
        <w:rPr>
          <w:sz w:val="20"/>
          <w:szCs w:val="20"/>
          <w:color w:val="auto"/>
        </w:rPr>
      </w:pPr>
    </w:p>
    <w:p>
      <w:pPr>
        <w:ind w:left="286"/>
        <w:spacing w:after="0"/>
        <w:rPr>
          <w:sz w:val="20"/>
          <w:szCs w:val="20"/>
          <w:color w:val="auto"/>
        </w:rPr>
      </w:pPr>
      <w:r>
        <w:rPr>
          <w:rFonts w:ascii="Arial" w:cs="Arial" w:eastAsia="Arial" w:hAnsi="Arial"/>
          <w:sz w:val="18"/>
          <w:szCs w:val="18"/>
          <w:b w:val="1"/>
          <w:bCs w:val="1"/>
          <w:color w:val="auto"/>
        </w:rPr>
        <w:t>Occupation / place of work / change of the place of work</w:t>
      </w:r>
    </w:p>
    <w:p>
      <w:pPr>
        <w:spacing w:after="0" w:line="177" w:lineRule="exact"/>
        <w:rPr>
          <w:sz w:val="20"/>
          <w:szCs w:val="20"/>
          <w:color w:val="auto"/>
        </w:rPr>
      </w:pPr>
    </w:p>
    <w:p>
      <w:pPr>
        <w:ind w:left="346" w:hanging="346"/>
        <w:spacing w:after="0"/>
        <w:tabs>
          <w:tab w:leader="none" w:pos="3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Employee shall work as </w:t>
      </w:r>
      <w:r>
        <w:rPr>
          <w:rFonts w:ascii="Arial" w:cs="Arial" w:eastAsia="Arial" w:hAnsi="Arial"/>
          <w:sz w:val="18"/>
          <w:szCs w:val="18"/>
          <w:b w:val="1"/>
          <w:bCs w:val="1"/>
          <w:color w:val="auto"/>
        </w:rPr>
        <w:t>President of EMEA</w:t>
      </w:r>
      <w:r>
        <w:rPr>
          <w:rFonts w:ascii="Arial" w:cs="Arial" w:eastAsia="Arial" w:hAnsi="Arial"/>
          <w:sz w:val="18"/>
          <w:szCs w:val="18"/>
          <w:color w:val="auto"/>
        </w:rPr>
        <w:t>.</w:t>
      </w:r>
    </w:p>
    <w:p>
      <w:pPr>
        <w:spacing w:after="0" w:line="292" w:lineRule="exact"/>
        <w:rPr>
          <w:sz w:val="20"/>
          <w:szCs w:val="20"/>
          <w:color w:val="auto"/>
        </w:rPr>
      </w:pPr>
    </w:p>
    <w:p>
      <w:pPr>
        <w:jc w:val="both"/>
        <w:ind w:left="386" w:right="20"/>
        <w:spacing w:after="0" w:line="262" w:lineRule="auto"/>
        <w:rPr>
          <w:sz w:val="20"/>
          <w:szCs w:val="20"/>
          <w:color w:val="auto"/>
        </w:rPr>
      </w:pPr>
      <w:r>
        <w:rPr>
          <w:rFonts w:ascii="Arial" w:cs="Arial" w:eastAsia="Arial" w:hAnsi="Arial"/>
          <w:sz w:val="18"/>
          <w:szCs w:val="18"/>
          <w:color w:val="auto"/>
        </w:rPr>
        <w:t>The Employee's supervisor is designated by the organisational chart effective at the Company. Due to the Employee's senior management position, he currently reports directly to Mr. Clint Carnell, CEO of Edge Systems LLC, d/b/a HydraFacial &amp; The Beauty Health Company.</w:t>
      </w:r>
    </w:p>
    <w:p>
      <w:pPr>
        <w:spacing w:after="0" w:line="195" w:lineRule="exact"/>
        <w:rPr>
          <w:sz w:val="20"/>
          <w:szCs w:val="20"/>
          <w:color w:val="auto"/>
        </w:rPr>
      </w:pPr>
    </w:p>
    <w:p>
      <w:pPr>
        <w:ind w:left="386" w:hanging="386"/>
        <w:spacing w:after="0" w:line="262" w:lineRule="auto"/>
        <w:tabs>
          <w:tab w:leader="none" w:pos="2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grants the Employee joint power or sole power of attorney. This power of attorney ("Prokura") may be re- voked or modified by the company at any time. The Employee shall not be entitled to the granting or unchanged continuation of a power of attorney. The Employee shall comply with the statutory limitations of the power of attorney and/or any limitations specified by the Company.</w:t>
      </w:r>
    </w:p>
    <w:p>
      <w:pPr>
        <w:spacing w:after="0" w:line="193" w:lineRule="exact"/>
        <w:rPr>
          <w:rFonts w:ascii="Arial" w:cs="Arial" w:eastAsia="Arial" w:hAnsi="Arial"/>
          <w:sz w:val="18"/>
          <w:szCs w:val="18"/>
          <w:color w:val="auto"/>
        </w:rPr>
      </w:pPr>
    </w:p>
    <w:p>
      <w:pPr>
        <w:ind w:left="386" w:hanging="386"/>
        <w:spacing w:after="0" w:line="266" w:lineRule="auto"/>
        <w:tabs>
          <w:tab w:leader="none" w:pos="2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main duties are set out in the job de- scription annexed to this contract (</w:t>
      </w:r>
      <w:r>
        <w:rPr>
          <w:rFonts w:ascii="Arial" w:cs="Arial" w:eastAsia="Arial" w:hAnsi="Arial"/>
          <w:sz w:val="18"/>
          <w:szCs w:val="18"/>
          <w:b w:val="1"/>
          <w:bCs w:val="1"/>
          <w:color w:val="auto"/>
        </w:rPr>
        <w:t>Annex 1</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346" w:hanging="346"/>
        <w:spacing w:after="0"/>
        <w:tabs>
          <w:tab w:leader="none" w:pos="3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place of employment is Wiesbaden, Germany.</w:t>
      </w:r>
    </w:p>
    <w:p>
      <w:pPr>
        <w:spacing w:after="0" w:line="217" w:lineRule="exact"/>
        <w:rPr>
          <w:rFonts w:ascii="Arial" w:cs="Arial" w:eastAsia="Arial" w:hAnsi="Arial"/>
          <w:sz w:val="18"/>
          <w:szCs w:val="18"/>
          <w:color w:val="auto"/>
        </w:rPr>
      </w:pPr>
    </w:p>
    <w:p>
      <w:pPr>
        <w:ind w:left="386" w:hanging="386"/>
        <w:spacing w:after="0" w:line="263" w:lineRule="auto"/>
        <w:tabs>
          <w:tab w:leader="none" w:pos="2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is entitled to require the Em- ployee to perform other work of equal value, which is suitable to his skills and qualifications while respecting the Em- ployee’s interests and without restricting his remuneration.</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18"/>
          <w:szCs w:val="18"/>
          <w:b w:val="1"/>
          <w:bCs w:val="1"/>
          <w:color w:val="auto"/>
        </w:rPr>
        <w:t>§ 3</w:t>
      </w:r>
    </w:p>
    <w:p>
      <w:pPr>
        <w:spacing w:after="0" w:line="257" w:lineRule="exact"/>
        <w:rPr>
          <w:sz w:val="20"/>
          <w:szCs w:val="20"/>
          <w:color w:val="auto"/>
        </w:rPr>
      </w:pPr>
    </w:p>
    <w:p>
      <w:pPr>
        <w:jc w:val="both"/>
        <w:ind w:left="20" w:right="460" w:firstLine="410"/>
        <w:spacing w:after="0" w:line="518" w:lineRule="auto"/>
        <w:rPr>
          <w:sz w:val="20"/>
          <w:szCs w:val="20"/>
          <w:color w:val="auto"/>
        </w:rPr>
      </w:pPr>
      <w:r>
        <w:rPr>
          <w:rFonts w:ascii="Arial" w:cs="Arial" w:eastAsia="Arial" w:hAnsi="Arial"/>
          <w:sz w:val="17"/>
          <w:szCs w:val="17"/>
          <w:b w:val="1"/>
          <w:bCs w:val="1"/>
          <w:color w:val="auto"/>
        </w:rPr>
        <w:t xml:space="preserve">Tätigkeit und Arbeitsort / Änderung des Arbeitsortes </w:t>
      </w:r>
      <w:r>
        <w:rPr>
          <w:rFonts w:ascii="Arial" w:cs="Arial" w:eastAsia="Arial" w:hAnsi="Arial"/>
          <w:sz w:val="17"/>
          <w:szCs w:val="17"/>
          <w:color w:val="auto"/>
        </w:rPr>
        <w:t xml:space="preserve">1. Der Arbeitnehmer wird als </w:t>
      </w:r>
      <w:r>
        <w:rPr>
          <w:rFonts w:ascii="Arial" w:cs="Arial" w:eastAsia="Arial" w:hAnsi="Arial"/>
          <w:sz w:val="17"/>
          <w:szCs w:val="17"/>
          <w:b w:val="1"/>
          <w:bCs w:val="1"/>
          <w:color w:val="auto"/>
        </w:rPr>
        <w:t>President of EMEA</w:t>
      </w:r>
      <w:r>
        <w:rPr>
          <w:rFonts w:ascii="Arial" w:cs="Arial" w:eastAsia="Arial" w:hAnsi="Arial"/>
          <w:sz w:val="17"/>
          <w:szCs w:val="17"/>
          <w:color w:val="auto"/>
        </w:rPr>
        <w:t xml:space="preserve"> eingestellt.</w:t>
      </w:r>
    </w:p>
    <w:p>
      <w:pPr>
        <w:spacing w:after="0" w:line="39" w:lineRule="exact"/>
        <w:rPr>
          <w:sz w:val="20"/>
          <w:szCs w:val="20"/>
          <w:color w:val="auto"/>
        </w:rPr>
      </w:pPr>
    </w:p>
    <w:p>
      <w:pPr>
        <w:jc w:val="both"/>
        <w:ind w:left="320"/>
        <w:spacing w:after="0" w:line="281" w:lineRule="auto"/>
        <w:rPr>
          <w:sz w:val="20"/>
          <w:szCs w:val="20"/>
          <w:color w:val="auto"/>
        </w:rPr>
      </w:pPr>
      <w:r>
        <w:rPr>
          <w:rFonts w:ascii="Arial" w:cs="Arial" w:eastAsia="Arial" w:hAnsi="Arial"/>
          <w:sz w:val="17"/>
          <w:szCs w:val="17"/>
          <w:color w:val="auto"/>
        </w:rPr>
        <w:t>Der Vorgesetzte des Arbeitnehmers ergibt sich aus dem jeweils bei der Gesellschaft gültigen Organisationsplan. Aufgrund der leitenden Tätigkeit des Arbeitnehmers ist er derzeit unmittelbar Herrn Clint Carnell, CEO of Edge Systems LLC, d/b/a HydraFacial &amp; The Beauty Health Company unterstellt.</w:t>
      </w:r>
    </w:p>
    <w:p>
      <w:pPr>
        <w:spacing w:after="0" w:line="181" w:lineRule="exact"/>
        <w:rPr>
          <w:sz w:val="20"/>
          <w:szCs w:val="20"/>
          <w:color w:val="auto"/>
        </w:rPr>
      </w:pPr>
    </w:p>
    <w:p>
      <w:pPr>
        <w:jc w:val="both"/>
        <w:ind w:left="320" w:right="20" w:hanging="310"/>
        <w:spacing w:after="0" w:line="279" w:lineRule="auto"/>
        <w:tabs>
          <w:tab w:leader="none" w:pos="389"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Dem Arbeitnehmer kann eine Gesamtprokura oder Einzelprokura erteilt werden. Diese kann von der Gesellschaft jederzeit widerrufen oder modifiziert werden. Der Arbeitnehmer hat keinen Anspruch auf Erteilung oder unveränderten Fortbestand einer Prokura. Er hat die gesetzlichen und / oder etwaig von der Gesellschaft mitgeteilten Beschränkungen der Vertretungsmacht zu beachten.</w:t>
      </w:r>
    </w:p>
    <w:p>
      <w:pPr>
        <w:spacing w:after="0" w:line="184" w:lineRule="exact"/>
        <w:rPr>
          <w:rFonts w:ascii="Arial" w:cs="Arial" w:eastAsia="Arial" w:hAnsi="Arial"/>
          <w:sz w:val="17"/>
          <w:szCs w:val="17"/>
          <w:color w:val="auto"/>
        </w:rPr>
      </w:pPr>
    </w:p>
    <w:p>
      <w:pPr>
        <w:ind w:left="320" w:right="20" w:hanging="310"/>
        <w:spacing w:after="0" w:line="266" w:lineRule="auto"/>
        <w:tabs>
          <w:tab w:leader="none" w:pos="256"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Die Einzelheiten der Tätigkeit ergeben sich aus der diesem Vertrag beigefügten Stellenbeschreibung (</w:t>
      </w:r>
      <w:r>
        <w:rPr>
          <w:rFonts w:ascii="Arial" w:cs="Arial" w:eastAsia="Arial" w:hAnsi="Arial"/>
          <w:sz w:val="18"/>
          <w:szCs w:val="18"/>
          <w:b w:val="1"/>
          <w:bCs w:val="1"/>
          <w:color w:val="auto"/>
        </w:rPr>
        <w:t>Anlage 1</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200" w:hanging="191"/>
        <w:spacing w:after="0"/>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Der Arbeitsort ist Wiesbaden, Deutschland.</w:t>
      </w:r>
    </w:p>
    <w:p>
      <w:pPr>
        <w:spacing w:after="0" w:line="243" w:lineRule="exact"/>
        <w:rPr>
          <w:rFonts w:ascii="Arial" w:cs="Arial" w:eastAsia="Arial" w:hAnsi="Arial"/>
          <w:sz w:val="18"/>
          <w:szCs w:val="18"/>
          <w:color w:val="auto"/>
        </w:rPr>
      </w:pPr>
    </w:p>
    <w:p>
      <w:pPr>
        <w:jc w:val="both"/>
        <w:ind w:left="320" w:right="20" w:hanging="310"/>
        <w:spacing w:after="0" w:line="262" w:lineRule="auto"/>
        <w:tabs>
          <w:tab w:leader="none" w:pos="2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Die Gesellschaft behält sich vor, dem Arbeitnehmer unter Wahrung von dessen Interessen und ohne Einschränkung seiner Vergütung eine andere gleichwertige Tätigkeit, zuzuweisen, die den Kenntnissen und Fähigkeiten des Arbeitnehmers entspricht.</w:t>
      </w:r>
    </w:p>
    <w:p>
      <w:pPr>
        <w:spacing w:after="0" w:line="155" w:lineRule="exact"/>
        <w:rPr>
          <w:sz w:val="20"/>
          <w:szCs w:val="20"/>
          <w:color w:val="auto"/>
        </w:rPr>
      </w:pPr>
    </w:p>
    <w:p>
      <w:pPr>
        <w:sectPr>
          <w:pgSz w:w="11900" w:h="16838" w:orient="portrait"/>
          <w:cols w:equalWidth="0" w:num="2">
            <w:col w:w="5266" w:space="200"/>
            <w:col w:w="5300"/>
          </w:cols>
          <w:pgMar w:left="494" w:top="1203" w:right="639" w:bottom="1440" w:gutter="0" w:footer="0" w:header="0"/>
        </w:sectPr>
      </w:pPr>
    </w:p>
    <w:p>
      <w:pPr>
        <w:ind w:left="6"/>
        <w:spacing w:after="0"/>
        <w:tabs>
          <w:tab w:leader="none" w:pos="326" w:val="left"/>
          <w:tab w:leader="none" w:pos="5466" w:val="left"/>
        </w:tabs>
        <w:rPr>
          <w:sz w:val="20"/>
          <w:szCs w:val="20"/>
          <w:color w:val="auto"/>
        </w:rPr>
      </w:pPr>
      <w:r>
        <w:rPr>
          <w:rFonts w:ascii="Arial" w:cs="Arial" w:eastAsia="Arial" w:hAnsi="Arial"/>
          <w:sz w:val="18"/>
          <w:szCs w:val="18"/>
          <w:color w:val="auto"/>
        </w:rPr>
        <w:t>6.</w:t>
        <w:tab/>
        <w:t>The position will require business travel.</w:t>
      </w:r>
      <w:r>
        <w:rPr>
          <w:sz w:val="20"/>
          <w:szCs w:val="20"/>
          <w:color w:val="auto"/>
        </w:rPr>
        <w:tab/>
      </w:r>
      <w:r>
        <w:rPr>
          <w:rFonts w:ascii="Arial" w:cs="Arial" w:eastAsia="Arial" w:hAnsi="Arial"/>
          <w:sz w:val="17"/>
          <w:szCs w:val="17"/>
          <w:color w:val="auto"/>
        </w:rPr>
        <w:t>6. Die Tätigkeit des Arbeitnehmers erfordert Geschäftsreisen.</w:t>
      </w:r>
    </w:p>
    <w:p>
      <w:pPr>
        <w:sectPr>
          <w:pgSz w:w="11900" w:h="16838" w:orient="portrait"/>
          <w:cols w:equalWidth="0" w:num="1">
            <w:col w:w="10766"/>
          </w:cols>
          <w:pgMar w:left="494" w:top="1203" w:right="639" w:bottom="1440" w:gutter="0" w:footer="0" w:header="0"/>
          <w:type w:val="continuous"/>
        </w:sectPr>
      </w:pPr>
    </w:p>
    <w:bookmarkStart w:id="169" w:name="page170"/>
    <w:bookmarkEnd w:id="169"/>
    <w:p>
      <w:pPr>
        <w:jc w:val="center"/>
        <w:ind w:left="46"/>
        <w:spacing w:after="0"/>
        <w:rPr>
          <w:sz w:val="20"/>
          <w:szCs w:val="20"/>
          <w:color w:val="auto"/>
        </w:rPr>
      </w:pPr>
      <w:r>
        <w:rPr>
          <w:rFonts w:ascii="Arial" w:cs="Arial" w:eastAsia="Arial" w:hAnsi="Arial"/>
          <w:sz w:val="18"/>
          <w:szCs w:val="18"/>
          <w:b w:val="1"/>
          <w:bCs w:val="1"/>
          <w:color w:val="auto"/>
        </w:rPr>
        <w:t>Sec. 4</w:t>
      </w:r>
    </w:p>
    <w:p>
      <w:pPr>
        <w:spacing w:after="0" w:line="230"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Working Hours / Overtime</w:t>
      </w:r>
    </w:p>
    <w:p>
      <w:pPr>
        <w:spacing w:after="0" w:line="160" w:lineRule="exact"/>
        <w:rPr>
          <w:sz w:val="20"/>
          <w:szCs w:val="20"/>
          <w:color w:val="auto"/>
        </w:rPr>
      </w:pPr>
    </w:p>
    <w:p>
      <w:pPr>
        <w:ind w:left="206" w:hanging="206"/>
        <w:spacing w:after="0"/>
        <w:tabs>
          <w:tab w:leader="none" w:pos="20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regular weekly working hours are 40 hours without breaks.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06" w:hanging="306"/>
        <w:spacing w:after="0" w:line="261" w:lineRule="auto"/>
        <w:tabs>
          <w:tab w:leader="none" w:pos="2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taking into account the Company’s respective operational require- ments as well as the Employee’s due inter-ests, shall determine the start and the end of the daily working hours as well as the breaks. Within the scope of the legal regu-lations, the Employee shall perform night work, weekend work and work on bank hol- idays if operational requirements necessi- tate this and there are no overriding inter- ests on the part of the Employee.</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326" w:right="20" w:hanging="326"/>
        <w:spacing w:after="0" w:line="262" w:lineRule="auto"/>
        <w:tabs>
          <w:tab w:leader="none" w:pos="20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the request of the Company, the Em- ployee shall be obliged to work overtime as far as is it permissible under the Working Hours Act (“</w:t>
      </w:r>
      <w:r>
        <w:rPr>
          <w:rFonts w:ascii="Arial" w:cs="Arial" w:eastAsia="Arial" w:hAnsi="Arial"/>
          <w:sz w:val="18"/>
          <w:szCs w:val="18"/>
          <w:i w:val="1"/>
          <w:iCs w:val="1"/>
          <w:color w:val="auto"/>
        </w:rPr>
        <w:t>Arbeitszeitgesetz</w:t>
      </w:r>
      <w:r>
        <w:rPr>
          <w:rFonts w:ascii="Arial" w:cs="Arial" w:eastAsia="Arial" w:hAnsi="Arial"/>
          <w:sz w:val="18"/>
          <w:szCs w:val="18"/>
          <w:color w:val="auto"/>
        </w:rPr>
        <w:t>”). With the payment of the remuneration according to Sec. 5, this Agreement shall compensate all activities of the Employee, including any overtime.</w:t>
      </w:r>
    </w:p>
    <w:p>
      <w:pPr>
        <w:spacing w:after="0" w:line="159" w:lineRule="exact"/>
        <w:rPr>
          <w:sz w:val="20"/>
          <w:szCs w:val="20"/>
          <w:color w:val="auto"/>
        </w:rPr>
      </w:pPr>
    </w:p>
    <w:p>
      <w:pPr>
        <w:ind w:left="2406"/>
        <w:spacing w:after="0"/>
        <w:rPr>
          <w:sz w:val="20"/>
          <w:szCs w:val="20"/>
          <w:color w:val="auto"/>
        </w:rPr>
      </w:pPr>
      <w:r>
        <w:rPr>
          <w:rFonts w:ascii="Arial" w:cs="Arial" w:eastAsia="Arial" w:hAnsi="Arial"/>
          <w:sz w:val="18"/>
          <w:szCs w:val="18"/>
          <w:b w:val="1"/>
          <w:bCs w:val="1"/>
          <w:color w:val="auto"/>
        </w:rPr>
        <w:t>Sec. 5</w:t>
      </w:r>
    </w:p>
    <w:p>
      <w:pPr>
        <w:spacing w:after="0" w:line="111" w:lineRule="exact"/>
        <w:rPr>
          <w:sz w:val="20"/>
          <w:szCs w:val="20"/>
          <w:color w:val="auto"/>
        </w:rPr>
      </w:pPr>
    </w:p>
    <w:p>
      <w:pPr>
        <w:ind w:left="2086"/>
        <w:spacing w:after="0"/>
        <w:rPr>
          <w:sz w:val="20"/>
          <w:szCs w:val="20"/>
          <w:color w:val="auto"/>
        </w:rPr>
      </w:pPr>
      <w:r>
        <w:rPr>
          <w:rFonts w:ascii="Arial" w:cs="Arial" w:eastAsia="Arial" w:hAnsi="Arial"/>
          <w:sz w:val="18"/>
          <w:szCs w:val="18"/>
          <w:b w:val="1"/>
          <w:bCs w:val="1"/>
          <w:color w:val="auto"/>
        </w:rPr>
        <w:t>Remuneration</w:t>
      </w:r>
    </w:p>
    <w:p>
      <w:pPr>
        <w:spacing w:after="0" w:line="160" w:lineRule="exact"/>
        <w:rPr>
          <w:sz w:val="20"/>
          <w:szCs w:val="20"/>
          <w:color w:val="auto"/>
        </w:rPr>
      </w:pPr>
    </w:p>
    <w:p>
      <w:pPr>
        <w:ind w:left="326" w:hanging="326"/>
        <w:spacing w:after="0" w:line="296" w:lineRule="auto"/>
        <w:tabs>
          <w:tab w:leader="none" w:pos="222"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Employee shall receive as remunera- tion for his work an annual salary of </w:t>
      </w:r>
      <w:r>
        <w:rPr>
          <w:rFonts w:ascii="Arial" w:cs="Arial" w:eastAsia="Arial" w:hAnsi="Arial"/>
          <w:sz w:val="17"/>
          <w:szCs w:val="17"/>
          <w:b w:val="1"/>
          <w:bCs w:val="1"/>
          <w:color w:val="auto"/>
        </w:rPr>
        <w:t>EUR 310,000.00</w:t>
      </w:r>
      <w:r>
        <w:rPr>
          <w:rFonts w:ascii="Arial" w:cs="Arial" w:eastAsia="Arial" w:hAnsi="Arial"/>
          <w:sz w:val="17"/>
          <w:szCs w:val="17"/>
          <w:color w:val="auto"/>
        </w:rPr>
        <w:t xml:space="preserve"> gross (the “</w:t>
      </w:r>
      <w:r>
        <w:rPr>
          <w:rFonts w:ascii="Arial" w:cs="Arial" w:eastAsia="Arial" w:hAnsi="Arial"/>
          <w:sz w:val="17"/>
          <w:szCs w:val="17"/>
          <w:b w:val="1"/>
          <w:bCs w:val="1"/>
          <w:color w:val="auto"/>
        </w:rPr>
        <w:t>Basic Sal- ary</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32" w:lineRule="exact"/>
        <w:rPr>
          <w:rFonts w:ascii="Arial" w:cs="Arial" w:eastAsia="Arial" w:hAnsi="Arial"/>
          <w:sz w:val="17"/>
          <w:szCs w:val="17"/>
          <w:color w:val="auto"/>
        </w:rPr>
      </w:pPr>
    </w:p>
    <w:p>
      <w:pPr>
        <w:ind w:left="326" w:hanging="326"/>
        <w:spacing w:after="0" w:line="254" w:lineRule="auto"/>
        <w:tabs>
          <w:tab w:leader="none" w:pos="1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Basic remuneration shall be payable in twelve equal parts to the Employee's ac- count at the end of each calendar month in arrears, net of any applicable taxes or charges under the laws of the Federal Re- public of Germany and in accordance with the Company’s standard payroll practices.</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8"/>
          <w:szCs w:val="18"/>
          <w:b w:val="1"/>
          <w:bCs w:val="1"/>
          <w:color w:val="auto"/>
        </w:rPr>
        <w:t>§ 4</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Arbeitszeit / Überstunden</w:t>
      </w:r>
    </w:p>
    <w:p>
      <w:pPr>
        <w:spacing w:after="0" w:line="160" w:lineRule="exact"/>
        <w:rPr>
          <w:sz w:val="20"/>
          <w:szCs w:val="20"/>
          <w:color w:val="auto"/>
        </w:rPr>
      </w:pPr>
    </w:p>
    <w:p>
      <w:pPr>
        <w:ind w:left="340" w:right="100" w:hanging="324"/>
        <w:spacing w:after="0" w:line="282" w:lineRule="auto"/>
        <w:rPr>
          <w:sz w:val="20"/>
          <w:szCs w:val="20"/>
          <w:color w:val="auto"/>
        </w:rPr>
      </w:pPr>
      <w:r>
        <w:rPr>
          <w:rFonts w:ascii="Arial" w:cs="Arial" w:eastAsia="Arial" w:hAnsi="Arial"/>
          <w:sz w:val="18"/>
          <w:szCs w:val="18"/>
          <w:color w:val="auto"/>
        </w:rPr>
        <w:t>1. Die</w:t>
      </w:r>
      <w:r>
        <w:rPr>
          <w:sz w:val="20"/>
          <w:szCs w:val="20"/>
          <w:color w:val="auto"/>
        </w:rPr>
        <w:t xml:space="preserve"> </w:t>
      </w:r>
      <w:r>
        <w:rPr>
          <w:rFonts w:ascii="Arial" w:cs="Arial" w:eastAsia="Arial" w:hAnsi="Arial"/>
          <w:sz w:val="18"/>
          <w:szCs w:val="18"/>
          <w:color w:val="auto"/>
        </w:rPr>
        <w:t>regelmäßige Wochenarbeitszeit beträgt ohne Pausen 40 Stunden.</w:t>
      </w:r>
    </w:p>
    <w:p>
      <w:pPr>
        <w:spacing w:after="0" w:line="189" w:lineRule="exact"/>
        <w:rPr>
          <w:sz w:val="20"/>
          <w:szCs w:val="20"/>
          <w:color w:val="auto"/>
        </w:rPr>
      </w:pPr>
    </w:p>
    <w:p>
      <w:pPr>
        <w:jc w:val="right"/>
        <w:ind w:left="320" w:right="40" w:hanging="310"/>
        <w:spacing w:after="0" w:line="261" w:lineRule="auto"/>
        <w:tabs>
          <w:tab w:leader="none" w:pos="241"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Beginn und Ende der täglichen Arbeitszeit sowie der Pausen werden durch die Gesellschaft entsprechend den jeweiligen betrieblichen   Erfordernissen   und   unter   angemessener</w:t>
      </w:r>
    </w:p>
    <w:p>
      <w:pPr>
        <w:jc w:val="both"/>
        <w:ind w:left="320" w:right="40"/>
        <w:spacing w:after="0" w:line="276" w:lineRule="auto"/>
        <w:rPr>
          <w:sz w:val="20"/>
          <w:szCs w:val="20"/>
          <w:color w:val="auto"/>
        </w:rPr>
      </w:pPr>
      <w:r>
        <w:rPr>
          <w:rFonts w:ascii="Arial" w:cs="Arial" w:eastAsia="Arial" w:hAnsi="Arial"/>
          <w:sz w:val="17"/>
          <w:szCs w:val="17"/>
          <w:color w:val="auto"/>
        </w:rPr>
        <w:t>Berücksichtigung der berechtigten Interessen des Arbeitnehmers festgelegt. Der Arbeitnehmer wird im Rahmen der gesetzlichen Bestimmungen auch Nacht-, Wochenend- und Feiertagsarbeit leisten, wenn die betrieblichen Belange dies</w:t>
      </w:r>
    </w:p>
    <w:p>
      <w:pPr>
        <w:spacing w:after="0" w:line="2" w:lineRule="exact"/>
        <w:rPr>
          <w:sz w:val="20"/>
          <w:szCs w:val="20"/>
          <w:color w:val="auto"/>
        </w:rPr>
      </w:pPr>
    </w:p>
    <w:p>
      <w:pPr>
        <w:ind w:left="320" w:right="60"/>
        <w:spacing w:after="0" w:line="266" w:lineRule="auto"/>
        <w:rPr>
          <w:sz w:val="20"/>
          <w:szCs w:val="20"/>
          <w:color w:val="auto"/>
        </w:rPr>
      </w:pPr>
      <w:r>
        <w:rPr>
          <w:rFonts w:ascii="Arial" w:cs="Arial" w:eastAsia="Arial" w:hAnsi="Arial"/>
          <w:sz w:val="18"/>
          <w:szCs w:val="18"/>
          <w:color w:val="auto"/>
        </w:rPr>
        <w:t>erfordern und keine überwiegenden Interessen des Arbeitnehmers entgegenstehen.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3. Der Arbeitnehmer ist verpflichtet, auf Weisung bis zu den</w:t>
      </w:r>
    </w:p>
    <w:p>
      <w:pPr>
        <w:spacing w:after="0" w:line="18" w:lineRule="exact"/>
        <w:rPr>
          <w:sz w:val="20"/>
          <w:szCs w:val="20"/>
          <w:color w:val="auto"/>
        </w:rPr>
      </w:pPr>
    </w:p>
    <w:p>
      <w:pPr>
        <w:jc w:val="both"/>
        <w:ind w:left="320" w:right="40"/>
        <w:spacing w:after="0" w:line="261" w:lineRule="auto"/>
        <w:rPr>
          <w:sz w:val="20"/>
          <w:szCs w:val="20"/>
          <w:color w:val="auto"/>
        </w:rPr>
      </w:pPr>
      <w:r>
        <w:rPr>
          <w:rFonts w:ascii="Arial" w:cs="Arial" w:eastAsia="Arial" w:hAnsi="Arial"/>
          <w:sz w:val="18"/>
          <w:szCs w:val="18"/>
          <w:color w:val="auto"/>
        </w:rPr>
        <w:t>einschlägigen gesetzlichen Grenzen des Arbeitszeitgesetzes Überstunden zu leisten. Mit der Zahlung der Vergütung nach § 5 ist jede Tätigkeit des</w:t>
      </w:r>
    </w:p>
    <w:p>
      <w:pPr>
        <w:ind w:left="320"/>
        <w:spacing w:after="0"/>
        <w:tabs>
          <w:tab w:leader="none" w:pos="1900" w:val="left"/>
          <w:tab w:leader="none" w:pos="2460" w:val="left"/>
        </w:tabs>
        <w:rPr>
          <w:sz w:val="20"/>
          <w:szCs w:val="20"/>
          <w:color w:val="auto"/>
        </w:rPr>
      </w:pPr>
      <w:r>
        <w:rPr>
          <w:rFonts w:ascii="Arial" w:cs="Arial" w:eastAsia="Arial" w:hAnsi="Arial"/>
          <w:sz w:val="18"/>
          <w:szCs w:val="18"/>
          <w:color w:val="auto"/>
        </w:rPr>
        <w:t>Arbeitnehmers,</w:t>
      </w:r>
      <w:r>
        <w:rPr>
          <w:sz w:val="20"/>
          <w:szCs w:val="20"/>
          <w:color w:val="auto"/>
        </w:rPr>
        <w:tab/>
      </w:r>
      <w:r>
        <w:rPr>
          <w:rFonts w:ascii="Arial" w:cs="Arial" w:eastAsia="Arial" w:hAnsi="Arial"/>
          <w:sz w:val="18"/>
          <w:szCs w:val="18"/>
          <w:color w:val="auto"/>
        </w:rPr>
        <w:t>auch</w:t>
      </w:r>
      <w:r>
        <w:rPr>
          <w:sz w:val="20"/>
          <w:szCs w:val="20"/>
          <w:color w:val="auto"/>
        </w:rPr>
        <w:tab/>
      </w:r>
      <w:r>
        <w:rPr>
          <w:rFonts w:ascii="Arial" w:cs="Arial" w:eastAsia="Arial" w:hAnsi="Arial"/>
          <w:sz w:val="17"/>
          <w:szCs w:val="17"/>
          <w:color w:val="auto"/>
        </w:rPr>
        <w:t>etwaige Überstunden, abgegolten.</w:t>
      </w:r>
    </w:p>
    <w:p>
      <w:pPr>
        <w:spacing w:after="0" w:line="248" w:lineRule="exact"/>
        <w:rPr>
          <w:sz w:val="20"/>
          <w:szCs w:val="20"/>
          <w:color w:val="auto"/>
        </w:rPr>
      </w:pPr>
    </w:p>
    <w:p>
      <w:pPr>
        <w:ind w:left="2640" w:hanging="141"/>
        <w:spacing w:after="0"/>
        <w:tabs>
          <w:tab w:leader="none" w:pos="264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5</w:t>
      </w:r>
    </w:p>
    <w:p>
      <w:pPr>
        <w:spacing w:after="0" w:line="203" w:lineRule="exact"/>
        <w:rPr>
          <w:rFonts w:ascii="Arial" w:cs="Arial" w:eastAsia="Arial" w:hAnsi="Arial"/>
          <w:sz w:val="18"/>
          <w:szCs w:val="18"/>
          <w:b w:val="1"/>
          <w:bCs w:val="1"/>
          <w:color w:val="auto"/>
        </w:rPr>
      </w:pPr>
    </w:p>
    <w:p>
      <w:pPr>
        <w:ind w:left="21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Vergütung</w:t>
      </w:r>
    </w:p>
    <w:p>
      <w:pPr>
        <w:spacing w:after="0" w:line="225" w:lineRule="exact"/>
        <w:rPr>
          <w:rFonts w:ascii="Arial" w:cs="Arial" w:eastAsia="Arial" w:hAnsi="Arial"/>
          <w:sz w:val="18"/>
          <w:szCs w:val="18"/>
          <w:b w:val="1"/>
          <w:bCs w:val="1"/>
          <w:color w:val="auto"/>
        </w:rPr>
      </w:pPr>
    </w:p>
    <w:p>
      <w:pPr>
        <w:jc w:val="both"/>
        <w:ind w:left="400" w:right="40" w:hanging="391"/>
        <w:spacing w:after="0" w:line="279" w:lineRule="auto"/>
        <w:tabs>
          <w:tab w:leader="none" w:pos="4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Der Arbeitnehmer erhält für seine Tätigkeit ein Bruttojahresgehalt in Höhe von </w:t>
      </w:r>
      <w:r>
        <w:rPr>
          <w:rFonts w:ascii="Arial" w:cs="Arial" w:eastAsia="Arial" w:hAnsi="Arial"/>
          <w:sz w:val="18"/>
          <w:szCs w:val="18"/>
          <w:b w:val="1"/>
          <w:bCs w:val="1"/>
          <w:color w:val="auto"/>
        </w:rPr>
        <w:t>EUR 310.000,00</w:t>
      </w:r>
      <w:r>
        <w:rPr>
          <w:rFonts w:ascii="Arial" w:cs="Arial" w:eastAsia="Arial" w:hAnsi="Arial"/>
          <w:sz w:val="18"/>
          <w:szCs w:val="18"/>
          <w:color w:val="auto"/>
        </w:rPr>
        <w:t xml:space="preserve"> („</w:t>
      </w:r>
      <w:r>
        <w:rPr>
          <w:rFonts w:ascii="Arial" w:cs="Arial" w:eastAsia="Arial" w:hAnsi="Arial"/>
          <w:sz w:val="18"/>
          <w:szCs w:val="18"/>
          <w:b w:val="1"/>
          <w:bCs w:val="1"/>
          <w:color w:val="auto"/>
        </w:rPr>
        <w:t>Grundgehalt</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00" w:right="40" w:hanging="391"/>
        <w:spacing w:after="0" w:line="255" w:lineRule="auto"/>
        <w:tabs>
          <w:tab w:leader="none" w:pos="2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Das Grundgehalt wird in zwölf gleichen Teilen jeweils zum Ende des Kalendermonats nach Abzug etwaig in der Bundesrepublik Deutschland anfallender gesetzlicher Steuern und Abgaben auf ein durch den Arbeitnehmer zu benennendes</w:t>
      </w:r>
    </w:p>
    <w:p>
      <w:pPr>
        <w:ind w:left="400"/>
        <w:spacing w:after="0" w:line="230" w:lineRule="auto"/>
        <w:rPr>
          <w:rFonts w:ascii="Arial" w:cs="Arial" w:eastAsia="Arial" w:hAnsi="Arial"/>
          <w:sz w:val="18"/>
          <w:szCs w:val="18"/>
          <w:color w:val="auto"/>
        </w:rPr>
      </w:pPr>
      <w:r>
        <w:rPr>
          <w:rFonts w:ascii="Arial" w:cs="Arial" w:eastAsia="Arial" w:hAnsi="Arial"/>
          <w:sz w:val="18"/>
          <w:szCs w:val="18"/>
          <w:color w:val="auto"/>
        </w:rPr>
        <w:t>Konto überwiesen unter Berücksichtigung der Abrechnungsparktiken der Gesellschaft.</w:t>
      </w:r>
    </w:p>
    <w:p>
      <w:pPr>
        <w:sectPr>
          <w:pgSz w:w="11900" w:h="16838" w:orient="portrait"/>
          <w:cols w:equalWidth="0" w:num="2">
            <w:col w:w="5266" w:space="200"/>
            <w:col w:w="5320"/>
          </w:cols>
          <w:pgMar w:left="494" w:top="1203" w:right="619" w:bottom="1440" w:gutter="0" w:footer="0" w:header="0"/>
        </w:sectPr>
      </w:pPr>
    </w:p>
    <w:bookmarkStart w:id="170" w:name="page171"/>
    <w:bookmarkEnd w:id="170"/>
    <w:p>
      <w:pPr>
        <w:spacing w:after="0" w:line="104" w:lineRule="exact"/>
        <w:rPr>
          <w:sz w:val="20"/>
          <w:szCs w:val="20"/>
          <w:color w:val="auto"/>
        </w:rPr>
      </w:pPr>
    </w:p>
    <w:p>
      <w:pPr>
        <w:ind w:left="326" w:hanging="326"/>
        <w:spacing w:after="0" w:line="263" w:lineRule="auto"/>
        <w:tabs>
          <w:tab w:leader="none" w:pos="2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Subject to the approval of HydraFacial &amp; The Beauty Health Company (“Parent Company”), the Company shall grant to the Employee an option (the "Option") to pur- chase </w:t>
      </w:r>
      <w:r>
        <w:rPr>
          <w:rFonts w:ascii="Arial" w:cs="Arial" w:eastAsia="Arial" w:hAnsi="Arial"/>
          <w:sz w:val="18"/>
          <w:szCs w:val="18"/>
          <w:b w:val="1"/>
          <w:bCs w:val="1"/>
          <w:color w:val="auto"/>
        </w:rPr>
        <w:t>372,000</w:t>
      </w:r>
      <w:r>
        <w:rPr>
          <w:rFonts w:ascii="Arial" w:cs="Arial" w:eastAsia="Arial" w:hAnsi="Arial"/>
          <w:sz w:val="18"/>
          <w:szCs w:val="18"/>
          <w:color w:val="auto"/>
        </w:rPr>
        <w:t xml:space="preserve"> shares of common stock of the Parent Company ("Shares").</w:t>
      </w:r>
    </w:p>
    <w:p>
      <w:pPr>
        <w:spacing w:after="0" w:line="192" w:lineRule="exact"/>
        <w:rPr>
          <w:sz w:val="20"/>
          <w:szCs w:val="20"/>
          <w:color w:val="auto"/>
        </w:rPr>
      </w:pPr>
    </w:p>
    <w:p>
      <w:pPr>
        <w:jc w:val="both"/>
        <w:ind w:left="326"/>
        <w:spacing w:after="0" w:line="263" w:lineRule="auto"/>
        <w:rPr>
          <w:sz w:val="20"/>
          <w:szCs w:val="20"/>
          <w:color w:val="auto"/>
        </w:rPr>
      </w:pPr>
      <w:r>
        <w:rPr>
          <w:rFonts w:ascii="Arial" w:cs="Arial" w:eastAsia="Arial" w:hAnsi="Arial"/>
          <w:sz w:val="18"/>
          <w:szCs w:val="18"/>
          <w:color w:val="auto"/>
        </w:rPr>
        <w:t>The Option shall have an exercise price per share equal to the Fair Market Value (as defined in the Plan) of a Share on the grant date.</w:t>
      </w:r>
    </w:p>
    <w:p>
      <w:pPr>
        <w:spacing w:after="0" w:line="194" w:lineRule="exact"/>
        <w:rPr>
          <w:sz w:val="20"/>
          <w:szCs w:val="20"/>
          <w:color w:val="auto"/>
        </w:rPr>
      </w:pPr>
    </w:p>
    <w:p>
      <w:pPr>
        <w:jc w:val="both"/>
        <w:ind w:left="326"/>
        <w:spacing w:after="0" w:line="263" w:lineRule="auto"/>
        <w:rPr>
          <w:sz w:val="20"/>
          <w:szCs w:val="20"/>
          <w:color w:val="auto"/>
        </w:rPr>
      </w:pPr>
      <w:r>
        <w:rPr>
          <w:rFonts w:ascii="Arial" w:cs="Arial" w:eastAsia="Arial" w:hAnsi="Arial"/>
          <w:sz w:val="18"/>
          <w:szCs w:val="18"/>
          <w:color w:val="auto"/>
        </w:rPr>
        <w:t>Twenty-five percent (25%) of the Shares subject to the Option will vest on each of the first four (4) anniversaries of the Effec-tive Date, subject to your continued em- ployment with the Company through the applicable vesting date.</w:t>
      </w:r>
    </w:p>
    <w:p>
      <w:pPr>
        <w:spacing w:after="0" w:line="200" w:lineRule="exact"/>
        <w:rPr>
          <w:sz w:val="20"/>
          <w:szCs w:val="20"/>
          <w:color w:val="auto"/>
        </w:rPr>
      </w:pPr>
    </w:p>
    <w:p>
      <w:pPr>
        <w:spacing w:after="0" w:line="204" w:lineRule="exact"/>
        <w:rPr>
          <w:sz w:val="20"/>
          <w:szCs w:val="20"/>
          <w:color w:val="auto"/>
        </w:rPr>
      </w:pPr>
    </w:p>
    <w:p>
      <w:pPr>
        <w:jc w:val="both"/>
        <w:ind w:left="326"/>
        <w:spacing w:after="0" w:line="261" w:lineRule="auto"/>
        <w:rPr>
          <w:sz w:val="20"/>
          <w:szCs w:val="20"/>
          <w:color w:val="auto"/>
        </w:rPr>
      </w:pPr>
      <w:r>
        <w:rPr>
          <w:rFonts w:ascii="Arial" w:cs="Arial" w:eastAsia="Arial" w:hAnsi="Arial"/>
          <w:sz w:val="18"/>
          <w:szCs w:val="18"/>
          <w:color w:val="auto"/>
        </w:rPr>
        <w:t xml:space="preserve">All rights and obligations in connection with the Option including the vesting, exercise and expiry of the Options and the govern- ing law shall be determined by the provi- sions of the Beauty Health Company 2021 Incentive Award Plan and an award agree- ment, substantially in the form attached hereto as </w:t>
      </w:r>
      <w:r>
        <w:rPr>
          <w:rFonts w:ascii="Arial" w:cs="Arial" w:eastAsia="Arial" w:hAnsi="Arial"/>
          <w:sz w:val="18"/>
          <w:szCs w:val="18"/>
          <w:b w:val="1"/>
          <w:bCs w:val="1"/>
          <w:color w:val="auto"/>
        </w:rPr>
        <w:t>Annex 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Option Agree- ment</w:t>
      </w:r>
      <w:r>
        <w:rPr>
          <w:rFonts w:ascii="Arial" w:cs="Arial" w:eastAsia="Arial" w:hAnsi="Arial"/>
          <w:sz w:val="18"/>
          <w:szCs w:val="18"/>
          <w:color w:val="auto"/>
        </w:rPr>
        <w:t>”), to be entered into between the Par- ent Company and the Employee, which will evidence the grant of the Option.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335" w:hanging="335"/>
        <w:spacing w:after="0" w:line="263" w:lineRule="auto"/>
        <w:tabs>
          <w:tab w:leader="none" w:pos="2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Vorbehaltlich der Zustimmung der HydraFacial &amp; The Beauty Health Company („Muttergesellschaft“) erhält der Arbeitnehmer </w:t>
      </w:r>
      <w:r>
        <w:rPr>
          <w:rFonts w:ascii="Arial" w:cs="Arial" w:eastAsia="Arial" w:hAnsi="Arial"/>
          <w:sz w:val="18"/>
          <w:szCs w:val="18"/>
          <w:b w:val="1"/>
          <w:bCs w:val="1"/>
          <w:color w:val="auto"/>
        </w:rPr>
        <w:t xml:space="preserve">372.000 </w:t>
      </w:r>
      <w:r>
        <w:rPr>
          <w:rFonts w:ascii="Arial" w:cs="Arial" w:eastAsia="Arial" w:hAnsi="Arial"/>
          <w:sz w:val="18"/>
          <w:szCs w:val="18"/>
          <w:color w:val="auto"/>
        </w:rPr>
        <w:t>Optionen („Option“) zum Erwerb von Stammaktien an</w:t>
      </w:r>
      <w:r>
        <w:rPr>
          <w:rFonts w:ascii="Arial" w:cs="Arial" w:eastAsia="Arial" w:hAnsi="Arial"/>
          <w:sz w:val="18"/>
          <w:szCs w:val="18"/>
          <w:b w:val="1"/>
          <w:bCs w:val="1"/>
          <w:color w:val="auto"/>
        </w:rPr>
        <w:t xml:space="preserve"> </w:t>
      </w:r>
      <w:r>
        <w:rPr>
          <w:rFonts w:ascii="Arial" w:cs="Arial" w:eastAsia="Arial" w:hAnsi="Arial"/>
          <w:sz w:val="18"/>
          <w:szCs w:val="18"/>
          <w:color w:val="auto"/>
        </w:rPr>
        <w:t>der Muttergesellschaft ("Aktien").</w:t>
      </w:r>
    </w:p>
    <w:p>
      <w:pPr>
        <w:spacing w:after="0" w:line="192" w:lineRule="exact"/>
        <w:rPr>
          <w:sz w:val="20"/>
          <w:szCs w:val="20"/>
          <w:color w:val="auto"/>
        </w:rPr>
      </w:pPr>
    </w:p>
    <w:p>
      <w:pPr>
        <w:jc w:val="both"/>
        <w:ind w:left="335" w:right="20"/>
        <w:spacing w:after="0" w:line="263" w:lineRule="auto"/>
        <w:rPr>
          <w:sz w:val="20"/>
          <w:szCs w:val="20"/>
          <w:color w:val="auto"/>
        </w:rPr>
      </w:pPr>
      <w:r>
        <w:rPr>
          <w:rFonts w:ascii="Arial" w:cs="Arial" w:eastAsia="Arial" w:hAnsi="Arial"/>
          <w:sz w:val="18"/>
          <w:szCs w:val="18"/>
          <w:color w:val="auto"/>
        </w:rPr>
        <w:t>Der Ausübungspreis der Optionen pro Aktie entspricht dem an dem Tag der Gewährung maßgeblichen Aktienmarktwert (wie im Plan definiert).</w:t>
      </w:r>
    </w:p>
    <w:p>
      <w:pPr>
        <w:spacing w:after="0" w:line="194" w:lineRule="exact"/>
        <w:rPr>
          <w:sz w:val="20"/>
          <w:szCs w:val="20"/>
          <w:color w:val="auto"/>
        </w:rPr>
      </w:pPr>
    </w:p>
    <w:p>
      <w:pPr>
        <w:jc w:val="both"/>
        <w:ind w:left="335"/>
        <w:spacing w:after="0" w:line="262" w:lineRule="auto"/>
        <w:rPr>
          <w:sz w:val="20"/>
          <w:szCs w:val="20"/>
          <w:color w:val="auto"/>
        </w:rPr>
      </w:pPr>
      <w:r>
        <w:rPr>
          <w:rFonts w:ascii="Arial" w:cs="Arial" w:eastAsia="Arial" w:hAnsi="Arial"/>
          <w:sz w:val="18"/>
          <w:szCs w:val="18"/>
          <w:color w:val="auto"/>
        </w:rPr>
        <w:t>Fünfundzwanzig Prozent (25 %) der Aktien, die der Option unterliegen, werden an jedem der ersten vier (4) Jahrestage des Bezugsdatums unverfallbar, vorausgesetzt, dass der Arbeitnehmer bis zum jeweiligen Unverfallbarkeitsdatum weiterhin bei der Gesellschaft beschäftigt sind.</w:t>
      </w:r>
    </w:p>
    <w:p>
      <w:pPr>
        <w:spacing w:after="0" w:line="182" w:lineRule="exact"/>
        <w:rPr>
          <w:sz w:val="20"/>
          <w:szCs w:val="20"/>
          <w:color w:val="auto"/>
        </w:rPr>
      </w:pPr>
    </w:p>
    <w:p>
      <w:pPr>
        <w:jc w:val="both"/>
        <w:ind w:left="335"/>
        <w:spacing w:after="0" w:line="259" w:lineRule="auto"/>
        <w:rPr>
          <w:sz w:val="20"/>
          <w:szCs w:val="20"/>
          <w:color w:val="auto"/>
        </w:rPr>
      </w:pPr>
      <w:r>
        <w:rPr>
          <w:rFonts w:ascii="Arial" w:cs="Arial" w:eastAsia="Arial" w:hAnsi="Arial"/>
          <w:sz w:val="18"/>
          <w:szCs w:val="18"/>
          <w:color w:val="auto"/>
        </w:rPr>
        <w:t xml:space="preserve">Alle Rechte und Pflichten im Zusammenhang mit den Optionen, einschließlich der Unverfallbarkeit, der Ausübung und des Verfalls der Optionen, sowie das anwendbare Recht richten sich nach den Bestimmungen des Beauty Health Company 2021 Incentive Award Plan und einer Zuteilungsvereinbarung, die im Wesentlichen in der als </w:t>
      </w:r>
      <w:r>
        <w:rPr>
          <w:rFonts w:ascii="Arial" w:cs="Arial" w:eastAsia="Arial" w:hAnsi="Arial"/>
          <w:sz w:val="18"/>
          <w:szCs w:val="18"/>
          <w:b w:val="1"/>
          <w:bCs w:val="1"/>
          <w:color w:val="auto"/>
        </w:rPr>
        <w:t>Anlage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 </w:t>
      </w:r>
      <w:r>
        <w:rPr>
          <w:rFonts w:ascii="Arial" w:cs="Arial" w:eastAsia="Arial" w:hAnsi="Arial"/>
          <w:sz w:val="18"/>
          <w:szCs w:val="18"/>
          <w:color w:val="auto"/>
        </w:rPr>
        <w:t>beigefügten Form (die</w:t>
      </w:r>
    </w:p>
    <w:p>
      <w:pPr>
        <w:spacing w:after="0" w:line="4" w:lineRule="exact"/>
        <w:rPr>
          <w:sz w:val="20"/>
          <w:szCs w:val="20"/>
          <w:color w:val="auto"/>
        </w:rPr>
      </w:pPr>
    </w:p>
    <w:p>
      <w:pPr>
        <w:jc w:val="both"/>
        <w:ind w:left="335" w:right="2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Optionsvereinbarung</w:t>
      </w:r>
      <w:r>
        <w:rPr>
          <w:rFonts w:ascii="Arial" w:cs="Arial" w:eastAsia="Arial" w:hAnsi="Arial"/>
          <w:sz w:val="18"/>
          <w:szCs w:val="18"/>
          <w:color w:val="auto"/>
        </w:rPr>
        <w:t>") zwischen der Muttergesellschaft und dem Mitarbeiter geschlossen wird und die Gewährung der Option nachweist.</w:t>
      </w:r>
    </w:p>
    <w:p>
      <w:pPr>
        <w:spacing w:after="0" w:line="169" w:lineRule="exact"/>
        <w:rPr>
          <w:sz w:val="20"/>
          <w:szCs w:val="20"/>
          <w:color w:val="auto"/>
        </w:rPr>
      </w:pPr>
    </w:p>
    <w:p>
      <w:pPr>
        <w:sectPr>
          <w:pgSz w:w="11900" w:h="16838" w:orient="portrait"/>
          <w:cols w:equalWidth="0" w:num="2">
            <w:col w:w="5266" w:space="205"/>
            <w:col w:w="5275"/>
          </w:cols>
          <w:pgMar w:left="494" w:top="1440" w:right="659" w:bottom="1440" w:gutter="0" w:footer="0" w:header="0"/>
        </w:sectPr>
      </w:pPr>
    </w:p>
    <w:p>
      <w:pPr>
        <w:ind w:left="326" w:hanging="326"/>
        <w:spacing w:after="0" w:line="257" w:lineRule="auto"/>
        <w:tabs>
          <w:tab w:leader="none" w:pos="2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the earliest possible date following Em- ployee’s start date and the filing of the Form S-8 relating to the Beauty Health Company 2021 Incentive Award Plan, the Company will grant Employee an award of</w:t>
      </w:r>
    </w:p>
    <w:p>
      <w:pPr>
        <w:spacing w:after="0" w:line="1" w:lineRule="exact"/>
        <w:rPr>
          <w:rFonts w:ascii="Arial" w:cs="Arial" w:eastAsia="Arial" w:hAnsi="Arial"/>
          <w:sz w:val="18"/>
          <w:szCs w:val="18"/>
          <w:color w:val="auto"/>
        </w:rPr>
      </w:pPr>
    </w:p>
    <w:p>
      <w:pPr>
        <w:ind w:left="326"/>
        <w:spacing w:after="0"/>
        <w:rPr>
          <w:rFonts w:ascii="Arial" w:cs="Arial" w:eastAsia="Arial" w:hAnsi="Arial"/>
          <w:sz w:val="18"/>
          <w:szCs w:val="18"/>
          <w:color w:val="auto"/>
        </w:rPr>
      </w:pPr>
      <w:r>
        <w:rPr>
          <w:rFonts w:ascii="Arial" w:cs="Arial" w:eastAsia="Arial" w:hAnsi="Arial"/>
          <w:sz w:val="18"/>
          <w:szCs w:val="18"/>
          <w:color w:val="auto"/>
        </w:rPr>
        <w:t>performance share units covering 50,000</w:t>
      </w:r>
    </w:p>
    <w:p>
      <w:pPr>
        <w:spacing w:after="0" w:line="20" w:lineRule="exact"/>
        <w:rPr>
          <w:sz w:val="20"/>
          <w:szCs w:val="20"/>
          <w:color w:val="auto"/>
        </w:rPr>
      </w:pPr>
      <w:r>
        <w:rPr>
          <w:sz w:val="20"/>
          <w:szCs w:val="20"/>
          <w:color w:val="auto"/>
        </w:rPr>
        <w:br w:type="column"/>
      </w:r>
    </w:p>
    <w:p>
      <w:pPr>
        <w:ind w:left="316" w:hanging="316"/>
        <w:spacing w:after="0" w:line="257" w:lineRule="auto"/>
        <w:tabs>
          <w:tab w:leader="none" w:pos="2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Zum frühestmöglichen Zeitpunkt nach dem Eintrittsdatum des Arbeitnehmers und der Einreichung des Formulars S-8 in Bezug auf den Beauty Health Company 2021 Incentive Award Plan wird die Gesellschaft</w:t>
      </w:r>
    </w:p>
    <w:p>
      <w:pPr>
        <w:spacing w:after="0" w:line="1" w:lineRule="exact"/>
        <w:rPr>
          <w:rFonts w:ascii="Arial" w:cs="Arial" w:eastAsia="Arial" w:hAnsi="Arial"/>
          <w:sz w:val="18"/>
          <w:szCs w:val="18"/>
          <w:color w:val="auto"/>
        </w:rPr>
      </w:pPr>
    </w:p>
    <w:p>
      <w:pPr>
        <w:ind w:left="336"/>
        <w:spacing w:after="0"/>
        <w:rPr>
          <w:rFonts w:ascii="Arial" w:cs="Arial" w:eastAsia="Arial" w:hAnsi="Arial"/>
          <w:sz w:val="18"/>
          <w:szCs w:val="18"/>
          <w:color w:val="auto"/>
        </w:rPr>
      </w:pPr>
      <w:r>
        <w:rPr>
          <w:rFonts w:ascii="Arial" w:cs="Arial" w:eastAsia="Arial" w:hAnsi="Arial"/>
          <w:sz w:val="18"/>
          <w:szCs w:val="18"/>
          <w:color w:val="auto"/>
        </w:rPr>
        <w:t>dem Mitarbeiter gemäß dem Beauty Health</w:t>
      </w:r>
    </w:p>
    <w:p>
      <w:pPr>
        <w:sectPr>
          <w:pgSz w:w="11900" w:h="16838" w:orient="portrait"/>
          <w:cols w:equalWidth="0" w:num="2">
            <w:col w:w="5266" w:space="204"/>
            <w:col w:w="5276"/>
          </w:cols>
          <w:pgMar w:left="494" w:top="1440" w:right="659" w:bottom="1440" w:gutter="0" w:footer="0" w:header="0"/>
          <w:type w:val="continuous"/>
        </w:sectPr>
      </w:pPr>
    </w:p>
    <w:bookmarkStart w:id="171" w:name="page172"/>
    <w:bookmarkEnd w:id="171"/>
    <w:p>
      <w:pPr>
        <w:spacing w:after="0" w:line="66" w:lineRule="exact"/>
        <w:rPr>
          <w:sz w:val="20"/>
          <w:szCs w:val="20"/>
          <w:color w:val="auto"/>
        </w:rPr>
      </w:pPr>
    </w:p>
    <w:p>
      <w:pPr>
        <w:jc w:val="both"/>
        <w:ind w:left="420"/>
        <w:spacing w:after="0" w:line="262" w:lineRule="auto"/>
        <w:rPr>
          <w:sz w:val="20"/>
          <w:szCs w:val="20"/>
          <w:color w:val="auto"/>
        </w:rPr>
      </w:pPr>
      <w:r>
        <w:rPr>
          <w:rFonts w:ascii="Arial" w:cs="Arial" w:eastAsia="Arial" w:hAnsi="Arial"/>
          <w:sz w:val="18"/>
          <w:szCs w:val="18"/>
          <w:color w:val="auto"/>
        </w:rPr>
        <w:t xml:space="preserve">shares of the Beauty Health Company common stock (“PSUs”) under the Beauty Health Company 2021 Incentive Award Plan. The PSUs will be subject to the terms and conditions (including vesting condi- tions set forth in the Incentive Plan and award agreement) substantially in the form of the attached as </w:t>
      </w:r>
      <w:r>
        <w:rPr>
          <w:rFonts w:ascii="Arial" w:cs="Arial" w:eastAsia="Arial" w:hAnsi="Arial"/>
          <w:sz w:val="18"/>
          <w:szCs w:val="18"/>
          <w:b w:val="1"/>
          <w:bCs w:val="1"/>
          <w:color w:val="auto"/>
        </w:rPr>
        <w:t>Annex 3</w:t>
      </w:r>
      <w:r>
        <w:rPr>
          <w:rFonts w:ascii="Arial" w:cs="Arial" w:eastAsia="Arial" w:hAnsi="Arial"/>
          <w:sz w:val="18"/>
          <w:szCs w:val="18"/>
          <w:color w:val="auto"/>
        </w:rPr>
        <w:t>, to be entered into between the Company and the Em- ployee.</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7"/>
          <w:szCs w:val="17"/>
          <w:color w:val="auto"/>
        </w:rPr>
        <w:t>Company 2021 Incentive Award Plan Performance Share Units für 50.000 Stammaktien der Beauty Health Company ("PSUs") zuteilen. Die PSUs unterliegen den Bedingungen (einschließlich der Unverfallbarkeitsbedingungen, die im Incentive-Plan und</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der Prämienvereinbarung festgelegt sind), die im Wesentlichen in der als </w:t>
      </w:r>
      <w:r>
        <w:rPr>
          <w:rFonts w:ascii="Arial" w:cs="Arial" w:eastAsia="Arial" w:hAnsi="Arial"/>
          <w:sz w:val="18"/>
          <w:szCs w:val="18"/>
          <w:b w:val="1"/>
          <w:bCs w:val="1"/>
          <w:color w:val="auto"/>
        </w:rPr>
        <w:t>Anlage 3</w:t>
      </w:r>
      <w:r>
        <w:rPr>
          <w:rFonts w:ascii="Arial" w:cs="Arial" w:eastAsia="Arial" w:hAnsi="Arial"/>
          <w:sz w:val="18"/>
          <w:szCs w:val="18"/>
          <w:color w:val="auto"/>
        </w:rPr>
        <w:t xml:space="preserve"> beigefügten Form zwischen der Gesellschaft und dem Arbeitnehmer abgeschlossen werden.</w:t>
      </w:r>
    </w:p>
    <w:p>
      <w:pPr>
        <w:spacing w:after="0" w:line="200" w:lineRule="exact"/>
        <w:rPr>
          <w:sz w:val="20"/>
          <w:szCs w:val="20"/>
          <w:color w:val="auto"/>
        </w:rPr>
      </w:pPr>
    </w:p>
    <w:p>
      <w:pPr>
        <w:sectPr>
          <w:pgSz w:w="11900" w:h="16838" w:orient="portrait"/>
          <w:cols w:equalWidth="0" w:num="2">
            <w:col w:w="5540" w:space="460"/>
            <w:col w:w="5000"/>
          </w:cols>
          <w:pgMar w:left="380" w:top="1424" w:right="519" w:bottom="1440" w:gutter="0" w:footer="0" w:header="0"/>
        </w:sectPr>
      </w:pPr>
    </w:p>
    <w:p>
      <w:pPr>
        <w:spacing w:after="0" w:line="85" w:lineRule="exact"/>
        <w:rPr>
          <w:sz w:val="20"/>
          <w:szCs w:val="20"/>
          <w:color w:val="auto"/>
        </w:rPr>
      </w:pPr>
    </w:p>
    <w:p>
      <w:pPr>
        <w:ind w:left="340" w:hanging="333"/>
        <w:spacing w:after="0" w:line="261" w:lineRule="auto"/>
        <w:tabs>
          <w:tab w:leader="none" w:pos="2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addition, during each fiscal year of em- ployment with the Company, beginning in 2022, Employee will be eligible for one or more grants of long-term incentive awards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 The amount, type and terms and conditions (including vesting condi-tions) of any such Award shall be deter- mined by the Compensation Committee of the Parent Company in its sole discretion. Each Award will be subject to the terms and conditions of the Incentive Plan and an award agreement entered into between the Parent Company and the Employee, which will evidence the grant of the Award.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right"/>
        <w:ind w:left="328" w:right="120" w:hanging="328"/>
        <w:spacing w:after="0" w:line="261" w:lineRule="auto"/>
        <w:tabs>
          <w:tab w:leader="none" w:pos="2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Darüber hinaus hat der Arbeitnehmer in jedem Geschäftsjahr seiner Beschäftigung bei der Gesellschaft, beginnend im Jahr</w:t>
      </w:r>
    </w:p>
    <w:p>
      <w:pPr>
        <w:jc w:val="both"/>
        <w:ind w:left="328" w:right="140"/>
        <w:spacing w:after="0" w:line="261" w:lineRule="auto"/>
        <w:rPr>
          <w:rFonts w:ascii="Arial" w:cs="Arial" w:eastAsia="Arial" w:hAnsi="Arial"/>
          <w:sz w:val="18"/>
          <w:szCs w:val="18"/>
          <w:color w:val="auto"/>
        </w:rPr>
      </w:pPr>
      <w:r>
        <w:rPr>
          <w:rFonts w:ascii="Arial" w:cs="Arial" w:eastAsia="Arial" w:hAnsi="Arial"/>
          <w:sz w:val="18"/>
          <w:szCs w:val="18"/>
          <w:color w:val="auto"/>
        </w:rPr>
        <w:t>2022, Anspruch auf eine oder mehrere Zuteilungen von langfristigen Anreizprämien ("</w:t>
      </w:r>
      <w:r>
        <w:rPr>
          <w:rFonts w:ascii="Arial" w:cs="Arial" w:eastAsia="Arial" w:hAnsi="Arial"/>
          <w:sz w:val="18"/>
          <w:szCs w:val="18"/>
          <w:b w:val="1"/>
          <w:bCs w:val="1"/>
          <w:i w:val="1"/>
          <w:iCs w:val="1"/>
          <w:color w:val="auto"/>
        </w:rPr>
        <w:t>Prämien</w:t>
      </w:r>
      <w:r>
        <w:rPr>
          <w:rFonts w:ascii="Arial" w:cs="Arial" w:eastAsia="Arial" w:hAnsi="Arial"/>
          <w:sz w:val="18"/>
          <w:szCs w:val="18"/>
          <w:color w:val="auto"/>
        </w:rPr>
        <w:t>").</w:t>
      </w:r>
    </w:p>
    <w:p>
      <w:pPr>
        <w:jc w:val="both"/>
        <w:ind w:left="328" w:right="120"/>
        <w:spacing w:after="0" w:line="276" w:lineRule="auto"/>
        <w:rPr>
          <w:sz w:val="20"/>
          <w:szCs w:val="20"/>
          <w:color w:val="auto"/>
        </w:rPr>
      </w:pPr>
      <w:r>
        <w:rPr>
          <w:rFonts w:ascii="Arial" w:cs="Arial" w:eastAsia="Arial" w:hAnsi="Arial"/>
          <w:sz w:val="17"/>
          <w:szCs w:val="17"/>
          <w:color w:val="auto"/>
        </w:rPr>
        <w:t>Der Prämienbetrag, die Art und die Bedingungen (einschließlich der Unverfallbarkeitsbedingungen) einer solchen Prämie</w:t>
      </w:r>
    </w:p>
    <w:p>
      <w:pPr>
        <w:spacing w:after="0" w:line="1" w:lineRule="exact"/>
        <w:rPr>
          <w:sz w:val="20"/>
          <w:szCs w:val="20"/>
          <w:color w:val="auto"/>
        </w:rPr>
      </w:pPr>
    </w:p>
    <w:p>
      <w:pPr>
        <w:jc w:val="both"/>
        <w:ind w:left="328" w:right="140"/>
        <w:spacing w:after="0" w:line="262" w:lineRule="auto"/>
        <w:rPr>
          <w:sz w:val="20"/>
          <w:szCs w:val="20"/>
          <w:color w:val="auto"/>
        </w:rPr>
      </w:pPr>
      <w:r>
        <w:rPr>
          <w:rFonts w:ascii="Arial" w:cs="Arial" w:eastAsia="Arial" w:hAnsi="Arial"/>
          <w:sz w:val="18"/>
          <w:szCs w:val="18"/>
          <w:color w:val="auto"/>
        </w:rPr>
        <w:t>werden vom Vergütungsausschuss der Muttergesellschaft nach seinem alleinigen Ermessen festgelegt. Jede Prämie unterliegt den Bedingungen des Incentive- Plans und einer zwischen der Muttergesellschaft und dem Arbeitnehmer abgeschlossenen Prämienvereinbarung, die die Gewährung der Prämie belegt.</w:t>
      </w:r>
    </w:p>
    <w:p>
      <w:pPr>
        <w:spacing w:after="0" w:line="195" w:lineRule="exact"/>
        <w:rPr>
          <w:sz w:val="20"/>
          <w:szCs w:val="20"/>
          <w:color w:val="auto"/>
        </w:rPr>
      </w:pPr>
    </w:p>
    <w:p>
      <w:pPr>
        <w:sectPr>
          <w:pgSz w:w="11900" w:h="16838" w:orient="portrait"/>
          <w:cols w:equalWidth="0" w:num="2">
            <w:col w:w="5340" w:space="192"/>
            <w:col w:w="5468"/>
          </w:cols>
          <w:pgMar w:left="380" w:top="1424" w:right="519" w:bottom="1440" w:gutter="0" w:footer="0" w:header="0"/>
          <w:type w:val="continuous"/>
        </w:sectPr>
      </w:pPr>
    </w:p>
    <w:p>
      <w:pPr>
        <w:ind w:left="340" w:hanging="333"/>
        <w:spacing w:after="0" w:line="262" w:lineRule="auto"/>
        <w:tabs>
          <w:tab w:leader="none" w:pos="2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Employee shall be subject to the Com- pany's Executive Severance Plan ("Sever- ance Plan") (</w:t>
      </w:r>
      <w:r>
        <w:rPr>
          <w:rFonts w:ascii="Arial" w:cs="Arial" w:eastAsia="Arial" w:hAnsi="Arial"/>
          <w:sz w:val="18"/>
          <w:szCs w:val="18"/>
          <w:b w:val="1"/>
          <w:bCs w:val="1"/>
          <w:color w:val="auto"/>
        </w:rPr>
        <w:t>Annex 4</w:t>
      </w:r>
      <w:r>
        <w:rPr>
          <w:rFonts w:ascii="Arial" w:cs="Arial" w:eastAsia="Arial" w:hAnsi="Arial"/>
          <w:sz w:val="18"/>
          <w:szCs w:val="18"/>
          <w:color w:val="auto"/>
        </w:rPr>
        <w:t>). This entitles the Employee to a severance payment under the terms of the Severance Plan in the event of a Qualifying Termination or a Change-in-Control Termination, as each is defined in the Severance Plan.</w:t>
      </w:r>
    </w:p>
    <w:p>
      <w:pPr>
        <w:spacing w:after="0" w:line="20" w:lineRule="exact"/>
        <w:rPr>
          <w:sz w:val="20"/>
          <w:szCs w:val="20"/>
          <w:color w:val="auto"/>
        </w:rPr>
      </w:pPr>
      <w:r>
        <w:rPr>
          <w:sz w:val="20"/>
          <w:szCs w:val="20"/>
          <w:color w:val="auto"/>
        </w:rPr>
        <w:br w:type="column"/>
      </w:r>
    </w:p>
    <w:p>
      <w:pPr>
        <w:jc w:val="both"/>
        <w:ind w:left="328" w:right="140" w:hanging="328"/>
        <w:spacing w:after="0" w:line="261" w:lineRule="auto"/>
        <w:tabs>
          <w:tab w:leader="none" w:pos="3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Auf den Arbeitnehmer findet der Abfindungsplans für Führungskräfte der Gesellschaft ("Abfindungsplan") (</w:t>
      </w:r>
      <w:r>
        <w:rPr>
          <w:rFonts w:ascii="Arial" w:cs="Arial" w:eastAsia="Arial" w:hAnsi="Arial"/>
          <w:sz w:val="18"/>
          <w:szCs w:val="18"/>
          <w:b w:val="1"/>
          <w:bCs w:val="1"/>
          <w:color w:val="auto"/>
        </w:rPr>
        <w:t>Anlage 4</w:t>
      </w:r>
      <w:r>
        <w:rPr>
          <w:rFonts w:ascii="Arial" w:cs="Arial" w:eastAsia="Arial" w:hAnsi="Arial"/>
          <w:sz w:val="18"/>
          <w:szCs w:val="18"/>
          <w:color w:val="auto"/>
        </w:rPr>
        <w:t>) Anwendung. Damit hat der Arbeitnehmer Anspruch auf eine</w:t>
      </w:r>
    </w:p>
    <w:p>
      <w:pPr>
        <w:jc w:val="both"/>
        <w:ind w:left="328" w:right="140"/>
        <w:spacing w:after="0" w:line="283" w:lineRule="auto"/>
        <w:rPr>
          <w:rFonts w:ascii="Arial" w:cs="Arial" w:eastAsia="Arial" w:hAnsi="Arial"/>
          <w:sz w:val="18"/>
          <w:szCs w:val="18"/>
          <w:color w:val="auto"/>
        </w:rPr>
      </w:pPr>
      <w:r>
        <w:rPr>
          <w:rFonts w:ascii="Arial" w:cs="Arial" w:eastAsia="Arial" w:hAnsi="Arial"/>
          <w:sz w:val="17"/>
          <w:szCs w:val="17"/>
          <w:color w:val="auto"/>
        </w:rPr>
        <w:t>Abfindungszahlung nach den Regelungen des Abfindungsplans, wenn eine qualifizierte Kündigung („Qualifying Termination”) oder einer Change-in- Control Kündigung („CIC Termination”), wie im Abfindungsplan definiert, vorliegt.</w:t>
      </w:r>
    </w:p>
    <w:p>
      <w:pPr>
        <w:spacing w:after="0" w:line="138" w:lineRule="exact"/>
        <w:rPr>
          <w:sz w:val="20"/>
          <w:szCs w:val="20"/>
          <w:color w:val="auto"/>
        </w:rPr>
      </w:pPr>
    </w:p>
    <w:p>
      <w:pPr>
        <w:sectPr>
          <w:pgSz w:w="11900" w:h="16838" w:orient="portrait"/>
          <w:cols w:equalWidth="0" w:num="2">
            <w:col w:w="5320" w:space="212"/>
            <w:col w:w="5468"/>
          </w:cols>
          <w:pgMar w:left="380" w:top="1424" w:right="519" w:bottom="1440" w:gutter="0" w:footer="0" w:header="0"/>
          <w:type w:val="continuous"/>
        </w:sectPr>
      </w:pPr>
    </w:p>
    <w:p>
      <w:pPr>
        <w:spacing w:after="0"/>
        <w:tabs>
          <w:tab w:leader="none" w:pos="5520" w:val="left"/>
        </w:tabs>
        <w:rPr>
          <w:sz w:val="20"/>
          <w:szCs w:val="20"/>
          <w:color w:val="auto"/>
        </w:rPr>
      </w:pPr>
      <w:r>
        <w:rPr>
          <w:rFonts w:ascii="Arial" w:cs="Arial" w:eastAsia="Arial" w:hAnsi="Arial"/>
          <w:sz w:val="18"/>
          <w:szCs w:val="18"/>
          <w:color w:val="auto"/>
        </w:rPr>
        <w:t>9. The Employee agrees and undertakes to pay back to the</w:t>
      </w:r>
      <w:r>
        <w:rPr>
          <w:sz w:val="20"/>
          <w:szCs w:val="20"/>
          <w:color w:val="auto"/>
        </w:rPr>
        <w:tab/>
      </w:r>
      <w:r>
        <w:rPr>
          <w:rFonts w:ascii="Arial" w:cs="Arial" w:eastAsia="Arial" w:hAnsi="Arial"/>
          <w:sz w:val="17"/>
          <w:szCs w:val="17"/>
          <w:color w:val="auto"/>
        </w:rPr>
        <w:t>9. Der Arbeitnehmer verpflichtet sich, eine ihm zu Unrecht gezahlte</w:t>
      </w:r>
    </w:p>
    <w:p>
      <w:pPr>
        <w:spacing w:after="0" w:line="58" w:lineRule="exact"/>
        <w:rPr>
          <w:sz w:val="20"/>
          <w:szCs w:val="20"/>
          <w:color w:val="auto"/>
        </w:rPr>
      </w:pPr>
    </w:p>
    <w:p>
      <w:pPr>
        <w:ind w:left="380"/>
        <w:spacing w:after="0"/>
        <w:tabs>
          <w:tab w:leader="none" w:pos="5900" w:val="left"/>
        </w:tabs>
        <w:rPr>
          <w:sz w:val="20"/>
          <w:szCs w:val="20"/>
          <w:color w:val="auto"/>
        </w:rPr>
      </w:pPr>
      <w:r>
        <w:rPr>
          <w:rFonts w:ascii="Arial" w:cs="Arial" w:eastAsia="Arial" w:hAnsi="Arial"/>
          <w:sz w:val="18"/>
          <w:szCs w:val="18"/>
          <w:color w:val="auto"/>
        </w:rPr>
        <w:t>Company any excess pay- ment of the remuneration.</w:t>
      </w:r>
      <w:r>
        <w:rPr>
          <w:sz w:val="20"/>
          <w:szCs w:val="20"/>
          <w:color w:val="auto"/>
        </w:rPr>
        <w:tab/>
      </w:r>
      <w:r>
        <w:rPr>
          <w:rFonts w:ascii="Arial" w:cs="Arial" w:eastAsia="Arial" w:hAnsi="Arial"/>
          <w:sz w:val="17"/>
          <w:szCs w:val="17"/>
          <w:color w:val="auto"/>
        </w:rPr>
        <w:t>Vergütung an die Gesellschaft zurückzuzahlen.</w:t>
      </w:r>
    </w:p>
    <w:p>
      <w:pPr>
        <w:sectPr>
          <w:pgSz w:w="11900" w:h="16838" w:orient="portrait"/>
          <w:cols w:equalWidth="0" w:num="1">
            <w:col w:w="11000"/>
          </w:cols>
          <w:pgMar w:left="380" w:top="1424" w:right="519" w:bottom="1440" w:gutter="0" w:footer="0" w:header="0"/>
          <w:type w:val="continuous"/>
        </w:sectPr>
      </w:pPr>
    </w:p>
    <w:bookmarkStart w:id="172" w:name="page173"/>
    <w:bookmarkEnd w:id="172"/>
    <w:p>
      <w:pPr>
        <w:ind w:left="366" w:hanging="366"/>
        <w:spacing w:after="0" w:line="262" w:lineRule="auto"/>
        <w:tabs>
          <w:tab w:leader="none" w:pos="29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Company grants an annual gratuity or a similar additional payment to the Em- ployee in addition to para. 1 to para. 7, these payments are made on voluntary ba- sis and are not based on contractual obli- gations. Also repeated payments will not give rise to any right to claim for such con- tinuation of payment, neither in respect of the cause or the amount, nor the past or the future.</w:t>
      </w:r>
    </w:p>
    <w:p>
      <w:pPr>
        <w:spacing w:after="0" w:line="20" w:lineRule="exact"/>
        <w:rPr>
          <w:sz w:val="20"/>
          <w:szCs w:val="20"/>
          <w:color w:val="auto"/>
        </w:rPr>
      </w:pPr>
      <w:r>
        <w:rPr>
          <w:sz w:val="20"/>
          <w:szCs w:val="20"/>
          <w:color w:val="auto"/>
        </w:rPr>
        <w:br w:type="column"/>
      </w:r>
    </w:p>
    <w:p>
      <w:pPr>
        <w:jc w:val="both"/>
        <w:ind w:left="391" w:hanging="391"/>
        <w:spacing w:after="0" w:line="261"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Soweit die Gesellschaft zusätzlich zu den Zahlungen gemäß Abs. 1 bis Abs. 7 jährliche Gratifikationen oder sonstige Sonderzahlungen gewährt, handelt es sich hierbei um freiwillige Leistungen der Gesellschaft aufgrund einer vor ihr jeweils zu treffenden Entscheidung. Ein Rechtsanspruch auf die wiederholte oder dauerhafte Gewährung derartiger eventuell gewährter freiwilliger Leistungen für die Zukunft entsteht auch nach mehrmaliger vorbehaltsloser Zahlung nicht.</w:t>
      </w:r>
    </w:p>
    <w:p>
      <w:pPr>
        <w:spacing w:after="0" w:line="200" w:lineRule="exact"/>
        <w:rPr>
          <w:sz w:val="20"/>
          <w:szCs w:val="20"/>
          <w:color w:val="auto"/>
        </w:rPr>
      </w:pPr>
    </w:p>
    <w:p>
      <w:pPr>
        <w:sectPr>
          <w:pgSz w:w="11900" w:h="16838" w:orient="portrait"/>
          <w:cols w:equalWidth="0" w:num="2">
            <w:col w:w="5266" w:space="209"/>
            <w:col w:w="5271"/>
          </w:cols>
          <w:pgMar w:left="494" w:top="1239" w:right="659" w:bottom="1440" w:gutter="0" w:footer="0" w:header="0"/>
        </w:sectPr>
      </w:pPr>
    </w:p>
    <w:p>
      <w:pPr>
        <w:jc w:val="both"/>
        <w:ind w:left="366" w:hanging="366"/>
        <w:spacing w:after="0" w:line="283" w:lineRule="auto"/>
        <w:tabs>
          <w:tab w:leader="none" w:pos="34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Employee may assign or pledge his salary and other claims arising from his employment with the Company only with the written consent of the Company. The Company may only deny its consent in case of legitimate operational interest.</w:t>
      </w:r>
    </w:p>
    <w:p>
      <w:pPr>
        <w:spacing w:after="0" w:line="20" w:lineRule="exact"/>
        <w:rPr>
          <w:sz w:val="20"/>
          <w:szCs w:val="20"/>
          <w:color w:val="auto"/>
        </w:rPr>
      </w:pPr>
      <w:r>
        <w:rPr>
          <w:sz w:val="20"/>
          <w:szCs w:val="20"/>
          <w:color w:val="auto"/>
        </w:rPr>
        <w:br w:type="column"/>
      </w:r>
    </w:p>
    <w:p>
      <w:pPr>
        <w:ind w:left="451" w:hanging="451"/>
        <w:spacing w:after="0" w:line="262" w:lineRule="auto"/>
        <w:tabs>
          <w:tab w:leader="none" w:pos="29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Eine Abtretung oder Verpfändung der zu gewährenden Bezüge ist nur mit vorheriger schriftlicher Genehmigung durch die Gesellschaft zulässig. Die Gesellschaft darf die Genehmigung nur im Fall berechtigter betrieblicher Interessen verweigern.</w:t>
      </w:r>
    </w:p>
    <w:p>
      <w:pPr>
        <w:spacing w:after="0" w:line="200" w:lineRule="exact"/>
        <w:rPr>
          <w:sz w:val="20"/>
          <w:szCs w:val="20"/>
          <w:color w:val="auto"/>
        </w:rPr>
      </w:pPr>
    </w:p>
    <w:p>
      <w:pPr>
        <w:sectPr>
          <w:pgSz w:w="11900" w:h="16838" w:orient="portrait"/>
          <w:cols w:equalWidth="0" w:num="2">
            <w:col w:w="5266" w:space="209"/>
            <w:col w:w="5271"/>
          </w:cols>
          <w:pgMar w:left="494" w:top="1239" w:right="659" w:bottom="1440" w:gutter="0" w:footer="0" w:header="0"/>
          <w:type w:val="continuous"/>
        </w:sectPr>
      </w:pPr>
    </w:p>
    <w:p>
      <w:pPr>
        <w:spacing w:after="0" w:line="39"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Sec. 6</w:t>
      </w:r>
    </w:p>
    <w:p>
      <w:pPr>
        <w:spacing w:after="0" w:line="217"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Car allowance</w:t>
      </w:r>
    </w:p>
    <w:p>
      <w:pPr>
        <w:spacing w:after="0" w:line="226" w:lineRule="exact"/>
        <w:rPr>
          <w:sz w:val="20"/>
          <w:szCs w:val="20"/>
          <w:color w:val="auto"/>
        </w:rPr>
      </w:pPr>
    </w:p>
    <w:p>
      <w:pPr>
        <w:ind w:left="326" w:hanging="326"/>
        <w:spacing w:after="0" w:line="266" w:lineRule="auto"/>
        <w:tabs>
          <w:tab w:leader="none" w:pos="2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pay to the Employee a car allowance amounting to EUR 1,500.00 gross per calendar month.</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366" w:right="20" w:hanging="366"/>
        <w:spacing w:after="0" w:line="263" w:lineRule="auto"/>
        <w:tabs>
          <w:tab w:leader="none" w:pos="2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car allowance shall be paid pro rata temporis if the employment relationship starts or ends during a calendar month.</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6</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Kostenpauschale für Kraftfahr- zeugnutzung</w:t>
      </w:r>
    </w:p>
    <w:p>
      <w:pPr>
        <w:spacing w:after="0" w:line="199" w:lineRule="exact"/>
        <w:rPr>
          <w:sz w:val="20"/>
          <w:szCs w:val="20"/>
          <w:color w:val="auto"/>
        </w:rPr>
      </w:pPr>
    </w:p>
    <w:p>
      <w:pPr>
        <w:jc w:val="both"/>
        <w:ind w:left="380" w:hanging="366"/>
        <w:spacing w:after="0" w:line="263" w:lineRule="auto"/>
        <w:tabs>
          <w:tab w:leader="none" w:pos="360" w:val="left"/>
        </w:tabs>
        <w:rPr>
          <w:sz w:val="20"/>
          <w:szCs w:val="20"/>
          <w:color w:val="auto"/>
        </w:rPr>
      </w:pPr>
      <w:r>
        <w:rPr>
          <w:rFonts w:ascii="Arial" w:cs="Arial" w:eastAsia="Arial" w:hAnsi="Arial"/>
          <w:sz w:val="18"/>
          <w:szCs w:val="18"/>
          <w:color w:val="auto"/>
        </w:rPr>
        <w:t>1.</w:t>
        <w:tab/>
        <w:t>Die Gesellschaft zahlt dem Arbeitnehmer eine Kraftfahrzeugpauschale in Höhe von EUR 1.500,00 brutto pro Kalendermonat.</w:t>
      </w:r>
    </w:p>
    <w:p>
      <w:pPr>
        <w:spacing w:after="0" w:line="194" w:lineRule="exact"/>
        <w:rPr>
          <w:sz w:val="20"/>
          <w:szCs w:val="20"/>
          <w:color w:val="auto"/>
        </w:rPr>
      </w:pPr>
    </w:p>
    <w:p>
      <w:pPr>
        <w:ind w:left="380" w:hanging="371"/>
        <w:spacing w:after="0" w:line="266" w:lineRule="auto"/>
        <w:tabs>
          <w:tab w:leader="none" w:pos="2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Sollte das Arbeitsverhältnis während eines Kalendermonats beginnen oder enden, erfolgt eine nur anteilige Zahlung.</w:t>
      </w:r>
    </w:p>
    <w:p>
      <w:pPr>
        <w:spacing w:after="0" w:line="421" w:lineRule="exact"/>
        <w:rPr>
          <w:sz w:val="20"/>
          <w:szCs w:val="20"/>
          <w:color w:val="auto"/>
        </w:rPr>
      </w:pPr>
    </w:p>
    <w:p>
      <w:pPr>
        <w:sectPr>
          <w:pgSz w:w="11900" w:h="16838" w:orient="portrait"/>
          <w:cols w:equalWidth="0" w:num="2">
            <w:col w:w="5266" w:space="200"/>
            <w:col w:w="5280"/>
          </w:cols>
          <w:pgMar w:left="494" w:top="1239" w:right="659" w:bottom="1440" w:gutter="0" w:footer="0" w:header="0"/>
          <w:type w:val="continuous"/>
        </w:sectPr>
      </w:pPr>
    </w:p>
    <w:p>
      <w:pPr>
        <w:spacing w:after="0" w:line="52" w:lineRule="exact"/>
        <w:rPr>
          <w:sz w:val="20"/>
          <w:szCs w:val="20"/>
          <w:color w:val="auto"/>
        </w:rPr>
      </w:pPr>
    </w:p>
    <w:tbl>
      <w:tblPr>
        <w:tblLayout w:type="fixed"/>
        <w:tblInd w:w="966" w:type="dxa"/>
        <w:tblCellMar>
          <w:top w:w="0" w:type="dxa"/>
          <w:left w:w="0" w:type="dxa"/>
          <w:bottom w:w="0" w:type="dxa"/>
          <w:right w:w="0" w:type="dxa"/>
        </w:tblCellMar>
      </w:tblPr>
      <w:tr>
        <w:trPr>
          <w:trHeight w:val="234"/>
        </w:trPr>
        <w:tc>
          <w:tcPr>
            <w:tcW w:w="4320" w:type="dxa"/>
            <w:vAlign w:val="bottom"/>
          </w:tcPr>
          <w:p>
            <w:pPr>
              <w:jc w:val="center"/>
              <w:ind w:right="852"/>
              <w:spacing w:after="0"/>
              <w:rPr>
                <w:sz w:val="20"/>
                <w:szCs w:val="20"/>
                <w:color w:val="auto"/>
              </w:rPr>
            </w:pPr>
            <w:r>
              <w:rPr>
                <w:rFonts w:ascii="Arial" w:cs="Arial" w:eastAsia="Arial" w:hAnsi="Arial"/>
                <w:sz w:val="18"/>
                <w:szCs w:val="18"/>
                <w:b w:val="1"/>
                <w:bCs w:val="1"/>
                <w:color w:val="auto"/>
                <w:w w:val="95"/>
              </w:rPr>
              <w:t>Sec. 7</w:t>
            </w:r>
          </w:p>
        </w:tc>
        <w:tc>
          <w:tcPr>
            <w:tcW w:w="4660" w:type="dxa"/>
            <w:vAlign w:val="bottom"/>
          </w:tcPr>
          <w:p>
            <w:pPr>
              <w:jc w:val="right"/>
              <w:ind w:right="1652"/>
              <w:spacing w:after="0"/>
              <w:rPr>
                <w:sz w:val="20"/>
                <w:szCs w:val="20"/>
                <w:color w:val="auto"/>
              </w:rPr>
            </w:pPr>
            <w:r>
              <w:rPr>
                <w:rFonts w:ascii="Arial" w:cs="Arial" w:eastAsia="Arial" w:hAnsi="Arial"/>
                <w:sz w:val="18"/>
                <w:szCs w:val="18"/>
                <w:b w:val="1"/>
                <w:bCs w:val="1"/>
                <w:color w:val="auto"/>
              </w:rPr>
              <w:t>§ 7</w:t>
            </w:r>
          </w:p>
        </w:tc>
      </w:tr>
      <w:tr>
        <w:trPr>
          <w:trHeight w:val="437"/>
        </w:trPr>
        <w:tc>
          <w:tcPr>
            <w:tcW w:w="4320" w:type="dxa"/>
            <w:vAlign w:val="bottom"/>
          </w:tcPr>
          <w:p>
            <w:pPr>
              <w:jc w:val="center"/>
              <w:ind w:right="852"/>
              <w:spacing w:after="0"/>
              <w:rPr>
                <w:sz w:val="20"/>
                <w:szCs w:val="20"/>
                <w:color w:val="auto"/>
              </w:rPr>
            </w:pPr>
            <w:r>
              <w:rPr>
                <w:rFonts w:ascii="Arial" w:cs="Arial" w:eastAsia="Arial" w:hAnsi="Arial"/>
                <w:sz w:val="18"/>
                <w:szCs w:val="18"/>
                <w:b w:val="1"/>
                <w:bCs w:val="1"/>
                <w:color w:val="auto"/>
                <w:w w:val="97"/>
              </w:rPr>
              <w:t>Business travel / travel costs / expenses</w:t>
            </w:r>
          </w:p>
        </w:tc>
        <w:tc>
          <w:tcPr>
            <w:tcW w:w="4660" w:type="dxa"/>
            <w:vAlign w:val="bottom"/>
          </w:tcPr>
          <w:p>
            <w:pPr>
              <w:jc w:val="center"/>
              <w:ind w:left="852"/>
              <w:spacing w:after="0"/>
              <w:rPr>
                <w:sz w:val="20"/>
                <w:szCs w:val="20"/>
                <w:color w:val="auto"/>
              </w:rPr>
            </w:pPr>
            <w:r>
              <w:rPr>
                <w:rFonts w:ascii="Arial" w:cs="Arial" w:eastAsia="Arial" w:hAnsi="Arial"/>
                <w:sz w:val="18"/>
                <w:szCs w:val="18"/>
                <w:b w:val="1"/>
                <w:bCs w:val="1"/>
                <w:color w:val="auto"/>
                <w:w w:val="97"/>
              </w:rPr>
              <w:t>Geschäftsreisen, Reisekosten und Auslagen</w:t>
            </w:r>
          </w:p>
        </w:tc>
      </w:tr>
    </w:tbl>
    <w:p>
      <w:pPr>
        <w:spacing w:after="0" w:line="172" w:lineRule="exact"/>
        <w:rPr>
          <w:sz w:val="20"/>
          <w:szCs w:val="20"/>
          <w:color w:val="auto"/>
        </w:rPr>
      </w:pPr>
    </w:p>
    <w:p>
      <w:pPr>
        <w:sectPr>
          <w:pgSz w:w="11900" w:h="16838" w:orient="portrait"/>
          <w:cols w:equalWidth="0" w:num="1">
            <w:col w:w="10746"/>
          </w:cols>
          <w:pgMar w:left="494" w:top="1239" w:right="659" w:bottom="1440" w:gutter="0" w:footer="0" w:header="0"/>
          <w:type w:val="continuous"/>
        </w:sectPr>
      </w:pPr>
    </w:p>
    <w:p>
      <w:pPr>
        <w:ind w:left="366" w:hanging="366"/>
        <w:spacing w:after="0" w:line="263" w:lineRule="auto"/>
        <w:tabs>
          <w:tab w:leader="none" w:pos="21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Employee is required to travel for the performance of his duties, travel and ac- commodation arrangements will be sub-ject to the Company’s rules and policies.</w:t>
      </w:r>
    </w:p>
    <w:p>
      <w:pPr>
        <w:spacing w:after="0" w:line="20" w:lineRule="exact"/>
        <w:rPr>
          <w:sz w:val="20"/>
          <w:szCs w:val="20"/>
          <w:color w:val="auto"/>
        </w:rPr>
      </w:pPr>
      <w:r>
        <w:rPr>
          <w:sz w:val="20"/>
          <w:szCs w:val="20"/>
          <w:color w:val="auto"/>
        </w:rPr>
        <w:br w:type="column"/>
      </w:r>
    </w:p>
    <w:p>
      <w:pPr>
        <w:jc w:val="both"/>
        <w:ind w:left="371" w:hanging="371"/>
        <w:spacing w:after="0" w:line="250" w:lineRule="auto"/>
        <w:tabs>
          <w:tab w:leader="none" w:pos="32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Sofern der Arbeitnehmer in Ausübung seiner Pflichten Geschäftsreisen antritt, gelten für die Buchung von Reisen und Unterkünften die geltenden</w:t>
      </w:r>
    </w:p>
    <w:p>
      <w:pPr>
        <w:spacing w:after="0" w:line="2" w:lineRule="exact"/>
        <w:rPr>
          <w:rFonts w:ascii="Arial" w:cs="Arial" w:eastAsia="Arial" w:hAnsi="Arial"/>
          <w:sz w:val="18"/>
          <w:szCs w:val="18"/>
          <w:color w:val="auto"/>
        </w:rPr>
      </w:pPr>
    </w:p>
    <w:p>
      <w:pPr>
        <w:ind w:left="371"/>
        <w:spacing w:after="0"/>
        <w:rPr>
          <w:rFonts w:ascii="Arial" w:cs="Arial" w:eastAsia="Arial" w:hAnsi="Arial"/>
          <w:sz w:val="18"/>
          <w:szCs w:val="18"/>
          <w:color w:val="auto"/>
        </w:rPr>
      </w:pPr>
      <w:r>
        <w:rPr>
          <w:rFonts w:ascii="Arial" w:cs="Arial" w:eastAsia="Arial" w:hAnsi="Arial"/>
          <w:sz w:val="18"/>
          <w:szCs w:val="18"/>
          <w:color w:val="auto"/>
        </w:rPr>
        <w:t>Reiserichtlinien der Gesellschaft.</w:t>
      </w:r>
    </w:p>
    <w:p>
      <w:pPr>
        <w:sectPr>
          <w:pgSz w:w="11900" w:h="16838" w:orient="portrait"/>
          <w:cols w:equalWidth="0" w:num="2">
            <w:col w:w="5266" w:space="209"/>
            <w:col w:w="5271"/>
          </w:cols>
          <w:pgMar w:left="494" w:top="1239" w:right="659" w:bottom="1440" w:gutter="0" w:footer="0" w:header="0"/>
          <w:type w:val="continuous"/>
        </w:sectPr>
      </w:pPr>
    </w:p>
    <w:bookmarkStart w:id="173" w:name="page174"/>
    <w:bookmarkEnd w:id="173"/>
    <w:p>
      <w:pPr>
        <w:ind w:left="366" w:hanging="366"/>
        <w:spacing w:after="0" w:line="261" w:lineRule="auto"/>
        <w:tabs>
          <w:tab w:leader="none" w:pos="2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Employee shall be reimbursed by the Company all reasonable travelling, hotel and other expenses properly and neces- sarily incurred by him in the performance of his duties, subject to statutory (in partic- ular tax law) provisions and the Com- pany’s rules and policies relating to ex- penses. The Employee shall produce to the Company satisfactory supporting vouchers and receipts in respect of such expenses before such reimbursement is made.</w:t>
      </w:r>
    </w:p>
    <w:p>
      <w:pPr>
        <w:spacing w:after="0" w:line="165"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Sec. 8</w:t>
      </w:r>
    </w:p>
    <w:p>
      <w:pPr>
        <w:spacing w:after="0" w:line="98"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Vacation</w:t>
      </w:r>
    </w:p>
    <w:p>
      <w:pPr>
        <w:spacing w:after="0" w:line="20" w:lineRule="exact"/>
        <w:rPr>
          <w:sz w:val="20"/>
          <w:szCs w:val="20"/>
          <w:color w:val="auto"/>
        </w:rPr>
      </w:pPr>
      <w:r>
        <w:rPr>
          <w:sz w:val="20"/>
          <w:szCs w:val="20"/>
          <w:color w:val="auto"/>
        </w:rPr>
        <w:br w:type="column"/>
      </w:r>
    </w:p>
    <w:p>
      <w:pPr>
        <w:jc w:val="right"/>
        <w:ind w:left="372" w:hanging="372"/>
        <w:spacing w:after="0" w:line="261" w:lineRule="auto"/>
        <w:tabs>
          <w:tab w:leader="none" w:pos="3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Die  Gesellschaft  erstattet  dem  Arbeitnehmer  Reise-  und Hotelkosten oder sonstige Aufwendungen, die im Interesse</w:t>
      </w:r>
    </w:p>
    <w:p>
      <w:pPr>
        <w:jc w:val="both"/>
        <w:ind w:left="372"/>
        <w:spacing w:after="0" w:line="262" w:lineRule="auto"/>
        <w:rPr>
          <w:sz w:val="20"/>
          <w:szCs w:val="20"/>
          <w:color w:val="auto"/>
        </w:rPr>
      </w:pPr>
      <w:r>
        <w:rPr>
          <w:rFonts w:ascii="Arial" w:cs="Arial" w:eastAsia="Arial" w:hAnsi="Arial"/>
          <w:sz w:val="18"/>
          <w:szCs w:val="18"/>
          <w:color w:val="auto"/>
        </w:rPr>
        <w:t>der Gesellschaft erfolgt sind, gegen Nachweis und nach Maßgabe der gesetzlichen (insbesondere steuerrechtlichen) und der geltenden betrieblichen Richtlinien. Zum Zweck der Erstattung ist der Arbeitnehmer dazu verpflichtet, der Gesellschaft seine Ausgaben anhand ordnungsgemäßer Quittungen und Belege nachzuweisen.</w:t>
      </w:r>
    </w:p>
    <w:p>
      <w:pPr>
        <w:ind w:left="2652" w:hanging="155"/>
        <w:spacing w:after="0"/>
        <w:tabs>
          <w:tab w:leader="none" w:pos="26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8</w:t>
      </w:r>
    </w:p>
    <w:p>
      <w:pPr>
        <w:spacing w:after="0" w:line="217" w:lineRule="exact"/>
        <w:rPr>
          <w:rFonts w:ascii="Arial" w:cs="Arial" w:eastAsia="Arial" w:hAnsi="Arial"/>
          <w:sz w:val="18"/>
          <w:szCs w:val="18"/>
          <w:b w:val="1"/>
          <w:bCs w:val="1"/>
          <w:color w:val="auto"/>
        </w:rPr>
      </w:pPr>
    </w:p>
    <w:p>
      <w:pPr>
        <w:ind w:left="23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Urlaub</w:t>
      </w:r>
    </w:p>
    <w:p>
      <w:pPr>
        <w:spacing w:after="0" w:line="212" w:lineRule="exact"/>
        <w:rPr>
          <w:sz w:val="20"/>
          <w:szCs w:val="20"/>
          <w:color w:val="auto"/>
        </w:rPr>
      </w:pPr>
    </w:p>
    <w:p>
      <w:pPr>
        <w:sectPr>
          <w:pgSz w:w="11900" w:h="16838" w:orient="portrait"/>
          <w:cols w:equalWidth="0" w:num="2">
            <w:col w:w="5266" w:space="208"/>
            <w:col w:w="5272"/>
          </w:cols>
          <w:pgMar w:left="494" w:top="1238" w:right="659" w:bottom="1440" w:gutter="0" w:footer="0" w:header="0"/>
        </w:sectPr>
      </w:pPr>
    </w:p>
    <w:p>
      <w:pPr>
        <w:ind w:left="326" w:hanging="326"/>
        <w:spacing w:after="0" w:line="266" w:lineRule="auto"/>
        <w:tabs>
          <w:tab w:leader="none" w:pos="22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Employee is entitled to a statutory min- imum leave of 30 working days, based on a five-day week.</w:t>
      </w:r>
    </w:p>
    <w:p>
      <w:pPr>
        <w:spacing w:after="0" w:line="190" w:lineRule="exact"/>
        <w:rPr>
          <w:rFonts w:ascii="Arial" w:cs="Arial" w:eastAsia="Arial" w:hAnsi="Arial"/>
          <w:sz w:val="18"/>
          <w:szCs w:val="18"/>
          <w:color w:val="auto"/>
        </w:rPr>
      </w:pPr>
    </w:p>
    <w:p>
      <w:pPr>
        <w:ind w:left="326" w:hanging="326"/>
        <w:spacing w:after="0" w:line="263" w:lineRule="auto"/>
        <w:tabs>
          <w:tab w:leader="none" w:pos="2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contractual holiday is granted on a pro- rata basis, namely per month one-twelfth. The contractually agreed holiday shall lapse if it is not taken during the carry-over period e.g. due to the illness of the Em- ployee.</w:t>
      </w:r>
    </w:p>
    <w:p>
      <w:pPr>
        <w:spacing w:after="0" w:line="298" w:lineRule="exact"/>
        <w:rPr>
          <w:rFonts w:ascii="Arial" w:cs="Arial" w:eastAsia="Arial" w:hAnsi="Arial"/>
          <w:sz w:val="18"/>
          <w:szCs w:val="18"/>
          <w:color w:val="auto"/>
        </w:rPr>
      </w:pPr>
    </w:p>
    <w:p>
      <w:pPr>
        <w:ind w:left="326" w:hanging="326"/>
        <w:spacing w:after="0" w:line="266" w:lineRule="auto"/>
        <w:tabs>
          <w:tab w:leader="none" w:pos="21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possible leave compensation shall be granted only up to the amount of the statu- tory holiday entitlement.</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206" w:hanging="206"/>
        <w:spacing w:after="0"/>
        <w:tabs>
          <w:tab w:leader="none" w:pos="2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all other respects the legal provisions ap- ply.</w:t>
      </w:r>
    </w:p>
    <w:p>
      <w:pPr>
        <w:spacing w:after="0" w:line="20" w:lineRule="exact"/>
        <w:rPr>
          <w:sz w:val="20"/>
          <w:szCs w:val="20"/>
          <w:color w:val="auto"/>
        </w:rPr>
      </w:pPr>
      <w:r>
        <w:rPr>
          <w:sz w:val="20"/>
          <w:szCs w:val="20"/>
          <w:color w:val="auto"/>
        </w:rPr>
        <w:br w:type="column"/>
      </w:r>
    </w:p>
    <w:p>
      <w:pPr>
        <w:ind w:left="333" w:right="20" w:hanging="333"/>
        <w:spacing w:after="0" w:line="266" w:lineRule="auto"/>
        <w:tabs>
          <w:tab w:leader="none" w:pos="26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Der Arbeitnehmer erhält einen gesetzlichen Urlaub von 30 Arbeitstagen, ausgehend von einer 5-Tage Woche.</w:t>
      </w:r>
    </w:p>
    <w:p>
      <w:pPr>
        <w:spacing w:after="0" w:line="190" w:lineRule="exact"/>
        <w:rPr>
          <w:rFonts w:ascii="Arial" w:cs="Arial" w:eastAsia="Arial" w:hAnsi="Arial"/>
          <w:sz w:val="18"/>
          <w:szCs w:val="18"/>
          <w:color w:val="auto"/>
        </w:rPr>
      </w:pPr>
    </w:p>
    <w:p>
      <w:pPr>
        <w:ind w:left="333" w:hanging="332"/>
        <w:spacing w:after="0" w:line="263" w:lineRule="auto"/>
        <w:tabs>
          <w:tab w:leader="none" w:pos="2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Der vertragliche Urlaub wird anteilig, d. h. pro Monat ein Zwölftel, gewährt. Er verfällt, wenn er im Übertragungszeitraum z. B. wegen einer Arbeitsunfähigkeit des Arbeitnehmers nicht genommen werden kann.</w:t>
      </w:r>
    </w:p>
    <w:p>
      <w:pPr>
        <w:spacing w:after="0" w:line="298" w:lineRule="exact"/>
        <w:rPr>
          <w:rFonts w:ascii="Arial" w:cs="Arial" w:eastAsia="Arial" w:hAnsi="Arial"/>
          <w:sz w:val="18"/>
          <w:szCs w:val="18"/>
          <w:color w:val="auto"/>
        </w:rPr>
      </w:pPr>
    </w:p>
    <w:p>
      <w:pPr>
        <w:jc w:val="both"/>
        <w:ind w:left="333" w:right="20" w:hanging="332"/>
        <w:spacing w:after="0" w:line="263" w:lineRule="auto"/>
        <w:tabs>
          <w:tab w:leader="none" w:pos="3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Eine Urlaubsabgeltung im Fall einer Beendigung des Arbeitsverhältnisses erfolgt nur bis zur Höhe des gesetzlichen Urlaubsanspruchs.</w:t>
      </w:r>
    </w:p>
    <w:p>
      <w:pPr>
        <w:spacing w:after="0" w:line="180" w:lineRule="exact"/>
        <w:rPr>
          <w:rFonts w:ascii="Arial" w:cs="Arial" w:eastAsia="Arial" w:hAnsi="Arial"/>
          <w:sz w:val="18"/>
          <w:szCs w:val="18"/>
          <w:color w:val="auto"/>
        </w:rPr>
      </w:pPr>
    </w:p>
    <w:p>
      <w:pPr>
        <w:ind w:left="193" w:hanging="192"/>
        <w:spacing w:after="0"/>
        <w:tabs>
          <w:tab w:leader="none" w:pos="1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  Übrigen  gelten  die  gesetzlichen Regelungen.</w:t>
      </w:r>
    </w:p>
    <w:p>
      <w:pPr>
        <w:spacing w:after="0" w:line="200" w:lineRule="exact"/>
        <w:rPr>
          <w:sz w:val="20"/>
          <w:szCs w:val="20"/>
          <w:color w:val="auto"/>
        </w:rPr>
      </w:pPr>
    </w:p>
    <w:p>
      <w:pPr>
        <w:sectPr>
          <w:pgSz w:w="11900" w:h="16838" w:orient="portrait"/>
          <w:cols w:equalWidth="0" w:num="2">
            <w:col w:w="5266" w:space="207"/>
            <w:col w:w="5273"/>
          </w:cols>
          <w:pgMar w:left="494" w:top="1238" w:right="659" w:bottom="1440" w:gutter="0" w:footer="0" w:header="0"/>
          <w:type w:val="continuous"/>
        </w:sectPr>
      </w:pPr>
    </w:p>
    <w:p>
      <w:pPr>
        <w:spacing w:after="0" w:line="61"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Sec. 9</w:t>
      </w:r>
    </w:p>
    <w:p>
      <w:pPr>
        <w:spacing w:after="0" w:line="217" w:lineRule="exact"/>
        <w:rPr>
          <w:sz w:val="20"/>
          <w:szCs w:val="20"/>
          <w:color w:val="auto"/>
        </w:rPr>
      </w:pPr>
    </w:p>
    <w:p>
      <w:pPr>
        <w:ind w:left="886"/>
        <w:spacing w:after="0"/>
        <w:rPr>
          <w:sz w:val="20"/>
          <w:szCs w:val="20"/>
          <w:color w:val="auto"/>
        </w:rPr>
      </w:pPr>
      <w:r>
        <w:rPr>
          <w:rFonts w:ascii="Arial" w:cs="Arial" w:eastAsia="Arial" w:hAnsi="Arial"/>
          <w:sz w:val="18"/>
          <w:szCs w:val="18"/>
          <w:b w:val="1"/>
          <w:bCs w:val="1"/>
          <w:color w:val="auto"/>
        </w:rPr>
        <w:t>Inability to work / Continued remuneration</w:t>
      </w:r>
    </w:p>
    <w:p>
      <w:pPr>
        <w:spacing w:after="0" w:line="213" w:lineRule="exact"/>
        <w:rPr>
          <w:sz w:val="20"/>
          <w:szCs w:val="20"/>
          <w:color w:val="auto"/>
        </w:rPr>
      </w:pPr>
    </w:p>
    <w:p>
      <w:pPr>
        <w:ind w:left="326" w:hanging="326"/>
        <w:spacing w:after="0" w:line="293" w:lineRule="auto"/>
        <w:tabs>
          <w:tab w:leader="none" w:pos="21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Employee shall notify the Company of any inability to work without undue delay. In the event of existing deadlines, the Em- ployee shall expressly indicate the work that needs to be done.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22"/>
        <w:spacing w:after="0"/>
        <w:rPr>
          <w:sz w:val="20"/>
          <w:szCs w:val="20"/>
          <w:color w:val="auto"/>
        </w:rPr>
      </w:pPr>
      <w:r>
        <w:rPr>
          <w:rFonts w:ascii="Arial" w:cs="Arial" w:eastAsia="Arial" w:hAnsi="Arial"/>
          <w:sz w:val="18"/>
          <w:szCs w:val="18"/>
          <w:b w:val="1"/>
          <w:bCs w:val="1"/>
          <w:color w:val="auto"/>
        </w:rPr>
        <w:t>§ 9</w:t>
      </w:r>
    </w:p>
    <w:p>
      <w:pPr>
        <w:spacing w:after="0" w:line="244" w:lineRule="exact"/>
        <w:rPr>
          <w:sz w:val="20"/>
          <w:szCs w:val="20"/>
          <w:color w:val="auto"/>
        </w:rPr>
      </w:pPr>
    </w:p>
    <w:p>
      <w:pPr>
        <w:ind w:left="178"/>
        <w:spacing w:after="0"/>
        <w:rPr>
          <w:sz w:val="20"/>
          <w:szCs w:val="20"/>
          <w:color w:val="auto"/>
        </w:rPr>
      </w:pPr>
      <w:r>
        <w:rPr>
          <w:rFonts w:ascii="Arial" w:cs="Arial" w:eastAsia="Arial" w:hAnsi="Arial"/>
          <w:sz w:val="17"/>
          <w:szCs w:val="17"/>
          <w:b w:val="1"/>
          <w:bCs w:val="1"/>
          <w:color w:val="auto"/>
        </w:rPr>
        <w:t>Arbeitsverhinderung / Entgeltfortzahlung im Krankheitsfall</w:t>
      </w:r>
    </w:p>
    <w:p>
      <w:pPr>
        <w:spacing w:after="0" w:line="78" w:lineRule="exact"/>
        <w:rPr>
          <w:sz w:val="20"/>
          <w:szCs w:val="20"/>
          <w:color w:val="auto"/>
        </w:rPr>
      </w:pPr>
    </w:p>
    <w:p>
      <w:pPr>
        <w:jc w:val="center"/>
        <w:ind w:left="318" w:right="800" w:hanging="318"/>
        <w:spacing w:after="0" w:line="211" w:lineRule="auto"/>
        <w:tabs>
          <w:tab w:leader="none" w:pos="19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Der Arbeitnehmer ist verpflichtet, der Gesellschaft jede Dienstverhinderung unverzüglich anzuzeigen.  Bei</w:t>
      </w:r>
    </w:p>
    <w:p>
      <w:pPr>
        <w:ind w:left="318"/>
        <w:spacing w:after="0" w:line="200" w:lineRule="auto"/>
        <w:rPr>
          <w:sz w:val="20"/>
          <w:szCs w:val="20"/>
          <w:color w:val="auto"/>
        </w:rPr>
      </w:pPr>
      <w:r>
        <w:rPr>
          <w:rFonts w:ascii="Arial" w:cs="Arial" w:eastAsia="Arial" w:hAnsi="Arial"/>
          <w:sz w:val="18"/>
          <w:szCs w:val="18"/>
          <w:color w:val="auto"/>
        </w:rPr>
        <w:t>anstehenden Terminsachen hat</w:t>
      </w:r>
    </w:p>
    <w:p>
      <w:pPr>
        <w:spacing w:after="0" w:line="1" w:lineRule="exact"/>
        <w:rPr>
          <w:sz w:val="20"/>
          <w:szCs w:val="20"/>
          <w:color w:val="auto"/>
        </w:rPr>
      </w:pPr>
    </w:p>
    <w:p>
      <w:pPr>
        <w:ind w:left="318" w:right="180"/>
        <w:spacing w:after="0" w:line="222" w:lineRule="auto"/>
        <w:rPr>
          <w:sz w:val="20"/>
          <w:szCs w:val="20"/>
          <w:color w:val="auto"/>
        </w:rPr>
      </w:pPr>
      <w:r>
        <w:rPr>
          <w:rFonts w:ascii="Arial" w:cs="Arial" w:eastAsia="Arial" w:hAnsi="Arial"/>
          <w:sz w:val="18"/>
          <w:szCs w:val="18"/>
          <w:color w:val="auto"/>
        </w:rPr>
        <w:t>derArbeitnehmer auf vordringlich zu erledigende Arbeiten hinzuweisen.</w:t>
      </w:r>
    </w:p>
    <w:p>
      <w:pPr>
        <w:sectPr>
          <w:pgSz w:w="11900" w:h="16838" w:orient="portrait"/>
          <w:cols w:equalWidth="0" w:num="2">
            <w:col w:w="5266" w:space="202"/>
            <w:col w:w="5278"/>
          </w:cols>
          <w:pgMar w:left="494" w:top="1238" w:right="659" w:bottom="1440" w:gutter="0" w:footer="0" w:header="0"/>
          <w:type w:val="continuous"/>
        </w:sectPr>
      </w:pPr>
    </w:p>
    <w:bookmarkStart w:id="174" w:name="page175"/>
    <w:bookmarkEnd w:id="174"/>
    <w:p>
      <w:pPr>
        <w:ind w:left="326" w:hanging="326"/>
        <w:spacing w:after="0" w:line="262" w:lineRule="auto"/>
        <w:tabs>
          <w:tab w:leader="none" w:pos="22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of inability to work due to ill- ness, the Employee shall submit no later by the end of the fourth day of prevention from work a medical certificate evidencing the incapacity to work as well as its expected duration. The Company is entitled to re- quest a medical certification at an earlier time.</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326" w:hanging="326"/>
        <w:spacing w:after="0" w:line="263" w:lineRule="auto"/>
        <w:tabs>
          <w:tab w:leader="none" w:pos="2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that the incapacity to work lasts for a longer period than indicated in the medical certificate, the Employee shall in-form the Company without undue delay and shall submit a successive medical cer- tificate on the next working day.</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326" w:right="120" w:hanging="326"/>
        <w:spacing w:after="0" w:line="282" w:lineRule="auto"/>
        <w:tabs>
          <w:tab w:leader="none" w:pos="19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statutory provisions for continued re- muneration in case of sickness shall apply.</w:t>
      </w:r>
    </w:p>
    <w:p>
      <w:pPr>
        <w:spacing w:after="0" w:line="20" w:lineRule="exact"/>
        <w:rPr>
          <w:sz w:val="20"/>
          <w:szCs w:val="20"/>
          <w:color w:val="auto"/>
        </w:rPr>
      </w:pPr>
      <w:r>
        <w:rPr>
          <w:sz w:val="20"/>
          <w:szCs w:val="20"/>
          <w:color w:val="auto"/>
        </w:rPr>
        <w:br w:type="column"/>
      </w:r>
    </w:p>
    <w:p>
      <w:pPr>
        <w:ind w:left="373" w:right="20" w:hanging="373"/>
        <w:spacing w:after="0" w:line="262" w:lineRule="auto"/>
        <w:tabs>
          <w:tab w:leader="none" w:pos="2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 Falle einer Arbeitsunfähigkeit wegen Krankheit hat der Arbeitnehmer bis zum Ablauf des vierten Tages seiner Abwesenheit eine ärztliche Bescheinigung über das Bestehen der Arbeitsunfähigkeit sowie deren voraussichtliche Dauer vorzulegen. Die Gesellschaft ist berechtigt, die Vorlage der ärztlichen Bescheinigung früher zu verlangen.</w:t>
      </w:r>
    </w:p>
    <w:p>
      <w:pPr>
        <w:spacing w:after="0" w:line="194" w:lineRule="exact"/>
        <w:rPr>
          <w:rFonts w:ascii="Arial" w:cs="Arial" w:eastAsia="Arial" w:hAnsi="Arial"/>
          <w:sz w:val="18"/>
          <w:szCs w:val="18"/>
          <w:color w:val="auto"/>
        </w:rPr>
      </w:pPr>
    </w:p>
    <w:p>
      <w:pPr>
        <w:ind w:left="373" w:right="40" w:hanging="373"/>
        <w:spacing w:after="0" w:line="262" w:lineRule="auto"/>
        <w:tabs>
          <w:tab w:leader="none" w:pos="27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Sofern die Arbeitsunfähigkeit länger als in der ärztlichen Bescheinigung angegeben dauert, muss der Arbeitnehmer die Gesellschaft unverzüglich unterrichten und ist verpflichtet, am nächsten Arbeitstag eine neue ärztliche Bescheinigung zu übermitteln.</w:t>
      </w:r>
    </w:p>
    <w:p>
      <w:pPr>
        <w:spacing w:after="0" w:line="195" w:lineRule="exact"/>
        <w:rPr>
          <w:rFonts w:ascii="Arial" w:cs="Arial" w:eastAsia="Arial" w:hAnsi="Arial"/>
          <w:sz w:val="18"/>
          <w:szCs w:val="18"/>
          <w:color w:val="auto"/>
        </w:rPr>
      </w:pPr>
    </w:p>
    <w:p>
      <w:pPr>
        <w:ind w:left="373" w:right="1960" w:hanging="373"/>
        <w:spacing w:after="0" w:line="282" w:lineRule="auto"/>
        <w:tabs>
          <w:tab w:leader="none" w:pos="3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 Übrigen gelten die Regelungen des Entgeltfortzahlungsgesetzes.</w:t>
      </w:r>
    </w:p>
    <w:p>
      <w:pPr>
        <w:spacing w:after="0" w:line="200" w:lineRule="exact"/>
        <w:rPr>
          <w:sz w:val="20"/>
          <w:szCs w:val="20"/>
          <w:color w:val="auto"/>
        </w:rPr>
      </w:pPr>
    </w:p>
    <w:p>
      <w:pPr>
        <w:sectPr>
          <w:pgSz w:w="11900" w:h="16838" w:orient="portrait"/>
          <w:cols w:equalWidth="0" w:num="2">
            <w:col w:w="5266" w:space="207"/>
            <w:col w:w="5313"/>
          </w:cols>
          <w:pgMar w:left="494" w:top="1239" w:right="619" w:bottom="1440" w:gutter="0" w:footer="0" w:header="0"/>
        </w:sectPr>
      </w:pPr>
    </w:p>
    <w:p>
      <w:pPr>
        <w:spacing w:after="0" w:line="47" w:lineRule="exact"/>
        <w:rPr>
          <w:sz w:val="20"/>
          <w:szCs w:val="20"/>
          <w:color w:val="auto"/>
        </w:rPr>
      </w:pPr>
    </w:p>
    <w:p>
      <w:pPr>
        <w:ind w:left="2346"/>
        <w:spacing w:after="0"/>
        <w:tabs>
          <w:tab w:leader="none" w:pos="7906" w:val="left"/>
        </w:tabs>
        <w:rPr>
          <w:sz w:val="20"/>
          <w:szCs w:val="20"/>
          <w:color w:val="auto"/>
        </w:rPr>
      </w:pPr>
      <w:r>
        <w:rPr>
          <w:rFonts w:ascii="Arial" w:cs="Arial" w:eastAsia="Arial" w:hAnsi="Arial"/>
          <w:sz w:val="18"/>
          <w:szCs w:val="18"/>
          <w:b w:val="1"/>
          <w:bCs w:val="1"/>
          <w:color w:val="auto"/>
        </w:rPr>
        <w:t>Sec. 10</w:t>
      </w:r>
      <w:r>
        <w:rPr>
          <w:sz w:val="20"/>
          <w:szCs w:val="20"/>
          <w:color w:val="auto"/>
        </w:rPr>
        <w:tab/>
      </w:r>
      <w:r>
        <w:rPr>
          <w:rFonts w:ascii="Arial" w:cs="Arial" w:eastAsia="Arial" w:hAnsi="Arial"/>
          <w:sz w:val="17"/>
          <w:szCs w:val="17"/>
          <w:b w:val="1"/>
          <w:bCs w:val="1"/>
          <w:color w:val="auto"/>
        </w:rPr>
        <w:t>§ 10</w:t>
      </w:r>
    </w:p>
    <w:p>
      <w:pPr>
        <w:spacing w:after="0" w:line="230" w:lineRule="exact"/>
        <w:rPr>
          <w:sz w:val="20"/>
          <w:szCs w:val="20"/>
          <w:color w:val="auto"/>
        </w:rPr>
      </w:pPr>
    </w:p>
    <w:p>
      <w:pPr>
        <w:ind w:left="106"/>
        <w:spacing w:after="0"/>
        <w:tabs>
          <w:tab w:leader="none" w:pos="5406" w:val="left"/>
        </w:tabs>
        <w:rPr>
          <w:sz w:val="20"/>
          <w:szCs w:val="20"/>
          <w:color w:val="auto"/>
        </w:rPr>
      </w:pPr>
      <w:r>
        <w:rPr>
          <w:rFonts w:ascii="Arial" w:cs="Arial" w:eastAsia="Arial" w:hAnsi="Arial"/>
          <w:sz w:val="18"/>
          <w:szCs w:val="18"/>
          <w:b w:val="1"/>
          <w:bCs w:val="1"/>
          <w:color w:val="auto"/>
        </w:rPr>
        <w:t>Secondary employment / Competitive ac- tivities / Conflict of</w:t>
      </w:r>
      <w:r>
        <w:rPr>
          <w:sz w:val="20"/>
          <w:szCs w:val="20"/>
          <w:color w:val="auto"/>
        </w:rPr>
        <w:tab/>
      </w:r>
      <w:r>
        <w:rPr>
          <w:rFonts w:ascii="Arial" w:cs="Arial" w:eastAsia="Arial" w:hAnsi="Arial"/>
          <w:sz w:val="17"/>
          <w:szCs w:val="17"/>
          <w:b w:val="1"/>
          <w:bCs w:val="1"/>
          <w:color w:val="auto"/>
        </w:rPr>
        <w:t>Nebenbeschäftigung / Wettbewerbstätigkeit / Interessenkonflikt</w:t>
      </w:r>
    </w:p>
    <w:p>
      <w:pPr>
        <w:spacing w:after="0" w:line="27" w:lineRule="exact"/>
        <w:rPr>
          <w:sz w:val="20"/>
          <w:szCs w:val="20"/>
          <w:color w:val="auto"/>
        </w:rPr>
      </w:pPr>
    </w:p>
    <w:p>
      <w:pPr>
        <w:ind w:left="2286"/>
        <w:spacing w:after="0"/>
        <w:rPr>
          <w:sz w:val="20"/>
          <w:szCs w:val="20"/>
          <w:color w:val="auto"/>
        </w:rPr>
      </w:pPr>
      <w:r>
        <w:rPr>
          <w:rFonts w:ascii="Arial" w:cs="Arial" w:eastAsia="Arial" w:hAnsi="Arial"/>
          <w:sz w:val="18"/>
          <w:szCs w:val="18"/>
          <w:b w:val="1"/>
          <w:bCs w:val="1"/>
          <w:color w:val="auto"/>
        </w:rPr>
        <w:t>interests</w:t>
      </w:r>
    </w:p>
    <w:p>
      <w:pPr>
        <w:sectPr>
          <w:pgSz w:w="11900" w:h="16838" w:orient="portrait"/>
          <w:cols w:equalWidth="0" w:num="1">
            <w:col w:w="10786"/>
          </w:cols>
          <w:pgMar w:left="494" w:top="1239" w:right="619" w:bottom="1440" w:gutter="0" w:footer="0" w:header="0"/>
          <w:type w:val="continuous"/>
        </w:sectPr>
      </w:pPr>
    </w:p>
    <w:p>
      <w:pPr>
        <w:spacing w:after="0" w:line="191" w:lineRule="exact"/>
        <w:rPr>
          <w:sz w:val="20"/>
          <w:szCs w:val="20"/>
          <w:color w:val="auto"/>
        </w:rPr>
      </w:pPr>
    </w:p>
    <w:p>
      <w:pPr>
        <w:jc w:val="both"/>
        <w:ind w:left="306" w:hanging="306"/>
        <w:spacing w:after="0" w:line="261" w:lineRule="auto"/>
        <w:tabs>
          <w:tab w:leader="none" w:pos="33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secondary employment whether with or without remuneration requires the Com- pany’s prior written approval. In particular, the Employee must obtain the approval from the Company if he wishes to partici- pate in competitions outside of the employ- ment relationship. Approval shall be granted if such secondary employment does not adversely affect the legitimate in- terests of the Company, in particular with regard to the performance of the Employee and/or a conflict of interest. Consentcan be revoked at any time where justified by the interests of the Company, also taking into consideration the concerns of the Em- ployee.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right"/>
        <w:ind w:left="373" w:right="40" w:hanging="373"/>
        <w:spacing w:after="0" w:line="261" w:lineRule="auto"/>
        <w:tabs>
          <w:tab w:leader="none" w:pos="22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Jede Nebenbeschäftigung, gleichgültig, ob sie entgeltlich oder unentgeltlich   ausgeübt   wird,   bedarf   der   vorherigen</w:t>
      </w:r>
    </w:p>
    <w:p>
      <w:pPr>
        <w:jc w:val="both"/>
        <w:ind w:left="373" w:right="40"/>
        <w:spacing w:after="0" w:line="276" w:lineRule="auto"/>
        <w:rPr>
          <w:sz w:val="20"/>
          <w:szCs w:val="20"/>
          <w:color w:val="auto"/>
        </w:rPr>
      </w:pPr>
      <w:r>
        <w:rPr>
          <w:rFonts w:ascii="Arial" w:cs="Arial" w:eastAsia="Arial" w:hAnsi="Arial"/>
          <w:sz w:val="17"/>
          <w:szCs w:val="17"/>
          <w:color w:val="auto"/>
        </w:rPr>
        <w:t>schriftlichen Zustimmung der Gesellschaft. Eine Zustimmung ist vom Arbeitnehmer insbesondere von der Gesellschaft einzuholen, sofern er sich außerhalb seines Arbeitsverhältnisses an Wettbewerben beteiligen möchte. Die Zustimmung ist zu erteilen, wenn durch die Ausübung der Nebenbeschäftigung berechtigte Interessen der Gesellschaft,</w:t>
      </w:r>
    </w:p>
    <w:p>
      <w:pPr>
        <w:spacing w:after="0" w:line="3" w:lineRule="exact"/>
        <w:rPr>
          <w:sz w:val="20"/>
          <w:szCs w:val="20"/>
          <w:color w:val="auto"/>
        </w:rPr>
      </w:pPr>
    </w:p>
    <w:p>
      <w:pPr>
        <w:jc w:val="both"/>
        <w:ind w:left="373" w:right="40"/>
        <w:spacing w:after="0" w:line="250" w:lineRule="auto"/>
        <w:rPr>
          <w:sz w:val="20"/>
          <w:szCs w:val="20"/>
          <w:color w:val="auto"/>
        </w:rPr>
      </w:pPr>
      <w:r>
        <w:rPr>
          <w:rFonts w:ascii="Arial" w:cs="Arial" w:eastAsia="Arial" w:hAnsi="Arial"/>
          <w:sz w:val="18"/>
          <w:szCs w:val="18"/>
          <w:color w:val="auto"/>
        </w:rPr>
        <w:t>insbesondere hinsichtlich der Arbeitsleistung des Arbeitnehmers, nicht beeinträchtigt werden. Die Zustimmung kann jederzeit widerrufen werden, wenn</w:t>
      </w:r>
    </w:p>
    <w:p>
      <w:pPr>
        <w:spacing w:after="0" w:line="2" w:lineRule="exact"/>
        <w:rPr>
          <w:sz w:val="20"/>
          <w:szCs w:val="20"/>
          <w:color w:val="auto"/>
        </w:rPr>
      </w:pPr>
    </w:p>
    <w:p>
      <w:pPr>
        <w:ind w:left="373"/>
        <w:spacing w:after="0" w:line="230" w:lineRule="auto"/>
        <w:rPr>
          <w:sz w:val="20"/>
          <w:szCs w:val="20"/>
          <w:color w:val="auto"/>
        </w:rPr>
      </w:pPr>
      <w:r>
        <w:rPr>
          <w:rFonts w:ascii="Arial" w:cs="Arial" w:eastAsia="Arial" w:hAnsi="Arial"/>
          <w:sz w:val="18"/>
          <w:szCs w:val="18"/>
          <w:color w:val="auto"/>
        </w:rPr>
        <w:t>dies das Interesse der Gesellschaft auch unter Berücksichtigung der Belange des Arbeitnehmers rechtfertigt.</w:t>
      </w:r>
    </w:p>
    <w:p>
      <w:pPr>
        <w:sectPr>
          <w:pgSz w:w="11900" w:h="16838" w:orient="portrait"/>
          <w:cols w:equalWidth="0" w:num="2">
            <w:col w:w="5266" w:space="207"/>
            <w:col w:w="5313"/>
          </w:cols>
          <w:pgMar w:left="494" w:top="1239" w:right="619" w:bottom="144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6" w:hanging="306"/>
        <w:spacing w:after="0" w:line="278" w:lineRule="auto"/>
        <w:tabs>
          <w:tab w:leader="none" w:pos="19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the duration of this Employment Agree- ment, the Employee shall not be working for a competitor of the Company and shall not directly or indirectly participate in the establishment of a competitive company and shall not compete with the Company by self-employed activities. The acquisition of shares and securities for capital invest- ment shall not be viewed as a competitive activity within the meaning of this clause, if the Employee may not exercise any influ- ence regarding the business activity of this company due to the capital investment, e.g. in case of a capital investment in corpora- tions, which may not exceed a nominal value of 5%. The Employee shall revert to the legal department in case that the Em- ployee is in doubt about a potential conflict of interests.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306" w:right="20" w:hanging="306"/>
        <w:spacing w:after="0" w:line="263" w:lineRule="auto"/>
        <w:tabs>
          <w:tab w:leader="none" w:pos="24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Employee may not accept any pay- ments or loans of persons or companies at- tempting to conduct business with the Company or to receive information from it.</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306" w:hanging="306"/>
        <w:spacing w:after="0" w:line="262" w:lineRule="auto"/>
        <w:tabs>
          <w:tab w:leader="none" w:pos="2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Employee may not conduct business in the name of the Company with any con- tractor, provider, or any other party for which he or a member of his immediate family (Spouse / lifepartner / partner, sib- ling, parents) works as a director, agent, or representative or in which the Employee has any other personal or financial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91" w:hanging="391"/>
        <w:spacing w:after="0" w:line="276" w:lineRule="auto"/>
        <w:tabs>
          <w:tab w:leader="none" w:pos="40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Der Arbeitnehmer wird während der Dauer des Arbeitsverhältnisses nicht für ein Konkurrenzunternehmen tätig sein und weder unmittelbar noch mittelbar an der Gründung eines solchen Unternehmens mitwirken und der Gesellschaft nicht mit selbstständiger Tätigkeit Konkurrenz machen. Nicht als Konkurrenztätigkeit in diesem Sinne gilt der Erwerb von Aktien und Wertpapieren zur Kapitalanlage, wenn</w:t>
      </w:r>
    </w:p>
    <w:p>
      <w:pPr>
        <w:spacing w:after="0" w:line="3" w:lineRule="exact"/>
        <w:rPr>
          <w:sz w:val="20"/>
          <w:szCs w:val="20"/>
          <w:color w:val="auto"/>
        </w:rPr>
      </w:pPr>
    </w:p>
    <w:p>
      <w:pPr>
        <w:jc w:val="both"/>
        <w:ind w:left="391"/>
        <w:spacing w:after="0" w:line="276" w:lineRule="auto"/>
        <w:rPr>
          <w:sz w:val="20"/>
          <w:szCs w:val="20"/>
          <w:color w:val="auto"/>
        </w:rPr>
      </w:pPr>
      <w:r>
        <w:rPr>
          <w:rFonts w:ascii="Arial" w:cs="Arial" w:eastAsia="Arial" w:hAnsi="Arial"/>
          <w:sz w:val="17"/>
          <w:szCs w:val="17"/>
          <w:color w:val="auto"/>
        </w:rPr>
        <w:t>sichergestellt ist, dass durch die Beteiligung keinerlei Einfluss auf die Geschäftstätigkeit dieses Unternehmens genommen</w:t>
      </w:r>
    </w:p>
    <w:p>
      <w:pPr>
        <w:spacing w:after="0" w:line="1" w:lineRule="exact"/>
        <w:rPr>
          <w:sz w:val="20"/>
          <w:szCs w:val="20"/>
          <w:color w:val="auto"/>
        </w:rPr>
      </w:pPr>
    </w:p>
    <w:p>
      <w:pPr>
        <w:jc w:val="both"/>
        <w:ind w:left="391"/>
        <w:spacing w:after="0" w:line="262" w:lineRule="auto"/>
        <w:rPr>
          <w:sz w:val="20"/>
          <w:szCs w:val="20"/>
          <w:color w:val="auto"/>
        </w:rPr>
      </w:pPr>
      <w:r>
        <w:rPr>
          <w:rFonts w:ascii="Arial" w:cs="Arial" w:eastAsia="Arial" w:hAnsi="Arial"/>
          <w:sz w:val="18"/>
          <w:szCs w:val="18"/>
          <w:color w:val="auto"/>
        </w:rPr>
        <w:t>werden kann, z. B. bei Kapitalbeteiligungen an Aktiengesellschaften, die einen Nominalwert von 5 % nicht überschreiten. Der Arbeitnehmer ist dazu verpflichtet, sich an die Rechtsabteilung wenden, wenn er Rat dazu benötigt, was einen Interessenkonflikt darstellt.</w:t>
      </w:r>
    </w:p>
    <w:p>
      <w:pPr>
        <w:spacing w:after="0" w:line="195" w:lineRule="exact"/>
        <w:rPr>
          <w:sz w:val="20"/>
          <w:szCs w:val="20"/>
          <w:color w:val="auto"/>
        </w:rPr>
      </w:pPr>
    </w:p>
    <w:p>
      <w:pPr>
        <w:ind w:left="391" w:hanging="391"/>
        <w:spacing w:after="0" w:line="263" w:lineRule="auto"/>
        <w:tabs>
          <w:tab w:leader="none" w:pos="2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Dem Arbeitnehmer ist es untersagt, privat Zahlungen oder Darlehen von Personen oder Firmen anzunehmen, die versuchen, Geschäfte mit der Gesellschaft zu betreiben oder Informationen über die Gesellschaft zu erhalten.</w:t>
      </w:r>
    </w:p>
    <w:p>
      <w:pPr>
        <w:spacing w:after="0" w:line="192" w:lineRule="exact"/>
        <w:rPr>
          <w:rFonts w:ascii="Arial" w:cs="Arial" w:eastAsia="Arial" w:hAnsi="Arial"/>
          <w:sz w:val="18"/>
          <w:szCs w:val="18"/>
          <w:color w:val="auto"/>
        </w:rPr>
      </w:pPr>
    </w:p>
    <w:p>
      <w:pPr>
        <w:ind w:left="231" w:hanging="231"/>
        <w:spacing w:after="0"/>
        <w:tabs>
          <w:tab w:leader="none" w:pos="23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Dem Arbeitnehmer ist es untersagt, Geschäfte im Namen der</w:t>
      </w:r>
    </w:p>
    <w:p>
      <w:pPr>
        <w:spacing w:after="0" w:line="18" w:lineRule="exact"/>
        <w:rPr>
          <w:sz w:val="20"/>
          <w:szCs w:val="20"/>
          <w:color w:val="auto"/>
        </w:rPr>
      </w:pPr>
    </w:p>
    <w:p>
      <w:pPr>
        <w:jc w:val="both"/>
        <w:ind w:left="391"/>
        <w:spacing w:after="0" w:line="276" w:lineRule="auto"/>
        <w:rPr>
          <w:sz w:val="20"/>
          <w:szCs w:val="20"/>
          <w:color w:val="auto"/>
        </w:rPr>
      </w:pPr>
      <w:r>
        <w:rPr>
          <w:rFonts w:ascii="Arial" w:cs="Arial" w:eastAsia="Arial" w:hAnsi="Arial"/>
          <w:sz w:val="17"/>
          <w:szCs w:val="17"/>
          <w:color w:val="auto"/>
        </w:rPr>
        <w:t>Gesellschaft mit einem Auftragnehmer, Anbieter oder einem sonstigen Dritten einzugehen, für die er oder ein unmittelbares</w:t>
      </w:r>
    </w:p>
    <w:p>
      <w:pPr>
        <w:spacing w:after="0" w:line="1" w:lineRule="exact"/>
        <w:rPr>
          <w:sz w:val="20"/>
          <w:szCs w:val="20"/>
          <w:color w:val="auto"/>
        </w:rPr>
      </w:pPr>
    </w:p>
    <w:p>
      <w:pPr>
        <w:jc w:val="both"/>
        <w:ind w:left="391"/>
        <w:spacing w:after="0" w:line="276" w:lineRule="auto"/>
        <w:rPr>
          <w:sz w:val="20"/>
          <w:szCs w:val="20"/>
          <w:color w:val="auto"/>
        </w:rPr>
      </w:pPr>
      <w:r>
        <w:rPr>
          <w:rFonts w:ascii="Arial" w:cs="Arial" w:eastAsia="Arial" w:hAnsi="Arial"/>
          <w:sz w:val="17"/>
          <w:szCs w:val="17"/>
          <w:color w:val="auto"/>
        </w:rPr>
        <w:t>Familienmitglied (Ehegatte / Lebenspartner / Lebensgefährte, Geschwister, Eltern) als Organ, Handlungsbevollmächtigter oder Vertreter tätig ist, oder an der</w:t>
      </w:r>
    </w:p>
    <w:p>
      <w:pPr>
        <w:spacing w:after="0" w:line="1" w:lineRule="exact"/>
        <w:rPr>
          <w:sz w:val="20"/>
          <w:szCs w:val="20"/>
          <w:color w:val="auto"/>
        </w:rPr>
      </w:pPr>
    </w:p>
    <w:p>
      <w:pPr>
        <w:ind w:left="391" w:right="620"/>
        <w:spacing w:after="0" w:line="238" w:lineRule="auto"/>
        <w:rPr>
          <w:sz w:val="20"/>
          <w:szCs w:val="20"/>
          <w:color w:val="auto"/>
        </w:rPr>
      </w:pPr>
      <w:r>
        <w:rPr>
          <w:rFonts w:ascii="Arial" w:cs="Arial" w:eastAsia="Arial" w:hAnsi="Arial"/>
          <w:sz w:val="18"/>
          <w:szCs w:val="18"/>
          <w:color w:val="auto"/>
        </w:rPr>
        <w:t>der Arbeitnehmer irgendein anderes persönliches oder finanzielles Interesse besitzt.</w:t>
      </w:r>
    </w:p>
    <w:p>
      <w:pPr>
        <w:sectPr>
          <w:pgSz w:w="11900" w:h="16838" w:orient="portrait"/>
          <w:cols w:equalWidth="0" w:num="2">
            <w:col w:w="5266" w:space="209"/>
            <w:col w:w="5271"/>
          </w:cols>
          <w:pgMar w:left="494" w:top="1440" w:right="659" w:bottom="1440" w:gutter="0" w:footer="0" w:header="0"/>
        </w:sectPr>
      </w:pPr>
    </w:p>
    <w:bookmarkStart w:id="176" w:name="page177"/>
    <w:bookmarkEnd w:id="176"/>
    <w:p>
      <w:pPr>
        <w:ind w:left="2390"/>
        <w:spacing w:after="0"/>
        <w:tabs>
          <w:tab w:leader="none" w:pos="7949" w:val="left"/>
        </w:tabs>
        <w:rPr>
          <w:sz w:val="20"/>
          <w:szCs w:val="20"/>
          <w:color w:val="auto"/>
        </w:rPr>
      </w:pPr>
      <w:r>
        <w:rPr>
          <w:rFonts w:ascii="Arial" w:cs="Arial" w:eastAsia="Arial" w:hAnsi="Arial"/>
          <w:sz w:val="18"/>
          <w:szCs w:val="18"/>
          <w:b w:val="1"/>
          <w:bCs w:val="1"/>
          <w:color w:val="auto"/>
        </w:rPr>
        <w:t>Sec. 11</w:t>
      </w:r>
      <w:r>
        <w:rPr>
          <w:sz w:val="20"/>
          <w:szCs w:val="20"/>
          <w:color w:val="auto"/>
        </w:rPr>
        <w:tab/>
      </w:r>
      <w:r>
        <w:rPr>
          <w:rFonts w:ascii="Arial" w:cs="Arial" w:eastAsia="Arial" w:hAnsi="Arial"/>
          <w:sz w:val="17"/>
          <w:szCs w:val="17"/>
          <w:b w:val="1"/>
          <w:bCs w:val="1"/>
          <w:color w:val="auto"/>
        </w:rPr>
        <w:t>§ 11</w:t>
      </w:r>
    </w:p>
    <w:p>
      <w:pPr>
        <w:spacing w:after="0" w:line="257" w:lineRule="exact"/>
        <w:rPr>
          <w:sz w:val="20"/>
          <w:szCs w:val="20"/>
          <w:color w:val="auto"/>
        </w:rPr>
      </w:pPr>
    </w:p>
    <w:p>
      <w:pPr>
        <w:ind w:left="490"/>
        <w:spacing w:after="0"/>
        <w:tabs>
          <w:tab w:leader="none" w:pos="5729" w:val="left"/>
        </w:tabs>
        <w:rPr>
          <w:sz w:val="20"/>
          <w:szCs w:val="20"/>
          <w:color w:val="auto"/>
        </w:rPr>
      </w:pPr>
      <w:r>
        <w:rPr>
          <w:rFonts w:ascii="Arial" w:cs="Arial" w:eastAsia="Arial" w:hAnsi="Arial"/>
          <w:sz w:val="18"/>
          <w:szCs w:val="18"/>
          <w:b w:val="1"/>
          <w:bCs w:val="1"/>
          <w:color w:val="auto"/>
        </w:rPr>
        <w:t>Copyright / Exploitation Right / Employee Inventions</w:t>
      </w:r>
      <w:r>
        <w:rPr>
          <w:sz w:val="20"/>
          <w:szCs w:val="20"/>
          <w:color w:val="auto"/>
        </w:rPr>
        <w:tab/>
      </w:r>
      <w:r>
        <w:rPr>
          <w:rFonts w:ascii="Arial" w:cs="Arial" w:eastAsia="Arial" w:hAnsi="Arial"/>
          <w:sz w:val="17"/>
          <w:szCs w:val="17"/>
          <w:b w:val="1"/>
          <w:bCs w:val="1"/>
          <w:color w:val="auto"/>
        </w:rPr>
        <w:t>Urheberrechte / Verwertungsrechte /</w:t>
      </w:r>
    </w:p>
    <w:p>
      <w:pPr>
        <w:spacing w:after="0" w:line="27" w:lineRule="exact"/>
        <w:rPr>
          <w:sz w:val="20"/>
          <w:szCs w:val="20"/>
          <w:color w:val="auto"/>
        </w:rPr>
      </w:pPr>
    </w:p>
    <w:p>
      <w:pPr>
        <w:ind w:left="5750"/>
        <w:spacing w:after="0"/>
        <w:rPr>
          <w:sz w:val="20"/>
          <w:szCs w:val="20"/>
          <w:color w:val="auto"/>
        </w:rPr>
      </w:pPr>
      <w:r>
        <w:rPr>
          <w:rFonts w:ascii="Arial" w:cs="Arial" w:eastAsia="Arial" w:hAnsi="Arial"/>
          <w:sz w:val="18"/>
          <w:szCs w:val="18"/>
          <w:b w:val="1"/>
          <w:bCs w:val="1"/>
          <w:color w:val="auto"/>
        </w:rPr>
        <w:t>Arbeitnehmererfindungen</w:t>
      </w:r>
    </w:p>
    <w:p>
      <w:pPr>
        <w:sectPr>
          <w:pgSz w:w="11900" w:h="16838" w:orient="portrait"/>
          <w:cols w:equalWidth="0" w:num="1">
            <w:col w:w="10790"/>
          </w:cols>
          <w:pgMar w:left="450" w:top="1203" w:right="659" w:bottom="1440" w:gutter="0" w:footer="0" w:header="0"/>
        </w:sectPr>
      </w:pPr>
    </w:p>
    <w:p>
      <w:pPr>
        <w:spacing w:after="0" w:line="191" w:lineRule="exact"/>
        <w:rPr>
          <w:sz w:val="20"/>
          <w:szCs w:val="20"/>
          <w:color w:val="auto"/>
        </w:rPr>
      </w:pPr>
    </w:p>
    <w:p>
      <w:pPr>
        <w:ind w:left="410" w:hanging="366"/>
        <w:spacing w:after="0" w:line="261" w:lineRule="auto"/>
        <w:tabs>
          <w:tab w:leader="none" w:pos="2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Employee shall transfer all rights and obligations arising from or in connection with the contractual activity for the Com-pany that have arisen or will arise (or will arise in the future) from or in connection with the contractual activity for the Com-pany. Performance results such as soft- ware (source and program codes), draw- ings, sketches, drafts, other documents, knowledge and inventions ("work results") as well as all rights to or in connection with the work results, including patents, utility models, rights from and to inventions, trademarks, business designations and other labelling rights, domains, copyrights and ancillary copyrights independently thereof, whether they are registered or not ("IP Rights"), and, to the extent that the Work Results are not themselves transfer- able, rights of use in respect of them, con- tinuously and irrevocably from the time they arise to the Company accepting such transfer, with the effect that the Company becomes the sole owner of all Work Re- sults and IP Rights therein or of the rights of use in respect of the Work Results, with- out any further act of transfer being re- quired.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38" w:right="140" w:hanging="238"/>
        <w:spacing w:after="0" w:line="276" w:lineRule="auto"/>
        <w:tabs>
          <w:tab w:leader="none" w:pos="19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Der Arbeitnehmer überträgt sämtliche aus oder im Zusammenhang mit der vertragsgegenständlichen Tätigkeit für die Gesellschaft entstandenen oder noch entstehenden (bzw.</w:t>
      </w:r>
    </w:p>
    <w:p>
      <w:pPr>
        <w:spacing w:after="0" w:line="1" w:lineRule="exact"/>
        <w:rPr>
          <w:sz w:val="20"/>
          <w:szCs w:val="20"/>
          <w:color w:val="auto"/>
        </w:rPr>
      </w:pPr>
    </w:p>
    <w:p>
      <w:pPr>
        <w:ind w:left="238" w:right="60"/>
        <w:spacing w:after="0" w:line="276" w:lineRule="auto"/>
        <w:rPr>
          <w:sz w:val="20"/>
          <w:szCs w:val="20"/>
          <w:color w:val="auto"/>
        </w:rPr>
      </w:pPr>
      <w:r>
        <w:rPr>
          <w:rFonts w:ascii="Arial" w:cs="Arial" w:eastAsia="Arial" w:hAnsi="Arial"/>
          <w:sz w:val="17"/>
          <w:szCs w:val="17"/>
          <w:color w:val="auto"/>
        </w:rPr>
        <w:t>von ihm erworbenen) Leistungsergebnisse wie Software (Quell-und Programmcodes), Zeichnungen, Skizzen, Entwürfe, andere Dokumente, Erkenntnisse und Erfindungen („Arbeitsergebnisse“) sowie sämtliche Rechte an oder im Zusammenhang mit den Arbeitsergebnissen, darunter Patente, Gebrauchsmuster, Rechte aus und an Erfindungen, Marken,</w:t>
      </w:r>
    </w:p>
    <w:p>
      <w:pPr>
        <w:spacing w:after="0" w:line="3" w:lineRule="exact"/>
        <w:rPr>
          <w:sz w:val="20"/>
          <w:szCs w:val="20"/>
          <w:color w:val="auto"/>
        </w:rPr>
      </w:pPr>
    </w:p>
    <w:p>
      <w:pPr>
        <w:ind w:left="238"/>
        <w:spacing w:after="0"/>
        <w:tabs>
          <w:tab w:leader="none" w:pos="2997" w:val="left"/>
          <w:tab w:leader="none" w:pos="4077" w:val="left"/>
        </w:tabs>
        <w:rPr>
          <w:sz w:val="20"/>
          <w:szCs w:val="20"/>
          <w:color w:val="auto"/>
        </w:rPr>
      </w:pPr>
      <w:r>
        <w:rPr>
          <w:rFonts w:ascii="Arial" w:cs="Arial" w:eastAsia="Arial" w:hAnsi="Arial"/>
          <w:sz w:val="18"/>
          <w:szCs w:val="18"/>
          <w:color w:val="auto"/>
        </w:rPr>
        <w:t>geschäftlichen Bezeichnungen</w:t>
      </w:r>
      <w:r>
        <w:rPr>
          <w:sz w:val="20"/>
          <w:szCs w:val="20"/>
          <w:color w:val="auto"/>
        </w:rPr>
        <w:tab/>
      </w:r>
      <w:r>
        <w:rPr>
          <w:rFonts w:ascii="Arial" w:cs="Arial" w:eastAsia="Arial" w:hAnsi="Arial"/>
          <w:sz w:val="18"/>
          <w:szCs w:val="18"/>
          <w:color w:val="auto"/>
        </w:rPr>
        <w:t>und</w:t>
      </w:r>
      <w:r>
        <w:rPr>
          <w:sz w:val="20"/>
          <w:szCs w:val="20"/>
          <w:color w:val="auto"/>
        </w:rPr>
        <w:tab/>
      </w:r>
      <w:r>
        <w:rPr>
          <w:rFonts w:ascii="Arial" w:cs="Arial" w:eastAsia="Arial" w:hAnsi="Arial"/>
          <w:sz w:val="17"/>
          <w:szCs w:val="17"/>
          <w:color w:val="auto"/>
        </w:rPr>
        <w:t>sonstige</w:t>
      </w:r>
    </w:p>
    <w:p>
      <w:pPr>
        <w:spacing w:after="0" w:line="18" w:lineRule="exact"/>
        <w:rPr>
          <w:sz w:val="20"/>
          <w:szCs w:val="20"/>
          <w:color w:val="auto"/>
        </w:rPr>
      </w:pPr>
    </w:p>
    <w:p>
      <w:pPr>
        <w:ind w:left="238"/>
        <w:spacing w:after="0"/>
        <w:tabs>
          <w:tab w:leader="none" w:pos="2557" w:val="left"/>
        </w:tabs>
        <w:rPr>
          <w:sz w:val="20"/>
          <w:szCs w:val="20"/>
          <w:color w:val="auto"/>
        </w:rPr>
      </w:pPr>
      <w:r>
        <w:rPr>
          <w:rFonts w:ascii="Arial" w:cs="Arial" w:eastAsia="Arial" w:hAnsi="Arial"/>
          <w:sz w:val="18"/>
          <w:szCs w:val="18"/>
          <w:color w:val="auto"/>
        </w:rPr>
        <w:t>Kennzeichenrechte,</w:t>
      </w:r>
      <w:r>
        <w:rPr>
          <w:sz w:val="20"/>
          <w:szCs w:val="20"/>
          <w:color w:val="auto"/>
        </w:rPr>
        <w:tab/>
      </w:r>
      <w:r>
        <w:rPr>
          <w:rFonts w:ascii="Arial" w:cs="Arial" w:eastAsia="Arial" w:hAnsi="Arial"/>
          <w:sz w:val="18"/>
          <w:szCs w:val="18"/>
          <w:color w:val="auto"/>
        </w:rPr>
        <w:t>Domains, Urheberrechte und</w:t>
      </w:r>
    </w:p>
    <w:p>
      <w:pPr>
        <w:spacing w:after="0" w:line="18" w:lineRule="exact"/>
        <w:rPr>
          <w:sz w:val="20"/>
          <w:szCs w:val="20"/>
          <w:color w:val="auto"/>
        </w:rPr>
      </w:pPr>
    </w:p>
    <w:p>
      <w:pPr>
        <w:ind w:left="238" w:right="20"/>
        <w:spacing w:after="0" w:line="276" w:lineRule="auto"/>
        <w:rPr>
          <w:sz w:val="20"/>
          <w:szCs w:val="20"/>
          <w:color w:val="auto"/>
        </w:rPr>
      </w:pPr>
      <w:r>
        <w:rPr>
          <w:rFonts w:ascii="Arial" w:cs="Arial" w:eastAsia="Arial" w:hAnsi="Arial"/>
          <w:sz w:val="17"/>
          <w:szCs w:val="17"/>
          <w:color w:val="auto"/>
        </w:rPr>
        <w:t>Leistungsschutzrechte unabhängig davon, ob diese registriert sind oder nicht („IP-Rechte“), sowie, soweit die Arbeitsergebnisse nicht selbst übertragbar sind, Nutzungsrechte an diesen, fortlaufend und unwiderruflich mit dem Zeitpunkt ihres Entstehens auf die diese Übertragung annehmende Gesellschaft mit der Wirkung, dass die Gesellschaft</w:t>
      </w:r>
    </w:p>
    <w:p>
      <w:pPr>
        <w:spacing w:after="0" w:line="3" w:lineRule="exact"/>
        <w:rPr>
          <w:sz w:val="20"/>
          <w:szCs w:val="20"/>
          <w:color w:val="auto"/>
        </w:rPr>
      </w:pPr>
    </w:p>
    <w:p>
      <w:pPr>
        <w:ind w:left="238" w:right="60"/>
        <w:spacing w:after="0" w:line="263" w:lineRule="auto"/>
        <w:rPr>
          <w:sz w:val="20"/>
          <w:szCs w:val="20"/>
          <w:color w:val="auto"/>
        </w:rPr>
      </w:pPr>
      <w:r>
        <w:rPr>
          <w:rFonts w:ascii="Arial" w:cs="Arial" w:eastAsia="Arial" w:hAnsi="Arial"/>
          <w:sz w:val="18"/>
          <w:szCs w:val="18"/>
          <w:color w:val="auto"/>
        </w:rPr>
        <w:t>alleinige Inhaberin sämtlicher Arbeitsergebnisse und IP-Rechte daran oder der an den Arbeitsergebnissen bestehenden Nutzungsrechte wird, ohne dass es eines weiteren Übertragungsakts bedarf.</w:t>
      </w:r>
    </w:p>
    <w:p>
      <w:pPr>
        <w:spacing w:after="0" w:line="33" w:lineRule="exact"/>
        <w:rPr>
          <w:sz w:val="20"/>
          <w:szCs w:val="20"/>
          <w:color w:val="auto"/>
        </w:rPr>
      </w:pPr>
    </w:p>
    <w:p>
      <w:pPr>
        <w:sectPr>
          <w:pgSz w:w="11900" w:h="16838" w:orient="portrait"/>
          <w:cols w:equalWidth="0" w:num="2">
            <w:col w:w="5310" w:space="202"/>
            <w:col w:w="5278"/>
          </w:cols>
          <w:pgMar w:left="450" w:top="1203" w:right="659" w:bottom="1440" w:gutter="0" w:footer="0" w:header="0"/>
          <w:type w:val="continuous"/>
        </w:sectPr>
      </w:pPr>
    </w:p>
    <w:p>
      <w:pPr>
        <w:ind w:left="390" w:hanging="390"/>
        <w:spacing w:after="0"/>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To the extent that rights of use of the work results are not transferable, the Employee irrevocably grants the Company, </w:t>
      </w:r>
      <w:r>
        <w:rPr>
          <w:rFonts w:ascii="Arial" w:cs="Arial" w:eastAsia="Arial" w:hAnsi="Arial"/>
          <w:sz w:val="35"/>
          <w:szCs w:val="35"/>
          <w:color w:val="auto"/>
          <w:vertAlign w:val="superscript"/>
        </w:rPr>
        <w:t>2.</w:t>
      </w:r>
      <w:r>
        <w:rPr>
          <w:rFonts w:ascii="Arial" w:cs="Arial" w:eastAsia="Arial" w:hAnsi="Arial"/>
          <w:sz w:val="18"/>
          <w:szCs w:val="18"/>
          <w:color w:val="auto"/>
        </w:rPr>
        <w:t xml:space="preserve"> with ef- fect from the time when the work result in question arises, the exclusive or, if the Em- ployee does not have such a right, the non- exclusive right, unlimited in time, place and subject matter, to use and exploit such work results. This granting of rights shall include in particular the right of reproduction, the right of distribution, the right of rental and lending, the database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hanging="13"/>
        <w:spacing w:after="0" w:line="246" w:lineRule="auto"/>
        <w:rPr>
          <w:sz w:val="20"/>
          <w:szCs w:val="20"/>
          <w:color w:val="auto"/>
        </w:rPr>
      </w:pPr>
      <w:r>
        <w:rPr>
          <w:rFonts w:ascii="Arial" w:cs="Arial" w:eastAsia="Arial" w:hAnsi="Arial"/>
          <w:sz w:val="18"/>
          <w:szCs w:val="18"/>
          <w:color w:val="auto"/>
        </w:rPr>
        <w:t>Soweit</w:t>
      </w:r>
      <w:r>
        <w:rPr>
          <w:sz w:val="20"/>
          <w:szCs w:val="20"/>
          <w:color w:val="auto"/>
        </w:rPr>
        <w:t xml:space="preserve"> </w:t>
      </w:r>
      <w:r>
        <w:rPr>
          <w:rFonts w:ascii="Arial" w:cs="Arial" w:eastAsia="Arial" w:hAnsi="Arial"/>
          <w:sz w:val="18"/>
          <w:szCs w:val="18"/>
          <w:color w:val="auto"/>
        </w:rPr>
        <w:t>Nutzungsrechte an den Arbeitsergebnissen nicht übertragbar sind, räumt der Arbeitnehmer der Gesellschaft mit Wirkung zum Zeitpunkt des Entstehens des betreffenden Arbeitsergebnisses unwiderruflich das ausschließliche, oder, soweit der Arbeitnehmer über diese Befugnis nicht verfügt, das nicht- ausschließliche, zeitlich, örtlich und sachlich unbeschränkte Recht ein, solche</w:t>
      </w:r>
    </w:p>
    <w:p>
      <w:pPr>
        <w:sectPr>
          <w:pgSz w:w="11900" w:h="16838" w:orient="portrait"/>
          <w:cols w:equalWidth="0" w:num="2">
            <w:col w:w="5670" w:space="180"/>
            <w:col w:w="4940"/>
          </w:cols>
          <w:pgMar w:left="450" w:top="1203" w:right="659" w:bottom="1440" w:gutter="0" w:footer="0" w:header="0"/>
          <w:type w:val="continuous"/>
        </w:sectPr>
      </w:pPr>
    </w:p>
    <w:bookmarkStart w:id="177" w:name="page178"/>
    <w:bookmarkEnd w:id="177"/>
    <w:p>
      <w:pPr>
        <w:jc w:val="both"/>
        <w:ind w:left="346"/>
        <w:spacing w:after="0" w:line="246" w:lineRule="auto"/>
        <w:rPr>
          <w:sz w:val="20"/>
          <w:szCs w:val="20"/>
          <w:color w:val="auto"/>
        </w:rPr>
      </w:pPr>
      <w:r>
        <w:rPr>
          <w:rFonts w:ascii="Arial" w:cs="Arial" w:eastAsia="Arial" w:hAnsi="Arial"/>
          <w:sz w:val="18"/>
          <w:szCs w:val="18"/>
          <w:color w:val="auto"/>
        </w:rPr>
        <w:t>right, the right of publication, the right of making available to the public irre- spective of the medium, the right of online transmission and the right of online repro- duction, the right of processing (in particu- lar the right to integrate the work results into other products/services of the Com- pany or third parties, tochange, expand, implement, translate, revise, arrange or otherwise rework or redesign them in any way), the right to digitalize and the right to manufacture, offer, market or use prod- ucts/other services using the work results for own purposes and/or the purposes of third parties. The granting of rights shall apply to all known types of use as well as to types of use unknown today; the rights to which the Employee is compulsorily en- titled in this respect, e.g. under sec. 31a German Copyright Act (UrhG), shall re- main unaffected. The Company hereby ac- cepts the granting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6" w:right="80" w:hanging="366"/>
        <w:spacing w:after="0" w:line="283" w:lineRule="auto"/>
        <w:tabs>
          <w:tab w:leader="none" w:pos="20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As far as software sec. 69b UrhG or corre- sponding regulations of other legal sys- tems provide for amore extensive granting of rights to the Company, it is the mutual intent of the parties that this extensive granting of rights remains unaffected.</w:t>
      </w:r>
    </w:p>
    <w:p>
      <w:pPr>
        <w:spacing w:after="0" w:line="20" w:lineRule="exact"/>
        <w:rPr>
          <w:sz w:val="20"/>
          <w:szCs w:val="20"/>
          <w:color w:val="auto"/>
        </w:rPr>
      </w:pPr>
      <w:r>
        <w:rPr>
          <w:sz w:val="20"/>
          <w:szCs w:val="20"/>
          <w:color w:val="auto"/>
        </w:rPr>
        <w:br w:type="column"/>
      </w:r>
    </w:p>
    <w:p>
      <w:pPr>
        <w:ind w:left="310"/>
        <w:spacing w:after="0"/>
        <w:rPr>
          <w:sz w:val="20"/>
          <w:szCs w:val="20"/>
          <w:color w:val="auto"/>
        </w:rPr>
      </w:pPr>
      <w:r>
        <w:rPr>
          <w:rFonts w:ascii="Arial" w:cs="Arial" w:eastAsia="Arial" w:hAnsi="Arial"/>
          <w:sz w:val="18"/>
          <w:szCs w:val="18"/>
          <w:color w:val="auto"/>
        </w:rPr>
        <w:t>Arbeitsergebnisse zu nutzen und zu verwerten. Von dieser</w:t>
      </w:r>
    </w:p>
    <w:p>
      <w:pPr>
        <w:spacing w:after="0" w:line="5" w:lineRule="exact"/>
        <w:rPr>
          <w:sz w:val="20"/>
          <w:szCs w:val="20"/>
          <w:color w:val="auto"/>
        </w:rPr>
      </w:pPr>
    </w:p>
    <w:p>
      <w:pPr>
        <w:ind w:left="310"/>
        <w:spacing w:after="0"/>
        <w:tabs>
          <w:tab w:leader="none" w:pos="2089" w:val="left"/>
          <w:tab w:leader="none" w:pos="3009" w:val="left"/>
          <w:tab w:leader="none" w:pos="3649" w:val="left"/>
          <w:tab w:leader="none" w:pos="5009" w:val="left"/>
        </w:tabs>
        <w:rPr>
          <w:sz w:val="20"/>
          <w:szCs w:val="20"/>
          <w:color w:val="auto"/>
        </w:rPr>
      </w:pPr>
      <w:r>
        <w:rPr>
          <w:rFonts w:ascii="Arial" w:cs="Arial" w:eastAsia="Arial" w:hAnsi="Arial"/>
          <w:sz w:val="18"/>
          <w:szCs w:val="18"/>
          <w:color w:val="auto"/>
        </w:rPr>
        <w:t>Rechtseinräumung</w:t>
      </w:r>
      <w:r>
        <w:rPr>
          <w:sz w:val="20"/>
          <w:szCs w:val="20"/>
          <w:color w:val="auto"/>
        </w:rPr>
        <w:tab/>
      </w:r>
      <w:r>
        <w:rPr>
          <w:rFonts w:ascii="Arial" w:cs="Arial" w:eastAsia="Arial" w:hAnsi="Arial"/>
          <w:sz w:val="18"/>
          <w:szCs w:val="18"/>
          <w:color w:val="auto"/>
        </w:rPr>
        <w:t>umfasst</w:t>
      </w:r>
      <w:r>
        <w:rPr>
          <w:sz w:val="20"/>
          <w:szCs w:val="20"/>
          <w:color w:val="auto"/>
        </w:rPr>
        <w:tab/>
      </w:r>
      <w:r>
        <w:rPr>
          <w:rFonts w:ascii="Arial" w:cs="Arial" w:eastAsia="Arial" w:hAnsi="Arial"/>
          <w:sz w:val="18"/>
          <w:szCs w:val="18"/>
          <w:color w:val="auto"/>
        </w:rPr>
        <w:t>sind</w:t>
      </w:r>
      <w:r>
        <w:rPr>
          <w:sz w:val="20"/>
          <w:szCs w:val="20"/>
          <w:color w:val="auto"/>
        </w:rPr>
        <w:tab/>
      </w:r>
      <w:r>
        <w:rPr>
          <w:rFonts w:ascii="Arial" w:cs="Arial" w:eastAsia="Arial" w:hAnsi="Arial"/>
          <w:sz w:val="18"/>
          <w:szCs w:val="18"/>
          <w:color w:val="auto"/>
        </w:rPr>
        <w:t>insbesondere</w:t>
      </w:r>
      <w:r>
        <w:rPr>
          <w:sz w:val="20"/>
          <w:szCs w:val="20"/>
          <w:color w:val="auto"/>
        </w:rPr>
        <w:tab/>
      </w:r>
      <w:r>
        <w:rPr>
          <w:rFonts w:ascii="Arial" w:cs="Arial" w:eastAsia="Arial" w:hAnsi="Arial"/>
          <w:sz w:val="18"/>
          <w:szCs w:val="18"/>
          <w:color w:val="auto"/>
        </w:rPr>
        <w:t>das</w:t>
      </w:r>
    </w:p>
    <w:p>
      <w:pPr>
        <w:spacing w:after="0" w:line="5" w:lineRule="exact"/>
        <w:rPr>
          <w:sz w:val="20"/>
          <w:szCs w:val="20"/>
          <w:color w:val="auto"/>
        </w:rPr>
      </w:pPr>
    </w:p>
    <w:p>
      <w:pPr>
        <w:ind w:left="310"/>
        <w:spacing w:after="0"/>
        <w:rPr>
          <w:sz w:val="20"/>
          <w:szCs w:val="20"/>
          <w:color w:val="auto"/>
        </w:rPr>
      </w:pPr>
      <w:r>
        <w:rPr>
          <w:rFonts w:ascii="Arial" w:cs="Arial" w:eastAsia="Arial" w:hAnsi="Arial"/>
          <w:sz w:val="18"/>
          <w:szCs w:val="18"/>
          <w:color w:val="auto"/>
        </w:rPr>
        <w:t>Vervielfältigungsrecht,  das  Recht  zur  Verbreitung  und  zum</w:t>
      </w:r>
    </w:p>
    <w:p>
      <w:pPr>
        <w:spacing w:after="0" w:line="5" w:lineRule="exact"/>
        <w:rPr>
          <w:sz w:val="20"/>
          <w:szCs w:val="20"/>
          <w:color w:val="auto"/>
        </w:rPr>
      </w:pPr>
    </w:p>
    <w:p>
      <w:pPr>
        <w:ind w:left="310"/>
        <w:spacing w:after="0"/>
        <w:tabs>
          <w:tab w:leader="none" w:pos="1829" w:val="left"/>
          <w:tab w:leader="none" w:pos="2369" w:val="left"/>
          <w:tab w:leader="none" w:pos="3249" w:val="left"/>
          <w:tab w:leader="none" w:pos="3789" w:val="left"/>
          <w:tab w:leader="none" w:pos="5009" w:val="left"/>
        </w:tabs>
        <w:rPr>
          <w:sz w:val="20"/>
          <w:szCs w:val="20"/>
          <w:color w:val="auto"/>
        </w:rPr>
      </w:pPr>
      <w:r>
        <w:rPr>
          <w:rFonts w:ascii="Arial" w:cs="Arial" w:eastAsia="Arial" w:hAnsi="Arial"/>
          <w:sz w:val="18"/>
          <w:szCs w:val="18"/>
          <w:color w:val="auto"/>
        </w:rPr>
        <w:t>Verkauf/Vertrieb,</w:t>
        <w:tab/>
        <w:t>das</w:t>
        <w:tab/>
        <w:t>Vermiet-</w:t>
        <w:tab/>
        <w:t>und</w:t>
        <w:tab/>
        <w:t>Verleihrecht,</w:t>
      </w:r>
      <w:r>
        <w:rPr>
          <w:sz w:val="20"/>
          <w:szCs w:val="20"/>
          <w:color w:val="auto"/>
        </w:rPr>
        <w:tab/>
      </w:r>
      <w:r>
        <w:rPr>
          <w:rFonts w:ascii="Arial" w:cs="Arial" w:eastAsia="Arial" w:hAnsi="Arial"/>
          <w:sz w:val="17"/>
          <w:szCs w:val="17"/>
          <w:color w:val="auto"/>
        </w:rPr>
        <w:t>das</w:t>
      </w:r>
    </w:p>
    <w:p>
      <w:pPr>
        <w:spacing w:after="0" w:line="5" w:lineRule="exact"/>
        <w:rPr>
          <w:sz w:val="20"/>
          <w:szCs w:val="20"/>
          <w:color w:val="auto"/>
        </w:rPr>
      </w:pPr>
    </w:p>
    <w:p>
      <w:pPr>
        <w:ind w:left="310"/>
        <w:spacing w:after="0"/>
        <w:rPr>
          <w:sz w:val="20"/>
          <w:szCs w:val="20"/>
          <w:color w:val="auto"/>
        </w:rPr>
      </w:pPr>
      <w:r>
        <w:rPr>
          <w:rFonts w:ascii="Arial" w:cs="Arial" w:eastAsia="Arial" w:hAnsi="Arial"/>
          <w:sz w:val="18"/>
          <w:szCs w:val="18"/>
          <w:color w:val="auto"/>
        </w:rPr>
        <w:t>Datenbankrecht, das</w:t>
      </w:r>
    </w:p>
    <w:p>
      <w:pPr>
        <w:spacing w:after="0" w:line="5" w:lineRule="exact"/>
        <w:rPr>
          <w:sz w:val="20"/>
          <w:szCs w:val="20"/>
          <w:color w:val="auto"/>
        </w:rPr>
      </w:pPr>
    </w:p>
    <w:p>
      <w:pPr>
        <w:jc w:val="both"/>
        <w:ind w:left="310" w:firstLine="460"/>
        <w:spacing w:after="0" w:line="245" w:lineRule="auto"/>
        <w:rPr>
          <w:sz w:val="20"/>
          <w:szCs w:val="20"/>
          <w:color w:val="auto"/>
        </w:rPr>
      </w:pPr>
      <w:r>
        <w:rPr>
          <w:rFonts w:ascii="Arial" w:cs="Arial" w:eastAsia="Arial" w:hAnsi="Arial"/>
          <w:sz w:val="18"/>
          <w:szCs w:val="18"/>
          <w:color w:val="auto"/>
        </w:rPr>
        <w:t>Veröffentlichungsrecht, das Recht der öffentlichen Zugänglichmachung ungeachtet des Mediums, das Recht zur Online-Übertragung und das Recht zur Online-Wiedergabe, das Recht zur Bearbeitung (insbesondere das Recht, die Arbeitsergebnisse in andere Produkte/Leistungen der Gesellschaft oder Dritter zu integrieren, sie in beliebiger Weise zu ändern, zu erweitern, zu implementieren, zu übersetzen, zu überarbeiten, zu arrangieren oder auf andere Weise umzuarbeiten oder umzugestalten), das Recht zur Digitalisierung und das Recht, Erzeugnisse/andere Leistungen unter Verwendung der Arbeitsergebnisse herzustellen, anzubieten, in Verkehr zu bringen oder für eigene Zwecke und/oder Zwecke Dritter zu nutzen. Die Rechtseinräumung gilt für alle bekannten ebenso wie für heute noch unbekannte Nutzungsarten; dem Arbeitnehmer insoweit zwingend zustehende Rechte,</w:t>
      </w:r>
    </w:p>
    <w:p>
      <w:pPr>
        <w:spacing w:after="0" w:line="11" w:lineRule="exact"/>
        <w:rPr>
          <w:sz w:val="20"/>
          <w:szCs w:val="20"/>
          <w:color w:val="auto"/>
        </w:rPr>
      </w:pPr>
    </w:p>
    <w:p>
      <w:pPr>
        <w:jc w:val="both"/>
        <w:ind w:left="310" w:right="20" w:firstLine="460"/>
        <w:spacing w:after="0" w:line="251" w:lineRule="auto"/>
        <w:rPr>
          <w:sz w:val="20"/>
          <w:szCs w:val="20"/>
          <w:color w:val="auto"/>
        </w:rPr>
      </w:pPr>
      <w:r>
        <w:rPr>
          <w:rFonts w:ascii="Arial" w:cs="Arial" w:eastAsia="Arial" w:hAnsi="Arial"/>
          <w:sz w:val="18"/>
          <w:szCs w:val="18"/>
          <w:color w:val="auto"/>
        </w:rPr>
        <w:t>z.B. nach § 31a UrhG, bleiben unberührt. Die Gesellschaft nimmt die Rechtseinräumung hiermit an.</w:t>
      </w:r>
    </w:p>
    <w:p>
      <w:pPr>
        <w:spacing w:after="0" w:line="57" w:lineRule="exact"/>
        <w:rPr>
          <w:sz w:val="20"/>
          <w:szCs w:val="20"/>
          <w:color w:val="auto"/>
        </w:rPr>
      </w:pPr>
    </w:p>
    <w:p>
      <w:pPr>
        <w:ind w:left="330" w:right="40" w:hanging="330"/>
        <w:spacing w:after="0" w:line="281" w:lineRule="auto"/>
        <w:tabs>
          <w:tab w:leader="none" w:pos="20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Soweit im Hinblick auf Software § 69b UrhG oder entsprechende Vorschriften anderer Rechtsordnungen eine umfassendere Rechteeinräumung an die Gesellschaft vorsehen, ist es der übereinstimmende Wille der Parteien, dass diese umfassendere Rechteeinräumung unberührt bleibt.</w:t>
      </w:r>
    </w:p>
    <w:p>
      <w:pPr>
        <w:spacing w:after="0" w:line="141" w:lineRule="exact"/>
        <w:rPr>
          <w:sz w:val="20"/>
          <w:szCs w:val="20"/>
          <w:color w:val="auto"/>
        </w:rPr>
      </w:pPr>
    </w:p>
    <w:p>
      <w:pPr>
        <w:sectPr>
          <w:pgSz w:w="11900" w:h="16838" w:orient="portrait"/>
          <w:cols w:equalWidth="0" w:num="2">
            <w:col w:w="5346" w:space="130"/>
            <w:col w:w="5330"/>
          </w:cols>
          <w:pgMar w:left="494" w:top="1225" w:right="599" w:bottom="1440" w:gutter="0" w:footer="0" w:header="0"/>
        </w:sectPr>
      </w:pPr>
    </w:p>
    <w:p>
      <w:pPr>
        <w:ind w:left="366" w:hanging="366"/>
        <w:spacing w:after="0" w:line="312" w:lineRule="auto"/>
        <w:tabs>
          <w:tab w:leader="none" w:pos="22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is entitled to transfer the previously mentioned assigned rights ei- ther entirely or partially to third parties and</w:t>
      </w:r>
    </w:p>
    <w:p>
      <w:pPr>
        <w:spacing w:after="0" w:line="33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to grant third parties the corresponding ex- ploitation rights.</w:t>
      </w:r>
    </w:p>
    <w:p>
      <w:pPr>
        <w:spacing w:after="0" w:line="20" w:lineRule="exact"/>
        <w:rPr>
          <w:sz w:val="20"/>
          <w:szCs w:val="20"/>
          <w:color w:val="auto"/>
        </w:rPr>
      </w:pPr>
      <w:r>
        <w:rPr>
          <w:sz w:val="20"/>
          <w:szCs w:val="20"/>
          <w:color w:val="auto"/>
        </w:rPr>
        <w:br w:type="column"/>
      </w:r>
    </w:p>
    <w:p>
      <w:pPr>
        <w:ind w:left="330" w:right="60" w:hanging="330"/>
        <w:spacing w:after="0" w:line="310" w:lineRule="auto"/>
        <w:tabs>
          <w:tab w:leader="none" w:pos="2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Die Gesellschaft ist berechtigt, die ihr nach dem vorstehenden Absatz eingeräumten Rechte ganz oder teilweise auf andere zu</w:t>
      </w:r>
    </w:p>
    <w:p>
      <w:pPr>
        <w:spacing w:after="0" w:line="33" w:lineRule="exact"/>
        <w:rPr>
          <w:sz w:val="20"/>
          <w:szCs w:val="20"/>
          <w:color w:val="auto"/>
        </w:rPr>
      </w:pPr>
    </w:p>
    <w:p>
      <w:pPr>
        <w:ind w:left="370" w:right="500"/>
        <w:spacing w:after="0" w:line="266" w:lineRule="auto"/>
        <w:rPr>
          <w:sz w:val="20"/>
          <w:szCs w:val="20"/>
          <w:color w:val="auto"/>
        </w:rPr>
      </w:pPr>
      <w:r>
        <w:rPr>
          <w:rFonts w:ascii="Arial" w:cs="Arial" w:eastAsia="Arial" w:hAnsi="Arial"/>
          <w:sz w:val="18"/>
          <w:szCs w:val="18"/>
          <w:color w:val="auto"/>
        </w:rPr>
        <w:t>übertragen oder anderen entsprechende Nutzungsrechte daran einzuräumen.</w:t>
      </w:r>
    </w:p>
    <w:p>
      <w:pPr>
        <w:sectPr>
          <w:pgSz w:w="11900" w:h="16838" w:orient="portrait"/>
          <w:cols w:equalWidth="0" w:num="2">
            <w:col w:w="5266" w:space="210"/>
            <w:col w:w="5330"/>
          </w:cols>
          <w:pgMar w:left="494" w:top="1225" w:right="599" w:bottom="1440" w:gutter="0" w:footer="0" w:header="0"/>
          <w:type w:val="continuous"/>
        </w:sectPr>
      </w:pPr>
    </w:p>
    <w:bookmarkStart w:id="178" w:name="page179"/>
    <w:bookmarkEnd w:id="178"/>
    <w:p>
      <w:pPr>
        <w:ind w:left="366" w:hanging="366"/>
        <w:spacing w:after="0" w:line="266" w:lineRule="auto"/>
        <w:tabs>
          <w:tab w:leader="none" w:pos="22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assigned rights remain unaffected by a termination of the Employment Agree- ment.</w:t>
      </w:r>
    </w:p>
    <w:p>
      <w:pPr>
        <w:spacing w:after="0" w:line="20" w:lineRule="exact"/>
        <w:rPr>
          <w:sz w:val="20"/>
          <w:szCs w:val="20"/>
          <w:color w:val="auto"/>
        </w:rPr>
      </w:pPr>
      <w:r>
        <w:rPr>
          <w:sz w:val="20"/>
          <w:szCs w:val="20"/>
          <w:color w:val="auto"/>
        </w:rPr>
        <w:br w:type="column"/>
      </w:r>
    </w:p>
    <w:p>
      <w:pPr>
        <w:jc w:val="both"/>
        <w:ind w:left="331" w:right="140" w:hanging="331"/>
        <w:spacing w:after="0" w:line="263" w:lineRule="auto"/>
        <w:tabs>
          <w:tab w:leader="none" w:pos="28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Alle vorstehenden Rechte verbleiben auch im Falle einer Kündigung oder sonstigen Vertragsbeendigung bei der Gesellschaft, unerheblich davon, aus welchem Grund diese Beendigung erfolgt.</w:t>
      </w:r>
    </w:p>
    <w:p>
      <w:pPr>
        <w:spacing w:after="0" w:line="192" w:lineRule="exact"/>
        <w:rPr>
          <w:sz w:val="20"/>
          <w:szCs w:val="20"/>
          <w:color w:val="auto"/>
        </w:rPr>
      </w:pPr>
    </w:p>
    <w:p>
      <w:pPr>
        <w:sectPr>
          <w:pgSz w:w="11900" w:h="16838" w:orient="portrait"/>
          <w:cols w:equalWidth="0" w:num="2">
            <w:col w:w="5266" w:space="209"/>
            <w:col w:w="5411"/>
          </w:cols>
          <w:pgMar w:left="494" w:top="1239" w:right="519" w:bottom="1440" w:gutter="0" w:footer="0" w:header="0"/>
        </w:sectPr>
      </w:pPr>
    </w:p>
    <w:p>
      <w:pPr>
        <w:ind w:left="366" w:hanging="366"/>
        <w:spacing w:after="0" w:line="262" w:lineRule="auto"/>
        <w:tabs>
          <w:tab w:leader="none" w:pos="2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Employee undertakes to make all dec- larations (e.g. to registries or offices) that are necessary or useful for the above transfer of rights. The Company alone is entitled to apply for patents, trademarks or other formal property rights as well as do- mains in relation to the work results.</w:t>
      </w:r>
    </w:p>
    <w:p>
      <w:pPr>
        <w:spacing w:after="0" w:line="393" w:lineRule="exact"/>
        <w:rPr>
          <w:rFonts w:ascii="Arial" w:cs="Arial" w:eastAsia="Arial" w:hAnsi="Arial"/>
          <w:sz w:val="18"/>
          <w:szCs w:val="18"/>
          <w:color w:val="auto"/>
        </w:rPr>
      </w:pPr>
    </w:p>
    <w:p>
      <w:pPr>
        <w:ind w:left="206" w:hanging="205"/>
        <w:spacing w:after="0"/>
        <w:tabs>
          <w:tab w:leader="none" w:pos="20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Employee shall support the Company</w:t>
      </w:r>
    </w:p>
    <w:p>
      <w:pPr>
        <w:spacing w:after="0" w:line="18" w:lineRule="exact"/>
        <w:rPr>
          <w:rFonts w:ascii="Arial" w:cs="Arial" w:eastAsia="Arial" w:hAnsi="Arial"/>
          <w:sz w:val="18"/>
          <w:szCs w:val="18"/>
          <w:color w:val="auto"/>
        </w:rPr>
      </w:pPr>
    </w:p>
    <w:p>
      <w:pPr>
        <w:jc w:val="both"/>
        <w:ind w:left="366" w:firstLine="1"/>
        <w:spacing w:after="0" w:line="261" w:lineRule="auto"/>
        <w:tabs>
          <w:tab w:leader="none" w:pos="4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even after termination of this employment contract - in any application for IP Rights or their extension or registration in Ger- many or abroad, in particular provide the information required or useful for obtaining and/or registering formal IP Rights and make statements. After termination of this employment contract, the Company shall bear any reasonable costs incurred by the Company in fulfilling this Sec. 11 due to a corresponding request by the Company</w:t>
      </w:r>
    </w:p>
    <w:p>
      <w:pPr>
        <w:spacing w:after="0" w:line="20" w:lineRule="exact"/>
        <w:rPr>
          <w:sz w:val="20"/>
          <w:szCs w:val="20"/>
          <w:color w:val="auto"/>
        </w:rPr>
      </w:pPr>
      <w:r>
        <w:rPr>
          <w:sz w:val="20"/>
          <w:szCs w:val="20"/>
          <w:color w:val="auto"/>
        </w:rPr>
        <w:br w:type="column"/>
      </w:r>
    </w:p>
    <w:p>
      <w:pPr>
        <w:ind w:left="331" w:right="140" w:hanging="331"/>
        <w:spacing w:after="0" w:line="280" w:lineRule="auto"/>
        <w:tabs>
          <w:tab w:leader="none" w:pos="2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Der Arbeitnehmer verpflichtet sich, diejenigen Erklärungen (z.B. gegenüber Registrierungsstellen oder Ämtern) abzugeben, die für die vorstehende Rechtsübertragung erforderlich oder nützlich sind. Allein die Gesellschaft ist berechtigt, in Bezug auf die Arbeitsergebnisse Patente, Marken oder sonstige formelle Schutzrechte sowie Domains anzumelden.</w:t>
      </w:r>
    </w:p>
    <w:p>
      <w:pPr>
        <w:spacing w:after="0" w:line="181" w:lineRule="exact"/>
        <w:rPr>
          <w:rFonts w:ascii="Arial" w:cs="Arial" w:eastAsia="Arial" w:hAnsi="Arial"/>
          <w:sz w:val="17"/>
          <w:szCs w:val="17"/>
          <w:color w:val="auto"/>
        </w:rPr>
      </w:pPr>
    </w:p>
    <w:p>
      <w:pPr>
        <w:jc w:val="right"/>
        <w:ind w:left="331" w:right="120" w:hanging="331"/>
        <w:spacing w:after="0" w:line="276" w:lineRule="auto"/>
        <w:tabs>
          <w:tab w:leader="none" w:pos="20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Der Arbeitnehmer wird die Gesellschaft – auch nach Beendigung dieses Anstellungsvertrages – bei einer etwaigen Anmeldung von IP-Rechten oder deren Verlängerung oder Registrierung im</w:t>
      </w:r>
    </w:p>
    <w:p>
      <w:pPr>
        <w:spacing w:after="0" w:line="1" w:lineRule="exact"/>
        <w:rPr>
          <w:sz w:val="20"/>
          <w:szCs w:val="20"/>
          <w:color w:val="auto"/>
        </w:rPr>
      </w:pPr>
    </w:p>
    <w:p>
      <w:pPr>
        <w:ind w:left="331"/>
        <w:spacing w:after="0"/>
        <w:rPr>
          <w:sz w:val="20"/>
          <w:szCs w:val="20"/>
          <w:color w:val="auto"/>
        </w:rPr>
      </w:pPr>
      <w:r>
        <w:rPr>
          <w:rFonts w:ascii="Arial" w:cs="Arial" w:eastAsia="Arial" w:hAnsi="Arial"/>
          <w:sz w:val="17"/>
          <w:szCs w:val="17"/>
          <w:color w:val="auto"/>
        </w:rPr>
        <w:t>In- oder Ausland unterstützen, insbesondere die zur Erlangung</w:t>
      </w:r>
    </w:p>
    <w:p>
      <w:pPr>
        <w:spacing w:after="0" w:line="30" w:lineRule="exact"/>
        <w:rPr>
          <w:sz w:val="20"/>
          <w:szCs w:val="20"/>
          <w:color w:val="auto"/>
        </w:rPr>
      </w:pPr>
    </w:p>
    <w:tbl>
      <w:tblPr>
        <w:tblLayout w:type="fixed"/>
        <w:tblInd w:w="331" w:type="dxa"/>
        <w:tblCellMar>
          <w:top w:w="0" w:type="dxa"/>
          <w:left w:w="0" w:type="dxa"/>
          <w:bottom w:w="0" w:type="dxa"/>
          <w:right w:w="0" w:type="dxa"/>
        </w:tblCellMar>
      </w:tblPr>
      <w:tr>
        <w:trPr>
          <w:trHeight w:val="212"/>
        </w:trPr>
        <w:tc>
          <w:tcPr>
            <w:tcW w:w="2440" w:type="dxa"/>
            <w:vAlign w:val="bottom"/>
            <w:gridSpan w:val="2"/>
          </w:tcPr>
          <w:p>
            <w:pPr>
              <w:spacing w:after="0"/>
              <w:rPr>
                <w:sz w:val="20"/>
                <w:szCs w:val="20"/>
                <w:color w:val="auto"/>
              </w:rPr>
            </w:pPr>
            <w:r>
              <w:rPr>
                <w:rFonts w:ascii="Arial" w:cs="Arial" w:eastAsia="Arial" w:hAnsi="Arial"/>
                <w:sz w:val="18"/>
                <w:szCs w:val="18"/>
                <w:color w:val="auto"/>
              </w:rPr>
              <w:t>und/oder Registrierung von</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formellen</w:t>
            </w:r>
          </w:p>
        </w:tc>
        <w:tc>
          <w:tcPr>
            <w:tcW w:w="1700" w:type="dxa"/>
            <w:vAlign w:val="bottom"/>
          </w:tcPr>
          <w:p>
            <w:pPr>
              <w:jc w:val="right"/>
              <w:spacing w:after="0"/>
              <w:rPr>
                <w:sz w:val="20"/>
                <w:szCs w:val="20"/>
                <w:color w:val="auto"/>
              </w:rPr>
            </w:pPr>
            <w:r>
              <w:rPr>
                <w:rFonts w:ascii="Arial" w:cs="Arial" w:eastAsia="Arial" w:hAnsi="Arial"/>
                <w:sz w:val="18"/>
                <w:szCs w:val="18"/>
                <w:color w:val="auto"/>
              </w:rPr>
              <w:t>Schutzrechten</w:t>
            </w:r>
          </w:p>
        </w:tc>
      </w:tr>
      <w:tr>
        <w:trPr>
          <w:trHeight w:val="225"/>
        </w:trPr>
        <w:tc>
          <w:tcPr>
            <w:tcW w:w="1660" w:type="dxa"/>
            <w:vAlign w:val="bottom"/>
          </w:tcPr>
          <w:p>
            <w:pPr>
              <w:spacing w:after="0"/>
              <w:rPr>
                <w:sz w:val="20"/>
                <w:szCs w:val="20"/>
                <w:color w:val="auto"/>
              </w:rPr>
            </w:pPr>
            <w:r>
              <w:rPr>
                <w:rFonts w:ascii="Arial" w:cs="Arial" w:eastAsia="Arial" w:hAnsi="Arial"/>
                <w:sz w:val="18"/>
                <w:szCs w:val="18"/>
                <w:color w:val="auto"/>
              </w:rPr>
              <w:t>erforderlichen  oder</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nützlichen Informationen bereitstellen</w:t>
            </w:r>
          </w:p>
        </w:tc>
      </w:tr>
      <w:tr>
        <w:trPr>
          <w:trHeight w:val="225"/>
        </w:trPr>
        <w:tc>
          <w:tcPr>
            <w:tcW w:w="1660" w:type="dxa"/>
            <w:vAlign w:val="bottom"/>
          </w:tcPr>
          <w:p>
            <w:pPr>
              <w:spacing w:after="0"/>
              <w:rPr>
                <w:sz w:val="20"/>
                <w:szCs w:val="20"/>
                <w:color w:val="auto"/>
              </w:rPr>
            </w:pPr>
            <w:r>
              <w:rPr>
                <w:rFonts w:ascii="Arial" w:cs="Arial" w:eastAsia="Arial" w:hAnsi="Arial"/>
                <w:sz w:val="18"/>
                <w:szCs w:val="18"/>
                <w:color w:val="auto"/>
              </w:rPr>
              <w:t>und   Erklärungen</w:t>
            </w:r>
          </w:p>
        </w:tc>
        <w:tc>
          <w:tcPr>
            <w:tcW w:w="780" w:type="dxa"/>
            <w:vAlign w:val="bottom"/>
          </w:tcPr>
          <w:p>
            <w:pPr>
              <w:ind w:left="20"/>
              <w:spacing w:after="0"/>
              <w:rPr>
                <w:sz w:val="20"/>
                <w:szCs w:val="20"/>
                <w:color w:val="auto"/>
              </w:rPr>
            </w:pPr>
            <w:r>
              <w:rPr>
                <w:rFonts w:ascii="Arial" w:cs="Arial" w:eastAsia="Arial" w:hAnsi="Arial"/>
                <w:sz w:val="18"/>
                <w:szCs w:val="18"/>
                <w:color w:val="auto"/>
                <w:w w:val="98"/>
              </w:rPr>
              <w:t>abgeben.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Nach</w:t>
            </w:r>
          </w:p>
        </w:tc>
        <w:tc>
          <w:tcPr>
            <w:tcW w:w="1700" w:type="dxa"/>
            <w:vAlign w:val="bottom"/>
          </w:tcPr>
          <w:p>
            <w:pPr>
              <w:jc w:val="right"/>
              <w:spacing w:after="0"/>
              <w:rPr>
                <w:sz w:val="20"/>
                <w:szCs w:val="20"/>
                <w:color w:val="auto"/>
              </w:rPr>
            </w:pPr>
            <w:r>
              <w:rPr>
                <w:rFonts w:ascii="Arial" w:cs="Arial" w:eastAsia="Arial" w:hAnsi="Arial"/>
                <w:sz w:val="18"/>
                <w:szCs w:val="18"/>
                <w:color w:val="auto"/>
              </w:rPr>
              <w:t>Beendigung   dieses</w:t>
            </w:r>
          </w:p>
        </w:tc>
      </w:tr>
    </w:tbl>
    <w:p>
      <w:pPr>
        <w:spacing w:after="0" w:line="13" w:lineRule="exact"/>
        <w:rPr>
          <w:sz w:val="20"/>
          <w:szCs w:val="20"/>
          <w:color w:val="auto"/>
        </w:rPr>
      </w:pPr>
    </w:p>
    <w:p>
      <w:pPr>
        <w:jc w:val="both"/>
        <w:ind w:left="331" w:right="120"/>
        <w:spacing w:after="0" w:line="263" w:lineRule="auto"/>
        <w:rPr>
          <w:sz w:val="20"/>
          <w:szCs w:val="20"/>
          <w:color w:val="auto"/>
        </w:rPr>
      </w:pPr>
      <w:r>
        <w:rPr>
          <w:rFonts w:ascii="Arial" w:cs="Arial" w:eastAsia="Arial" w:hAnsi="Arial"/>
          <w:sz w:val="18"/>
          <w:szCs w:val="18"/>
          <w:color w:val="auto"/>
        </w:rPr>
        <w:t>Anstellungsvertrages trägt die Gesellschaft diejenigen angemessenen entstandenen Kosten, die durch die Erfüllung dieses § 11 aufgrund einer entsprechenden Anforderung der Gesellschaft entstanden sind.</w:t>
      </w:r>
    </w:p>
    <w:p>
      <w:pPr>
        <w:spacing w:after="0" w:line="192" w:lineRule="exact"/>
        <w:rPr>
          <w:sz w:val="20"/>
          <w:szCs w:val="20"/>
          <w:color w:val="auto"/>
        </w:rPr>
      </w:pPr>
    </w:p>
    <w:p>
      <w:pPr>
        <w:sectPr>
          <w:pgSz w:w="11900" w:h="16838" w:orient="portrait"/>
          <w:cols w:equalWidth="0" w:num="2">
            <w:col w:w="5266" w:space="209"/>
            <w:col w:w="5411"/>
          </w:cols>
          <w:pgMar w:left="494" w:top="1239" w:right="519" w:bottom="1440" w:gutter="0" w:footer="0" w:header="0"/>
          <w:type w:val="continuous"/>
        </w:sectPr>
      </w:pPr>
    </w:p>
    <w:p>
      <w:pPr>
        <w:ind w:left="366" w:right="300" w:hanging="366"/>
        <w:spacing w:after="0" w:line="266" w:lineRule="auto"/>
        <w:tabs>
          <w:tab w:leader="none" w:pos="3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is not obliged to utilize the transferred rights or granted usage rights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06" w:hanging="206"/>
        <w:spacing w:after="0"/>
        <w:tabs>
          <w:tab w:leader="none" w:pos="20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regard to the work results, the Em- ployee shall waive any</w:t>
      </w:r>
    </w:p>
    <w:p>
      <w:pPr>
        <w:spacing w:after="0" w:line="31" w:lineRule="exact"/>
        <w:rPr>
          <w:rFonts w:ascii="Arial" w:cs="Arial" w:eastAsia="Arial" w:hAnsi="Arial"/>
          <w:sz w:val="18"/>
          <w:szCs w:val="18"/>
          <w:color w:val="auto"/>
        </w:rPr>
      </w:pPr>
    </w:p>
    <w:p>
      <w:pPr>
        <w:ind w:left="366" w:right="360"/>
        <w:spacing w:after="0" w:line="251" w:lineRule="auto"/>
        <w:rPr>
          <w:rFonts w:ascii="Arial" w:cs="Arial" w:eastAsia="Arial" w:hAnsi="Arial"/>
          <w:sz w:val="18"/>
          <w:szCs w:val="18"/>
          <w:color w:val="auto"/>
        </w:rPr>
      </w:pPr>
      <w:r>
        <w:rPr>
          <w:rFonts w:ascii="Arial" w:cs="Arial" w:eastAsia="Arial" w:hAnsi="Arial"/>
          <w:sz w:val="18"/>
          <w:szCs w:val="18"/>
          <w:color w:val="auto"/>
        </w:rPr>
        <w:t>naming rights un- der copyright law and any rights of access and shall guarantee that other persons</w:t>
      </w:r>
    </w:p>
    <w:p>
      <w:pPr>
        <w:spacing w:after="0" w:line="163" w:lineRule="exact"/>
        <w:rPr>
          <w:sz w:val="20"/>
          <w:szCs w:val="20"/>
          <w:color w:val="auto"/>
        </w:rPr>
      </w:pPr>
    </w:p>
    <w:p>
      <w:pPr>
        <w:jc w:val="both"/>
        <w:ind w:left="346"/>
        <w:spacing w:after="0" w:line="258" w:lineRule="auto"/>
        <w:rPr>
          <w:sz w:val="20"/>
          <w:szCs w:val="20"/>
          <w:color w:val="auto"/>
        </w:rPr>
      </w:pPr>
      <w:r>
        <w:rPr>
          <w:rFonts w:ascii="Arial" w:cs="Arial" w:eastAsia="Arial" w:hAnsi="Arial"/>
          <w:sz w:val="18"/>
          <w:szCs w:val="18"/>
          <w:color w:val="auto"/>
        </w:rPr>
        <w:t>who may have been involved in the crea- tion of the work results also declare such a waiver. Any existing rights of recall may not be asserted before the expiry of the le- gally prescribed period after granting or transferring and after setting a reasonable grace period of generally not less than six</w:t>
      </w:r>
    </w:p>
    <w:p>
      <w:pPr>
        <w:ind w:left="346"/>
        <w:spacing w:after="0"/>
        <w:rPr>
          <w:sz w:val="20"/>
          <w:szCs w:val="20"/>
          <w:color w:val="auto"/>
        </w:rPr>
      </w:pPr>
      <w:r>
        <w:rPr>
          <w:rFonts w:ascii="Arial" w:cs="Arial" w:eastAsia="Arial" w:hAnsi="Arial"/>
          <w:sz w:val="18"/>
          <w:szCs w:val="18"/>
          <w:color w:val="auto"/>
        </w:rPr>
        <w:t>(6) months.</w:t>
      </w:r>
    </w:p>
    <w:p>
      <w:pPr>
        <w:spacing w:after="0" w:line="20" w:lineRule="exact"/>
        <w:rPr>
          <w:sz w:val="20"/>
          <w:szCs w:val="20"/>
          <w:color w:val="auto"/>
        </w:rPr>
      </w:pPr>
      <w:r>
        <w:rPr>
          <w:sz w:val="20"/>
          <w:szCs w:val="20"/>
          <w:color w:val="auto"/>
        </w:rPr>
        <w:br w:type="column"/>
      </w:r>
    </w:p>
    <w:p>
      <w:pPr>
        <w:jc w:val="both"/>
        <w:ind w:left="340" w:right="140" w:hanging="331"/>
        <w:spacing w:after="0" w:line="263" w:lineRule="auto"/>
        <w:tabs>
          <w:tab w:leader="none" w:pos="32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Eine Verpflichtung der Gesellschaft zur Verwertung der übertragenen oder eingeräumten Nutzungsrechte besteht nicht.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jc w:val="right"/>
              <w:spacing w:after="0"/>
              <w:rPr>
                <w:sz w:val="20"/>
                <w:szCs w:val="20"/>
                <w:color w:val="auto"/>
              </w:rPr>
            </w:pPr>
            <w:r>
              <w:rPr>
                <w:rFonts w:ascii="Arial" w:cs="Arial" w:eastAsia="Arial" w:hAnsi="Arial"/>
                <w:sz w:val="18"/>
                <w:szCs w:val="18"/>
                <w:color w:val="auto"/>
                <w:w w:val="92"/>
              </w:rPr>
              <w:t>9.</w:t>
            </w:r>
          </w:p>
        </w:tc>
        <w:tc>
          <w:tcPr>
            <w:tcW w:w="740" w:type="dxa"/>
            <w:vAlign w:val="bottom"/>
          </w:tcPr>
          <w:p>
            <w:pPr>
              <w:ind w:left="280"/>
              <w:spacing w:after="0"/>
              <w:rPr>
                <w:sz w:val="20"/>
                <w:szCs w:val="20"/>
                <w:color w:val="auto"/>
              </w:rPr>
            </w:pPr>
            <w:r>
              <w:rPr>
                <w:rFonts w:ascii="Arial" w:cs="Arial" w:eastAsia="Arial" w:hAnsi="Arial"/>
                <w:sz w:val="18"/>
                <w:szCs w:val="18"/>
                <w:color w:val="auto"/>
              </w:rPr>
              <w:t>Der</w:t>
            </w:r>
          </w:p>
        </w:tc>
        <w:tc>
          <w:tcPr>
            <w:tcW w:w="1420" w:type="dxa"/>
            <w:vAlign w:val="bottom"/>
          </w:tcPr>
          <w:p>
            <w:pPr>
              <w:ind w:left="180"/>
              <w:spacing w:after="0"/>
              <w:rPr>
                <w:sz w:val="20"/>
                <w:szCs w:val="20"/>
                <w:color w:val="auto"/>
              </w:rPr>
            </w:pPr>
            <w:r>
              <w:rPr>
                <w:rFonts w:ascii="Arial" w:cs="Arial" w:eastAsia="Arial" w:hAnsi="Arial"/>
                <w:sz w:val="18"/>
                <w:szCs w:val="18"/>
                <w:color w:val="auto"/>
              </w:rPr>
              <w:t>Arbeitnehmer</w:t>
            </w:r>
          </w:p>
        </w:tc>
        <w:tc>
          <w:tcPr>
            <w:tcW w:w="1040" w:type="dxa"/>
            <w:vAlign w:val="bottom"/>
          </w:tcPr>
          <w:p>
            <w:pPr>
              <w:ind w:left="160"/>
              <w:spacing w:after="0"/>
              <w:rPr>
                <w:sz w:val="20"/>
                <w:szCs w:val="20"/>
                <w:color w:val="auto"/>
              </w:rPr>
            </w:pPr>
            <w:r>
              <w:rPr>
                <w:rFonts w:ascii="Arial" w:cs="Arial" w:eastAsia="Arial" w:hAnsi="Arial"/>
                <w:sz w:val="18"/>
                <w:szCs w:val="18"/>
                <w:color w:val="auto"/>
              </w:rPr>
              <w:t>verzichtet</w:t>
            </w:r>
          </w:p>
        </w:tc>
        <w:tc>
          <w:tcPr>
            <w:tcW w:w="420" w:type="dxa"/>
            <w:vAlign w:val="bottom"/>
          </w:tcPr>
          <w:p>
            <w:pPr>
              <w:ind w:left="240"/>
              <w:spacing w:after="0"/>
              <w:rPr>
                <w:sz w:val="20"/>
                <w:szCs w:val="20"/>
                <w:color w:val="auto"/>
              </w:rPr>
            </w:pPr>
            <w:r>
              <w:rPr>
                <w:rFonts w:ascii="Arial" w:cs="Arial" w:eastAsia="Arial" w:hAnsi="Arial"/>
                <w:sz w:val="18"/>
                <w:szCs w:val="18"/>
                <w:color w:val="auto"/>
              </w:rPr>
              <w:t>in</w:t>
            </w:r>
          </w:p>
        </w:tc>
        <w:tc>
          <w:tcPr>
            <w:tcW w:w="1000" w:type="dxa"/>
            <w:vAlign w:val="bottom"/>
          </w:tcPr>
          <w:p>
            <w:pPr>
              <w:ind w:left="320"/>
              <w:spacing w:after="0"/>
              <w:rPr>
                <w:sz w:val="20"/>
                <w:szCs w:val="20"/>
                <w:color w:val="auto"/>
              </w:rPr>
            </w:pPr>
            <w:r>
              <w:rPr>
                <w:rFonts w:ascii="Arial" w:cs="Arial" w:eastAsia="Arial" w:hAnsi="Arial"/>
                <w:sz w:val="18"/>
                <w:szCs w:val="18"/>
                <w:color w:val="auto"/>
              </w:rPr>
              <w:t>Bezug</w:t>
            </w:r>
          </w:p>
        </w:tc>
        <w:tc>
          <w:tcPr>
            <w:tcW w:w="420" w:type="dxa"/>
            <w:vAlign w:val="bottom"/>
          </w:tcPr>
          <w:p>
            <w:pPr>
              <w:jc w:val="right"/>
              <w:spacing w:after="0"/>
              <w:rPr>
                <w:sz w:val="20"/>
                <w:szCs w:val="20"/>
                <w:color w:val="auto"/>
              </w:rPr>
            </w:pPr>
            <w:r>
              <w:rPr>
                <w:rFonts w:ascii="Arial" w:cs="Arial" w:eastAsia="Arial" w:hAnsi="Arial"/>
                <w:sz w:val="18"/>
                <w:szCs w:val="18"/>
                <w:color w:val="auto"/>
              </w:rPr>
              <w:t>auf</w:t>
            </w:r>
          </w:p>
        </w:tc>
      </w:tr>
      <w:tr>
        <w:trPr>
          <w:trHeight w:val="239"/>
        </w:trPr>
        <w:tc>
          <w:tcPr>
            <w:tcW w:w="2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die</w:t>
            </w:r>
          </w:p>
        </w:tc>
        <w:tc>
          <w:tcPr>
            <w:tcW w:w="2460" w:type="dxa"/>
            <w:vAlign w:val="bottom"/>
            <w:gridSpan w:val="2"/>
          </w:tcPr>
          <w:p>
            <w:pPr>
              <w:ind w:left="340"/>
              <w:spacing w:after="0"/>
              <w:rPr>
                <w:sz w:val="20"/>
                <w:szCs w:val="20"/>
                <w:color w:val="auto"/>
              </w:rPr>
            </w:pPr>
            <w:r>
              <w:rPr>
                <w:rFonts w:ascii="Arial" w:cs="Arial" w:eastAsia="Arial" w:hAnsi="Arial"/>
                <w:sz w:val="18"/>
                <w:szCs w:val="18"/>
                <w:color w:val="auto"/>
              </w:rPr>
              <w:t>Arbeitsergebnisse</w:t>
            </w:r>
          </w:p>
        </w:tc>
        <w:tc>
          <w:tcPr>
            <w:tcW w:w="420" w:type="dxa"/>
            <w:vAlign w:val="bottom"/>
          </w:tcPr>
          <w:p>
            <w:pPr>
              <w:ind w:left="40"/>
              <w:spacing w:after="0"/>
              <w:rPr>
                <w:sz w:val="20"/>
                <w:szCs w:val="20"/>
                <w:color w:val="auto"/>
              </w:rPr>
            </w:pPr>
            <w:r>
              <w:rPr>
                <w:rFonts w:ascii="Arial" w:cs="Arial" w:eastAsia="Arial" w:hAnsi="Arial"/>
                <w:sz w:val="18"/>
                <w:szCs w:val="18"/>
                <w:color w:val="auto"/>
              </w:rPr>
              <w:t>auf</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urheberrechtliche</w:t>
            </w:r>
          </w:p>
        </w:tc>
      </w:tr>
      <w:tr>
        <w:trPr>
          <w:trHeight w:val="238"/>
        </w:trPr>
        <w:tc>
          <w:tcPr>
            <w:tcW w:w="240" w:type="dxa"/>
            <w:vAlign w:val="bottom"/>
          </w:tcPr>
          <w:p>
            <w:pPr>
              <w:spacing w:after="0"/>
              <w:rPr>
                <w:sz w:val="20"/>
                <w:szCs w:val="20"/>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Benennungsrechte und</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2"/>
        </w:trPr>
        <w:tc>
          <w:tcPr>
            <w:tcW w:w="240" w:type="dxa"/>
            <w:vAlign w:val="bottom"/>
          </w:tcPr>
          <w:p>
            <w:pPr>
              <w:spacing w:after="0"/>
              <w:rPr>
                <w:sz w:val="18"/>
                <w:szCs w:val="18"/>
                <w:color w:val="auto"/>
              </w:rPr>
            </w:pP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w w:val="98"/>
              </w:rPr>
              <w:t>etwaige Zugangsrechte und steht dafür</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106" w:lineRule="exact"/>
        <w:rPr>
          <w:sz w:val="20"/>
          <w:szCs w:val="20"/>
          <w:color w:val="auto"/>
        </w:rPr>
      </w:pPr>
    </w:p>
    <w:p>
      <w:pPr>
        <w:jc w:val="both"/>
        <w:ind w:left="420"/>
        <w:spacing w:after="0" w:line="262" w:lineRule="auto"/>
        <w:rPr>
          <w:sz w:val="20"/>
          <w:szCs w:val="20"/>
          <w:color w:val="auto"/>
        </w:rPr>
      </w:pPr>
      <w:r>
        <w:rPr>
          <w:rFonts w:ascii="Arial" w:cs="Arial" w:eastAsia="Arial" w:hAnsi="Arial"/>
          <w:sz w:val="18"/>
          <w:szCs w:val="18"/>
          <w:color w:val="auto"/>
        </w:rPr>
        <w:t>ein, dass auch andere gegebenenfalls an der Erschaffung der Arbeitsergebnisse beteiligte Personen einen solchen Verzicht erklären. Etwa bestehende Rückrufrechte können nicht vor Ablauf der gesetzlich vorgesehenen Frist nach Einräumung bzw. Übertragung sowie nach Setzen einer angemessenen Nachfrist von in der Regel nicht weniger als sechs (6) Monaten geltend gemacht werden.</w:t>
      </w:r>
    </w:p>
    <w:p>
      <w:pPr>
        <w:sectPr>
          <w:pgSz w:w="11900" w:h="16838" w:orient="portrait"/>
          <w:cols w:equalWidth="0" w:num="2">
            <w:col w:w="5426" w:space="40"/>
            <w:col w:w="5420"/>
          </w:cols>
          <w:pgMar w:left="494" w:top="1239" w:right="519" w:bottom="1440" w:gutter="0" w:footer="0" w:header="0"/>
          <w:type w:val="continuous"/>
        </w:sectPr>
      </w:pPr>
    </w:p>
    <w:bookmarkStart w:id="179" w:name="page180"/>
    <w:bookmarkEnd w:id="179"/>
    <w:p>
      <w:pPr>
        <w:ind w:left="366" w:right="80" w:hanging="366"/>
        <w:spacing w:after="0" w:line="278" w:lineRule="auto"/>
        <w:tabs>
          <w:tab w:leader="none" w:pos="29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Employee will document the work re- sults in a transparent manner. He shall hand over and transfer to the Company, on a continuous basis from the time of their creation, all documents, papers and other materials (in the case of software including the source code and documentation) in which the work results are embodied, as well as any registration documents and correspondence relating to them (in partic- ular with offices such as the German Pa- tent and Trademark Office (“DPMA”) or (domain) registration authorities). The Em- ployee will always label the aforemen- tioned materials embodying work results in such a way that their affiliation to his work and their assignment to the Company is clearly recognizable. The Company may determine the form in which the marking is made.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jc w:val="both"/>
        <w:ind w:left="366" w:right="80" w:hanging="366"/>
        <w:spacing w:after="0" w:line="257" w:lineRule="auto"/>
        <w:tabs>
          <w:tab w:leader="none" w:pos="30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Employee assures that he (has) cre- ated the work results personally. He will not use third parties and will not use any works, other materials or confidential infor- mation of third parties ("Third Party Mate- rial") for producing the Work Results with- out the prior written consent of the Com- pany. Insofar as he has used third parties or their material for the creation of the Work Results, the Employee shall be re-sponsible for the transfer of rights to the Work Results to the extent of this Agree-</w:t>
      </w:r>
    </w:p>
    <w:p>
      <w:pPr>
        <w:spacing w:after="0" w:line="5" w:lineRule="exact"/>
        <w:rPr>
          <w:rFonts w:ascii="Arial" w:cs="Arial" w:eastAsia="Arial" w:hAnsi="Arial"/>
          <w:sz w:val="18"/>
          <w:szCs w:val="18"/>
          <w:color w:val="auto"/>
        </w:rPr>
      </w:pPr>
    </w:p>
    <w:p>
      <w:pPr>
        <w:ind w:left="366"/>
        <w:spacing w:after="0" w:line="230" w:lineRule="auto"/>
        <w:rPr>
          <w:rFonts w:ascii="Arial" w:cs="Arial" w:eastAsia="Arial" w:hAnsi="Arial"/>
          <w:sz w:val="18"/>
          <w:szCs w:val="18"/>
          <w:color w:val="auto"/>
        </w:rPr>
      </w:pPr>
      <w:r>
        <w:rPr>
          <w:rFonts w:ascii="Arial" w:cs="Arial" w:eastAsia="Arial" w:hAnsi="Arial"/>
          <w:sz w:val="18"/>
          <w:szCs w:val="18"/>
          <w:color w:val="auto"/>
        </w:rPr>
        <w:t>ment and shall provide the Company with complete copies of the associated con- tracts ("Chain of Title").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20"/>
                <w:szCs w:val="20"/>
                <w:color w:val="auto"/>
              </w:rPr>
            </w:pPr>
            <w:r>
              <w:rPr>
                <w:rFonts w:ascii="Arial" w:cs="Arial" w:eastAsia="Arial" w:hAnsi="Arial"/>
                <w:sz w:val="18"/>
                <w:szCs w:val="18"/>
                <w:color w:val="auto"/>
                <w:w w:val="99"/>
              </w:rPr>
              <w:t>10. Der Arbeitnehmer wird die Arbeitsergebnisse</w:t>
            </w:r>
          </w:p>
        </w:tc>
        <w:tc>
          <w:tcPr>
            <w:tcW w:w="1400" w:type="dxa"/>
            <w:vAlign w:val="bottom"/>
          </w:tcPr>
          <w:p>
            <w:pPr>
              <w:ind w:left="160"/>
              <w:spacing w:after="0"/>
              <w:rPr>
                <w:sz w:val="20"/>
                <w:szCs w:val="20"/>
                <w:color w:val="auto"/>
              </w:rPr>
            </w:pPr>
            <w:r>
              <w:rPr>
                <w:rFonts w:ascii="Arial" w:cs="Arial" w:eastAsia="Arial" w:hAnsi="Arial"/>
                <w:sz w:val="18"/>
                <w:szCs w:val="18"/>
                <w:color w:val="auto"/>
                <w:w w:val="97"/>
              </w:rPr>
              <w:t>nachvollziehbar</w:t>
            </w:r>
          </w:p>
        </w:tc>
      </w:tr>
      <w:tr>
        <w:trPr>
          <w:trHeight w:val="225"/>
        </w:trPr>
        <w:tc>
          <w:tcPr>
            <w:tcW w:w="5300" w:type="dxa"/>
            <w:vAlign w:val="bottom"/>
            <w:gridSpan w:val="2"/>
          </w:tcPr>
          <w:p>
            <w:pPr>
              <w:ind w:left="340"/>
              <w:spacing w:after="0"/>
              <w:rPr>
                <w:sz w:val="20"/>
                <w:szCs w:val="20"/>
                <w:color w:val="auto"/>
              </w:rPr>
            </w:pPr>
            <w:r>
              <w:rPr>
                <w:rFonts w:ascii="Arial" w:cs="Arial" w:eastAsia="Arial" w:hAnsi="Arial"/>
                <w:sz w:val="18"/>
                <w:szCs w:val="18"/>
                <w:color w:val="auto"/>
                <w:w w:val="98"/>
              </w:rPr>
              <w:t>dokumentieren. Er übergibt und übereignet an die Gesellschaft</w:t>
            </w:r>
          </w:p>
        </w:tc>
      </w:tr>
      <w:tr>
        <w:trPr>
          <w:trHeight w:val="225"/>
        </w:trPr>
        <w:tc>
          <w:tcPr>
            <w:tcW w:w="5300" w:type="dxa"/>
            <w:vAlign w:val="bottom"/>
            <w:gridSpan w:val="2"/>
          </w:tcPr>
          <w:p>
            <w:pPr>
              <w:ind w:left="340"/>
              <w:spacing w:after="0"/>
              <w:rPr>
                <w:sz w:val="20"/>
                <w:szCs w:val="20"/>
                <w:color w:val="auto"/>
              </w:rPr>
            </w:pPr>
            <w:r>
              <w:rPr>
                <w:rFonts w:ascii="Arial" w:cs="Arial" w:eastAsia="Arial" w:hAnsi="Arial"/>
                <w:sz w:val="18"/>
                <w:szCs w:val="18"/>
                <w:color w:val="auto"/>
              </w:rPr>
              <w:t>fortlaufend  mit  dem  Zeitpunkt  ihres  Entstehens  alle</w:t>
            </w: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rPr>
              <w:t>Dokumente,  Schriftstücke  und  sonstige</w:t>
            </w:r>
          </w:p>
        </w:tc>
        <w:tc>
          <w:tcPr>
            <w:tcW w:w="1400" w:type="dxa"/>
            <w:vAlign w:val="bottom"/>
          </w:tcPr>
          <w:p>
            <w:pPr>
              <w:ind w:left="60"/>
              <w:spacing w:after="0"/>
              <w:rPr>
                <w:sz w:val="20"/>
                <w:szCs w:val="20"/>
                <w:color w:val="auto"/>
              </w:rPr>
            </w:pPr>
            <w:r>
              <w:rPr>
                <w:rFonts w:ascii="Arial" w:cs="Arial" w:eastAsia="Arial" w:hAnsi="Arial"/>
                <w:sz w:val="18"/>
                <w:szCs w:val="18"/>
                <w:color w:val="auto"/>
              </w:rPr>
              <w:t>Materialien  (bei</w:t>
            </w:r>
          </w:p>
        </w:tc>
      </w:tr>
    </w:tbl>
    <w:p>
      <w:pPr>
        <w:spacing w:after="0" w:line="13" w:lineRule="exact"/>
        <w:rPr>
          <w:sz w:val="20"/>
          <w:szCs w:val="20"/>
          <w:color w:val="auto"/>
        </w:rPr>
      </w:pPr>
    </w:p>
    <w:p>
      <w:pPr>
        <w:jc w:val="both"/>
        <w:ind w:left="340" w:right="40"/>
        <w:spacing w:after="0" w:line="261" w:lineRule="auto"/>
        <w:rPr>
          <w:sz w:val="20"/>
          <w:szCs w:val="20"/>
          <w:color w:val="auto"/>
        </w:rPr>
      </w:pPr>
      <w:r>
        <w:rPr>
          <w:rFonts w:ascii="Arial" w:cs="Arial" w:eastAsia="Arial" w:hAnsi="Arial"/>
          <w:sz w:val="18"/>
          <w:szCs w:val="18"/>
          <w:color w:val="auto"/>
        </w:rPr>
        <w:t>Software einschließlich des Quellcodes und der Dokumentation), in denen die Arbeitsergebnisse verkörpert</w:t>
      </w:r>
    </w:p>
    <w:p>
      <w:pPr>
        <w:jc w:val="both"/>
        <w:ind w:left="340" w:right="20"/>
        <w:spacing w:after="0" w:line="261" w:lineRule="auto"/>
        <w:rPr>
          <w:sz w:val="20"/>
          <w:szCs w:val="20"/>
          <w:color w:val="auto"/>
        </w:rPr>
      </w:pPr>
      <w:r>
        <w:rPr>
          <w:rFonts w:ascii="Arial" w:cs="Arial" w:eastAsia="Arial" w:hAnsi="Arial"/>
          <w:sz w:val="18"/>
          <w:szCs w:val="18"/>
          <w:color w:val="auto"/>
        </w:rPr>
        <w:t>sind, sowie etwaige auf diese bezogenen Eintragungsunterlagen und Schriftwechsel (insb. mit Ämtern wie dem Deutsche Patent- und Markenamt („DPMA“) oder (Domain-) Registrierungsstellen). Der Arbeitnehmer wird die vorgenannten Materialien, die Arbeitsergebnisse verkörpern, stets so kennzeichnen, dass ihre Zugehörigkeit zu seiner Tätigkeit und ihre Zuordnung zu der Gesellschaft eindeutig erkennbar sind. Die Gesellschaft kann die Form, in der die Kennzeichnung erfolgt, bestimmen.</w:t>
      </w:r>
    </w:p>
    <w:p>
      <w:pPr>
        <w:spacing w:after="0" w:line="200" w:lineRule="exact"/>
        <w:rPr>
          <w:sz w:val="20"/>
          <w:szCs w:val="20"/>
          <w:color w:val="auto"/>
        </w:rPr>
      </w:pPr>
    </w:p>
    <w:p>
      <w:pPr>
        <w:jc w:val="both"/>
        <w:ind w:left="340" w:right="40" w:hanging="331"/>
        <w:spacing w:after="0" w:line="257" w:lineRule="auto"/>
        <w:tabs>
          <w:tab w:leader="none" w:pos="3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Der Arbeitnehmer versichert, dass er die Arbeitsergebnisse persönlich erstellt (hat). Er wird ohne vorherige schriftliche Zustimmung der Gesellschaft keine Dritten einsetzen und keine Werke, sonstige Materialen oder vertrauliche Informationen Dritter („Drittmaterial“) für die Erstellung der Arbeitsergebnisse verwenden. Soweit er Dritte oder deren Material für die Erstellung der Arbeitsergebnisse eingesetzt hat, steht der Arbeitnehmer für den Übergang der Rechte an den</w:t>
      </w:r>
    </w:p>
    <w:p>
      <w:pPr>
        <w:spacing w:after="0" w:line="5" w:lineRule="exact"/>
        <w:rPr>
          <w:rFonts w:ascii="Arial" w:cs="Arial" w:eastAsia="Arial" w:hAnsi="Arial"/>
          <w:sz w:val="18"/>
          <w:szCs w:val="18"/>
          <w:color w:val="auto"/>
        </w:rPr>
      </w:pPr>
    </w:p>
    <w:p>
      <w:pPr>
        <w:jc w:val="both"/>
        <w:ind w:left="340"/>
        <w:spacing w:after="0" w:line="225" w:lineRule="auto"/>
        <w:rPr>
          <w:rFonts w:ascii="Arial" w:cs="Arial" w:eastAsia="Arial" w:hAnsi="Arial"/>
          <w:sz w:val="18"/>
          <w:szCs w:val="18"/>
          <w:color w:val="auto"/>
        </w:rPr>
      </w:pPr>
      <w:r>
        <w:rPr>
          <w:rFonts w:ascii="Arial" w:cs="Arial" w:eastAsia="Arial" w:hAnsi="Arial"/>
          <w:sz w:val="18"/>
          <w:szCs w:val="18"/>
          <w:color w:val="auto"/>
        </w:rPr>
        <w:t>Arbeitsergebnissen im Umfang dieser Vereinbarung ein und übergibt der Gesellschaft vollständige Kopien der dazugehörigen Verträge („Chain of Title“).</w:t>
      </w:r>
    </w:p>
    <w:p>
      <w:pPr>
        <w:sectPr>
          <w:pgSz w:w="11900" w:h="16838" w:orient="portrait"/>
          <w:cols w:equalWidth="0" w:num="2">
            <w:col w:w="5346" w:space="120"/>
            <w:col w:w="5320"/>
          </w:cols>
          <w:pgMar w:left="494" w:top="1238" w:right="619" w:bottom="1440" w:gutter="0" w:footer="0" w:header="0"/>
        </w:sectPr>
      </w:pPr>
    </w:p>
    <w:bookmarkStart w:id="180" w:name="page181"/>
    <w:bookmarkEnd w:id="180"/>
    <w:tbl>
      <w:tblPr>
        <w:tblLayout w:type="fixed"/>
        <w:tblInd w:w="6" w:type="dxa"/>
        <w:tblCellMar>
          <w:top w:w="0" w:type="dxa"/>
          <w:left w:w="0" w:type="dxa"/>
          <w:bottom w:w="0" w:type="dxa"/>
          <w:right w:w="0" w:type="dxa"/>
        </w:tblCellMar>
      </w:tblPr>
      <w:tr>
        <w:trPr>
          <w:trHeight w:val="212"/>
        </w:trPr>
        <w:tc>
          <w:tcPr>
            <w:tcW w:w="5360" w:type="dxa"/>
            <w:vAlign w:val="bottom"/>
          </w:tcPr>
          <w:p>
            <w:pPr>
              <w:jc w:val="center"/>
              <w:ind w:right="10"/>
              <w:spacing w:after="0"/>
              <w:rPr>
                <w:sz w:val="20"/>
                <w:szCs w:val="20"/>
                <w:color w:val="auto"/>
              </w:rPr>
            </w:pPr>
            <w:r>
              <w:rPr>
                <w:rFonts w:ascii="Arial" w:cs="Arial" w:eastAsia="Arial" w:hAnsi="Arial"/>
                <w:sz w:val="18"/>
                <w:szCs w:val="18"/>
                <w:color w:val="auto"/>
              </w:rPr>
              <w:t>12. For protectable technical inventions and technical suggestions</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12.  Für  schutzfähige  technische  Erfindungen  und  technische</w:t>
            </w: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for improvement, the current provisions of the German Em-</w:t>
            </w: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Verbesserungsvorschläge   gelten   die   jeweils   gültigen</w:t>
            </w: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ployee Invention Act (ArbErfG) shall apply.</w:t>
            </w:r>
          </w:p>
        </w:tc>
        <w:tc>
          <w:tcPr>
            <w:tcW w:w="2420" w:type="dxa"/>
            <w:vAlign w:val="bottom"/>
          </w:tcPr>
          <w:p>
            <w:pPr>
              <w:ind w:left="440"/>
              <w:spacing w:after="0"/>
              <w:rPr>
                <w:sz w:val="20"/>
                <w:szCs w:val="20"/>
                <w:color w:val="auto"/>
              </w:rPr>
            </w:pPr>
            <w:r>
              <w:rPr>
                <w:rFonts w:ascii="Arial" w:cs="Arial" w:eastAsia="Arial" w:hAnsi="Arial"/>
                <w:sz w:val="18"/>
                <w:szCs w:val="18"/>
                <w:color w:val="auto"/>
              </w:rPr>
              <w:t>Bestimmungen   des</w:t>
            </w:r>
          </w:p>
        </w:tc>
        <w:tc>
          <w:tcPr>
            <w:tcW w:w="2080" w:type="dxa"/>
            <w:vAlign w:val="bottom"/>
          </w:tcPr>
          <w:p>
            <w:pPr>
              <w:ind w:left="800"/>
              <w:spacing w:after="0"/>
              <w:rPr>
                <w:sz w:val="20"/>
                <w:szCs w:val="20"/>
                <w:color w:val="auto"/>
              </w:rPr>
            </w:pPr>
            <w:r>
              <w:rPr>
                <w:rFonts w:ascii="Arial" w:cs="Arial" w:eastAsia="Arial" w:hAnsi="Arial"/>
                <w:sz w:val="18"/>
                <w:szCs w:val="18"/>
                <w:color w:val="auto"/>
              </w:rPr>
              <w:t>Gesetzes</w:t>
            </w:r>
          </w:p>
        </w:tc>
        <w:tc>
          <w:tcPr>
            <w:tcW w:w="880" w:type="dxa"/>
            <w:vAlign w:val="bottom"/>
          </w:tcPr>
          <w:p>
            <w:pPr>
              <w:jc w:val="right"/>
              <w:spacing w:after="0"/>
              <w:rPr>
                <w:sz w:val="20"/>
                <w:szCs w:val="20"/>
                <w:color w:val="auto"/>
              </w:rPr>
            </w:pPr>
            <w:r>
              <w:rPr>
                <w:rFonts w:ascii="Arial" w:cs="Arial" w:eastAsia="Arial" w:hAnsi="Arial"/>
                <w:sz w:val="18"/>
                <w:szCs w:val="18"/>
                <w:color w:val="auto"/>
              </w:rPr>
              <w:t>über</w:t>
            </w:r>
          </w:p>
        </w:tc>
      </w:tr>
      <w:tr>
        <w:trPr>
          <w:trHeight w:val="225"/>
        </w:trPr>
        <w:tc>
          <w:tcPr>
            <w:tcW w:w="5360" w:type="dxa"/>
            <w:vAlign w:val="bottom"/>
          </w:tcPr>
          <w:p>
            <w:pPr>
              <w:spacing w:after="0"/>
              <w:rPr>
                <w:sz w:val="19"/>
                <w:szCs w:val="19"/>
                <w:color w:val="auto"/>
              </w:rPr>
            </w:pP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rPr>
              <w:t>Arbeitnehmererfindungen (ArbErfG).</w:t>
            </w:r>
          </w:p>
        </w:tc>
        <w:tc>
          <w:tcPr>
            <w:tcW w:w="880" w:type="dxa"/>
            <w:vAlign w:val="bottom"/>
          </w:tcPr>
          <w:p>
            <w:pPr>
              <w:spacing w:after="0"/>
              <w:rPr>
                <w:sz w:val="19"/>
                <w:szCs w:val="19"/>
                <w:color w:val="auto"/>
              </w:rPr>
            </w:pPr>
          </w:p>
        </w:tc>
      </w:tr>
      <w:tr>
        <w:trPr>
          <w:trHeight w:val="424"/>
        </w:trPr>
        <w:tc>
          <w:tcPr>
            <w:tcW w:w="5360" w:type="dxa"/>
            <w:vAlign w:val="bottom"/>
          </w:tcPr>
          <w:p>
            <w:pPr>
              <w:jc w:val="center"/>
              <w:ind w:right="10"/>
              <w:spacing w:after="0"/>
              <w:rPr>
                <w:sz w:val="20"/>
                <w:szCs w:val="20"/>
                <w:color w:val="auto"/>
              </w:rPr>
            </w:pPr>
            <w:r>
              <w:rPr>
                <w:rFonts w:ascii="Arial" w:cs="Arial" w:eastAsia="Arial" w:hAnsi="Arial"/>
                <w:sz w:val="18"/>
                <w:szCs w:val="18"/>
                <w:color w:val="auto"/>
              </w:rPr>
              <w:t>13. The assignment of the exploitation rights also for the period</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13. Durch die dem Arbeitnehmer nach dem Arbeitsvertrag zu</w:t>
            </w: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after the termination of the Employment Agreement shall be</w:t>
            </w: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zahlende Vergütung ist die Einräumung der Nutzungsrechte</w:t>
            </w: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com- pensated with the remuneration paid to the Employee</w:t>
            </w: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w w:val="97"/>
              </w:rPr>
              <w:t>auch für die Zeit nach Beendigung des Arbeitsverhältnisses mit</w:t>
            </w: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according to the Employment Agreement. Mandatory statutory</w:t>
            </w:r>
          </w:p>
        </w:tc>
        <w:tc>
          <w:tcPr>
            <w:tcW w:w="2420" w:type="dxa"/>
            <w:vAlign w:val="bottom"/>
          </w:tcPr>
          <w:p>
            <w:pPr>
              <w:ind w:left="440"/>
              <w:spacing w:after="0"/>
              <w:rPr>
                <w:sz w:val="20"/>
                <w:szCs w:val="20"/>
                <w:color w:val="auto"/>
              </w:rPr>
            </w:pPr>
            <w:r>
              <w:rPr>
                <w:rFonts w:ascii="Arial" w:cs="Arial" w:eastAsia="Arial" w:hAnsi="Arial"/>
                <w:sz w:val="18"/>
                <w:szCs w:val="18"/>
                <w:color w:val="auto"/>
              </w:rPr>
              <w:t>abgegolten. Zwingende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gesetzliche Vergütungsansprüche</w:t>
            </w: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remuner- ation entitlements (such as under sec. 32 et seq.</w:t>
            </w:r>
          </w:p>
        </w:tc>
        <w:tc>
          <w:tcPr>
            <w:tcW w:w="2420" w:type="dxa"/>
            <w:vAlign w:val="bottom"/>
          </w:tcPr>
          <w:p>
            <w:pPr>
              <w:ind w:left="440"/>
              <w:spacing w:after="0"/>
              <w:rPr>
                <w:sz w:val="20"/>
                <w:szCs w:val="20"/>
                <w:color w:val="auto"/>
              </w:rPr>
            </w:pPr>
            <w:r>
              <w:rPr>
                <w:rFonts w:ascii="Arial" w:cs="Arial" w:eastAsia="Arial" w:hAnsi="Arial"/>
                <w:sz w:val="18"/>
                <w:szCs w:val="18"/>
                <w:color w:val="auto"/>
              </w:rPr>
              <w:t>(etwa nach den §§</w:t>
            </w:r>
          </w:p>
        </w:tc>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360" w:type="dxa"/>
            <w:vAlign w:val="bottom"/>
          </w:tcPr>
          <w:p>
            <w:pPr>
              <w:ind w:left="360"/>
              <w:spacing w:after="0"/>
              <w:rPr>
                <w:sz w:val="20"/>
                <w:szCs w:val="20"/>
                <w:color w:val="auto"/>
              </w:rPr>
            </w:pPr>
            <w:r>
              <w:rPr>
                <w:rFonts w:ascii="Arial" w:cs="Arial" w:eastAsia="Arial" w:hAnsi="Arial"/>
                <w:sz w:val="18"/>
                <w:szCs w:val="18"/>
                <w:color w:val="auto"/>
              </w:rPr>
              <w:t>UrhG, sec. 9 ArbErfG) remain un- affected.</w:t>
            </w: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rPr>
              <w:t>32 ff. UrhG, § 9 ArbErfG) bleiben unberührt.</w:t>
            </w:r>
          </w:p>
        </w:tc>
        <w:tc>
          <w:tcPr>
            <w:tcW w:w="880" w:type="dxa"/>
            <w:vAlign w:val="bottom"/>
          </w:tcPr>
          <w:p>
            <w:pPr>
              <w:spacing w:after="0"/>
              <w:rPr>
                <w:sz w:val="19"/>
                <w:szCs w:val="19"/>
                <w:color w:val="auto"/>
              </w:rPr>
            </w:pPr>
          </w:p>
        </w:tc>
      </w:tr>
      <w:tr>
        <w:trPr>
          <w:trHeight w:val="377"/>
        </w:trPr>
        <w:tc>
          <w:tcPr>
            <w:tcW w:w="5360" w:type="dxa"/>
            <w:vAlign w:val="bottom"/>
          </w:tcPr>
          <w:p>
            <w:pPr>
              <w:jc w:val="center"/>
              <w:spacing w:after="0"/>
              <w:rPr>
                <w:sz w:val="20"/>
                <w:szCs w:val="20"/>
                <w:color w:val="auto"/>
              </w:rPr>
            </w:pPr>
            <w:r>
              <w:rPr>
                <w:rFonts w:ascii="Arial" w:cs="Arial" w:eastAsia="Arial" w:hAnsi="Arial"/>
                <w:sz w:val="19"/>
                <w:szCs w:val="19"/>
                <w:b w:val="1"/>
                <w:bCs w:val="1"/>
                <w:color w:val="auto"/>
              </w:rPr>
              <w:t>Sec. 12</w:t>
            </w:r>
          </w:p>
        </w:tc>
        <w:tc>
          <w:tcPr>
            <w:tcW w:w="2420" w:type="dxa"/>
            <w:vAlign w:val="bottom"/>
          </w:tcPr>
          <w:p>
            <w:pPr>
              <w:spacing w:after="0"/>
              <w:rPr>
                <w:sz w:val="24"/>
                <w:szCs w:val="24"/>
                <w:color w:val="auto"/>
              </w:rPr>
            </w:pPr>
          </w:p>
        </w:tc>
        <w:tc>
          <w:tcPr>
            <w:tcW w:w="2080" w:type="dxa"/>
            <w:vAlign w:val="bottom"/>
          </w:tcPr>
          <w:p>
            <w:pPr>
              <w:jc w:val="right"/>
              <w:ind w:right="1489"/>
              <w:spacing w:after="0"/>
              <w:rPr>
                <w:sz w:val="20"/>
                <w:szCs w:val="20"/>
                <w:color w:val="auto"/>
              </w:rPr>
            </w:pPr>
            <w:r>
              <w:rPr>
                <w:rFonts w:ascii="Arial" w:cs="Arial" w:eastAsia="Arial" w:hAnsi="Arial"/>
                <w:sz w:val="19"/>
                <w:szCs w:val="19"/>
                <w:b w:val="1"/>
                <w:bCs w:val="1"/>
                <w:color w:val="auto"/>
              </w:rPr>
              <w:t>§ 12</w:t>
            </w:r>
          </w:p>
        </w:tc>
        <w:tc>
          <w:tcPr>
            <w:tcW w:w="880" w:type="dxa"/>
            <w:vAlign w:val="bottom"/>
          </w:tcPr>
          <w:p>
            <w:pPr>
              <w:spacing w:after="0"/>
              <w:rPr>
                <w:sz w:val="24"/>
                <w:szCs w:val="24"/>
                <w:color w:val="auto"/>
              </w:rPr>
            </w:pPr>
          </w:p>
        </w:tc>
      </w:tr>
      <w:tr>
        <w:trPr>
          <w:trHeight w:val="437"/>
        </w:trPr>
        <w:tc>
          <w:tcPr>
            <w:tcW w:w="5360" w:type="dxa"/>
            <w:vAlign w:val="bottom"/>
          </w:tcPr>
          <w:p>
            <w:pPr>
              <w:jc w:val="center"/>
              <w:spacing w:after="0"/>
              <w:rPr>
                <w:sz w:val="20"/>
                <w:szCs w:val="20"/>
                <w:color w:val="auto"/>
              </w:rPr>
            </w:pPr>
            <w:r>
              <w:rPr>
                <w:rFonts w:ascii="Arial" w:cs="Arial" w:eastAsia="Arial" w:hAnsi="Arial"/>
                <w:sz w:val="19"/>
                <w:szCs w:val="19"/>
                <w:b w:val="1"/>
                <w:bCs w:val="1"/>
                <w:color w:val="auto"/>
              </w:rPr>
              <w:t>Termination / Garden Leave</w:t>
            </w:r>
          </w:p>
        </w:tc>
        <w:tc>
          <w:tcPr>
            <w:tcW w:w="4500" w:type="dxa"/>
            <w:vAlign w:val="bottom"/>
            <w:gridSpan w:val="2"/>
          </w:tcPr>
          <w:p>
            <w:pPr>
              <w:jc w:val="center"/>
              <w:ind w:left="871"/>
              <w:spacing w:after="0"/>
              <w:rPr>
                <w:sz w:val="20"/>
                <w:szCs w:val="20"/>
                <w:color w:val="auto"/>
              </w:rPr>
            </w:pPr>
            <w:r>
              <w:rPr>
                <w:rFonts w:ascii="Arial" w:cs="Arial" w:eastAsia="Arial" w:hAnsi="Arial"/>
                <w:sz w:val="19"/>
                <w:szCs w:val="19"/>
                <w:b w:val="1"/>
                <w:bCs w:val="1"/>
                <w:color w:val="auto"/>
              </w:rPr>
              <w:t>Kündigung / Freistellung</w:t>
            </w:r>
          </w:p>
        </w:tc>
        <w:tc>
          <w:tcPr>
            <w:tcW w:w="8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06"/>
          </w:cols>
          <w:pgMar w:left="494" w:top="1239" w:right="599" w:bottom="1440" w:gutter="0" w:footer="0" w:header="0"/>
        </w:sectPr>
      </w:pPr>
    </w:p>
    <w:p>
      <w:pPr>
        <w:spacing w:after="0" w:line="86" w:lineRule="exact"/>
        <w:rPr>
          <w:sz w:val="20"/>
          <w:szCs w:val="20"/>
          <w:color w:val="auto"/>
        </w:rPr>
      </w:pPr>
    </w:p>
    <w:p>
      <w:pPr>
        <w:ind w:left="326" w:right="80" w:hanging="326"/>
        <w:spacing w:after="0" w:line="262" w:lineRule="auto"/>
        <w:tabs>
          <w:tab w:leader="none" w:pos="2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Either party may duly terminate the em- ployment relationship under consideration of a notice period of </w:t>
      </w:r>
      <w:r>
        <w:rPr>
          <w:rFonts w:ascii="Arial" w:cs="Arial" w:eastAsia="Arial" w:hAnsi="Arial"/>
          <w:sz w:val="18"/>
          <w:szCs w:val="18"/>
          <w:b w:val="1"/>
          <w:bCs w:val="1"/>
          <w:color w:val="auto"/>
        </w:rPr>
        <w:t>six months</w:t>
      </w:r>
      <w:r>
        <w:rPr>
          <w:rFonts w:ascii="Arial" w:cs="Arial" w:eastAsia="Arial" w:hAnsi="Arial"/>
          <w:sz w:val="18"/>
          <w:szCs w:val="18"/>
          <w:color w:val="auto"/>
        </w:rPr>
        <w:t xml:space="preserve"> to the end of the calendar month. If the Company may only terminate the employment by consid- ering a longer notice period, this shall also apply to the Employee.</w:t>
      </w:r>
    </w:p>
    <w:p>
      <w:pPr>
        <w:spacing w:after="0" w:line="200" w:lineRule="exact"/>
        <w:rPr>
          <w:sz w:val="20"/>
          <w:szCs w:val="20"/>
          <w:color w:val="auto"/>
        </w:rPr>
      </w:pPr>
    </w:p>
    <w:p>
      <w:pPr>
        <w:spacing w:after="0" w:line="220" w:lineRule="exact"/>
        <w:rPr>
          <w:sz w:val="20"/>
          <w:szCs w:val="20"/>
          <w:color w:val="auto"/>
        </w:rPr>
      </w:pPr>
    </w:p>
    <w:p>
      <w:pPr>
        <w:jc w:val="both"/>
        <w:ind w:left="306" w:right="80" w:hanging="306"/>
        <w:spacing w:after="0" w:line="263" w:lineRule="auto"/>
        <w:tabs>
          <w:tab w:leader="none" w:pos="27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right of both contracting parties to ter- minate this Employment Agreement for good cause shall remain unaffected.</w:t>
      </w:r>
    </w:p>
    <w:p>
      <w:pPr>
        <w:spacing w:after="0" w:line="194" w:lineRule="exact"/>
        <w:rPr>
          <w:rFonts w:ascii="Arial" w:cs="Arial" w:eastAsia="Arial" w:hAnsi="Arial"/>
          <w:sz w:val="18"/>
          <w:szCs w:val="18"/>
          <w:color w:val="auto"/>
        </w:rPr>
      </w:pPr>
    </w:p>
    <w:p>
      <w:pPr>
        <w:ind w:left="306" w:right="80" w:hanging="306"/>
        <w:spacing w:after="0" w:line="256" w:lineRule="auto"/>
        <w:tabs>
          <w:tab w:leader="none" w:pos="2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is entitled to relieve the Em- ployee of his duties until the conclusion of the employment relationship should the in- terests of the Company outweigh the Em- ployee’s interest in continuing working. During the period in which the Employee is relieved of his duties, he will continue to re- ceive the contractual remuneration, taking into account any outstanding vacation time.</w:t>
      </w:r>
    </w:p>
    <w:p>
      <w:pPr>
        <w:spacing w:after="0" w:line="4" w:lineRule="exact"/>
        <w:rPr>
          <w:rFonts w:ascii="Arial" w:cs="Arial" w:eastAsia="Arial" w:hAnsi="Arial"/>
          <w:sz w:val="18"/>
          <w:szCs w:val="18"/>
          <w:color w:val="auto"/>
        </w:rPr>
      </w:pPr>
    </w:p>
    <w:p>
      <w:pPr>
        <w:jc w:val="both"/>
        <w:ind w:left="306"/>
        <w:spacing w:after="0" w:line="219" w:lineRule="auto"/>
        <w:rPr>
          <w:rFonts w:ascii="Arial" w:cs="Arial" w:eastAsia="Arial" w:hAnsi="Arial"/>
          <w:sz w:val="18"/>
          <w:szCs w:val="18"/>
          <w:color w:val="auto"/>
        </w:rPr>
      </w:pPr>
      <w:r>
        <w:rPr>
          <w:rFonts w:ascii="Arial" w:cs="Arial" w:eastAsia="Arial" w:hAnsi="Arial"/>
          <w:sz w:val="18"/>
          <w:szCs w:val="18"/>
          <w:color w:val="auto"/>
        </w:rPr>
        <w:t>Outstanding vacation time shall be granted at the beginning of the period in which the Employee is relieved of duties. During this period, section 615 of the German Civil Code (BGB) applies with the necessary modifications. Consequently, the Em- ployee must allow any income gained within this period by employment else- where to be deducted from his remunera- tion claims against the Company.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72" w:right="60" w:hanging="372"/>
        <w:spacing w:after="0" w:line="262" w:lineRule="auto"/>
        <w:tabs>
          <w:tab w:leader="none" w:pos="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Das Arbeitsverhältnis kann on beiden Parteien unter Einhaltung einer Kündigungsfrist von </w:t>
      </w:r>
      <w:r>
        <w:rPr>
          <w:rFonts w:ascii="Arial" w:cs="Arial" w:eastAsia="Arial" w:hAnsi="Arial"/>
          <w:sz w:val="18"/>
          <w:szCs w:val="18"/>
          <w:b w:val="1"/>
          <w:bCs w:val="1"/>
          <w:color w:val="auto"/>
        </w:rPr>
        <w:t>sechs Monaten</w:t>
      </w:r>
      <w:r>
        <w:rPr>
          <w:rFonts w:ascii="Arial" w:cs="Arial" w:eastAsia="Arial" w:hAnsi="Arial"/>
          <w:sz w:val="18"/>
          <w:szCs w:val="18"/>
          <w:color w:val="auto"/>
        </w:rPr>
        <w:t xml:space="preserve"> zum Monatsende gekündigt werden. Soweit die Gesellschaft aufgrund gesetzlicher Vorschriften nur mit einer längeren Frist kündigen darf, gilt dies auch für eine Kündigung durch den Arbeitnehmer.</w:t>
      </w:r>
    </w:p>
    <w:p>
      <w:pPr>
        <w:spacing w:after="0" w:line="194" w:lineRule="exact"/>
        <w:rPr>
          <w:rFonts w:ascii="Arial" w:cs="Arial" w:eastAsia="Arial" w:hAnsi="Arial"/>
          <w:sz w:val="18"/>
          <w:szCs w:val="18"/>
          <w:color w:val="auto"/>
        </w:rPr>
      </w:pPr>
    </w:p>
    <w:p>
      <w:pPr>
        <w:ind w:left="372" w:right="60" w:hanging="372"/>
        <w:spacing w:after="0" w:line="266" w:lineRule="auto"/>
        <w:tabs>
          <w:tab w:leader="none" w:pos="2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Das Recht beider Vertragsparteien zur außerordentlichen Kündigung aus wichtigem Grund bleibt unberührt.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right"/>
        <w:ind w:left="372" w:right="60" w:hanging="372"/>
        <w:spacing w:after="0" w:line="276" w:lineRule="auto"/>
        <w:tabs>
          <w:tab w:leader="none" w:pos="27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Die  Gesellschaft  ist  berechtigt,  den  Arbeitnehmer  bis  zur Beendigung des Arbeitsverhältnisses freizustellen, soweit sein</w:t>
      </w:r>
    </w:p>
    <w:p>
      <w:pPr>
        <w:spacing w:after="0" w:line="1" w:lineRule="exact"/>
        <w:rPr>
          <w:sz w:val="20"/>
          <w:szCs w:val="20"/>
          <w:color w:val="auto"/>
        </w:rPr>
      </w:pPr>
    </w:p>
    <w:p>
      <w:pPr>
        <w:ind w:left="372"/>
        <w:spacing w:after="0"/>
        <w:tabs>
          <w:tab w:leader="none" w:pos="4292" w:val="left"/>
          <w:tab w:leader="none" w:pos="4992" w:val="left"/>
        </w:tabs>
        <w:rPr>
          <w:sz w:val="20"/>
          <w:szCs w:val="20"/>
          <w:color w:val="auto"/>
        </w:rPr>
      </w:pPr>
      <w:r>
        <w:rPr>
          <w:rFonts w:ascii="Arial" w:cs="Arial" w:eastAsia="Arial" w:hAnsi="Arial"/>
          <w:sz w:val="18"/>
          <w:szCs w:val="18"/>
          <w:color w:val="auto"/>
        </w:rPr>
        <w:t>Interesse  hieran  das  des  Arbeitnehmers</w:t>
      </w:r>
      <w:r>
        <w:rPr>
          <w:sz w:val="20"/>
          <w:szCs w:val="20"/>
          <w:color w:val="auto"/>
        </w:rPr>
        <w:tab/>
      </w:r>
      <w:r>
        <w:rPr>
          <w:rFonts w:ascii="Arial" w:cs="Arial" w:eastAsia="Arial" w:hAnsi="Arial"/>
          <w:sz w:val="18"/>
          <w:szCs w:val="18"/>
          <w:color w:val="auto"/>
        </w:rPr>
        <w:t>an</w:t>
      </w:r>
      <w:r>
        <w:rPr>
          <w:sz w:val="20"/>
          <w:szCs w:val="20"/>
          <w:color w:val="auto"/>
        </w:rPr>
        <w:tab/>
      </w:r>
      <w:r>
        <w:rPr>
          <w:rFonts w:ascii="Arial" w:cs="Arial" w:eastAsia="Arial" w:hAnsi="Arial"/>
          <w:sz w:val="17"/>
          <w:szCs w:val="17"/>
          <w:color w:val="auto"/>
        </w:rPr>
        <w:t>der</w:t>
      </w:r>
    </w:p>
    <w:p>
      <w:pPr>
        <w:spacing w:after="0" w:line="18" w:lineRule="exact"/>
        <w:rPr>
          <w:sz w:val="20"/>
          <w:szCs w:val="20"/>
          <w:color w:val="auto"/>
        </w:rPr>
      </w:pPr>
    </w:p>
    <w:p>
      <w:pPr>
        <w:ind w:left="372"/>
        <w:spacing w:after="0"/>
        <w:rPr>
          <w:sz w:val="20"/>
          <w:szCs w:val="20"/>
          <w:color w:val="auto"/>
        </w:rPr>
      </w:pPr>
      <w:r>
        <w:rPr>
          <w:rFonts w:ascii="Arial" w:cs="Arial" w:eastAsia="Arial" w:hAnsi="Arial"/>
          <w:sz w:val="18"/>
          <w:szCs w:val="18"/>
          <w:color w:val="auto"/>
        </w:rPr>
        <w:t>Weiterbeschäftigung überwiegt. Die Freistellung erfolgt unter</w:t>
      </w:r>
    </w:p>
    <w:p>
      <w:pPr>
        <w:spacing w:after="0" w:line="18" w:lineRule="exact"/>
        <w:rPr>
          <w:sz w:val="20"/>
          <w:szCs w:val="20"/>
          <w:color w:val="auto"/>
        </w:rPr>
      </w:pPr>
    </w:p>
    <w:p>
      <w:pPr>
        <w:ind w:left="372"/>
        <w:spacing w:after="0"/>
        <w:rPr>
          <w:sz w:val="20"/>
          <w:szCs w:val="20"/>
          <w:color w:val="auto"/>
        </w:rPr>
      </w:pPr>
      <w:r>
        <w:rPr>
          <w:rFonts w:ascii="Arial" w:cs="Arial" w:eastAsia="Arial" w:hAnsi="Arial"/>
          <w:sz w:val="18"/>
          <w:szCs w:val="18"/>
          <w:color w:val="auto"/>
        </w:rPr>
        <w:t>Fortzahlung  der  Bezüge  und  unter  Anrechnung  der  dem</w:t>
      </w:r>
    </w:p>
    <w:p>
      <w:pPr>
        <w:spacing w:after="0" w:line="10" w:lineRule="exact"/>
        <w:rPr>
          <w:sz w:val="20"/>
          <w:szCs w:val="20"/>
          <w:color w:val="auto"/>
        </w:rPr>
      </w:pPr>
    </w:p>
    <w:p>
      <w:pPr>
        <w:ind w:left="372"/>
        <w:spacing w:after="0"/>
        <w:rPr>
          <w:sz w:val="20"/>
          <w:szCs w:val="20"/>
          <w:color w:val="auto"/>
        </w:rPr>
      </w:pPr>
      <w:r>
        <w:rPr>
          <w:rFonts w:ascii="Arial" w:cs="Arial" w:eastAsia="Arial" w:hAnsi="Arial"/>
          <w:sz w:val="18"/>
          <w:szCs w:val="18"/>
          <w:color w:val="auto"/>
        </w:rPr>
        <w:t>Arbeitnehmer eventuell noch zustehenden</w:t>
      </w:r>
    </w:p>
    <w:p>
      <w:pPr>
        <w:jc w:val="both"/>
        <w:ind w:left="372"/>
        <w:spacing w:after="0" w:line="219" w:lineRule="auto"/>
        <w:rPr>
          <w:sz w:val="20"/>
          <w:szCs w:val="20"/>
          <w:color w:val="auto"/>
        </w:rPr>
      </w:pPr>
      <w:r>
        <w:rPr>
          <w:rFonts w:ascii="Arial" w:cs="Arial" w:eastAsia="Arial" w:hAnsi="Arial"/>
          <w:sz w:val="18"/>
          <w:szCs w:val="18"/>
          <w:color w:val="auto"/>
        </w:rPr>
        <w:t>Resturlaubsansprüche. Der Urlaub wird zu Beginn der Freistellungsphase gewährt. In der Zeit der Freistellung gilt § 615 BGB entsprechend mit der Folge, dass sich der Arbeitnehmer einen in der Zeit der Freistellung durch anderweitige Verwendung seiner Arbeitskraft erzielten Verdienst auf den Vergütungsanspruch gegenüber der Gesellschaft rechnen lassen muss.</w:t>
      </w:r>
    </w:p>
    <w:p>
      <w:pPr>
        <w:sectPr>
          <w:pgSz w:w="11900" w:h="16838" w:orient="portrait"/>
          <w:cols w:equalWidth="0" w:num="2">
            <w:col w:w="5346" w:space="128"/>
            <w:col w:w="5332"/>
          </w:cols>
          <w:pgMar w:left="494" w:top="1239" w:right="599" w:bottom="1440" w:gutter="0" w:footer="0" w:header="0"/>
          <w:type w:val="continuous"/>
        </w:sectPr>
      </w:pPr>
    </w:p>
    <w:bookmarkStart w:id="181" w:name="page182"/>
    <w:bookmarkEnd w:id="181"/>
    <w:p>
      <w:pPr>
        <w:spacing w:after="0" w:line="200" w:lineRule="exact"/>
        <w:rPr>
          <w:sz w:val="20"/>
          <w:szCs w:val="20"/>
          <w:color w:val="auto"/>
        </w:rPr>
      </w:pPr>
    </w:p>
    <w:p>
      <w:pPr>
        <w:spacing w:after="0" w:line="345" w:lineRule="exact"/>
        <w:rPr>
          <w:sz w:val="20"/>
          <w:szCs w:val="20"/>
          <w:color w:val="auto"/>
        </w:rPr>
      </w:pPr>
    </w:p>
    <w:p>
      <w:pPr>
        <w:ind w:left="2390"/>
        <w:spacing w:after="0"/>
        <w:tabs>
          <w:tab w:leader="none" w:pos="7949" w:val="left"/>
        </w:tabs>
        <w:rPr>
          <w:sz w:val="20"/>
          <w:szCs w:val="20"/>
          <w:color w:val="auto"/>
        </w:rPr>
      </w:pPr>
      <w:r>
        <w:rPr>
          <w:rFonts w:ascii="Arial" w:cs="Arial" w:eastAsia="Arial" w:hAnsi="Arial"/>
          <w:sz w:val="18"/>
          <w:szCs w:val="18"/>
          <w:b w:val="1"/>
          <w:bCs w:val="1"/>
          <w:color w:val="auto"/>
        </w:rPr>
        <w:t>Sec. 13</w:t>
      </w:r>
      <w:r>
        <w:rPr>
          <w:sz w:val="20"/>
          <w:szCs w:val="20"/>
          <w:color w:val="auto"/>
        </w:rPr>
        <w:tab/>
      </w:r>
      <w:r>
        <w:rPr>
          <w:rFonts w:ascii="Arial" w:cs="Arial" w:eastAsia="Arial" w:hAnsi="Arial"/>
          <w:sz w:val="17"/>
          <w:szCs w:val="17"/>
          <w:b w:val="1"/>
          <w:bCs w:val="1"/>
          <w:color w:val="auto"/>
        </w:rPr>
        <w:t>§ 13</w:t>
      </w:r>
    </w:p>
    <w:p>
      <w:pPr>
        <w:spacing w:after="0" w:line="257" w:lineRule="exact"/>
        <w:rPr>
          <w:sz w:val="20"/>
          <w:szCs w:val="20"/>
          <w:color w:val="auto"/>
        </w:rPr>
      </w:pPr>
    </w:p>
    <w:p>
      <w:pPr>
        <w:ind w:left="310"/>
        <w:spacing w:after="0"/>
        <w:tabs>
          <w:tab w:leader="none" w:pos="5809" w:val="left"/>
        </w:tabs>
        <w:rPr>
          <w:sz w:val="20"/>
          <w:szCs w:val="20"/>
          <w:color w:val="auto"/>
        </w:rPr>
      </w:pPr>
      <w:r>
        <w:rPr>
          <w:rFonts w:ascii="Arial" w:cs="Arial" w:eastAsia="Arial" w:hAnsi="Arial"/>
          <w:sz w:val="18"/>
          <w:szCs w:val="18"/>
          <w:b w:val="1"/>
          <w:bCs w:val="1"/>
          <w:color w:val="auto"/>
        </w:rPr>
        <w:t>Termination of employment without notice of termination</w:t>
      </w:r>
      <w:r>
        <w:rPr>
          <w:sz w:val="20"/>
          <w:szCs w:val="20"/>
          <w:color w:val="auto"/>
        </w:rPr>
        <w:tab/>
      </w:r>
      <w:r>
        <w:rPr>
          <w:rFonts w:ascii="Arial" w:cs="Arial" w:eastAsia="Arial" w:hAnsi="Arial"/>
          <w:sz w:val="17"/>
          <w:szCs w:val="17"/>
          <w:b w:val="1"/>
          <w:bCs w:val="1"/>
          <w:color w:val="auto"/>
        </w:rPr>
        <w:t>Beendigung des Arbeitsverhältnisses ohne Kündigung</w:t>
      </w:r>
    </w:p>
    <w:p>
      <w:pPr>
        <w:sectPr>
          <w:pgSz w:w="11900" w:h="16838" w:orient="portrait"/>
          <w:cols w:equalWidth="0" w:num="1">
            <w:col w:w="10850"/>
          </w:cols>
          <w:pgMar w:left="450" w:top="1440" w:right="599" w:bottom="1440" w:gutter="0" w:footer="0" w:header="0"/>
        </w:sectPr>
      </w:pPr>
    </w:p>
    <w:p>
      <w:pPr>
        <w:spacing w:after="0" w:line="226" w:lineRule="exact"/>
        <w:rPr>
          <w:sz w:val="20"/>
          <w:szCs w:val="20"/>
          <w:color w:val="auto"/>
        </w:rPr>
      </w:pPr>
    </w:p>
    <w:p>
      <w:pPr>
        <w:ind w:left="370" w:hanging="326"/>
        <w:spacing w:after="0" w:line="261" w:lineRule="auto"/>
        <w:tabs>
          <w:tab w:leader="none" w:pos="2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employment relationship shall termi- nate at the latest upon the expiry of the cal- endar month in which the Employee reaches the regular retirement age set forth in the statutory pension insurance scheme (at the time of concluding the agreement, maximum retirement age is 67). The par- ties’ right to terminate the contract earlier remains unaffected. The termination notice shall be made in writing (sec. 126 German Civil Code).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91" w:right="60" w:hanging="391"/>
        <w:spacing w:after="0" w:line="261" w:lineRule="auto"/>
        <w:tabs>
          <w:tab w:leader="none" w:pos="24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Das Arbeitsverhältnis endet spätestens mit Ablauf desjenigen Monates, in dem der Arbeitnehmer die Regelaltersgrenze in der gesetzlichen Rentenversicherung erreicht hat (zur Zeit des Vertragsabschlusses das</w:t>
      </w:r>
    </w:p>
    <w:p>
      <w:pPr>
        <w:ind w:left="391" w:right="80"/>
        <w:spacing w:after="0" w:line="266" w:lineRule="auto"/>
        <w:rPr>
          <w:rFonts w:ascii="Arial" w:cs="Arial" w:eastAsia="Arial" w:hAnsi="Arial"/>
          <w:sz w:val="18"/>
          <w:szCs w:val="18"/>
          <w:color w:val="auto"/>
        </w:rPr>
      </w:pPr>
      <w:r>
        <w:rPr>
          <w:rFonts w:ascii="Arial" w:cs="Arial" w:eastAsia="Arial" w:hAnsi="Arial"/>
          <w:sz w:val="18"/>
          <w:szCs w:val="18"/>
          <w:color w:val="auto"/>
        </w:rPr>
        <w:t>67. Lebensjahr). Zuvor kann es beiderseits ordentlich gekündigt werden. Die Kündigung bedarf der Schriftform.</w:t>
      </w:r>
    </w:p>
    <w:p>
      <w:pPr>
        <w:spacing w:after="0" w:line="640" w:lineRule="exact"/>
        <w:rPr>
          <w:sz w:val="20"/>
          <w:szCs w:val="20"/>
          <w:color w:val="auto"/>
        </w:rPr>
      </w:pPr>
    </w:p>
    <w:p>
      <w:pPr>
        <w:sectPr>
          <w:pgSz w:w="11900" w:h="16838" w:orient="portrait"/>
          <w:cols w:equalWidth="0" w:num="2">
            <w:col w:w="5310" w:space="209"/>
            <w:col w:w="5331"/>
          </w:cols>
          <w:pgMar w:left="450" w:top="1440" w:right="599" w:bottom="1440" w:gutter="0" w:footer="0" w:header="0"/>
          <w:type w:val="continuous"/>
        </w:sectPr>
      </w:pPr>
    </w:p>
    <w:p>
      <w:pPr>
        <w:jc w:val="both"/>
        <w:ind w:left="370" w:hanging="324"/>
        <w:spacing w:after="0" w:line="261" w:lineRule="auto"/>
        <w:tabs>
          <w:tab w:leader="none" w:pos="349" w:val="left"/>
        </w:tabs>
        <w:rPr>
          <w:sz w:val="20"/>
          <w:szCs w:val="20"/>
          <w:color w:val="auto"/>
        </w:rPr>
      </w:pPr>
      <w:r>
        <w:rPr>
          <w:rFonts w:ascii="Arial" w:cs="Arial" w:eastAsia="Arial" w:hAnsi="Arial"/>
          <w:sz w:val="18"/>
          <w:szCs w:val="18"/>
          <w:color w:val="auto"/>
        </w:rPr>
        <w:t>2.</w:t>
        <w:tab/>
        <w:t>Should a pension insurance authority (Rentenversicherungsträger) ascertain by means of a notification that the Employee has been permanently unable to work, the employment relationship shall terminate upon the expiry of the month in which such notification is submitted to the Employee, provided that the Employee does not with- draw his application prior to the expiry of the objection period. Should the pension start only after the delivery of the pension notification, the employment relationship shall terminate upon the expiry of the day preceding the start of the pension. The par- ties’ right to terminate the contract earlier remains unaffected.</w:t>
      </w:r>
    </w:p>
    <w:p>
      <w:pPr>
        <w:spacing w:after="0" w:line="20" w:lineRule="exact"/>
        <w:rPr>
          <w:sz w:val="20"/>
          <w:szCs w:val="20"/>
          <w:color w:val="auto"/>
        </w:rPr>
      </w:pPr>
      <w:r>
        <w:rPr>
          <w:sz w:val="20"/>
          <w:szCs w:val="20"/>
          <w:color w:val="auto"/>
        </w:rPr>
        <w:br w:type="column"/>
      </w:r>
    </w:p>
    <w:p>
      <w:pPr>
        <w:ind w:left="391" w:right="60" w:hanging="391"/>
        <w:spacing w:after="0" w:line="261" w:lineRule="auto"/>
        <w:tabs>
          <w:tab w:leader="none" w:pos="26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Wird durch den Bescheid eines Rentenversicherungsträgers festgestellt, dass der Arbeitnehmer auf Dauer voll erwerbsunfähig ist, so endet das Arbeitsverhältnis mit Ablauf desjenigen Monates, in dem der jeweilige Bescheid dem Arbeitnehmer zugestellt wird, wenn der Arbeitnehmer nicht vor Ablauf der Widerspruchsfrist seinen Antrag zurücknimmt. Beginnt die Rente wegen voller Erwerbsunfähigkeit erst nach der Zustellung des Rentenbescheides, endet das Arbeitsverhältnis mit Ablauf des dem Rentenbeginn vorangehenden Tages. Zuvor kann es beiderseits ordentlich gekündigt werden.</w:t>
      </w:r>
    </w:p>
    <w:p>
      <w:pPr>
        <w:spacing w:after="0" w:line="267" w:lineRule="exact"/>
        <w:rPr>
          <w:sz w:val="20"/>
          <w:szCs w:val="20"/>
          <w:color w:val="auto"/>
        </w:rPr>
      </w:pPr>
    </w:p>
    <w:p>
      <w:pPr>
        <w:sectPr>
          <w:pgSz w:w="11900" w:h="16838" w:orient="portrait"/>
          <w:cols w:equalWidth="0" w:num="2">
            <w:col w:w="5310" w:space="209"/>
            <w:col w:w="5331"/>
          </w:cols>
          <w:pgMar w:left="450" w:top="1440" w:right="599" w:bottom="1440" w:gutter="0" w:footer="0" w:header="0"/>
          <w:type w:val="continuous"/>
        </w:sectPr>
      </w:pPr>
    </w:p>
    <w:p>
      <w:pPr>
        <w:ind w:left="310" w:hanging="310"/>
        <w:spacing w:after="0"/>
        <w:tabs>
          <w:tab w:leader="none" w:pos="1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employment relationship shall not ter- minate if the Employee </w:t>
      </w:r>
      <w:r>
        <w:rPr>
          <w:rFonts w:ascii="Arial" w:cs="Arial" w:eastAsia="Arial" w:hAnsi="Arial"/>
          <w:sz w:val="35"/>
          <w:szCs w:val="35"/>
          <w:color w:val="auto"/>
          <w:vertAlign w:val="superscript"/>
        </w:rPr>
        <w:t>3.</w:t>
      </w:r>
      <w:r>
        <w:rPr>
          <w:rFonts w:ascii="Arial" w:cs="Arial" w:eastAsia="Arial" w:hAnsi="Arial"/>
          <w:sz w:val="18"/>
          <w:szCs w:val="18"/>
          <w:color w:val="auto"/>
        </w:rPr>
        <w:t xml:space="preserve"> upon receiving the notification of the pension insurance au-thority is granted a pension for a limited time. In this case, the employment relation- ship shall be dormant with all its rights and obligations from the day following Sec. 13 para. 1 or 2 above (start of the pension) un- til the expiry of the day on which the limited pension is approved but not later than the expiry of the day on which the employment terminates.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Das Arbeitsverhältnis endet nicht, wenn</w:t>
      </w:r>
    </w:p>
    <w:p>
      <w:pPr>
        <w:spacing w:after="0" w:line="5" w:lineRule="exact"/>
        <w:rPr>
          <w:sz w:val="20"/>
          <w:szCs w:val="20"/>
          <w:color w:val="auto"/>
        </w:rPr>
      </w:pPr>
    </w:p>
    <w:p>
      <w:pPr>
        <w:ind w:left="920"/>
        <w:spacing w:after="0"/>
        <w:tabs>
          <w:tab w:leader="none" w:pos="1560" w:val="left"/>
          <w:tab w:leader="none" w:pos="2920" w:val="left"/>
          <w:tab w:leader="none" w:pos="3620" w:val="left"/>
          <w:tab w:leader="none" w:pos="4260" w:val="left"/>
        </w:tabs>
        <w:rPr>
          <w:sz w:val="20"/>
          <w:szCs w:val="20"/>
          <w:color w:val="auto"/>
        </w:rPr>
      </w:pPr>
      <w:r>
        <w:rPr>
          <w:rFonts w:ascii="Arial" w:cs="Arial" w:eastAsia="Arial" w:hAnsi="Arial"/>
          <w:sz w:val="18"/>
          <w:szCs w:val="18"/>
          <w:color w:val="auto"/>
        </w:rPr>
        <w:t>dem</w:t>
      </w:r>
      <w:r>
        <w:rPr>
          <w:sz w:val="20"/>
          <w:szCs w:val="20"/>
          <w:color w:val="auto"/>
        </w:rPr>
        <w:tab/>
      </w:r>
      <w:r>
        <w:rPr>
          <w:rFonts w:ascii="Arial" w:cs="Arial" w:eastAsia="Arial" w:hAnsi="Arial"/>
          <w:sz w:val="18"/>
          <w:szCs w:val="18"/>
          <w:color w:val="auto"/>
        </w:rPr>
        <w:t>Arbeitnehmer</w:t>
      </w:r>
      <w:r>
        <w:rPr>
          <w:sz w:val="20"/>
          <w:szCs w:val="20"/>
          <w:color w:val="auto"/>
        </w:rPr>
        <w:tab/>
      </w:r>
      <w:r>
        <w:rPr>
          <w:rFonts w:ascii="Arial" w:cs="Arial" w:eastAsia="Arial" w:hAnsi="Arial"/>
          <w:sz w:val="18"/>
          <w:szCs w:val="18"/>
          <w:color w:val="auto"/>
        </w:rPr>
        <w:t>nach</w:t>
      </w:r>
      <w:r>
        <w:rPr>
          <w:sz w:val="20"/>
          <w:szCs w:val="20"/>
          <w:color w:val="auto"/>
        </w:rPr>
        <w:tab/>
      </w:r>
      <w:r>
        <w:rPr>
          <w:rFonts w:ascii="Arial" w:cs="Arial" w:eastAsia="Arial" w:hAnsi="Arial"/>
          <w:sz w:val="18"/>
          <w:szCs w:val="18"/>
          <w:color w:val="auto"/>
        </w:rPr>
        <w:t>dem</w:t>
      </w:r>
      <w:r>
        <w:rPr>
          <w:sz w:val="20"/>
          <w:szCs w:val="20"/>
          <w:color w:val="auto"/>
        </w:rPr>
        <w:tab/>
      </w:r>
      <w:r>
        <w:rPr>
          <w:rFonts w:ascii="Arial" w:cs="Arial" w:eastAsia="Arial" w:hAnsi="Arial"/>
          <w:sz w:val="17"/>
          <w:szCs w:val="17"/>
          <w:color w:val="auto"/>
        </w:rPr>
        <w:t>Bescheid</w:t>
      </w:r>
    </w:p>
    <w:p>
      <w:pPr>
        <w:spacing w:after="0" w:line="5" w:lineRule="exact"/>
        <w:rPr>
          <w:sz w:val="20"/>
          <w:szCs w:val="20"/>
          <w:color w:val="auto"/>
        </w:rPr>
      </w:pPr>
    </w:p>
    <w:p>
      <w:pPr>
        <w:spacing w:after="0"/>
        <w:tabs>
          <w:tab w:leader="none" w:pos="680" w:val="left"/>
          <w:tab w:leader="none" w:pos="3320" w:val="left"/>
        </w:tabs>
        <w:rPr>
          <w:sz w:val="20"/>
          <w:szCs w:val="20"/>
          <w:color w:val="auto"/>
        </w:rPr>
      </w:pPr>
      <w:r>
        <w:rPr>
          <w:rFonts w:ascii="Arial" w:cs="Arial" w:eastAsia="Arial" w:hAnsi="Arial"/>
          <w:sz w:val="18"/>
          <w:szCs w:val="18"/>
          <w:color w:val="auto"/>
        </w:rPr>
        <w:t>des</w:t>
      </w:r>
      <w:r>
        <w:rPr>
          <w:sz w:val="20"/>
          <w:szCs w:val="20"/>
          <w:color w:val="auto"/>
        </w:rPr>
        <w:tab/>
      </w:r>
      <w:r>
        <w:rPr>
          <w:rFonts w:ascii="Arial" w:cs="Arial" w:eastAsia="Arial" w:hAnsi="Arial"/>
          <w:sz w:val="18"/>
          <w:szCs w:val="18"/>
          <w:color w:val="auto"/>
        </w:rPr>
        <w:t>Rentenversicherungsträgers</w:t>
      </w:r>
      <w:r>
        <w:rPr>
          <w:sz w:val="20"/>
          <w:szCs w:val="20"/>
          <w:color w:val="auto"/>
        </w:rPr>
        <w:tab/>
      </w:r>
      <w:r>
        <w:rPr>
          <w:rFonts w:ascii="Arial" w:cs="Arial" w:eastAsia="Arial" w:hAnsi="Arial"/>
          <w:sz w:val="18"/>
          <w:szCs w:val="18"/>
          <w:color w:val="auto"/>
        </w:rPr>
        <w:t>eine Rente auf Zeit</w:t>
      </w:r>
    </w:p>
    <w:p>
      <w:pPr>
        <w:spacing w:after="0" w:line="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gewährt wird. In diesem Falle ruht das Arbeitsverhältnis mit allen Rechten und Pflichten von dem Tage an, der auf den nach</w:t>
      </w:r>
    </w:p>
    <w:p>
      <w:pPr>
        <w:jc w:val="both"/>
        <w:spacing w:after="0" w:line="247" w:lineRule="auto"/>
        <w:tabs>
          <w:tab w:leader="none" w:pos="3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13 Abs. 1 oder Abs. 2 maßgeblichen Zeitpunkt (Rentenbeginn) folgt, bis zum Ablauf des Tages, bis zu dem die Zeitrente bewilligt wird, längstens jedoch bis zum Ablauf des Tages, an dem das Arbeitsverhältnis endet.</w:t>
      </w:r>
    </w:p>
    <w:p>
      <w:pPr>
        <w:sectPr>
          <w:pgSz w:w="11900" w:h="16838" w:orient="portrait"/>
          <w:cols w:equalWidth="0" w:num="2">
            <w:col w:w="5650" w:space="180"/>
            <w:col w:w="5020"/>
          </w:cols>
          <w:pgMar w:left="450" w:top="1440" w:right="599" w:bottom="1440" w:gutter="0" w:footer="0" w:header="0"/>
          <w:type w:val="continuous"/>
        </w:sectPr>
      </w:pPr>
    </w:p>
    <w:bookmarkStart w:id="182" w:name="page183"/>
    <w:bookmarkEnd w:id="182"/>
    <w:p>
      <w:pPr>
        <w:spacing w:after="0" w:line="307" w:lineRule="exact"/>
        <w:rPr>
          <w:sz w:val="20"/>
          <w:szCs w:val="20"/>
          <w:color w:val="auto"/>
        </w:rPr>
      </w:pPr>
    </w:p>
    <w:tbl>
      <w:tblPr>
        <w:tblLayout w:type="fixed"/>
        <w:tblInd w:w="1166" w:type="dxa"/>
        <w:tblCellMar>
          <w:top w:w="0" w:type="dxa"/>
          <w:left w:w="0" w:type="dxa"/>
          <w:bottom w:w="0" w:type="dxa"/>
          <w:right w:w="0" w:type="dxa"/>
        </w:tblCellMar>
      </w:tblPr>
      <w:tr>
        <w:trPr>
          <w:trHeight w:val="234"/>
        </w:trPr>
        <w:tc>
          <w:tcPr>
            <w:tcW w:w="4020" w:type="dxa"/>
            <w:vAlign w:val="bottom"/>
          </w:tcPr>
          <w:p>
            <w:pPr>
              <w:jc w:val="center"/>
              <w:ind w:right="952"/>
              <w:spacing w:after="0"/>
              <w:rPr>
                <w:sz w:val="20"/>
                <w:szCs w:val="20"/>
                <w:color w:val="auto"/>
              </w:rPr>
            </w:pPr>
            <w:r>
              <w:rPr>
                <w:rFonts w:ascii="Arial" w:cs="Arial" w:eastAsia="Arial" w:hAnsi="Arial"/>
                <w:sz w:val="18"/>
                <w:szCs w:val="18"/>
                <w:b w:val="1"/>
                <w:bCs w:val="1"/>
                <w:color w:val="auto"/>
                <w:w w:val="99"/>
              </w:rPr>
              <w:t>Sec. 14</w:t>
            </w:r>
          </w:p>
        </w:tc>
        <w:tc>
          <w:tcPr>
            <w:tcW w:w="4780" w:type="dxa"/>
            <w:vAlign w:val="bottom"/>
          </w:tcPr>
          <w:p>
            <w:pPr>
              <w:jc w:val="right"/>
              <w:ind w:right="1612"/>
              <w:spacing w:after="0"/>
              <w:rPr>
                <w:sz w:val="20"/>
                <w:szCs w:val="20"/>
                <w:color w:val="auto"/>
              </w:rPr>
            </w:pPr>
            <w:r>
              <w:rPr>
                <w:rFonts w:ascii="Arial" w:cs="Arial" w:eastAsia="Arial" w:hAnsi="Arial"/>
                <w:sz w:val="18"/>
                <w:szCs w:val="18"/>
                <w:b w:val="1"/>
                <w:bCs w:val="1"/>
                <w:color w:val="auto"/>
              </w:rPr>
              <w:t>§ 14</w:t>
            </w:r>
          </w:p>
        </w:tc>
      </w:tr>
      <w:tr>
        <w:trPr>
          <w:trHeight w:val="450"/>
        </w:trPr>
        <w:tc>
          <w:tcPr>
            <w:tcW w:w="4020" w:type="dxa"/>
            <w:vAlign w:val="bottom"/>
          </w:tcPr>
          <w:p>
            <w:pPr>
              <w:jc w:val="center"/>
              <w:ind w:right="952"/>
              <w:spacing w:after="0"/>
              <w:rPr>
                <w:sz w:val="20"/>
                <w:szCs w:val="20"/>
                <w:color w:val="auto"/>
              </w:rPr>
            </w:pPr>
            <w:r>
              <w:rPr>
                <w:rFonts w:ascii="Arial" w:cs="Arial" w:eastAsia="Arial" w:hAnsi="Arial"/>
                <w:sz w:val="18"/>
                <w:szCs w:val="18"/>
                <w:b w:val="1"/>
                <w:bCs w:val="1"/>
                <w:color w:val="auto"/>
                <w:w w:val="97"/>
              </w:rPr>
              <w:t>Confidentiality / obligation to return</w:t>
            </w:r>
          </w:p>
        </w:tc>
        <w:tc>
          <w:tcPr>
            <w:tcW w:w="4780" w:type="dxa"/>
            <w:vAlign w:val="bottom"/>
          </w:tcPr>
          <w:p>
            <w:pPr>
              <w:jc w:val="center"/>
              <w:ind w:left="952"/>
              <w:spacing w:after="0"/>
              <w:rPr>
                <w:sz w:val="20"/>
                <w:szCs w:val="20"/>
                <w:color w:val="auto"/>
              </w:rPr>
            </w:pPr>
            <w:r>
              <w:rPr>
                <w:rFonts w:ascii="Arial" w:cs="Arial" w:eastAsia="Arial" w:hAnsi="Arial"/>
                <w:sz w:val="18"/>
                <w:szCs w:val="18"/>
                <w:b w:val="1"/>
                <w:bCs w:val="1"/>
                <w:color w:val="auto"/>
                <w:w w:val="97"/>
              </w:rPr>
              <w:t>Verschwiegenheitspflicht / Rückgabep- flicht</w:t>
            </w:r>
          </w:p>
        </w:tc>
      </w:tr>
    </w:tbl>
    <w:p>
      <w:pPr>
        <w:spacing w:after="0" w:line="200" w:lineRule="exact"/>
        <w:rPr>
          <w:sz w:val="20"/>
          <w:szCs w:val="20"/>
          <w:color w:val="auto"/>
        </w:rPr>
      </w:pPr>
    </w:p>
    <w:p>
      <w:pPr>
        <w:sectPr>
          <w:pgSz w:w="11900" w:h="16838" w:orient="portrait"/>
          <w:cols w:equalWidth="0" w:num="1">
            <w:col w:w="10786"/>
          </w:cols>
          <w:pgMar w:left="494" w:top="1440" w:right="619" w:bottom="1440" w:gutter="0" w:footer="0" w:header="0"/>
        </w:sectPr>
      </w:pPr>
    </w:p>
    <w:p>
      <w:pPr>
        <w:spacing w:after="0" w:line="12" w:lineRule="exact"/>
        <w:rPr>
          <w:sz w:val="20"/>
          <w:szCs w:val="20"/>
          <w:color w:val="auto"/>
        </w:rPr>
      </w:pPr>
    </w:p>
    <w:p>
      <w:pPr>
        <w:jc w:val="right"/>
        <w:ind w:left="326" w:hanging="326"/>
        <w:spacing w:after="0" w:line="280" w:lineRule="auto"/>
        <w:tabs>
          <w:tab w:leader="none" w:pos="22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Employee shall treat as strictly confi- dential all trade and business secrets of the Company and of any group company or cli- ents, in particular, lists and contact details of customers, contracts, business plans and policies, company software and tech-  nical  information  /  know-how  and  compara-  ble information of which he gained knowledge during employment.</w:t>
      </w:r>
    </w:p>
    <w:p>
      <w:pPr>
        <w:spacing w:after="0" w:line="20" w:lineRule="exact"/>
        <w:rPr>
          <w:sz w:val="20"/>
          <w:szCs w:val="20"/>
          <w:color w:val="auto"/>
        </w:rPr>
      </w:pPr>
      <w:r>
        <w:rPr>
          <w:sz w:val="20"/>
          <w:szCs w:val="20"/>
          <w:color w:val="auto"/>
        </w:rPr>
        <w:br w:type="column"/>
      </w:r>
    </w:p>
    <w:p>
      <w:pPr>
        <w:jc w:val="right"/>
        <w:ind w:left="372" w:right="40" w:hanging="372"/>
        <w:spacing w:after="0" w:line="276" w:lineRule="auto"/>
        <w:tabs>
          <w:tab w:leader="none" w:pos="18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Der Arbeitnehmer verpflichtet sich, über alle ihm im Rahmen des Arbeitsverhältnisses  zur  Kenntnis  gelangten  vertraulichen geschäftlichen   Angelegenheiten   und   Vorgänge   der Gesellschaft und der mit ihr verbundenen Unternehmen und Kunden, insbesondere Listen von Kunden und Kontakten,</w:t>
      </w:r>
    </w:p>
    <w:p>
      <w:pPr>
        <w:spacing w:after="0" w:line="2" w:lineRule="exact"/>
        <w:rPr>
          <w:rFonts w:ascii="Arial" w:cs="Arial" w:eastAsia="Arial" w:hAnsi="Arial"/>
          <w:sz w:val="17"/>
          <w:szCs w:val="17"/>
          <w:color w:val="auto"/>
        </w:rPr>
      </w:pPr>
    </w:p>
    <w:p>
      <w:pPr>
        <w:ind w:left="372"/>
        <w:spacing w:after="0"/>
        <w:rPr>
          <w:rFonts w:ascii="Arial" w:cs="Arial" w:eastAsia="Arial" w:hAnsi="Arial"/>
          <w:sz w:val="17"/>
          <w:szCs w:val="17"/>
          <w:color w:val="auto"/>
        </w:rPr>
      </w:pPr>
      <w:r>
        <w:rPr>
          <w:rFonts w:ascii="Arial" w:cs="Arial" w:eastAsia="Arial" w:hAnsi="Arial"/>
          <w:sz w:val="18"/>
          <w:szCs w:val="18"/>
          <w:color w:val="auto"/>
        </w:rPr>
        <w:t>Verträge,Unternehmenspläneund</w:t>
      </w:r>
      <w:r>
        <w:rPr>
          <w:rFonts w:ascii="Arial" w:cs="Arial" w:eastAsia="Arial" w:hAnsi="Arial"/>
          <w:sz w:val="17"/>
          <w:szCs w:val="17"/>
          <w:color w:val="auto"/>
        </w:rPr>
        <w:t>Richtlinien,</w:t>
      </w:r>
    </w:p>
    <w:p>
      <w:pPr>
        <w:spacing w:after="0" w:line="18" w:lineRule="exact"/>
        <w:rPr>
          <w:sz w:val="20"/>
          <w:szCs w:val="20"/>
          <w:color w:val="auto"/>
        </w:rPr>
      </w:pPr>
    </w:p>
    <w:p>
      <w:pPr>
        <w:ind w:left="372" w:right="40"/>
        <w:spacing w:after="0" w:line="266" w:lineRule="auto"/>
        <w:rPr>
          <w:sz w:val="20"/>
          <w:szCs w:val="20"/>
          <w:color w:val="auto"/>
        </w:rPr>
      </w:pPr>
      <w:r>
        <w:rPr>
          <w:rFonts w:ascii="Arial" w:cs="Arial" w:eastAsia="Arial" w:hAnsi="Arial"/>
          <w:sz w:val="18"/>
          <w:szCs w:val="18"/>
          <w:color w:val="auto"/>
        </w:rPr>
        <w:t>Firmensoftware, technische Informationen / Know-How und vergleichbare Informationen Stillschweigen zu bewahren.</w:t>
      </w:r>
    </w:p>
    <w:p>
      <w:pPr>
        <w:spacing w:after="0" w:line="190" w:lineRule="exact"/>
        <w:rPr>
          <w:sz w:val="20"/>
          <w:szCs w:val="20"/>
          <w:color w:val="auto"/>
        </w:rPr>
      </w:pPr>
    </w:p>
    <w:p>
      <w:pPr>
        <w:sectPr>
          <w:pgSz w:w="11900" w:h="16838" w:orient="portrait"/>
          <w:cols w:equalWidth="0" w:num="2">
            <w:col w:w="5266" w:space="208"/>
            <w:col w:w="5312"/>
          </w:cols>
          <w:pgMar w:left="494" w:top="1440" w:right="619" w:bottom="1440" w:gutter="0" w:footer="0" w:header="0"/>
          <w:type w:val="continuous"/>
        </w:sectPr>
      </w:pPr>
    </w:p>
    <w:p>
      <w:pPr>
        <w:jc w:val="both"/>
        <w:ind w:left="366"/>
        <w:spacing w:after="0" w:line="261" w:lineRule="auto"/>
        <w:rPr>
          <w:sz w:val="20"/>
          <w:szCs w:val="20"/>
          <w:color w:val="auto"/>
        </w:rPr>
      </w:pPr>
      <w:r>
        <w:rPr>
          <w:rFonts w:ascii="Arial" w:cs="Arial" w:eastAsia="Arial" w:hAnsi="Arial"/>
          <w:sz w:val="18"/>
          <w:szCs w:val="18"/>
          <w:color w:val="auto"/>
        </w:rPr>
        <w:t>This confidentiality obligation shall not in- clude information that is available to eve- rybody or information that if passed on is not detrimental to the Company or that the Employee is ordered to disclose by a court of the competent jurisdiction. In case of doubt, technical, commercial or personal processes and relations of which the Em- ployee obtained knowledge in connection with his duties, shall be considered as business and trade secrets. In such cases, the Employee is obligated to obtain in- structions first from the management with regard to whether certain information is to be considered confidential or not before disclosing it to third parties.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18"/>
          <w:szCs w:val="18"/>
          <w:color w:val="auto"/>
        </w:rPr>
        <w:t>Die Verschwiegenheitspflicht erstreckt sich nicht auf solche Kenntnisse, die für jedermann zugänglich sind oder deren Weitergabe für die Gesellschaft ersichtlich ohne Nachteil ist oder zu deren Offenlegung der Arbeitnehmer aufgrund des Beschlusses eines Gerichts des zuständigen Gerichtsstands verpflichtet ist. Im Zweifelsfalle sind jedoch technische, kaufmännische und persönliche Vorgänge und Verhältnisse, die dem Arbeitnehmer im Zusammenhang mit seiner Tätigkeit bekannt werden, als Betriebsgeheimnisse zu behandeln. In solchen Fällen ist der Arbeitnehmer vor der Offenbarung gegenüber Dritten verpflichtet, eine</w:t>
      </w:r>
    </w:p>
    <w:p>
      <w:pPr>
        <w:spacing w:after="0" w:line="4"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Weisung der Geschäftsleitung einzuholen, ob eine bestimmte Tatsache vertraulich zu behandeln ist oder nicht.</w:t>
      </w:r>
    </w:p>
    <w:p>
      <w:pPr>
        <w:sectPr>
          <w:pgSz w:w="11900" w:h="16838" w:orient="portrait"/>
          <w:cols w:equalWidth="0" w:num="2">
            <w:col w:w="5266" w:space="540"/>
            <w:col w:w="4980"/>
          </w:cols>
          <w:pgMar w:left="494" w:top="1440" w:right="619" w:bottom="1440" w:gutter="0" w:footer="0" w:header="0"/>
          <w:type w:val="continuous"/>
        </w:sectPr>
      </w:pPr>
    </w:p>
    <w:bookmarkStart w:id="183" w:name="page184"/>
    <w:bookmarkEnd w:id="183"/>
    <w:p>
      <w:pPr>
        <w:jc w:val="both"/>
        <w:ind w:left="326" w:hanging="326"/>
        <w:spacing w:after="0" w:line="263" w:lineRule="auto"/>
        <w:tabs>
          <w:tab w:leader="none" w:pos="27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obligation also applies after the termi- nation of the employment relationship, in- sofar as it does not obstruct the Em- ployee’s career advancement.</w:t>
      </w:r>
    </w:p>
    <w:p>
      <w:pPr>
        <w:spacing w:after="0" w:line="194" w:lineRule="exact"/>
        <w:rPr>
          <w:rFonts w:ascii="Arial" w:cs="Arial" w:eastAsia="Arial" w:hAnsi="Arial"/>
          <w:sz w:val="18"/>
          <w:szCs w:val="18"/>
          <w:color w:val="auto"/>
        </w:rPr>
      </w:pPr>
    </w:p>
    <w:p>
      <w:pPr>
        <w:jc w:val="both"/>
        <w:ind w:left="326" w:hanging="326"/>
        <w:spacing w:after="0" w:line="261" w:lineRule="auto"/>
        <w:tabs>
          <w:tab w:leader="none" w:pos="2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Confidential or secret documents, records, files or similar documents and data shall be kept under lock and key and be returned to the Company on the last day of employ- ment upon termination of employment. Fur- ther, upon termination of employment, all documents, data and objects held in the possession of the Employee and which be- long to the Company (laptop, company phone etc.) shall be returned to the Com- pany. The Employee may not make any back-up copies thereof. The obligation to return applies in particular to all docu- ments, USB-sticks, CD-ROMs etc. as well as any copies made thereof and private records received by the Company.</w:t>
      </w:r>
    </w:p>
    <w:p>
      <w:pPr>
        <w:spacing w:after="0" w:line="20" w:lineRule="exact"/>
        <w:rPr>
          <w:sz w:val="20"/>
          <w:szCs w:val="20"/>
          <w:color w:val="auto"/>
        </w:rPr>
      </w:pPr>
      <w:r>
        <w:rPr>
          <w:sz w:val="20"/>
          <w:szCs w:val="20"/>
          <w:color w:val="auto"/>
        </w:rPr>
        <w:br w:type="column"/>
      </w:r>
    </w:p>
    <w:p>
      <w:pPr>
        <w:ind w:left="391" w:right="20" w:hanging="391"/>
        <w:spacing w:after="0" w:line="263" w:lineRule="auto"/>
        <w:tabs>
          <w:tab w:leader="none" w:pos="31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Diese Verpflichtung besteht auch nach Beendigung des Arbeitsverhältnisses, soweit sie das berufliche Fortkommen des Arbeitnehmers nicht behindert.</w:t>
      </w:r>
    </w:p>
    <w:p>
      <w:pPr>
        <w:spacing w:after="0" w:line="194" w:lineRule="exact"/>
        <w:rPr>
          <w:rFonts w:ascii="Arial" w:cs="Arial" w:eastAsia="Arial" w:hAnsi="Arial"/>
          <w:sz w:val="18"/>
          <w:szCs w:val="18"/>
          <w:color w:val="auto"/>
        </w:rPr>
      </w:pPr>
    </w:p>
    <w:p>
      <w:pPr>
        <w:jc w:val="both"/>
        <w:ind w:left="391" w:hanging="391"/>
        <w:spacing w:after="0" w:line="261" w:lineRule="auto"/>
        <w:tabs>
          <w:tab w:leader="none" w:pos="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Vertrauliche oder geheim zu haltende Schriftstücke, Aufzeichnungen, Akten oder ähnliche Unterlagen und Daten sind unter Verschluss zu halten und bei Beendigung des Arbeitsverhältnisses am letzten Tätigkeitstag an die Gesellschaft herauszugeben. Bei Beendigung des Arbeitsverhältnisses sind ferner am letzten Tätigkeitstag alle Unterlagen, Dateien und Gegenstände, die sich im Besitz des Arbeitnehmers befinden und die im Eigentum der Gesellschaft stehen (Laptop, Diensttelefon etc.), der Gesellschaft zurückzugeben. Dem Arbeitnehmer ist es nicht gestattet, hiervon Sicherungskopien zu behalten. Die Rückgabepflicht betrifft insbesondere alle von der Gesellschaft erhaltenen Unterlagen, USB-Sticks, CD-Roms etc., hiervon gefertigte Kopien sowie eigene Aufzeichnungen.</w:t>
      </w:r>
    </w:p>
    <w:p>
      <w:pPr>
        <w:spacing w:after="0" w:line="174" w:lineRule="exact"/>
        <w:rPr>
          <w:sz w:val="20"/>
          <w:szCs w:val="20"/>
          <w:color w:val="auto"/>
        </w:rPr>
      </w:pPr>
    </w:p>
    <w:p>
      <w:pPr>
        <w:sectPr>
          <w:pgSz w:w="11900" w:h="16838" w:orient="portrait"/>
          <w:cols w:equalWidth="0" w:num="2">
            <w:col w:w="5266" w:space="209"/>
            <w:col w:w="5291"/>
          </w:cols>
          <w:pgMar w:left="494" w:top="1238" w:right="639" w:bottom="1440" w:gutter="0" w:footer="0" w:header="0"/>
        </w:sectPr>
      </w:pPr>
    </w:p>
    <w:p>
      <w:pPr>
        <w:spacing w:after="0" w:line="27" w:lineRule="exact"/>
        <w:rPr>
          <w:sz w:val="20"/>
          <w:szCs w:val="20"/>
          <w:color w:val="auto"/>
        </w:rPr>
      </w:pPr>
    </w:p>
    <w:p>
      <w:pPr>
        <w:ind w:left="326" w:hanging="326"/>
        <w:spacing w:after="0" w:line="266" w:lineRule="auto"/>
        <w:tabs>
          <w:tab w:leader="none" w:pos="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confidentiality obligations shall not ap- ply if the Employee is legally obliged to dis- close information.</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Arial" w:cs="Arial" w:eastAsia="Arial" w:hAnsi="Arial"/>
          <w:sz w:val="18"/>
          <w:szCs w:val="18"/>
          <w:color w:val="auto"/>
        </w:rPr>
        <w:t>4. Die</w:t>
      </w:r>
      <w:r>
        <w:rPr>
          <w:sz w:val="20"/>
          <w:szCs w:val="20"/>
          <w:color w:val="auto"/>
        </w:rPr>
        <w:tab/>
      </w:r>
      <w:r>
        <w:rPr>
          <w:rFonts w:ascii="Arial" w:cs="Arial" w:eastAsia="Arial" w:hAnsi="Arial"/>
          <w:sz w:val="17"/>
          <w:szCs w:val="17"/>
          <w:color w:val="auto"/>
        </w:rPr>
        <w:t>vorgenannten</w:t>
      </w:r>
    </w:p>
    <w:p>
      <w:pPr>
        <w:spacing w:after="0" w:line="18" w:lineRule="exact"/>
        <w:rPr>
          <w:sz w:val="20"/>
          <w:szCs w:val="20"/>
          <w:color w:val="auto"/>
        </w:rPr>
      </w:pPr>
    </w:p>
    <w:p>
      <w:pPr>
        <w:ind w:left="400" w:right="20"/>
        <w:spacing w:after="0" w:line="282" w:lineRule="auto"/>
        <w:rPr>
          <w:sz w:val="20"/>
          <w:szCs w:val="20"/>
          <w:color w:val="auto"/>
        </w:rPr>
      </w:pPr>
      <w:r>
        <w:rPr>
          <w:rFonts w:ascii="Arial" w:cs="Arial" w:eastAsia="Arial" w:hAnsi="Arial"/>
          <w:sz w:val="18"/>
          <w:szCs w:val="18"/>
          <w:color w:val="auto"/>
        </w:rPr>
        <w:t>Verschwiegenheitspflichten gelten nicht, soweit aufgrund von Rechtsvorschriften eine Auskunftspflicht besteht.</w:t>
      </w:r>
    </w:p>
    <w:p>
      <w:pPr>
        <w:spacing w:after="0" w:line="200" w:lineRule="exact"/>
        <w:rPr>
          <w:sz w:val="20"/>
          <w:szCs w:val="20"/>
          <w:color w:val="auto"/>
        </w:rPr>
      </w:pPr>
    </w:p>
    <w:p>
      <w:pPr>
        <w:sectPr>
          <w:pgSz w:w="11900" w:h="16838" w:orient="portrait"/>
          <w:cols w:equalWidth="0" w:num="2">
            <w:col w:w="5266" w:space="200"/>
            <w:col w:w="5300"/>
          </w:cols>
          <w:pgMar w:left="494" w:top="1238" w:right="639" w:bottom="1440" w:gutter="0" w:footer="0" w:header="0"/>
          <w:type w:val="continuous"/>
        </w:sectPr>
      </w:pPr>
    </w:p>
    <w:p>
      <w:pPr>
        <w:spacing w:after="0" w:line="47" w:lineRule="exact"/>
        <w:rPr>
          <w:sz w:val="20"/>
          <w:szCs w:val="20"/>
          <w:color w:val="auto"/>
        </w:rPr>
      </w:pPr>
    </w:p>
    <w:p>
      <w:pPr>
        <w:ind w:left="2346"/>
        <w:spacing w:after="0"/>
        <w:tabs>
          <w:tab w:leader="none" w:pos="7906" w:val="left"/>
        </w:tabs>
        <w:rPr>
          <w:sz w:val="20"/>
          <w:szCs w:val="20"/>
          <w:color w:val="auto"/>
        </w:rPr>
      </w:pPr>
      <w:r>
        <w:rPr>
          <w:rFonts w:ascii="Arial" w:cs="Arial" w:eastAsia="Arial" w:hAnsi="Arial"/>
          <w:sz w:val="18"/>
          <w:szCs w:val="18"/>
          <w:b w:val="1"/>
          <w:bCs w:val="1"/>
          <w:color w:val="auto"/>
        </w:rPr>
        <w:t>Sec. 15</w:t>
      </w:r>
      <w:r>
        <w:rPr>
          <w:sz w:val="20"/>
          <w:szCs w:val="20"/>
          <w:color w:val="auto"/>
        </w:rPr>
        <w:tab/>
      </w:r>
      <w:r>
        <w:rPr>
          <w:rFonts w:ascii="Arial" w:cs="Arial" w:eastAsia="Arial" w:hAnsi="Arial"/>
          <w:sz w:val="17"/>
          <w:szCs w:val="17"/>
          <w:b w:val="1"/>
          <w:bCs w:val="1"/>
          <w:color w:val="auto"/>
        </w:rPr>
        <w:t>§ 15</w:t>
      </w:r>
    </w:p>
    <w:p>
      <w:pPr>
        <w:spacing w:after="0" w:line="204" w:lineRule="exact"/>
        <w:rPr>
          <w:sz w:val="20"/>
          <w:szCs w:val="20"/>
          <w:color w:val="auto"/>
        </w:rPr>
      </w:pPr>
    </w:p>
    <w:p>
      <w:pPr>
        <w:ind w:left="1186"/>
        <w:spacing w:after="0"/>
        <w:tabs>
          <w:tab w:leader="none" w:pos="6566" w:val="left"/>
        </w:tabs>
        <w:rPr>
          <w:sz w:val="20"/>
          <w:szCs w:val="20"/>
          <w:color w:val="auto"/>
        </w:rPr>
      </w:pPr>
      <w:r>
        <w:rPr>
          <w:rFonts w:ascii="Arial" w:cs="Arial" w:eastAsia="Arial" w:hAnsi="Arial"/>
          <w:sz w:val="18"/>
          <w:szCs w:val="18"/>
          <w:b w:val="1"/>
          <w:bCs w:val="1"/>
          <w:color w:val="auto"/>
        </w:rPr>
        <w:t>Change of personal circumstances</w:t>
      </w:r>
      <w:r>
        <w:rPr>
          <w:sz w:val="20"/>
          <w:szCs w:val="20"/>
          <w:color w:val="auto"/>
        </w:rPr>
        <w:tab/>
      </w:r>
      <w:r>
        <w:rPr>
          <w:rFonts w:ascii="Arial" w:cs="Arial" w:eastAsia="Arial" w:hAnsi="Arial"/>
          <w:sz w:val="17"/>
          <w:szCs w:val="17"/>
          <w:b w:val="1"/>
          <w:bCs w:val="1"/>
          <w:color w:val="auto"/>
        </w:rPr>
        <w:t>Änderung persönlicher Verhältnisse</w:t>
      </w:r>
    </w:p>
    <w:p>
      <w:pPr>
        <w:sectPr>
          <w:pgSz w:w="11900" w:h="16838" w:orient="portrait"/>
          <w:cols w:equalWidth="0" w:num="1">
            <w:col w:w="10766"/>
          </w:cols>
          <w:pgMar w:left="494" w:top="1238" w:right="639" w:bottom="1440" w:gutter="0" w:footer="0" w:header="0"/>
          <w:type w:val="continuous"/>
        </w:sectPr>
      </w:pPr>
    </w:p>
    <w:p>
      <w:pPr>
        <w:spacing w:after="0" w:line="173"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The Employee shall immediately inform the Company about any changes that effect the employment relationship (e.g. tax class etc.).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Der Arbeitnehmer ist verpflichtet, der Gesellschaft unverzüglich von jeglicher Änderung, die für die Durchführung des Arbeitsverhältnisses relevant ist (z. B.</w:t>
      </w:r>
    </w:p>
    <w:p>
      <w:pPr>
        <w:spacing w:after="0"/>
        <w:rPr>
          <w:sz w:val="20"/>
          <w:szCs w:val="20"/>
          <w:color w:val="auto"/>
        </w:rPr>
      </w:pPr>
      <w:r>
        <w:rPr>
          <w:rFonts w:ascii="Arial" w:cs="Arial" w:eastAsia="Arial" w:hAnsi="Arial"/>
          <w:sz w:val="18"/>
          <w:szCs w:val="18"/>
          <w:color w:val="auto"/>
        </w:rPr>
        <w:t>Steuerklasse etc.), in Kenntnis zu setzen.</w:t>
      </w:r>
    </w:p>
    <w:p>
      <w:pPr>
        <w:sectPr>
          <w:pgSz w:w="11900" w:h="16838" w:orient="portrait"/>
          <w:cols w:equalWidth="0" w:num="2">
            <w:col w:w="5246" w:space="220"/>
            <w:col w:w="5300"/>
          </w:cols>
          <w:pgMar w:left="494" w:top="1238" w:right="639" w:bottom="1440" w:gutter="0" w:footer="0" w:header="0"/>
          <w:type w:val="continuous"/>
        </w:sectPr>
      </w:pPr>
    </w:p>
    <w:bookmarkStart w:id="184" w:name="page185"/>
    <w:bookmarkEnd w:id="184"/>
    <w:p>
      <w:pPr>
        <w:spacing w:after="0" w:line="2" w:lineRule="exact"/>
        <w:rPr>
          <w:sz w:val="20"/>
          <w:szCs w:val="20"/>
          <w:color w:val="auto"/>
        </w:rPr>
      </w:pPr>
    </w:p>
    <w:p>
      <w:pPr>
        <w:ind w:left="2346"/>
        <w:spacing w:after="0"/>
        <w:tabs>
          <w:tab w:leader="none" w:pos="7906" w:val="left"/>
        </w:tabs>
        <w:rPr>
          <w:sz w:val="20"/>
          <w:szCs w:val="20"/>
          <w:color w:val="auto"/>
        </w:rPr>
      </w:pPr>
      <w:r>
        <w:rPr>
          <w:rFonts w:ascii="Arial" w:cs="Arial" w:eastAsia="Arial" w:hAnsi="Arial"/>
          <w:sz w:val="18"/>
          <w:szCs w:val="18"/>
          <w:b w:val="1"/>
          <w:bCs w:val="1"/>
          <w:color w:val="auto"/>
        </w:rPr>
        <w:t>Sec. 16</w:t>
      </w:r>
      <w:r>
        <w:rPr>
          <w:sz w:val="20"/>
          <w:szCs w:val="20"/>
          <w:color w:val="auto"/>
        </w:rPr>
        <w:tab/>
      </w:r>
      <w:r>
        <w:rPr>
          <w:rFonts w:ascii="Arial" w:cs="Arial" w:eastAsia="Arial" w:hAnsi="Arial"/>
          <w:sz w:val="17"/>
          <w:szCs w:val="17"/>
          <w:b w:val="1"/>
          <w:bCs w:val="1"/>
          <w:color w:val="auto"/>
        </w:rPr>
        <w:t>§ 16</w:t>
      </w:r>
    </w:p>
    <w:p>
      <w:pPr>
        <w:spacing w:after="0" w:line="230" w:lineRule="exact"/>
        <w:rPr>
          <w:sz w:val="20"/>
          <w:szCs w:val="20"/>
          <w:color w:val="auto"/>
        </w:rPr>
      </w:pPr>
    </w:p>
    <w:p>
      <w:pPr>
        <w:ind w:left="1906"/>
        <w:spacing w:after="0"/>
        <w:tabs>
          <w:tab w:leader="none" w:pos="7306" w:val="left"/>
        </w:tabs>
        <w:rPr>
          <w:sz w:val="20"/>
          <w:szCs w:val="20"/>
          <w:color w:val="auto"/>
        </w:rPr>
      </w:pPr>
      <w:r>
        <w:rPr>
          <w:rFonts w:ascii="Arial" w:cs="Arial" w:eastAsia="Arial" w:hAnsi="Arial"/>
          <w:sz w:val="18"/>
          <w:szCs w:val="18"/>
          <w:b w:val="1"/>
          <w:bCs w:val="1"/>
          <w:color w:val="auto"/>
        </w:rPr>
        <w:t>Preclusion Period</w:t>
      </w:r>
      <w:r>
        <w:rPr>
          <w:sz w:val="20"/>
          <w:szCs w:val="20"/>
          <w:color w:val="auto"/>
        </w:rPr>
        <w:tab/>
      </w:r>
      <w:r>
        <w:rPr>
          <w:rFonts w:ascii="Arial" w:cs="Arial" w:eastAsia="Arial" w:hAnsi="Arial"/>
          <w:sz w:val="17"/>
          <w:szCs w:val="17"/>
          <w:b w:val="1"/>
          <w:bCs w:val="1"/>
          <w:color w:val="auto"/>
        </w:rPr>
        <w:t>Ausschlussfristen</w:t>
      </w:r>
    </w:p>
    <w:p>
      <w:pPr>
        <w:sectPr>
          <w:pgSz w:w="11900" w:h="16838" w:orient="portrait"/>
          <w:cols w:equalWidth="0" w:num="1">
            <w:col w:w="10766"/>
          </w:cols>
          <w:pgMar w:left="494" w:top="1440" w:right="639" w:bottom="1440" w:gutter="0" w:footer="0" w:header="0"/>
        </w:sectPr>
      </w:pPr>
    </w:p>
    <w:p>
      <w:pPr>
        <w:spacing w:after="0" w:line="173" w:lineRule="exact"/>
        <w:rPr>
          <w:sz w:val="20"/>
          <w:szCs w:val="20"/>
          <w:color w:val="auto"/>
        </w:rPr>
      </w:pPr>
    </w:p>
    <w:p>
      <w:pPr>
        <w:ind w:left="366" w:hanging="366"/>
        <w:spacing w:after="0" w:line="262" w:lineRule="auto"/>
        <w:tabs>
          <w:tab w:leader="none" w:pos="20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claims arising under the employment relationship and claims that are connected with the employment relationship or its ter-mination will be forfeited unless they are asserted in text form (sec. 126b German Civil Code) against the other Party within three months after their maturity.</w:t>
      </w:r>
    </w:p>
    <w:p>
      <w:pPr>
        <w:spacing w:after="0" w:line="181" w:lineRule="exact"/>
        <w:rPr>
          <w:rFonts w:ascii="Arial" w:cs="Arial" w:eastAsia="Arial" w:hAnsi="Arial"/>
          <w:sz w:val="18"/>
          <w:szCs w:val="18"/>
          <w:color w:val="auto"/>
        </w:rPr>
      </w:pPr>
    </w:p>
    <w:p>
      <w:pPr>
        <w:ind w:left="326" w:hanging="326"/>
        <w:spacing w:after="0" w:line="262" w:lineRule="auto"/>
        <w:tabs>
          <w:tab w:leader="none" w:pos="2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other party rejects or ignores such claim within two weeks after the assertion of the claim, the right to claim will lapse un-less they are asserted before the courts within three months upon receiving the re- jection or the expiry of the two-week period.</w:t>
      </w:r>
    </w:p>
    <w:p>
      <w:pPr>
        <w:spacing w:after="0" w:line="195" w:lineRule="exact"/>
        <w:rPr>
          <w:rFonts w:ascii="Arial" w:cs="Arial" w:eastAsia="Arial" w:hAnsi="Arial"/>
          <w:sz w:val="18"/>
          <w:szCs w:val="18"/>
          <w:color w:val="auto"/>
        </w:rPr>
      </w:pPr>
    </w:p>
    <w:p>
      <w:pPr>
        <w:ind w:left="326" w:hanging="326"/>
        <w:spacing w:after="0" w:line="261" w:lineRule="auto"/>
        <w:tabs>
          <w:tab w:leader="none" w:pos="2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preclusion period shall not apply to claims of the Employee due to an injury of life, body or health which are based on a negligent breach of duty by the Company or an intentional or negligent breach of duty by the legal representative or the vicarious agents of the Company. Furthermore, the preclusion period also shall not apply to other damages of the Employee which are based on a grossly negligent breach of duty by the Company or on an intentional or grossly negligent breach of duty by a legal representative or vicarious agent of the Company. In addition, the preclusion pe- riod shall not apply to claims which are not subject to preclusion periods by law (e.g. claims to minimum wage).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32" w:right="20" w:hanging="331"/>
        <w:spacing w:after="0" w:line="262" w:lineRule="auto"/>
        <w:tabs>
          <w:tab w:leader="none" w:pos="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Alle Ansprüche aus dem Arbeitsverhältnis und die mit dem Arbeitsverhältnis oder dessen Beendigung in Zusammenhang stehen verfallen, wenn sie nicht innerhalb von drei Monaten nach Fälligkeit gegenüber der anderen Vertragspartei in Textform (126b BGB) geltend gemacht werden.</w:t>
      </w:r>
    </w:p>
    <w:p>
      <w:pPr>
        <w:spacing w:after="0" w:line="181" w:lineRule="exact"/>
        <w:rPr>
          <w:rFonts w:ascii="Arial" w:cs="Arial" w:eastAsia="Arial" w:hAnsi="Arial"/>
          <w:sz w:val="18"/>
          <w:szCs w:val="18"/>
          <w:color w:val="auto"/>
        </w:rPr>
      </w:pPr>
    </w:p>
    <w:p>
      <w:pPr>
        <w:ind w:left="372" w:right="20" w:hanging="372"/>
        <w:spacing w:after="0" w:line="262" w:lineRule="auto"/>
        <w:tabs>
          <w:tab w:leader="none" w:pos="18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Lehnt die andere Vertragspartei den Anspruch ab oder erklärt sie sich nicht innerhalb von zwei Wochen nach Geltendmachung des Anspruchs, verfällt dieser, wenn er nicht innerhalb von drei Monaten nach der Ablehnung oder dem Fristablauf gerichtlich geltend gemacht wird.</w:t>
      </w:r>
    </w:p>
    <w:p>
      <w:pPr>
        <w:spacing w:after="0" w:line="195" w:lineRule="exact"/>
        <w:rPr>
          <w:rFonts w:ascii="Arial" w:cs="Arial" w:eastAsia="Arial" w:hAnsi="Arial"/>
          <w:sz w:val="18"/>
          <w:szCs w:val="18"/>
          <w:color w:val="auto"/>
        </w:rPr>
      </w:pPr>
    </w:p>
    <w:p>
      <w:pPr>
        <w:ind w:left="372" w:hanging="372"/>
        <w:spacing w:after="0" w:line="259" w:lineRule="auto"/>
        <w:tabs>
          <w:tab w:leader="none" w:pos="2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Die Ausschlussfrist findet keine Anwendung auf Ansprüche des Arbeitnehmers aufgrund der Verletzung des Lebens, des Körpers oder der Gesundheit, die auf einer fahrlässigen Pflichtverletzung der Gesellschaft oder einer vorsätzlichen oder fahrlässigen Pflichtverletzung eines gesetzlichen Vertreters oder eines Erfüllungsgehilfen der Gesellschaft beruhen. Darüber hinaus findet die Ausschlussfrist ebenfalls keine Anwendung für sonstige Schäden des Arbeitnehmers, die auf einer grob fahrlässigen Pflichtverletzung der Gesellschaft oder auf einer vorsätzlichen oder grob fahrlässigen Pflichtverletzung eines gesetzlichen Vertreters oder Erfüllungsgehilfen der Gesellschaft beruhen. Die Ausschlussfrist findet zudem keine Anwendung auf Ansprüche, die kraft Gesetz keiner Ausschlussfrist unterliegen dürfen (wie z. B. Ansprüche auf</w:t>
      </w:r>
    </w:p>
    <w:p>
      <w:pPr>
        <w:spacing w:after="0" w:line="1" w:lineRule="exact"/>
        <w:rPr>
          <w:rFonts w:ascii="Arial" w:cs="Arial" w:eastAsia="Arial" w:hAnsi="Arial"/>
          <w:sz w:val="18"/>
          <w:szCs w:val="18"/>
          <w:color w:val="auto"/>
        </w:rPr>
      </w:pPr>
    </w:p>
    <w:p>
      <w:pPr>
        <w:ind w:left="372"/>
        <w:spacing w:after="0"/>
        <w:rPr>
          <w:rFonts w:ascii="Arial" w:cs="Arial" w:eastAsia="Arial" w:hAnsi="Arial"/>
          <w:sz w:val="18"/>
          <w:szCs w:val="18"/>
          <w:color w:val="auto"/>
        </w:rPr>
      </w:pPr>
      <w:r>
        <w:rPr>
          <w:rFonts w:ascii="Arial" w:cs="Arial" w:eastAsia="Arial" w:hAnsi="Arial"/>
          <w:sz w:val="18"/>
          <w:szCs w:val="18"/>
          <w:color w:val="auto"/>
        </w:rPr>
        <w:t>Mindestlohn).</w:t>
      </w:r>
    </w:p>
    <w:p>
      <w:pPr>
        <w:sectPr>
          <w:pgSz w:w="11900" w:h="16838" w:orient="portrait"/>
          <w:cols w:equalWidth="0" w:num="2">
            <w:col w:w="5266" w:space="208"/>
            <w:col w:w="5292"/>
          </w:cols>
          <w:pgMar w:left="494" w:top="1440" w:right="639" w:bottom="1440" w:gutter="0" w:footer="0" w:header="0"/>
          <w:type w:val="continuous"/>
        </w:sectPr>
      </w:pPr>
    </w:p>
    <w:bookmarkStart w:id="185" w:name="page186"/>
    <w:bookmarkEnd w:id="185"/>
    <w:p>
      <w:pPr>
        <w:jc w:val="center"/>
        <w:ind w:left="46"/>
        <w:spacing w:after="0"/>
        <w:rPr>
          <w:sz w:val="20"/>
          <w:szCs w:val="20"/>
          <w:color w:val="auto"/>
        </w:rPr>
      </w:pPr>
      <w:r>
        <w:rPr>
          <w:rFonts w:ascii="Arial" w:cs="Arial" w:eastAsia="Arial" w:hAnsi="Arial"/>
          <w:sz w:val="18"/>
          <w:szCs w:val="18"/>
          <w:b w:val="1"/>
          <w:bCs w:val="1"/>
          <w:color w:val="auto"/>
        </w:rPr>
        <w:t>Sec. 17</w:t>
      </w:r>
    </w:p>
    <w:p>
      <w:pPr>
        <w:spacing w:after="0" w:line="230"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Governing law</w:t>
      </w:r>
    </w:p>
    <w:p>
      <w:pPr>
        <w:spacing w:after="0" w:line="160" w:lineRule="exact"/>
        <w:rPr>
          <w:sz w:val="20"/>
          <w:szCs w:val="20"/>
          <w:color w:val="auto"/>
        </w:rPr>
      </w:pPr>
    </w:p>
    <w:p>
      <w:pPr>
        <w:jc w:val="both"/>
        <w:ind w:left="6"/>
        <w:spacing w:after="0" w:line="312" w:lineRule="auto"/>
        <w:rPr>
          <w:sz w:val="20"/>
          <w:szCs w:val="20"/>
          <w:color w:val="auto"/>
        </w:rPr>
      </w:pPr>
      <w:r>
        <w:rPr>
          <w:rFonts w:ascii="Arial" w:cs="Arial" w:eastAsia="Arial" w:hAnsi="Arial"/>
          <w:sz w:val="17"/>
          <w:szCs w:val="17"/>
          <w:color w:val="auto"/>
        </w:rPr>
        <w:t>The employment relationship and the Employ- ment Agreement shall be governed by the laws of the Federal Republic of Germany.</w:t>
      </w:r>
    </w:p>
    <w:p>
      <w:pPr>
        <w:spacing w:after="0" w:line="132"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Sec. 18</w:t>
      </w:r>
    </w:p>
    <w:p>
      <w:pPr>
        <w:spacing w:after="0" w:line="98"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Authoritative version</w:t>
      </w:r>
    </w:p>
    <w:p>
      <w:pPr>
        <w:spacing w:after="0" w:line="173" w:lineRule="exact"/>
        <w:rPr>
          <w:sz w:val="20"/>
          <w:szCs w:val="20"/>
          <w:color w:val="auto"/>
        </w:rPr>
      </w:pPr>
    </w:p>
    <w:p>
      <w:pPr>
        <w:jc w:val="both"/>
        <w:ind w:left="6" w:right="20"/>
        <w:spacing w:after="0" w:line="263" w:lineRule="auto"/>
        <w:rPr>
          <w:sz w:val="20"/>
          <w:szCs w:val="20"/>
          <w:color w:val="auto"/>
        </w:rPr>
      </w:pPr>
      <w:r>
        <w:rPr>
          <w:rFonts w:ascii="Arial" w:cs="Arial" w:eastAsia="Arial" w:hAnsi="Arial"/>
          <w:sz w:val="18"/>
          <w:szCs w:val="18"/>
          <w:color w:val="auto"/>
        </w:rPr>
        <w:t>Both the English and the German version of this contract are binding. In case of deviations in the interpretation, the German version shall prevail.</w:t>
      </w:r>
    </w:p>
    <w:p>
      <w:pPr>
        <w:spacing w:after="0" w:line="331"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Sec. 19</w:t>
      </w:r>
    </w:p>
    <w:p>
      <w:pPr>
        <w:spacing w:after="0" w:line="217"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Severability clause / subsidiary agreement</w:t>
      </w:r>
    </w:p>
    <w:p>
      <w:pPr>
        <w:spacing w:after="0" w:line="14" w:lineRule="exact"/>
        <w:rPr>
          <w:sz w:val="20"/>
          <w:szCs w:val="20"/>
          <w:color w:val="auto"/>
        </w:rPr>
      </w:pPr>
    </w:p>
    <w:p>
      <w:pPr>
        <w:jc w:val="center"/>
        <w:ind w:left="46"/>
        <w:spacing w:after="0"/>
        <w:rPr>
          <w:sz w:val="20"/>
          <w:szCs w:val="20"/>
          <w:color w:val="auto"/>
        </w:rPr>
      </w:pPr>
      <w:r>
        <w:rPr>
          <w:rFonts w:ascii="Arial" w:cs="Arial" w:eastAsia="Arial" w:hAnsi="Arial"/>
          <w:sz w:val="18"/>
          <w:szCs w:val="18"/>
          <w:b w:val="1"/>
          <w:bCs w:val="1"/>
          <w:color w:val="auto"/>
        </w:rPr>
        <w:t>/ earlier agreements / written form</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8"/>
          <w:szCs w:val="18"/>
          <w:b w:val="1"/>
          <w:bCs w:val="1"/>
          <w:color w:val="auto"/>
        </w:rPr>
        <w:t>§ 17</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Rechtswahl</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Das Arbeitsverhältnis und der Arbeitsvertrag unterliegen dem Recht der Bundesrepublik Deutschland.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18</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Maßgebliche Fassung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Sowohl  die  englische  als  auch  die  deutsche  Version  dieses</w:t>
      </w:r>
    </w:p>
    <w:p>
      <w:pPr>
        <w:spacing w:after="0" w:line="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Vertrages sind bindend. Sollten unterschiedliche Auslegungsmöglichkeiten zwischen den beiden Versionen bestehen, so geht die deutsche Version vor.</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 19</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Salvatorische Klausel / Nebenabreden / frühere</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Vereinbarungen / Schriftform</w:t>
      </w:r>
    </w:p>
    <w:p>
      <w:pPr>
        <w:spacing w:after="0" w:line="200" w:lineRule="exact"/>
        <w:rPr>
          <w:sz w:val="20"/>
          <w:szCs w:val="20"/>
          <w:color w:val="auto"/>
        </w:rPr>
      </w:pPr>
    </w:p>
    <w:p>
      <w:pPr>
        <w:sectPr>
          <w:pgSz w:w="11900" w:h="16838" w:orient="portrait"/>
          <w:cols w:equalWidth="0" w:num="2">
            <w:col w:w="5266" w:space="200"/>
            <w:col w:w="5280"/>
          </w:cols>
          <w:pgMar w:left="494" w:top="1203" w:right="659" w:bottom="1440" w:gutter="0" w:footer="0" w:header="0"/>
        </w:sectPr>
      </w:pPr>
    </w:p>
    <w:p>
      <w:pPr>
        <w:spacing w:after="0" w:line="13" w:lineRule="exact"/>
        <w:rPr>
          <w:sz w:val="20"/>
          <w:szCs w:val="20"/>
          <w:color w:val="auto"/>
        </w:rPr>
      </w:pPr>
    </w:p>
    <w:p>
      <w:pPr>
        <w:ind w:left="366" w:hanging="366"/>
        <w:spacing w:after="0" w:line="262" w:lineRule="auto"/>
        <w:tabs>
          <w:tab w:leader="none" w:pos="2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event that a provision of this Employ- ment Agreement is or becomes invalid, such invalidity shall not affect the validity of the remaining provisions. Any invalid provision shall be replaced by a valid pro- vision, which accomplishes, as far as le- gally possible, the economic effects in- tended by the invalid provision.</w:t>
      </w:r>
    </w:p>
    <w:p>
      <w:pPr>
        <w:spacing w:after="0" w:line="194" w:lineRule="exact"/>
        <w:rPr>
          <w:rFonts w:ascii="Arial" w:cs="Arial" w:eastAsia="Arial" w:hAnsi="Arial"/>
          <w:sz w:val="18"/>
          <w:szCs w:val="18"/>
          <w:color w:val="auto"/>
        </w:rPr>
      </w:pPr>
    </w:p>
    <w:p>
      <w:pPr>
        <w:ind w:left="386" w:right="20" w:hanging="386"/>
        <w:spacing w:after="0" w:line="263" w:lineRule="auto"/>
        <w:tabs>
          <w:tab w:leader="none" w:pos="2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Employment Agreement replaces all earlier agreements between the parties. This Employment Agreement does not contain verbal agreements at this point.</w:t>
      </w:r>
    </w:p>
    <w:p>
      <w:pPr>
        <w:spacing w:after="0" w:line="194" w:lineRule="exact"/>
        <w:rPr>
          <w:rFonts w:ascii="Arial" w:cs="Arial" w:eastAsia="Arial" w:hAnsi="Arial"/>
          <w:sz w:val="18"/>
          <w:szCs w:val="18"/>
          <w:color w:val="auto"/>
        </w:rPr>
      </w:pPr>
    </w:p>
    <w:p>
      <w:pPr>
        <w:ind w:left="386" w:hanging="386"/>
        <w:spacing w:after="0" w:line="262" w:lineRule="auto"/>
        <w:tabs>
          <w:tab w:leader="none" w:pos="2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Future modifications or amendments to this Employment Agreement that do not explicitly involve verbal agreements or other individual points of agreement are subject to a written form to be effective. This also applies to the amendment of this written form requirement, so that claims citing Company custom and practice will not succeed.</w:t>
      </w:r>
    </w:p>
    <w:p>
      <w:pPr>
        <w:spacing w:after="0" w:line="20" w:lineRule="exact"/>
        <w:rPr>
          <w:sz w:val="20"/>
          <w:szCs w:val="20"/>
          <w:color w:val="auto"/>
        </w:rPr>
      </w:pPr>
      <w:r>
        <w:rPr>
          <w:sz w:val="20"/>
          <w:szCs w:val="20"/>
          <w:color w:val="auto"/>
        </w:rPr>
        <w:br w:type="column"/>
      </w:r>
    </w:p>
    <w:p>
      <w:pPr>
        <w:ind w:left="331" w:hanging="331"/>
        <w:spacing w:after="0" w:line="262" w:lineRule="auto"/>
        <w:tabs>
          <w:tab w:leader="none" w:pos="20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Sollte eine Bestimmung dieses Arbeitsvertrages unwirksam sein oder werden, bleibt der Vertrag im Übrigen wirksam. Anstelle der unwirksamen Bestimmung gilt eine wirksame Regelung als vereinbart, die dem mit der unwirksamen Bestimmung wirtschaftlich Gewollten möglichst nahekommt.</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331" w:hanging="331"/>
        <w:spacing w:after="0" w:line="263" w:lineRule="auto"/>
        <w:tabs>
          <w:tab w:leader="none" w:pos="26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Dieser Arbeitsvertrag ersetzt alle bisherigen Vereinbarungen zwischen den Parteien. Mündliche Abreden zu diesem Arbeitsvertrag bestehen derzeit nicht.</w:t>
      </w:r>
    </w:p>
    <w:p>
      <w:pPr>
        <w:spacing w:after="0" w:line="194" w:lineRule="exact"/>
        <w:rPr>
          <w:rFonts w:ascii="Arial" w:cs="Arial" w:eastAsia="Arial" w:hAnsi="Arial"/>
          <w:sz w:val="18"/>
          <w:szCs w:val="18"/>
          <w:color w:val="auto"/>
        </w:rPr>
      </w:pPr>
    </w:p>
    <w:p>
      <w:pPr>
        <w:jc w:val="both"/>
        <w:ind w:left="331" w:hanging="331"/>
        <w:spacing w:after="0" w:line="261" w:lineRule="auto"/>
        <w:tabs>
          <w:tab w:leader="none" w:pos="47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Künftige Änderungen oder Ergänzungen dieses Arbeitsvertrages, bei denen es sich nicht um ausdrückliche mündliche Abreden oder um sonstige individuelle</w:t>
      </w:r>
    </w:p>
    <w:p>
      <w:pPr>
        <w:ind w:left="331"/>
        <w:spacing w:after="0"/>
        <w:rPr>
          <w:sz w:val="20"/>
          <w:szCs w:val="20"/>
          <w:color w:val="auto"/>
        </w:rPr>
      </w:pPr>
      <w:r>
        <w:rPr>
          <w:rFonts w:ascii="Arial" w:cs="Arial" w:eastAsia="Arial" w:hAnsi="Arial"/>
          <w:sz w:val="18"/>
          <w:szCs w:val="18"/>
          <w:color w:val="auto"/>
        </w:rPr>
        <w:t>Vertragsabreden handelt, bedürfenzu ihrer Wirksamkeit der</w:t>
      </w:r>
    </w:p>
    <w:p>
      <w:pPr>
        <w:spacing w:after="0" w:line="18" w:lineRule="exact"/>
        <w:rPr>
          <w:sz w:val="20"/>
          <w:szCs w:val="20"/>
          <w:color w:val="auto"/>
        </w:rPr>
      </w:pPr>
    </w:p>
    <w:p>
      <w:pPr>
        <w:jc w:val="both"/>
        <w:ind w:left="331"/>
        <w:spacing w:after="0" w:line="250" w:lineRule="auto"/>
        <w:rPr>
          <w:sz w:val="20"/>
          <w:szCs w:val="20"/>
          <w:color w:val="auto"/>
        </w:rPr>
      </w:pPr>
      <w:r>
        <w:rPr>
          <w:rFonts w:ascii="Arial" w:cs="Arial" w:eastAsia="Arial" w:hAnsi="Arial"/>
          <w:sz w:val="18"/>
          <w:szCs w:val="18"/>
          <w:color w:val="auto"/>
        </w:rPr>
        <w:t>Schriftform. Dies gilt auch für die Änderung des Schriftformerfordernisses, so dass Ansprüche aus betrieblicher Übung nicht</w:t>
      </w:r>
    </w:p>
    <w:p>
      <w:pPr>
        <w:spacing w:after="0" w:line="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entstehen können.</w:t>
      </w:r>
    </w:p>
    <w:p>
      <w:pPr>
        <w:sectPr>
          <w:pgSz w:w="11900" w:h="16838" w:orient="portrait"/>
          <w:cols w:equalWidth="0" w:num="2">
            <w:col w:w="5266" w:space="209"/>
            <w:col w:w="5271"/>
          </w:cols>
          <w:pgMar w:left="494" w:top="1203" w:right="659" w:bottom="1440" w:gutter="0" w:footer="0" w:header="0"/>
          <w:type w:val="continuous"/>
        </w:sectPr>
      </w:pPr>
    </w:p>
    <w:bookmarkStart w:id="186" w:name="page187"/>
    <w:bookmarkEnd w:id="186"/>
    <w:p>
      <w:pPr>
        <w:spacing w:after="0" w:line="200" w:lineRule="exact"/>
        <w:rPr>
          <w:sz w:val="20"/>
          <w:szCs w:val="20"/>
          <w:color w:val="auto"/>
        </w:rPr>
      </w:pPr>
    </w:p>
    <w:p>
      <w:pPr>
        <w:spacing w:after="0" w:line="279" w:lineRule="exact"/>
        <w:rPr>
          <w:sz w:val="20"/>
          <w:szCs w:val="20"/>
          <w:color w:val="auto"/>
        </w:rPr>
      </w:pPr>
    </w:p>
    <w:p>
      <w:pPr>
        <w:ind w:left="2380"/>
        <w:spacing w:after="0"/>
        <w:tabs>
          <w:tab w:leader="none" w:pos="7920" w:val="left"/>
        </w:tabs>
        <w:rPr>
          <w:sz w:val="20"/>
          <w:szCs w:val="20"/>
          <w:color w:val="auto"/>
        </w:rPr>
      </w:pPr>
      <w:r>
        <w:rPr>
          <w:rFonts w:ascii="Arial" w:cs="Arial" w:eastAsia="Arial" w:hAnsi="Arial"/>
          <w:sz w:val="18"/>
          <w:szCs w:val="18"/>
          <w:b w:val="1"/>
          <w:bCs w:val="1"/>
          <w:color w:val="auto"/>
        </w:rPr>
        <w:t>Sec. 20</w:t>
      </w:r>
      <w:r>
        <w:rPr>
          <w:sz w:val="20"/>
          <w:szCs w:val="20"/>
          <w:color w:val="auto"/>
        </w:rPr>
        <w:tab/>
      </w:r>
      <w:r>
        <w:rPr>
          <w:rFonts w:ascii="Arial" w:cs="Arial" w:eastAsia="Arial" w:hAnsi="Arial"/>
          <w:sz w:val="18"/>
          <w:szCs w:val="18"/>
          <w:b w:val="1"/>
          <w:bCs w:val="1"/>
          <w:color w:val="auto"/>
        </w:rPr>
        <w:t>§ 20</w:t>
      </w:r>
    </w:p>
    <w:p>
      <w:pPr>
        <w:spacing w:after="0" w:line="230" w:lineRule="exact"/>
        <w:rPr>
          <w:sz w:val="20"/>
          <w:szCs w:val="20"/>
          <w:color w:val="auto"/>
        </w:rPr>
      </w:pPr>
    </w:p>
    <w:p>
      <w:pPr>
        <w:ind w:left="1860"/>
        <w:spacing w:after="0"/>
        <w:tabs>
          <w:tab w:leader="none" w:pos="7540" w:val="left"/>
        </w:tabs>
        <w:rPr>
          <w:sz w:val="20"/>
          <w:szCs w:val="20"/>
          <w:color w:val="auto"/>
        </w:rPr>
      </w:pPr>
      <w:r>
        <w:rPr>
          <w:rFonts w:ascii="Arial" w:cs="Arial" w:eastAsia="Arial" w:hAnsi="Arial"/>
          <w:sz w:val="18"/>
          <w:szCs w:val="18"/>
          <w:b w:val="1"/>
          <w:bCs w:val="1"/>
          <w:color w:val="auto"/>
        </w:rPr>
        <w:t>Term of Acceptance</w:t>
      </w:r>
      <w:r>
        <w:rPr>
          <w:sz w:val="20"/>
          <w:szCs w:val="20"/>
          <w:color w:val="auto"/>
        </w:rPr>
        <w:tab/>
      </w:r>
      <w:r>
        <w:rPr>
          <w:rFonts w:ascii="Arial" w:cs="Arial" w:eastAsia="Arial" w:hAnsi="Arial"/>
          <w:sz w:val="17"/>
          <w:szCs w:val="17"/>
          <w:b w:val="1"/>
          <w:bCs w:val="1"/>
          <w:color w:val="auto"/>
        </w:rPr>
        <w:t>Annahmefrist</w:t>
      </w:r>
    </w:p>
    <w:p>
      <w:pPr>
        <w:sectPr>
          <w:pgSz w:w="11900" w:h="16838" w:orient="portrait"/>
          <w:cols w:equalWidth="0" w:num="1">
            <w:col w:w="10780"/>
          </w:cols>
          <w:pgMar w:left="460" w:top="1440" w:right="659" w:bottom="1440" w:gutter="0" w:footer="0" w:header="0"/>
        </w:sectPr>
      </w:pPr>
    </w:p>
    <w:p>
      <w:pPr>
        <w:spacing w:after="0" w:line="173" w:lineRule="exact"/>
        <w:rPr>
          <w:sz w:val="20"/>
          <w:szCs w:val="20"/>
          <w:color w:val="auto"/>
        </w:rPr>
      </w:pPr>
    </w:p>
    <w:p>
      <w:pPr>
        <w:jc w:val="both"/>
        <w:ind w:left="40"/>
        <w:spacing w:after="0" w:line="262" w:lineRule="auto"/>
        <w:rPr>
          <w:sz w:val="20"/>
          <w:szCs w:val="20"/>
          <w:color w:val="auto"/>
        </w:rPr>
      </w:pPr>
      <w:r>
        <w:rPr>
          <w:rFonts w:ascii="Arial" w:cs="Arial" w:eastAsia="Arial" w:hAnsi="Arial"/>
          <w:sz w:val="18"/>
          <w:szCs w:val="18"/>
          <w:color w:val="auto"/>
        </w:rPr>
        <w:t>The Company is not bound by its offer anymore upon expiry of 5 July 2021, 12:00 (GMT). De- cisive for the timeliness of accepting the offer is the delivery to 5 July 2021 of a hand written countersigned agreement in the original. Upon expiry of this deadline, the Company is not bound by its offer anymore.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wp:posOffset>
            </wp:positionV>
            <wp:extent cx="28606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Ort / Place</w:t>
      </w:r>
      <w:r>
        <w:rPr>
          <w:sz w:val="20"/>
          <w:szCs w:val="20"/>
          <w:color w:val="auto"/>
        </w:rPr>
        <w:tab/>
      </w:r>
      <w:r>
        <w:rPr>
          <w:rFonts w:ascii="Arial" w:cs="Arial" w:eastAsia="Arial" w:hAnsi="Arial"/>
          <w:sz w:val="17"/>
          <w:szCs w:val="17"/>
          <w:b w:val="1"/>
          <w:bCs w:val="1"/>
          <w:color w:val="auto"/>
        </w:rPr>
        <w:t>Datum / Date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 Clint Carnell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wp:posOffset>
            </wp:positionV>
            <wp:extent cx="28606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Clint Carnell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 HydraFacial Germany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Annexes / Anlagen: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Die Gesellschaft ist an dieses Angebot nur bis zum 5. Juli 2021,12:00 Uhr (GMT), gebunden. Entscheidend für die Rechtzeitigkeit der Annahme des Angebots ist der Eingang einer vom Arbeitnehmer im Original handschriftlich gegengezeichneten Vereinbarung am 5. Juli 2021. Die Gesellschaft ist an dieses</w:t>
      </w:r>
    </w:p>
    <w:p>
      <w:pPr>
        <w:spacing w:after="0" w:line="1" w:lineRule="exact"/>
        <w:rPr>
          <w:sz w:val="20"/>
          <w:szCs w:val="20"/>
          <w:color w:val="auto"/>
        </w:rPr>
      </w:pPr>
    </w:p>
    <w:p>
      <w:pPr>
        <w:ind w:right="1160"/>
        <w:spacing w:after="0" w:line="238" w:lineRule="auto"/>
        <w:rPr>
          <w:sz w:val="20"/>
          <w:szCs w:val="20"/>
          <w:color w:val="auto"/>
        </w:rPr>
      </w:pPr>
      <w:r>
        <w:rPr>
          <w:rFonts w:ascii="Arial" w:cs="Arial" w:eastAsia="Arial" w:hAnsi="Arial"/>
          <w:sz w:val="18"/>
          <w:szCs w:val="18"/>
          <w:color w:val="auto"/>
        </w:rPr>
        <w:t>Angebot mit Ablauf dieser Frist in keiner Weise mehr gebunden.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February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3810</wp:posOffset>
            </wp:positionV>
            <wp:extent cx="32226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3"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b w:val="1"/>
          <w:bCs w:val="1"/>
          <w:color w:val="auto"/>
        </w:rPr>
        <w:t>Ort / Place</w:t>
      </w:r>
      <w:r>
        <w:rPr>
          <w:sz w:val="20"/>
          <w:szCs w:val="20"/>
          <w:color w:val="auto"/>
        </w:rPr>
        <w:tab/>
      </w:r>
      <w:r>
        <w:rPr>
          <w:rFonts w:ascii="Arial" w:cs="Arial" w:eastAsia="Arial" w:hAnsi="Arial"/>
          <w:sz w:val="17"/>
          <w:szCs w:val="17"/>
          <w:b w:val="1"/>
          <w:bCs w:val="1"/>
          <w:color w:val="auto"/>
        </w:rPr>
        <w:t>Datum / Date</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Stephan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3810</wp:posOffset>
            </wp:positionV>
            <wp:extent cx="32226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9"/>
          <w:szCs w:val="19"/>
          <w:color w:val="auto"/>
        </w:rPr>
        <w:t>Stephan Becker</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Arbeitnehmer / Employee</w:t>
      </w:r>
    </w:p>
    <w:p>
      <w:pPr>
        <w:spacing w:after="0" w:line="1061" w:lineRule="exact"/>
        <w:rPr>
          <w:sz w:val="20"/>
          <w:szCs w:val="20"/>
          <w:color w:val="auto"/>
        </w:rPr>
      </w:pPr>
    </w:p>
    <w:p>
      <w:pPr>
        <w:sectPr>
          <w:pgSz w:w="11900" w:h="16838" w:orient="portrait"/>
          <w:cols w:equalWidth="0" w:num="2">
            <w:col w:w="5300" w:space="200"/>
            <w:col w:w="5280"/>
          </w:cols>
          <w:pgMar w:left="460" w:top="1440" w:right="659" w:bottom="1440" w:gutter="0" w:footer="0" w:header="0"/>
          <w:type w:val="continuous"/>
        </w:sectPr>
      </w:pPr>
    </w:p>
    <w:p>
      <w:pPr>
        <w:spacing w:after="0" w:line="21" w:lineRule="exact"/>
        <w:rPr>
          <w:sz w:val="20"/>
          <w:szCs w:val="20"/>
          <w:color w:val="auto"/>
        </w:rPr>
      </w:pPr>
    </w:p>
    <w:p>
      <w:pPr>
        <w:ind w:left="320" w:hanging="310"/>
        <w:spacing w:after="0"/>
        <w:tabs>
          <w:tab w:leader="none" w:pos="32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Job description (Annex 1)</w:t>
      </w:r>
    </w:p>
    <w:p>
      <w:pPr>
        <w:spacing w:after="0" w:line="22" w:lineRule="exact"/>
        <w:rPr>
          <w:rFonts w:ascii="Arial" w:cs="Arial" w:eastAsia="Arial" w:hAnsi="Arial"/>
          <w:sz w:val="18"/>
          <w:szCs w:val="18"/>
          <w:i w:val="1"/>
          <w:iCs w:val="1"/>
          <w:color w:val="auto"/>
        </w:rPr>
      </w:pPr>
    </w:p>
    <w:p>
      <w:pPr>
        <w:ind w:left="320" w:hanging="310"/>
        <w:spacing w:after="0"/>
        <w:tabs>
          <w:tab w:leader="none" w:pos="32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Beauty Health Company 2021 Incentive Award Plan regarding Stock Options / Stock Op- tion Agreement (Annex 2)</w:t>
      </w:r>
    </w:p>
    <w:p>
      <w:pPr>
        <w:spacing w:after="0" w:line="18" w:lineRule="exact"/>
        <w:rPr>
          <w:rFonts w:ascii="Arial" w:cs="Arial" w:eastAsia="Arial" w:hAnsi="Arial"/>
          <w:sz w:val="18"/>
          <w:szCs w:val="18"/>
          <w:i w:val="1"/>
          <w:iCs w:val="1"/>
          <w:color w:val="auto"/>
        </w:rPr>
      </w:pPr>
    </w:p>
    <w:p>
      <w:pPr>
        <w:ind w:left="320" w:hanging="311"/>
        <w:spacing w:after="0"/>
        <w:tabs>
          <w:tab w:leader="none" w:pos="320" w:val="left"/>
        </w:tabs>
        <w:numPr>
          <w:ilvl w:val="0"/>
          <w:numId w:val="154"/>
        </w:numPr>
        <w:rPr>
          <w:rFonts w:ascii="Arial" w:cs="Arial" w:eastAsia="Arial" w:hAnsi="Arial"/>
          <w:sz w:val="17"/>
          <w:szCs w:val="17"/>
          <w:i w:val="1"/>
          <w:iCs w:val="1"/>
          <w:color w:val="auto"/>
        </w:rPr>
      </w:pPr>
      <w:r>
        <w:rPr>
          <w:rFonts w:ascii="Arial" w:cs="Arial" w:eastAsia="Arial" w:hAnsi="Arial"/>
          <w:sz w:val="17"/>
          <w:szCs w:val="17"/>
          <w:i w:val="1"/>
          <w:iCs w:val="1"/>
          <w:color w:val="auto"/>
        </w:rPr>
        <w:t>Beauty Health Company 2021 Incentive Award Plan regarding Restricted Stock Units / Restricted Stock Unit Agreement (Annex 3)</w:t>
      </w:r>
    </w:p>
    <w:p>
      <w:pPr>
        <w:spacing w:after="0" w:line="29" w:lineRule="exact"/>
        <w:rPr>
          <w:rFonts w:ascii="Arial" w:cs="Arial" w:eastAsia="Arial" w:hAnsi="Arial"/>
          <w:sz w:val="17"/>
          <w:szCs w:val="17"/>
          <w:i w:val="1"/>
          <w:iCs w:val="1"/>
          <w:color w:val="auto"/>
        </w:rPr>
      </w:pPr>
    </w:p>
    <w:p>
      <w:pPr>
        <w:ind w:left="320" w:hanging="311"/>
        <w:spacing w:after="0" w:line="230" w:lineRule="auto"/>
        <w:tabs>
          <w:tab w:leader="none" w:pos="32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Executive Severance Plan (Annex 4)</w:t>
      </w:r>
    </w:p>
    <w:p>
      <w:pPr>
        <w:ind w:left="320" w:hanging="311"/>
        <w:spacing w:after="0"/>
        <w:tabs>
          <w:tab w:leader="none" w:pos="32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Permissive PTO Plan (Annex 5)</w:t>
      </w:r>
    </w:p>
    <w:p>
      <w:pPr>
        <w:sectPr>
          <w:pgSz w:w="11900" w:h="16838" w:orient="portrait"/>
          <w:cols w:equalWidth="0" w:num="1">
            <w:col w:w="10780"/>
          </w:cols>
          <w:pgMar w:left="460" w:top="1440" w:right="65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40" w:type="dxa"/>
            <w:vAlign w:val="bottom"/>
            <w:gridSpan w:val="3"/>
          </w:tcPr>
          <w:p>
            <w:pPr>
              <w:ind w:left="3380"/>
              <w:spacing w:after="0"/>
              <w:rPr>
                <w:sz w:val="20"/>
                <w:szCs w:val="20"/>
                <w:color w:val="auto"/>
              </w:rPr>
            </w:pPr>
            <w:r>
              <w:rPr>
                <w:rFonts w:ascii="Arial" w:cs="Arial" w:eastAsia="Arial" w:hAnsi="Arial"/>
                <w:sz w:val="18"/>
                <w:szCs w:val="18"/>
                <w:b w:val="1"/>
                <w:bCs w:val="1"/>
                <w:color w:val="auto"/>
              </w:rPr>
              <w:t>SUBSIDIARIES OF THE BEAUTY HEALTH COMPANY</w:t>
            </w:r>
          </w:p>
        </w:tc>
      </w:tr>
      <w:tr>
        <w:trPr>
          <w:trHeight w:val="491"/>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00" w:type="dxa"/>
            <w:vAlign w:val="bottom"/>
          </w:tcPr>
          <w:p>
            <w:pPr>
              <w:spacing w:after="0"/>
              <w:rPr>
                <w:sz w:val="24"/>
                <w:szCs w:val="24"/>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231F20"/>
              </w:rPr>
              <w:t>State or Jurisdiction of Incorporation</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LCP Edge Intermediate, LLC</w:t>
            </w:r>
          </w:p>
        </w:tc>
        <w:tc>
          <w:tcPr>
            <w:tcW w:w="4380" w:type="dxa"/>
            <w:vAlign w:val="bottom"/>
          </w:tcPr>
          <w:p>
            <w:pPr>
              <w:ind w:left="20"/>
              <w:spacing w:after="0"/>
              <w:rPr>
                <w:sz w:val="20"/>
                <w:szCs w:val="20"/>
                <w:color w:val="auto"/>
              </w:rPr>
            </w:pPr>
            <w:r>
              <w:rPr>
                <w:rFonts w:ascii="Arial" w:cs="Arial" w:eastAsia="Arial" w:hAnsi="Arial"/>
                <w:sz w:val="18"/>
                <w:szCs w:val="18"/>
                <w:color w:val="231F20"/>
              </w:rPr>
              <w:t>Delaware</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Edge Systems Holdings Corporation</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Delaware</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Edge Systems Intermediate, LLC</w:t>
            </w:r>
          </w:p>
        </w:tc>
        <w:tc>
          <w:tcPr>
            <w:tcW w:w="4380" w:type="dxa"/>
            <w:vAlign w:val="bottom"/>
          </w:tcPr>
          <w:p>
            <w:pPr>
              <w:ind w:left="20"/>
              <w:spacing w:after="0"/>
              <w:rPr>
                <w:sz w:val="20"/>
                <w:szCs w:val="20"/>
                <w:color w:val="auto"/>
              </w:rPr>
            </w:pPr>
            <w:r>
              <w:rPr>
                <w:rFonts w:ascii="Arial" w:cs="Arial" w:eastAsia="Arial" w:hAnsi="Arial"/>
                <w:sz w:val="18"/>
                <w:szCs w:val="18"/>
                <w:color w:val="231F20"/>
              </w:rPr>
              <w:t>Delaware</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Edge Systems, LLC</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California</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The HydraFacial Company MX, S. de R.L. de C.V.</w:t>
            </w:r>
          </w:p>
        </w:tc>
        <w:tc>
          <w:tcPr>
            <w:tcW w:w="4380" w:type="dxa"/>
            <w:vAlign w:val="bottom"/>
          </w:tcPr>
          <w:p>
            <w:pPr>
              <w:ind w:left="20"/>
              <w:spacing w:after="0"/>
              <w:rPr>
                <w:sz w:val="20"/>
                <w:szCs w:val="20"/>
                <w:color w:val="auto"/>
              </w:rPr>
            </w:pPr>
            <w:r>
              <w:rPr>
                <w:rFonts w:ascii="Arial" w:cs="Arial" w:eastAsia="Arial" w:hAnsi="Arial"/>
                <w:sz w:val="18"/>
                <w:szCs w:val="18"/>
                <w:color w:val="231F20"/>
              </w:rPr>
              <w:t>Mexico</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The HydraFacial Company Mexico Holdings, LLC</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Delaware</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The HydraFacial Company Singapore PTE, Limited</w:t>
            </w:r>
          </w:p>
        </w:tc>
        <w:tc>
          <w:tcPr>
            <w:tcW w:w="4380" w:type="dxa"/>
            <w:vAlign w:val="bottom"/>
          </w:tcPr>
          <w:p>
            <w:pPr>
              <w:ind w:left="20"/>
              <w:spacing w:after="0"/>
              <w:rPr>
                <w:sz w:val="20"/>
                <w:szCs w:val="20"/>
                <w:color w:val="auto"/>
              </w:rPr>
            </w:pPr>
            <w:r>
              <w:rPr>
                <w:rFonts w:ascii="Arial" w:cs="Arial" w:eastAsia="Arial" w:hAnsi="Arial"/>
                <w:sz w:val="18"/>
                <w:szCs w:val="18"/>
                <w:color w:val="231F20"/>
              </w:rPr>
              <w:t>Singapore</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Company Australia and New Zealand Pty Ltd.</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Australia</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HydraFacial Trading (Shanghai) Co., Ltd.</w:t>
            </w:r>
          </w:p>
        </w:tc>
        <w:tc>
          <w:tcPr>
            <w:tcW w:w="4380" w:type="dxa"/>
            <w:vAlign w:val="bottom"/>
          </w:tcPr>
          <w:p>
            <w:pPr>
              <w:ind w:left="20"/>
              <w:spacing w:after="0"/>
              <w:rPr>
                <w:sz w:val="20"/>
                <w:szCs w:val="20"/>
                <w:color w:val="auto"/>
              </w:rPr>
            </w:pPr>
            <w:r>
              <w:rPr>
                <w:rFonts w:ascii="Arial" w:cs="Arial" w:eastAsia="Arial" w:hAnsi="Arial"/>
                <w:sz w:val="18"/>
                <w:szCs w:val="18"/>
                <w:color w:val="231F20"/>
              </w:rPr>
              <w:t>China</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The HydraFacial Company Iberia, S.L.U</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Spain</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The HydraFacial Company Japan K.K.</w:t>
            </w:r>
          </w:p>
        </w:tc>
        <w:tc>
          <w:tcPr>
            <w:tcW w:w="4380" w:type="dxa"/>
            <w:vAlign w:val="bottom"/>
          </w:tcPr>
          <w:p>
            <w:pPr>
              <w:ind w:left="20"/>
              <w:spacing w:after="0"/>
              <w:rPr>
                <w:sz w:val="20"/>
                <w:szCs w:val="20"/>
                <w:color w:val="auto"/>
              </w:rPr>
            </w:pPr>
            <w:r>
              <w:rPr>
                <w:rFonts w:ascii="Arial" w:cs="Arial" w:eastAsia="Arial" w:hAnsi="Arial"/>
                <w:sz w:val="18"/>
                <w:szCs w:val="18"/>
                <w:color w:val="231F20"/>
              </w:rPr>
              <w:t>Japan</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UK Limited</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United Kingdom</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231F20"/>
              </w:rPr>
              <w:t>HydraFacial France</w:t>
            </w:r>
          </w:p>
        </w:tc>
        <w:tc>
          <w:tcPr>
            <w:tcW w:w="4380" w:type="dxa"/>
            <w:vAlign w:val="bottom"/>
          </w:tcPr>
          <w:p>
            <w:pPr>
              <w:ind w:left="20"/>
              <w:spacing w:after="0"/>
              <w:rPr>
                <w:sz w:val="20"/>
                <w:szCs w:val="20"/>
                <w:color w:val="auto"/>
              </w:rPr>
            </w:pPr>
            <w:r>
              <w:rPr>
                <w:rFonts w:ascii="Arial" w:cs="Arial" w:eastAsia="Arial" w:hAnsi="Arial"/>
                <w:sz w:val="18"/>
                <w:szCs w:val="18"/>
                <w:color w:val="231F20"/>
              </w:rPr>
              <w:t>France</w:t>
            </w:r>
          </w:p>
        </w:tc>
      </w:tr>
      <w:tr>
        <w:trPr>
          <w:trHeight w:val="22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Germany GmbH</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Germany</w:t>
            </w:r>
          </w:p>
        </w:tc>
      </w:tr>
    </w:tbl>
    <w:p>
      <w:pPr>
        <w:sectPr>
          <w:pgSz w:w="11900" w:h="16838" w:orient="portrait"/>
          <w:cols w:equalWidth="0" w:num="1">
            <w:col w:w="11240"/>
          </w:cols>
          <w:pgMar w:left="320" w:top="360"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23.1</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9"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auto"/>
        </w:rPr>
        <w:t>We consent to the incorporation by reference in Registration Statement No. 333-259430 on Form S-8 of our report dated March 1, 2022, relating to the financial statements of The Beauty Health Company and its consolidated subsidiaries, appearing in this Annual Report on Form 10-K for the year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March 1, 2022</w:t>
      </w:r>
    </w:p>
    <w:p>
      <w:pPr>
        <w:sectPr>
          <w:pgSz w:w="11900" w:h="16838" w:orient="portrait"/>
          <w:cols w:equalWidth="0" w:num="1">
            <w:col w:w="11240"/>
          </w:cols>
          <w:pgMar w:left="320" w:top="996" w:right="339" w:bottom="1440" w:gutter="0" w:footer="0" w:header="0"/>
        </w:sectPr>
      </w:pPr>
    </w:p>
    <w:bookmarkStart w:id="189" w:name="page190"/>
    <w:bookmarkEnd w:id="189"/>
    <w:p>
      <w:pPr>
        <w:ind w:left="10140"/>
        <w:spacing w:after="0"/>
        <w:rPr>
          <w:sz w:val="20"/>
          <w:szCs w:val="20"/>
          <w:color w:val="auto"/>
        </w:rPr>
      </w:pPr>
      <w:r>
        <w:rPr>
          <w:rFonts w:ascii="Arial" w:cs="Arial" w:eastAsia="Arial" w:hAnsi="Arial"/>
          <w:sz w:val="17"/>
          <w:szCs w:val="17"/>
          <w:b w:val="1"/>
          <w:bCs w:val="1"/>
          <w:color w:val="auto"/>
        </w:rPr>
        <w:t>EXHIBIT 31.1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Andrew Stanleick, certify that:</w:t>
      </w:r>
    </w:p>
    <w:p>
      <w:pPr>
        <w:spacing w:after="0" w:line="244" w:lineRule="exact"/>
        <w:rPr>
          <w:sz w:val="20"/>
          <w:szCs w:val="20"/>
          <w:color w:val="auto"/>
        </w:rPr>
      </w:pPr>
    </w:p>
    <w:p>
      <w:pPr>
        <w:ind w:left="640" w:hanging="31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64"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30"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Stanleick</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190" w:name="page191"/>
    <w:bookmarkEnd w:id="190"/>
    <w:p>
      <w:pPr>
        <w:ind w:left="10140"/>
        <w:spacing w:after="0"/>
        <w:rPr>
          <w:sz w:val="20"/>
          <w:szCs w:val="20"/>
          <w:color w:val="auto"/>
        </w:rPr>
      </w:pPr>
      <w:r>
        <w:rPr>
          <w:rFonts w:ascii="Arial" w:cs="Arial" w:eastAsia="Arial" w:hAnsi="Arial"/>
          <w:sz w:val="17"/>
          <w:szCs w:val="17"/>
          <w:b w:val="1"/>
          <w:bCs w:val="1"/>
          <w:color w:val="auto"/>
        </w:rPr>
        <w:t>EXHIBIT 31.2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64"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30"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075" w:right="339" w:bottom="1440" w:gutter="0" w:footer="0" w:header="0"/>
        </w:sectPr>
      </w:pPr>
    </w:p>
    <w:bookmarkStart w:id="191" w:name="page192"/>
    <w:bookmarkEnd w:id="191"/>
    <w:p>
      <w:pPr>
        <w:ind w:left="10140"/>
        <w:spacing w:after="0"/>
        <w:rPr>
          <w:sz w:val="20"/>
          <w:szCs w:val="20"/>
          <w:color w:val="auto"/>
        </w:rPr>
      </w:pPr>
      <w:r>
        <w:rPr>
          <w:rFonts w:ascii="Arial" w:cs="Arial" w:eastAsia="Arial" w:hAnsi="Arial"/>
          <w:sz w:val="17"/>
          <w:szCs w:val="17"/>
          <w:b w:val="1"/>
          <w:bCs w:val="1"/>
          <w:color w:val="auto"/>
        </w:rPr>
        <w:t>EXHIBIT 32.1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connection with the Annual Report of The Beauty Health Company (the “Company”) on Form 10-K for the annual period ended December 31, 2021, as filed with the Securities and Exchange Commission (the “Report”), I, Andrew Stanleick, President and Chief Executive Officer of the Company, certify, pursuant to 18 U.S.C. §1350, as added by §906 of the Sarbanes-Oxley Act of 2002, that:</w:t>
      </w:r>
    </w:p>
    <w:p>
      <w:pPr>
        <w:spacing w:after="0" w:line="215" w:lineRule="exact"/>
        <w:rPr>
          <w:sz w:val="20"/>
          <w:szCs w:val="20"/>
          <w:color w:val="auto"/>
        </w:rPr>
      </w:pPr>
    </w:p>
    <w:p>
      <w:pPr>
        <w:ind w:left="640" w:hanging="316"/>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80" w:hanging="316"/>
        <w:spacing w:after="0" w:line="264"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Stanleick</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192" w:name="page193"/>
    <w:bookmarkEnd w:id="192"/>
    <w:p>
      <w:pPr>
        <w:ind w:left="10140"/>
        <w:spacing w:after="0"/>
        <w:rPr>
          <w:sz w:val="20"/>
          <w:szCs w:val="20"/>
          <w:color w:val="auto"/>
        </w:rPr>
      </w:pPr>
      <w:r>
        <w:rPr>
          <w:rFonts w:ascii="Arial" w:cs="Arial" w:eastAsia="Arial" w:hAnsi="Arial"/>
          <w:sz w:val="17"/>
          <w:szCs w:val="17"/>
          <w:b w:val="1"/>
          <w:bCs w:val="1"/>
          <w:color w:val="auto"/>
        </w:rPr>
        <w:t>EXHIBIT 32.2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In connection with the Annual Report of The Beauty Health Company (the “Company”) on Form 10-K for the annual period ended December 31, 2021, as filed with the Securities and Exchange Commission (the “Report”), I, Liyuan Woo, Chief Financial Officer of the Company, certify, pursuant to 18 U.S.C. §1350, as added by §906 of the Sarbanes-Oxley Act of 2002, that:</w:t>
      </w:r>
    </w:p>
    <w:p>
      <w:pPr>
        <w:spacing w:after="0" w:line="215" w:lineRule="exact"/>
        <w:rPr>
          <w:sz w:val="20"/>
          <w:szCs w:val="20"/>
          <w:color w:val="auto"/>
        </w:rPr>
      </w:pPr>
    </w:p>
    <w:p>
      <w:pPr>
        <w:ind w:left="640" w:hanging="316"/>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80" w:hanging="316"/>
        <w:spacing w:after="0" w:line="264" w:lineRule="auto"/>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2022</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1."/>
      <w:numFmt w:val="decimal"/>
      <w:start w:val="1"/>
    </w:lvl>
  </w:abstractNum>
  <w:abstractNum w:abstractNumId="6">
    <w:nsid w:val="7FFFCA11"/>
    <w:multiLevelType w:val="hybridMultilevel"/>
    <w:lvl w:ilvl="0">
      <w:lvlJc w:val="left"/>
      <w:lvlText w:val="%1."/>
      <w:numFmt w:val="decimal"/>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1)"/>
      <w:numFmt w:val="decimal"/>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1)"/>
      <w:numFmt w:val="decimal"/>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1)"/>
      <w:numFmt w:val="decimal"/>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1)"/>
      <w:numFmt w:val="decimal"/>
      <w:start w:val="1"/>
    </w:lvl>
  </w:abstractNum>
  <w:abstractNum w:abstractNumId="35">
    <w:nsid w:val="50801EE1"/>
    <w:multiLevelType w:val="hybridMultilevel"/>
    <w:lvl w:ilvl="0">
      <w:lvlJc w:val="left"/>
      <w:lvlText w:val="(%1)"/>
      <w:numFmt w:val="decimal"/>
      <w:start w:val="1"/>
    </w:lvl>
  </w:abstractNum>
  <w:abstractNum w:abstractNumId="36">
    <w:nsid w:val="488AC1A"/>
    <w:multiLevelType w:val="hybridMultilevel"/>
    <w:lvl w:ilvl="0">
      <w:lvlJc w:val="left"/>
      <w:lvlText w:val="%1"/>
      <w:numFmt w:val="upperLetter"/>
      <w:start w:val="6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1)"/>
      <w:numFmt w:val="decimal"/>
      <w:start w:val="1"/>
    </w:lvl>
  </w:abstractNum>
  <w:abstractNum w:abstractNumId="40">
    <w:nsid w:val="6FC75AF8"/>
    <w:multiLevelType w:val="hybridMultilevel"/>
    <w:lvl w:ilvl="0">
      <w:lvlJc w:val="left"/>
      <w:lvlText w:val="(%1)"/>
      <w:numFmt w:val="upperLetter"/>
      <w:start w:val="3"/>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1)"/>
      <w:numFmt w:val="decimal"/>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X"/>
      <w:numFmt w:val="bullet"/>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1)"/>
      <w:numFmt w:val="decimal"/>
      <w:start w:val="1"/>
    </w:lvl>
  </w:abstractNum>
  <w:abstractNum w:abstractNumId="55">
    <w:nsid w:val="1D545C4D"/>
    <w:multiLevelType w:val="hybridMultilevel"/>
    <w:lvl w:ilvl="0">
      <w:lvlJc w:val="left"/>
      <w:lvlText w:val="(%1)"/>
      <w:numFmt w:val="decimal"/>
      <w:start w:val="1"/>
    </w:lvl>
  </w:abstractNum>
  <w:abstractNum w:abstractNumId="56">
    <w:nsid w:val="59ADEA3D"/>
    <w:multiLevelType w:val="hybridMultilevel"/>
    <w:lvl w:ilvl="0">
      <w:lvlJc w:val="left"/>
      <w:lvlText w:val="(%1)"/>
      <w:numFmt w:val="decimal"/>
      <w:start w:val="5"/>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1)"/>
      <w:numFmt w:val="decimal"/>
      <w:start w:val="1"/>
    </w:lvl>
  </w:abstractNum>
  <w:abstractNum w:abstractNumId="59">
    <w:nsid w:val="1D9F6E5F"/>
    <w:multiLevelType w:val="hybridMultilevel"/>
    <w:lvl w:ilvl="0">
      <w:lvlJc w:val="left"/>
      <w:lvlText w:val="(%1)"/>
      <w:numFmt w:val="lowerRoman"/>
      <w:start w:val="1"/>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1)"/>
      <w:numFmt w:val="decimal"/>
      <w:start w:val="1"/>
    </w:lvl>
  </w:abstractNum>
  <w:abstractNum w:abstractNumId="62">
    <w:nsid w:val="1CA0C5FA"/>
    <w:multiLevelType w:val="hybridMultilevel"/>
    <w:lvl w:ilvl="0">
      <w:lvlJc w:val="left"/>
      <w:lvlText w:val="(%1)"/>
      <w:numFmt w:val="decimal"/>
      <w:start w:val="1"/>
    </w:lvl>
  </w:abstractNum>
  <w:abstractNum w:abstractNumId="63">
    <w:nsid w:val="53584BCB"/>
    <w:multiLevelType w:val="hybridMultilevel"/>
    <w:lvl w:ilvl="0">
      <w:lvlJc w:val="left"/>
      <w:lvlText w:val="(%1)"/>
      <w:numFmt w:val="decimal"/>
      <w:start w:val="2"/>
    </w:lvl>
  </w:abstractNum>
  <w:abstractNum w:abstractNumId="64">
    <w:nsid w:val="415E286C"/>
    <w:multiLevelType w:val="hybridMultilevel"/>
    <w:lvl w:ilvl="0">
      <w:lvlJc w:val="left"/>
      <w:lvlText w:val="•"/>
      <w:numFmt w:val="bullet"/>
      <w:start w:val="1"/>
    </w:lvl>
  </w:abstractNum>
  <w:abstractNum w:abstractNumId="65">
    <w:nsid w:val="7C58FD05"/>
    <w:multiLevelType w:val="hybridMultilevel"/>
    <w:lvl w:ilvl="0">
      <w:lvlJc w:val="left"/>
      <w:lvlText w:val="(%1)"/>
      <w:numFmt w:val="decimal"/>
      <w:start w:val="1"/>
    </w:lvl>
  </w:abstractNum>
  <w:abstractNum w:abstractNumId="66">
    <w:nsid w:val="23D86AAC"/>
    <w:multiLevelType w:val="hybridMultilevel"/>
    <w:lvl w:ilvl="0">
      <w:lvlJc w:val="left"/>
      <w:lvlText w:val="(%1)"/>
      <w:numFmt w:val="decimal"/>
      <w:start w:val="1"/>
    </w:lvl>
  </w:abstractNum>
  <w:abstractNum w:abstractNumId="67">
    <w:nsid w:val="45E6D486"/>
    <w:multiLevelType w:val="hybridMultilevel"/>
    <w:lvl w:ilvl="0">
      <w:lvlJc w:val="left"/>
      <w:lvlText w:val="(%1)"/>
      <w:numFmt w:val="decimal"/>
      <w:start w:val="9"/>
    </w:lvl>
  </w:abstractNum>
  <w:abstractNum w:abstractNumId="68">
    <w:nsid w:val="5C10FE21"/>
    <w:multiLevelType w:val="hybridMultilevel"/>
    <w:lvl w:ilvl="0">
      <w:lvlJc w:val="left"/>
      <w:lvlText w:val="(%1)"/>
      <w:numFmt w:val="decimal"/>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
      <w:numFmt w:val="bullet"/>
      <w:start w:val="1"/>
    </w:lvl>
  </w:abstractNum>
  <w:abstractNum w:abstractNumId="71">
    <w:nsid w:val="4BD8591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72">
    <w:nsid w:val="78DF6A5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73">
    <w:nsid w:val="39B7AAA2"/>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74">
    <w:nsid w:val="2B0D8DBE"/>
    <w:multiLevelType w:val="hybridMultilevel"/>
    <w:lvl w:ilvl="0">
      <w:lvlJc w:val="left"/>
      <w:lvlText w:val="%1."/>
      <w:numFmt w:val="decimal"/>
      <w:start w:val="4"/>
    </w:lvl>
  </w:abstractNum>
  <w:abstractNum w:abstractNumId="75">
    <w:nsid w:val="6C80EC70"/>
    <w:multiLevelType w:val="hybridMultilevel"/>
    <w:lvl w:ilvl="0">
      <w:lvlJc w:val="left"/>
      <w:lvlText w:val="%1."/>
      <w:numFmt w:val="decimal"/>
      <w:start w:val="9"/>
    </w:lvl>
    <w:lvl w:ilvl="1">
      <w:lvlJc w:val="left"/>
      <w:lvlText w:val="%2."/>
      <w:numFmt w:val="lowerRoman"/>
      <w:start w:val="1"/>
    </w:lvl>
  </w:abstractNum>
  <w:abstractNum w:abstractNumId="76">
    <w:nsid w:val="379E21B5"/>
    <w:multiLevelType w:val="hybridMultilevel"/>
    <w:lvl w:ilvl="0">
      <w:lvlJc w:val="left"/>
      <w:lvlText w:val="%1"/>
      <w:numFmt w:val="decimal"/>
      <w:start w:val="1"/>
    </w:lvl>
    <w:lvl w:ilvl="1">
      <w:lvlJc w:val="left"/>
      <w:lvlText w:val="%2."/>
      <w:numFmt w:val="lowerRoman"/>
      <w:start w:val="3"/>
    </w:lvl>
  </w:abstractNum>
  <w:abstractNum w:abstractNumId="77">
    <w:nsid w:val="69E373"/>
    <w:multiLevelType w:val="hybridMultilevel"/>
    <w:lvl w:ilvl="0">
      <w:lvlJc w:val="left"/>
      <w:lvlText w:val="%1."/>
      <w:numFmt w:val="decimal"/>
      <w:start w:val="10"/>
    </w:lvl>
    <w:lvl w:ilvl="1">
      <w:lvlJc w:val="left"/>
      <w:lvlText w:val="%2."/>
      <w:numFmt w:val="lowerRoman"/>
      <w:start w:val="1"/>
    </w:lvl>
  </w:abstractNum>
  <w:abstractNum w:abstractNumId="78">
    <w:nsid w:val="2C27173B"/>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lvl w:ilvl="3">
      <w:lvlJc w:val="left"/>
      <w:lvlText w:val="%4"/>
      <w:numFmt w:val="lowerLetter"/>
      <w:start w:val="1"/>
    </w:lvl>
  </w:abstractNum>
  <w:abstractNum w:abstractNumId="79">
    <w:nsid w:val="4C9B0904"/>
    <w:multiLevelType w:val="hybridMultilevel"/>
    <w:lvl w:ilvl="0">
      <w:lvlJc w:val="left"/>
      <w:lvlText w:val="%1."/>
      <w:numFmt w:val="decimal"/>
      <w:start w:val="11"/>
    </w:lvl>
    <w:lvl w:ilvl="1">
      <w:lvlJc w:val="left"/>
      <w:lvlText w:val="%2."/>
      <w:numFmt w:val="lowerLetter"/>
      <w:start w:val="9"/>
    </w:lvl>
    <w:lvl w:ilvl="2">
      <w:lvlJc w:val="left"/>
      <w:lvlText w:val="%3."/>
      <w:numFmt w:val="lowerRoman"/>
      <w:start w:val="1"/>
    </w:lvl>
    <w:lvl w:ilvl="3">
      <w:lvlJc w:val="left"/>
      <w:lvlText w:val="%4."/>
      <w:numFmt w:val="lowerLetter"/>
      <w:start w:val="1"/>
    </w:lvl>
  </w:abstractNum>
  <w:abstractNum w:abstractNumId="80">
    <w:nsid w:val="6AA7B75C"/>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lvl w:ilvl="3">
      <w:lvlJc w:val="left"/>
      <w:lvlText w:val="%4"/>
      <w:numFmt w:val="lowerLetter"/>
      <w:start w:val="1"/>
    </w:lvl>
  </w:abstractNum>
  <w:abstractNum w:abstractNumId="81">
    <w:nsid w:val="1DF029D3"/>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lvl w:ilvl="3">
      <w:lvlJc w:val="left"/>
      <w:lvlText w:val="%4"/>
      <w:numFmt w:val="lowerLetter"/>
      <w:start w:val="1"/>
    </w:lvl>
  </w:abstractNum>
  <w:abstractNum w:abstractNumId="82">
    <w:nsid w:val="5675FF36"/>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3">
    <w:nsid w:val="3DD15094"/>
    <w:multiLevelType w:val="hybridMultilevel"/>
    <w:lvl w:ilvl="0">
      <w:lvlJc w:val="left"/>
      <w:lvlText w:val="%1."/>
      <w:numFmt w:val="decimal"/>
      <w:start w:val="16"/>
    </w:lvl>
    <w:lvl w:ilvl="1">
      <w:lvlJc w:val="left"/>
      <w:lvlText w:val="%2."/>
      <w:numFmt w:val="lowerRoman"/>
      <w:start w:val="1"/>
    </w:lvl>
  </w:abstractNum>
  <w:abstractNum w:abstractNumId="84">
    <w:nsid w:val="3DB012B3"/>
    <w:multiLevelType w:val="hybridMultilevel"/>
    <w:lvl w:ilvl="0">
      <w:lvlJc w:val="left"/>
      <w:lvlText w:val="%1."/>
      <w:numFmt w:val="decimal"/>
      <w:start w:val="1"/>
    </w:lvl>
  </w:abstractNum>
  <w:abstractNum w:abstractNumId="85">
    <w:nsid w:val="2708C9AF"/>
    <w:multiLevelType w:val="hybridMultilevel"/>
    <w:lvl w:ilvl="0">
      <w:lvlJc w:val="left"/>
      <w:lvlText w:val="%1."/>
      <w:numFmt w:val="decimal"/>
      <w:start w:val="2"/>
    </w:lvl>
  </w:abstractNum>
  <w:abstractNum w:abstractNumId="86">
    <w:nsid w:val="5B25ACE2"/>
    <w:multiLevelType w:val="hybridMultilevel"/>
    <w:lvl w:ilvl="0">
      <w:lvlJc w:val="left"/>
      <w:lvlText w:val="%1."/>
      <w:numFmt w:val="decimal"/>
      <w:start w:val="2"/>
    </w:lvl>
  </w:abstractNum>
  <w:abstractNum w:abstractNumId="87">
    <w:nsid w:val="175DFCF0"/>
    <w:multiLevelType w:val="hybridMultilevel"/>
    <w:lvl w:ilvl="0">
      <w:lvlJc w:val="left"/>
      <w:lvlText w:val="%1."/>
      <w:numFmt w:val="decimal"/>
      <w:start w:val="1"/>
    </w:lvl>
  </w:abstractNum>
  <w:abstractNum w:abstractNumId="88">
    <w:nsid w:val="4F97E3E4"/>
    <w:multiLevelType w:val="hybridMultilevel"/>
    <w:lvl w:ilvl="0">
      <w:lvlJc w:val="left"/>
      <w:lvlText w:val="%1."/>
      <w:numFmt w:val="decimal"/>
      <w:start w:val="1"/>
    </w:lvl>
  </w:abstractNum>
  <w:abstractNum w:abstractNumId="89">
    <w:nsid w:val="53B0A9E"/>
    <w:multiLevelType w:val="hybridMultilevel"/>
    <w:lvl w:ilvl="0">
      <w:lvlJc w:val="left"/>
      <w:lvlText w:val="%1."/>
      <w:numFmt w:val="decimal"/>
      <w:start w:val="2"/>
    </w:lvl>
  </w:abstractNum>
  <w:abstractNum w:abstractNumId="90">
    <w:nsid w:val="34FD6B4F"/>
    <w:multiLevelType w:val="hybridMultilevel"/>
    <w:lvl w:ilvl="0">
      <w:lvlJc w:val="left"/>
      <w:lvlText w:val="%1."/>
      <w:numFmt w:val="decimal"/>
    </w:lvl>
    <w:lvl w:ilvl="1">
      <w:lvlJc w:val="left"/>
      <w:lvlText w:val="§"/>
      <w:numFmt w:val="bullet"/>
      <w:start w:val="1"/>
    </w:lvl>
  </w:abstractNum>
  <w:abstractNum w:abstractNumId="91">
    <w:nsid w:val="5915FF32"/>
    <w:multiLevelType w:val="hybridMultilevel"/>
    <w:lvl w:ilvl="0">
      <w:lvlJc w:val="left"/>
      <w:lvlText w:val="%1."/>
      <w:numFmt w:val="decimal"/>
      <w:start w:val="5"/>
    </w:lvl>
  </w:abstractNum>
  <w:abstractNum w:abstractNumId="92">
    <w:nsid w:val="56438D15"/>
    <w:multiLevelType w:val="hybridMultilevel"/>
    <w:lvl w:ilvl="0">
      <w:lvlJc w:val="left"/>
      <w:lvlText w:val="%1."/>
      <w:numFmt w:val="decimal"/>
      <w:start w:val="5"/>
    </w:lvl>
  </w:abstractNum>
  <w:abstractNum w:abstractNumId="93">
    <w:nsid w:val="519E3149"/>
    <w:multiLevelType w:val="hybridMultilevel"/>
    <w:lvl w:ilvl="0">
      <w:lvlJc w:val="left"/>
      <w:lvlText w:val="%1."/>
      <w:numFmt w:val="decimal"/>
      <w:start w:val="6"/>
    </w:lvl>
  </w:abstractNum>
  <w:abstractNum w:abstractNumId="94">
    <w:nsid w:val="2C6E4AFD"/>
    <w:multiLevelType w:val="hybridMultilevel"/>
    <w:lvl w:ilvl="0">
      <w:lvlJc w:val="left"/>
      <w:lvlText w:val="%1."/>
      <w:numFmt w:val="decimal"/>
      <w:start w:val="6"/>
    </w:lvl>
  </w:abstractNum>
  <w:abstractNum w:abstractNumId="95">
    <w:nsid w:val="17A1B582"/>
    <w:multiLevelType w:val="hybridMultilevel"/>
    <w:lvl w:ilvl="0">
      <w:lvlJc w:val="left"/>
      <w:lvlText w:val="%1."/>
      <w:numFmt w:val="decimal"/>
      <w:start w:val="7"/>
    </w:lvl>
  </w:abstractNum>
  <w:abstractNum w:abstractNumId="96">
    <w:nsid w:val="4DF72E4E"/>
    <w:multiLevelType w:val="hybridMultilevel"/>
    <w:lvl w:ilvl="0">
      <w:lvlJc w:val="left"/>
      <w:lvlText w:val="%1."/>
      <w:numFmt w:val="decimal"/>
      <w:start w:val="7"/>
    </w:lvl>
  </w:abstractNum>
  <w:abstractNum w:abstractNumId="97">
    <w:nsid w:val="5046B5A9"/>
    <w:multiLevelType w:val="hybridMultilevel"/>
    <w:lvl w:ilvl="0">
      <w:lvlJc w:val="left"/>
      <w:lvlText w:val="%1."/>
      <w:numFmt w:val="decimal"/>
      <w:start w:val="8"/>
    </w:lvl>
  </w:abstractNum>
  <w:abstractNum w:abstractNumId="98">
    <w:nsid w:val="5D888A08"/>
    <w:multiLevelType w:val="hybridMultilevel"/>
    <w:lvl w:ilvl="0">
      <w:lvlJc w:val="left"/>
      <w:lvlText w:val="%1."/>
      <w:numFmt w:val="decimal"/>
      <w:start w:val="8"/>
    </w:lvl>
  </w:abstractNum>
  <w:abstractNum w:abstractNumId="99">
    <w:nsid w:val="2A082C70"/>
    <w:multiLevelType w:val="hybridMultilevel"/>
    <w:lvl w:ilvl="0">
      <w:lvlJc w:val="left"/>
      <w:lvlText w:val="%1."/>
      <w:numFmt w:val="decimal"/>
      <w:start w:val="10"/>
    </w:lvl>
  </w:abstractNum>
  <w:abstractNum w:abstractNumId="100">
    <w:nsid w:val="5EC6AFD4"/>
    <w:multiLevelType w:val="hybridMultilevel"/>
    <w:lvl w:ilvl="0">
      <w:lvlJc w:val="left"/>
      <w:lvlText w:val="%1."/>
      <w:numFmt w:val="decimal"/>
      <w:start w:val="10"/>
    </w:lvl>
  </w:abstractNum>
  <w:abstractNum w:abstractNumId="101">
    <w:nsid w:val="19E21BB2"/>
    <w:multiLevelType w:val="hybridMultilevel"/>
    <w:lvl w:ilvl="0">
      <w:lvlJc w:val="left"/>
      <w:lvlText w:val="%1."/>
      <w:numFmt w:val="decimal"/>
      <w:start w:val="11"/>
    </w:lvl>
  </w:abstractNum>
  <w:abstractNum w:abstractNumId="102">
    <w:nsid w:val="75E0858A"/>
    <w:multiLevelType w:val="hybridMultilevel"/>
    <w:lvl w:ilvl="0">
      <w:lvlJc w:val="left"/>
      <w:lvlText w:val="%1."/>
      <w:numFmt w:val="decimal"/>
      <w:start w:val="11"/>
    </w:lvl>
  </w:abstractNum>
  <w:abstractNum w:abstractNumId="103">
    <w:nsid w:val="57A61A29"/>
    <w:multiLevelType w:val="hybridMultilevel"/>
    <w:lvl w:ilvl="0">
      <w:lvlJc w:val="left"/>
      <w:lvlText w:val="%1."/>
      <w:numFmt w:val="decimal"/>
      <w:start w:val="1"/>
    </w:lvl>
  </w:abstractNum>
  <w:abstractNum w:abstractNumId="104">
    <w:nsid w:val="5399C654"/>
    <w:multiLevelType w:val="hybridMultilevel"/>
    <w:lvl w:ilvl="0">
      <w:lvlJc w:val="left"/>
      <w:lvlText w:val="%1."/>
      <w:numFmt w:val="decimal"/>
      <w:start w:val="2"/>
    </w:lvl>
  </w:abstractNum>
  <w:abstractNum w:abstractNumId="105">
    <w:nsid w:val="20EE1348"/>
    <w:multiLevelType w:val="hybridMultilevel"/>
    <w:lvl w:ilvl="0">
      <w:lvlJc w:val="left"/>
      <w:lvlText w:val="%1."/>
      <w:numFmt w:val="decimal"/>
      <w:start w:val="1"/>
    </w:lvl>
  </w:abstractNum>
  <w:abstractNum w:abstractNumId="106">
    <w:nsid w:val="4427069A"/>
    <w:multiLevelType w:val="hybridMultilevel"/>
    <w:lvl w:ilvl="0">
      <w:lvlJc w:val="left"/>
      <w:lvlText w:val="%1."/>
      <w:numFmt w:val="decimal"/>
      <w:start w:val="1"/>
    </w:lvl>
  </w:abstractNum>
  <w:abstractNum w:abstractNumId="107">
    <w:nsid w:val="B37E80A"/>
    <w:multiLevelType w:val="hybridMultilevel"/>
    <w:lvl w:ilvl="0">
      <w:lvlJc w:val="left"/>
      <w:lvlText w:val="%1."/>
      <w:numFmt w:val="decimal"/>
      <w:start w:val="2"/>
    </w:lvl>
  </w:abstractNum>
  <w:abstractNum w:abstractNumId="108">
    <w:nsid w:val="2157F6BC"/>
    <w:multiLevelType w:val="hybridMultilevel"/>
    <w:lvl w:ilvl="0">
      <w:lvlJc w:val="left"/>
      <w:lvlText w:val="%1."/>
      <w:numFmt w:val="decimal"/>
      <w:start w:val="2"/>
    </w:lvl>
  </w:abstractNum>
  <w:abstractNum w:abstractNumId="109">
    <w:nsid w:val="704E1DD5"/>
    <w:multiLevelType w:val="hybridMultilevel"/>
    <w:lvl w:ilvl="0">
      <w:lvlJc w:val="left"/>
      <w:lvlText w:val="§"/>
      <w:numFmt w:val="bullet"/>
      <w:start w:val="1"/>
    </w:lvl>
  </w:abstractNum>
  <w:abstractNum w:abstractNumId="110">
    <w:nsid w:val="57D2F10E"/>
    <w:multiLevelType w:val="hybridMultilevel"/>
    <w:lvl w:ilvl="0">
      <w:lvlJc w:val="left"/>
      <w:lvlText w:val="%1."/>
      <w:numFmt w:val="decimal"/>
      <w:start w:val="1"/>
    </w:lvl>
  </w:abstractNum>
  <w:abstractNum w:abstractNumId="111">
    <w:nsid w:val="BFFAE18"/>
    <w:multiLevelType w:val="hybridMultilevel"/>
    <w:lvl w:ilvl="0">
      <w:lvlJc w:val="left"/>
      <w:lvlText w:val="%1."/>
      <w:numFmt w:val="decimal"/>
      <w:start w:val="1"/>
    </w:lvl>
  </w:abstractNum>
  <w:abstractNum w:abstractNumId="112">
    <w:nsid w:val="E3E47A8"/>
    <w:multiLevelType w:val="hybridMultilevel"/>
    <w:lvl w:ilvl="0">
      <w:lvlJc w:val="left"/>
      <w:lvlText w:val="%1."/>
      <w:numFmt w:val="decimal"/>
      <w:start w:val="1"/>
    </w:lvl>
  </w:abstractNum>
  <w:abstractNum w:abstractNumId="113">
    <w:nsid w:val="2E48F044"/>
    <w:multiLevelType w:val="hybridMultilevel"/>
    <w:lvl w:ilvl="0">
      <w:lvlJc w:val="left"/>
      <w:lvlText w:val="%1."/>
      <w:numFmt w:val="decimal"/>
      <w:start w:val="1"/>
    </w:lvl>
  </w:abstractNum>
  <w:abstractNum w:abstractNumId="114">
    <w:nsid w:val="49D0FEAC"/>
    <w:multiLevelType w:val="hybridMultilevel"/>
    <w:lvl w:ilvl="0">
      <w:lvlJc w:val="left"/>
      <w:lvlText w:val="%1."/>
      <w:numFmt w:val="decimal"/>
      <w:start w:val="2"/>
    </w:lvl>
  </w:abstractNum>
  <w:abstractNum w:abstractNumId="115">
    <w:nsid w:val="4BEE5A5B"/>
    <w:multiLevelType w:val="hybridMultilevel"/>
    <w:lvl w:ilvl="0">
      <w:lvlJc w:val="left"/>
      <w:lvlText w:val="%1."/>
      <w:numFmt w:val="decimal"/>
      <w:start w:val="2"/>
    </w:lvl>
  </w:abstractNum>
  <w:abstractNum w:abstractNumId="116">
    <w:nsid w:val="5551B9F3"/>
    <w:multiLevelType w:val="hybridMultilevel"/>
    <w:lvl w:ilvl="0">
      <w:lvlJc w:val="left"/>
      <w:lvlText w:val="%1."/>
      <w:numFmt w:val="decimal"/>
      <w:start w:val="1"/>
    </w:lvl>
  </w:abstractNum>
  <w:abstractNum w:abstractNumId="117">
    <w:nsid w:val="24F6AB8E"/>
    <w:multiLevelType w:val="hybridMultilevel"/>
    <w:lvl w:ilvl="0">
      <w:lvlJc w:val="left"/>
      <w:lvlText w:val="%1."/>
      <w:numFmt w:val="decimal"/>
      <w:start w:val="1"/>
    </w:lvl>
  </w:abstractNum>
  <w:abstractNum w:abstractNumId="118">
    <w:nsid w:val="634C574C"/>
    <w:multiLevelType w:val="hybridMultilevel"/>
    <w:lvl w:ilvl="0">
      <w:lvlJc w:val="left"/>
      <w:lvlText w:val="%1."/>
      <w:numFmt w:val="decimal"/>
      <w:start w:val="2"/>
    </w:lvl>
  </w:abstractNum>
  <w:abstractNum w:abstractNumId="119">
    <w:nsid w:val="24E99DD7"/>
    <w:multiLevelType w:val="hybridMultilevel"/>
    <w:lvl w:ilvl="0">
      <w:lvlJc w:val="left"/>
      <w:lvlText w:val="%1."/>
      <w:numFmt w:val="decimal"/>
      <w:start w:val="2"/>
    </w:lvl>
  </w:abstractNum>
  <w:abstractNum w:abstractNumId="120">
    <w:nsid w:val="2A31B62D"/>
    <w:multiLevelType w:val="hybridMultilevel"/>
    <w:lvl w:ilvl="0">
      <w:lvlJc w:val="left"/>
      <w:lvlText w:val="%1."/>
      <w:numFmt w:val="decimal"/>
      <w:start w:val="3"/>
    </w:lvl>
  </w:abstractNum>
  <w:abstractNum w:abstractNumId="121">
    <w:nsid w:val="1849C29B"/>
    <w:multiLevelType w:val="hybridMultilevel"/>
    <w:lvl w:ilvl="0">
      <w:lvlJc w:val="left"/>
      <w:lvlText w:val="%1."/>
      <w:numFmt w:val="decimal"/>
      <w:start w:val="1"/>
    </w:lvl>
  </w:abstractNum>
  <w:abstractNum w:abstractNumId="122">
    <w:nsid w:val="7DFF9D09"/>
    <w:multiLevelType w:val="hybridMultilevel"/>
    <w:lvl w:ilvl="0">
      <w:lvlJc w:val="left"/>
      <w:lvlText w:val="%1."/>
      <w:numFmt w:val="decimal"/>
      <w:start w:val="1"/>
    </w:lvl>
  </w:abstractNum>
  <w:abstractNum w:abstractNumId="123">
    <w:nsid w:val="754342"/>
    <w:multiLevelType w:val="hybridMultilevel"/>
    <w:lvl w:ilvl="0">
      <w:lvlJc w:val="left"/>
      <w:lvlText w:val="%1."/>
      <w:numFmt w:val="decimal"/>
      <w:start w:val="2"/>
    </w:lvl>
  </w:abstractNum>
  <w:abstractNum w:abstractNumId="124">
    <w:nsid w:val="69E7F3E5"/>
    <w:multiLevelType w:val="hybridMultilevel"/>
    <w:lvl w:ilvl="0">
      <w:lvlJc w:val="left"/>
      <w:lvlText w:val="%1."/>
      <w:numFmt w:val="decimal"/>
      <w:start w:val="3"/>
    </w:lvl>
  </w:abstractNum>
  <w:abstractNum w:abstractNumId="125">
    <w:nsid w:val="2A6DE806"/>
    <w:multiLevelType w:val="hybridMultilevel"/>
    <w:lvl w:ilvl="0">
      <w:lvlJc w:val="left"/>
      <w:lvlText w:val="%1."/>
      <w:numFmt w:val="decimal"/>
      <w:start w:val="3"/>
    </w:lvl>
  </w:abstractNum>
  <w:abstractNum w:abstractNumId="126">
    <w:nsid w:val="1816F8C4"/>
    <w:multiLevelType w:val="hybridMultilevel"/>
    <w:lvl w:ilvl="0">
      <w:lvlJc w:val="left"/>
      <w:lvlText w:val="%1."/>
      <w:numFmt w:val="decimal"/>
      <w:start w:val="4"/>
    </w:lvl>
  </w:abstractNum>
  <w:abstractNum w:abstractNumId="127">
    <w:nsid w:val="37DF2233"/>
    <w:multiLevelType w:val="hybridMultilevel"/>
    <w:lvl w:ilvl="0">
      <w:lvlJc w:val="left"/>
      <w:lvlText w:val="%1."/>
      <w:numFmt w:val="decimal"/>
      <w:start w:val="4"/>
    </w:lvl>
  </w:abstractNum>
  <w:abstractNum w:abstractNumId="128">
    <w:nsid w:val="7AB49DAF"/>
    <w:multiLevelType w:val="hybridMultilevel"/>
    <w:lvl w:ilvl="0">
      <w:lvlJc w:val="left"/>
      <w:lvlText w:val="%1."/>
      <w:numFmt w:val="decimal"/>
      <w:start w:val="5"/>
    </w:lvl>
  </w:abstractNum>
  <w:abstractNum w:abstractNumId="129">
    <w:nsid w:val="759F82CD"/>
    <w:multiLevelType w:val="hybridMultilevel"/>
    <w:lvl w:ilvl="0">
      <w:lvlJc w:val="left"/>
      <w:lvlText w:val="%1."/>
      <w:numFmt w:val="decimal"/>
      <w:start w:val="5"/>
    </w:lvl>
  </w:abstractNum>
  <w:abstractNum w:abstractNumId="130">
    <w:nsid w:val="61E74EA3"/>
    <w:multiLevelType w:val="hybridMultilevel"/>
    <w:lvl w:ilvl="0">
      <w:lvlJc w:val="left"/>
      <w:lvlText w:val="%1."/>
      <w:numFmt w:val="decimal"/>
      <w:start w:val="6"/>
    </w:lvl>
    <w:lvl w:ilvl="1">
      <w:lvlJc w:val="left"/>
      <w:lvlText w:val="-"/>
      <w:numFmt w:val="bullet"/>
      <w:start w:val="1"/>
    </w:lvl>
  </w:abstractNum>
  <w:abstractNum w:abstractNumId="131">
    <w:nsid w:val="597B4D84"/>
    <w:multiLevelType w:val="hybridMultilevel"/>
    <w:lvl w:ilvl="0">
      <w:lvlJc w:val="left"/>
      <w:lvlText w:val="%1."/>
      <w:numFmt w:val="decimal"/>
      <w:start w:val="6"/>
    </w:lvl>
  </w:abstractNum>
  <w:abstractNum w:abstractNumId="132">
    <w:nsid w:val="F819E7F"/>
    <w:multiLevelType w:val="hybridMultilevel"/>
    <w:lvl w:ilvl="0">
      <w:lvlJc w:val="left"/>
      <w:lvlText w:val="%1."/>
      <w:numFmt w:val="decimal"/>
      <w:start w:val="8"/>
    </w:lvl>
  </w:abstractNum>
  <w:abstractNum w:abstractNumId="133">
    <w:nsid w:val="57C7D42D"/>
    <w:multiLevelType w:val="hybridMultilevel"/>
    <w:lvl w:ilvl="0">
      <w:lvlJc w:val="left"/>
      <w:lvlText w:val="%1."/>
      <w:numFmt w:val="decimal"/>
      <w:start w:val="8"/>
    </w:lvl>
  </w:abstractNum>
  <w:abstractNum w:abstractNumId="134">
    <w:nsid w:val="312167AD"/>
    <w:multiLevelType w:val="hybridMultilevel"/>
    <w:lvl w:ilvl="0">
      <w:lvlJc w:val="left"/>
      <w:lvlText w:val="%1."/>
      <w:numFmt w:val="decimal"/>
      <w:start w:val="10"/>
    </w:lvl>
  </w:abstractNum>
  <w:abstractNum w:abstractNumId="135">
    <w:nsid w:val="631B64D4"/>
    <w:multiLevelType w:val="hybridMultilevel"/>
    <w:lvl w:ilvl="0">
      <w:lvlJc w:val="left"/>
      <w:lvlText w:val="%1."/>
      <w:numFmt w:val="decimal"/>
      <w:start w:val="11"/>
    </w:lvl>
  </w:abstractNum>
  <w:abstractNum w:abstractNumId="136">
    <w:nsid w:val="78B5E776"/>
    <w:multiLevelType w:val="hybridMultilevel"/>
    <w:lvl w:ilvl="0">
      <w:lvlJc w:val="left"/>
      <w:lvlText w:val="%1."/>
      <w:numFmt w:val="decimal"/>
      <w:start w:val="1"/>
    </w:lvl>
  </w:abstractNum>
  <w:abstractNum w:abstractNumId="137">
    <w:nsid w:val="75486E47"/>
    <w:multiLevelType w:val="hybridMultilevel"/>
    <w:lvl w:ilvl="0">
      <w:lvlJc w:val="left"/>
      <w:lvlText w:val="%1."/>
      <w:numFmt w:val="decimal"/>
      <w:start w:val="1"/>
    </w:lvl>
  </w:abstractNum>
  <w:abstractNum w:abstractNumId="138">
    <w:nsid w:val="6E534CDE"/>
    <w:multiLevelType w:val="hybridMultilevel"/>
    <w:lvl w:ilvl="0">
      <w:lvlJc w:val="left"/>
      <w:lvlText w:val="%1."/>
      <w:numFmt w:val="decimal"/>
      <w:start w:val="1"/>
    </w:lvl>
  </w:abstractNum>
  <w:abstractNum w:abstractNumId="139">
    <w:nsid w:val="1A0DDE32"/>
    <w:multiLevelType w:val="hybridMultilevel"/>
    <w:lvl w:ilvl="0">
      <w:lvlJc w:val="left"/>
      <w:lvlText w:val="%1."/>
      <w:numFmt w:val="decimal"/>
      <w:start w:val="1"/>
    </w:lvl>
  </w:abstractNum>
  <w:abstractNum w:abstractNumId="140">
    <w:nsid w:val="65968C1C"/>
    <w:multiLevelType w:val="hybridMultilevel"/>
    <w:lvl w:ilvl="0">
      <w:lvlJc w:val="left"/>
      <w:lvlText w:val="%1."/>
      <w:numFmt w:val="decimal"/>
      <w:start w:val="1"/>
    </w:lvl>
  </w:abstractNum>
  <w:abstractNum w:abstractNumId="141">
    <w:nsid w:val="46263DEC"/>
    <w:multiLevelType w:val="hybridMultilevel"/>
    <w:lvl w:ilvl="0">
      <w:lvlJc w:val="left"/>
      <w:lvlText w:val="%1."/>
      <w:numFmt w:val="decimal"/>
      <w:start w:val="2"/>
    </w:lvl>
  </w:abstractNum>
  <w:abstractNum w:abstractNumId="142">
    <w:nsid w:val="260D8C4A"/>
    <w:multiLevelType w:val="hybridMultilevel"/>
    <w:lvl w:ilvl="0">
      <w:lvlJc w:val="left"/>
      <w:lvlText w:val="%1."/>
      <w:numFmt w:val="decimal"/>
      <w:start w:val="3"/>
    </w:lvl>
  </w:abstractNum>
  <w:abstractNum w:abstractNumId="143">
    <w:nsid w:val="73D4D3C4"/>
    <w:multiLevelType w:val="hybridMultilevel"/>
    <w:lvl w:ilvl="0">
      <w:lvlJc w:val="left"/>
      <w:lvlText w:val="§"/>
      <w:numFmt w:val="bullet"/>
      <w:start w:val="1"/>
    </w:lvl>
  </w:abstractNum>
  <w:abstractNum w:abstractNumId="144">
    <w:nsid w:val="746F2E30"/>
    <w:multiLevelType w:val="hybridMultilevel"/>
    <w:lvl w:ilvl="0">
      <w:lvlJc w:val="left"/>
      <w:lvlText w:val="%1."/>
      <w:numFmt w:val="decimal"/>
      <w:start w:val="1"/>
    </w:lvl>
  </w:abstractNum>
  <w:abstractNum w:abstractNumId="145">
    <w:nsid w:val="6FDE8AF6"/>
    <w:multiLevelType w:val="hybridMultilevel"/>
    <w:lvl w:ilvl="0">
      <w:lvlJc w:val="left"/>
      <w:lvlText w:val="%1."/>
      <w:numFmt w:val="decimal"/>
      <w:start w:val="1"/>
    </w:lvl>
  </w:abstractNum>
  <w:abstractNum w:abstractNumId="146">
    <w:nsid w:val="3FC32E20"/>
    <w:multiLevelType w:val="hybridMultilevel"/>
    <w:lvl w:ilvl="0">
      <w:lvlJc w:val="left"/>
      <w:lvlText w:val="%1."/>
      <w:numFmt w:val="decimal"/>
      <w:start w:val="2"/>
    </w:lvl>
  </w:abstractNum>
  <w:abstractNum w:abstractNumId="147">
    <w:nsid w:val="49C0E823"/>
    <w:multiLevelType w:val="hybridMultilevel"/>
    <w:lvl w:ilvl="0">
      <w:lvlJc w:val="left"/>
      <w:lvlText w:val="%1."/>
      <w:numFmt w:val="decimal"/>
      <w:start w:val="2"/>
    </w:lvl>
  </w:abstractNum>
  <w:abstractNum w:abstractNumId="148">
    <w:nsid w:val="14D53685"/>
    <w:multiLevelType w:val="hybridMultilevel"/>
    <w:lvl w:ilvl="0">
      <w:lvlJc w:val="left"/>
      <w:lvlText w:val="%1."/>
      <w:numFmt w:val="decimal"/>
      <w:start w:val="4"/>
    </w:lvl>
  </w:abstractNum>
  <w:abstractNum w:abstractNumId="149">
    <w:nsid w:val="230F856C"/>
    <w:multiLevelType w:val="hybridMultilevel"/>
    <w:lvl w:ilvl="0">
      <w:lvlJc w:val="left"/>
      <w:lvlText w:val="%1."/>
      <w:numFmt w:val="decimal"/>
      <w:start w:val="1"/>
    </w:lvl>
  </w:abstractNum>
  <w:abstractNum w:abstractNumId="150">
    <w:nsid w:val="6EAA85FB"/>
    <w:multiLevelType w:val="hybridMultilevel"/>
    <w:lvl w:ilvl="0">
      <w:lvlJc w:val="left"/>
      <w:lvlText w:val="%1."/>
      <w:numFmt w:val="decimal"/>
      <w:start w:val="1"/>
    </w:lvl>
  </w:abstractNum>
  <w:abstractNum w:abstractNumId="151">
    <w:nsid w:val="3F06ECB2"/>
    <w:multiLevelType w:val="hybridMultilevel"/>
    <w:lvl w:ilvl="0">
      <w:lvlJc w:val="left"/>
      <w:lvlText w:val="%1."/>
      <w:numFmt w:val="decimal"/>
      <w:start w:val="1"/>
    </w:lvl>
  </w:abstractNum>
  <w:abstractNum w:abstractNumId="152">
    <w:nsid w:val="3B594807"/>
    <w:multiLevelType w:val="hybridMultilevel"/>
    <w:lvl w:ilvl="0">
      <w:lvlJc w:val="left"/>
      <w:lvlText w:val="%1."/>
      <w:numFmt w:val="decimal"/>
      <w:start w:val="1"/>
    </w:lvl>
  </w:abstractNum>
  <w:abstractNum w:abstractNumId="153">
    <w:nsid w:val="6CAA2304"/>
    <w:multiLevelType w:val="hybridMultilevel"/>
    <w:lvl w:ilvl="0">
      <w:lvlJc w:val="left"/>
      <w:lvlText w:val="%1."/>
      <w:numFmt w:val="decimal"/>
      <w:start w:val="1"/>
    </w:lvl>
  </w:abstractNum>
  <w:abstractNum w:abstractNumId="154">
    <w:nsid w:val="3F7C2FF4"/>
    <w:multiLevelType w:val="hybridMultilevel"/>
    <w:lvl w:ilvl="0">
      <w:lvlJc w:val="left"/>
      <w:lvlText w:val="%1."/>
      <w:numFmt w:val="decimal"/>
      <w:start w:val="1"/>
    </w:lvl>
    <w:lvl w:ilvl="1">
      <w:lvlJc w:val="left"/>
      <w:lvlText w:val="%2."/>
      <w:numFmt w:val="lowerLetter"/>
      <w:start w:val="1"/>
    </w:lvl>
  </w:abstractNum>
  <w:abstractNum w:abstractNumId="155">
    <w:nsid w:val="25413BEC"/>
    <w:multiLevelType w:val="hybridMultilevel"/>
    <w:lvl w:ilvl="0">
      <w:lvlJc w:val="left"/>
      <w:lvlText w:val="%1."/>
      <w:numFmt w:val="decimal"/>
      <w:start w:val="1"/>
    </w:lvl>
    <w:lvl w:ilvl="1">
      <w:lvlJc w:val="left"/>
      <w:lvlText w:val="%2."/>
      <w:numFmt w:val="lowerLetter"/>
      <w:start w:val="1"/>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180" Type="http://schemas.openxmlformats.org/officeDocument/2006/relationships/hyperlink" Target="http://www.sec.gov/Archives/edgar/data/1818093/000121390020041690/ea131234ex2-1_vesperhealth.htm" TargetMode="External"/><Relationship Id="rId181" Type="http://schemas.openxmlformats.org/officeDocument/2006/relationships/hyperlink" Target="http://www.sec.gov/Archives/edgar/data/1818093/000119312521156433/d422189dex31.htm" TargetMode="External"/><Relationship Id="rId182" Type="http://schemas.openxmlformats.org/officeDocument/2006/relationships/hyperlink" Target="http://www.sec.gov/Archives/edgar/data/1818093/000119312521156433/d422189dex32.htm" TargetMode="External"/><Relationship Id="rId183" Type="http://schemas.openxmlformats.org/officeDocument/2006/relationships/hyperlink" Target="http://www.sec.gov/Archives/edgar/data/1818093/000181809321000062/exhibit41-convdebtclosing.htm" TargetMode="External"/><Relationship Id="rId184" Type="http://schemas.openxmlformats.org/officeDocument/2006/relationships/hyperlink" Target="http://www.sec.gov/Archives/edgar/data/1818093/000121390020030149/ea127784ex4-1_vesper.htm" TargetMode="External"/><Relationship Id="rId185" Type="http://schemas.openxmlformats.org/officeDocument/2006/relationships/hyperlink" Target="http://www.sec.gov/Archives/edgar/data/1818093/000119312521156433/d422189dex102.htm" TargetMode="External"/><Relationship Id="rId186" Type="http://schemas.openxmlformats.org/officeDocument/2006/relationships/hyperlink" Target="http://www.sec.gov/Archives/edgar/data/1818093/000119312521156433/d422189dex103.htm" TargetMode="External"/><Relationship Id="rId187" Type="http://schemas.openxmlformats.org/officeDocument/2006/relationships/hyperlink" Target="http://www.sec.gov/Archives/edgar/data/1818093/000119312521145386/d133045dex101.htm" TargetMode="External"/><Relationship Id="rId188" Type="http://schemas.openxmlformats.org/officeDocument/2006/relationships/hyperlink" Target="http://www.sec.gov/Archives/edgar/data/1818093/000119312521145386/d133045dex102.htm" TargetMode="External"/><Relationship Id="rId196" Type="http://schemas.openxmlformats.org/officeDocument/2006/relationships/hyperlink" Target="http://www.sec.gov/Archives/edgar/data/1818093/000119312521156433/d422189dex106.htm" TargetMode="External"/><Relationship Id="rId197" Type="http://schemas.openxmlformats.org/officeDocument/2006/relationships/hyperlink" Target="http://www.sec.gov/Archives/edgar/data/1818093/000119312521156433/d422189dex107.htm" TargetMode="External"/><Relationship Id="rId198" Type="http://schemas.openxmlformats.org/officeDocument/2006/relationships/hyperlink" Target="https://www.sec.gov/Archives/edgar/data/0001818093/000119312521156433/d422189dex108.htm" TargetMode="External"/><Relationship Id="rId199" Type="http://schemas.openxmlformats.org/officeDocument/2006/relationships/hyperlink" Target="http://www.sec.gov/Archives/edgar/data/1818093/000119312521156433/d422189dex109.htm" TargetMode="External"/><Relationship Id="rId200" Type="http://schemas.openxmlformats.org/officeDocument/2006/relationships/hyperlink" Target="http://www.sec.gov/Archives/edgar/data/1818093/000119312521156433/d422189dex1010.htm" TargetMode="External"/><Relationship Id="rId201" Type="http://schemas.openxmlformats.org/officeDocument/2006/relationships/hyperlink" Target="http://www.sec.gov/Archives/edgar/data/1818093/000119312521156433/d422189dex1011.htm" TargetMode="External"/><Relationship Id="rId202" Type="http://schemas.openxmlformats.org/officeDocument/2006/relationships/hyperlink" Target="http://www.sec.gov/Archives/edgar/data/1818093/000119312521156433/d422189dex1012.htm" TargetMode="External"/><Relationship Id="rId203" Type="http://schemas.openxmlformats.org/officeDocument/2006/relationships/hyperlink" Target="http://www.sec.gov/Archives/edgar/data/1818093/000119312521156433/d422189dex1013.htm" TargetMode="External"/><Relationship Id="rId204" Type="http://schemas.openxmlformats.org/officeDocument/2006/relationships/hyperlink" Target="http://www.sec.gov/Archives/edgar/data/1818093/000119312521156433/d422189dex1014.htm" TargetMode="External"/><Relationship Id="rId205" Type="http://schemas.openxmlformats.org/officeDocument/2006/relationships/hyperlink" Target="http://www.sec.gov/Archives/edgar/data/1818093/000181809321000062/exhibit101-convdebtclosing.htm" TargetMode="External"/><Relationship Id="rId206" Type="http://schemas.openxmlformats.org/officeDocument/2006/relationships/hyperlink" Target="http://www.sec.gov/Archives/edgar/data/1818093/000181809322000005/a8-kex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2022-03-01T16:17:36Z</dcterms:created>
  <dcterms:modified xsi:type="dcterms:W3CDTF">2022-03-01T16:17:36Z</dcterms:modified>
</cp:coreProperties>
</file>