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231F20"/>
          <w:sz w:val="36"/>
        </w:rPr>
      </w:pPr>
      <w:r>
        <w:rPr>
          <w:rFonts w:ascii="Times New Roman;sans-serif" w:hAnsi="Times New Roman;sans-serif"/>
          <w:b/>
          <w:color w:val="231F20"/>
          <w:sz w:val="36"/>
        </w:rPr>
        <w:t>UNITED STATES</w:t>
      </w:r>
    </w:p>
    <w:p>
      <w:pPr>
        <w:pStyle w:val="TextBody"/>
        <w:bidi w:val="0"/>
        <w:spacing w:lineRule="auto" w:line="288" w:before="0" w:after="0"/>
        <w:jc w:val="center"/>
        <w:rPr>
          <w:rFonts w:ascii="Times New Roman;sans-serif" w:hAnsi="Times New Roman;sans-serif"/>
          <w:b/>
          <w:color w:val="231F20"/>
          <w:sz w:val="36"/>
        </w:rPr>
      </w:pPr>
      <w:r>
        <w:rPr>
          <w:rFonts w:ascii="Times New Roman;sans-serif" w:hAnsi="Times New Roman;sans-serif"/>
          <w:b/>
          <w:color w:val="231F20"/>
          <w:sz w:val="36"/>
        </w:rPr>
        <w:t>SECURITIES AND EXCHANGE COMMISSION</w:t>
      </w:r>
    </w:p>
    <w:p>
      <w:pPr>
        <w:pStyle w:val="TextBody"/>
        <w:bidi w:val="0"/>
        <w:spacing w:lineRule="auto" w:line="288" w:before="0" w:after="0"/>
        <w:jc w:val="center"/>
        <w:rPr>
          <w:rFonts w:ascii="Times New Roman;sans-serif" w:hAnsi="Times New Roman;sans-serif"/>
          <w:b/>
          <w:color w:val="231F20"/>
          <w:sz w:val="28"/>
        </w:rPr>
      </w:pPr>
      <w:r>
        <w:rPr>
          <w:rFonts w:ascii="Times New Roman;sans-serif" w:hAnsi="Times New Roman;sans-serif"/>
          <w:b/>
          <w:color w:val="231F20"/>
          <w:sz w:val="28"/>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rFonts w:ascii="Times New Roman;sans-serif" w:hAnsi="Times New Roman;sans-serif"/>
          <w:b/>
          <w:color w:val="231F20"/>
          <w:sz w:val="36"/>
        </w:rPr>
      </w:pPr>
      <w:r>
        <w:rPr>
          <w:rFonts w:ascii="Times New Roman;sans-serif" w:hAnsi="Times New Roman;sans-serif"/>
          <w:b/>
          <w:color w:val="231F20"/>
          <w:sz w:val="36"/>
        </w:rPr>
        <w:t>FORM 10-Q</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57" w:after="283"/>
        <w:jc w:val="center"/>
        <w:rPr/>
      </w:pPr>
      <w:r>
        <w:rPr>
          <w:rFonts w:ascii="Times New Roman;sans-serif" w:hAnsi="Times New Roman;sans-serif"/>
          <w:b/>
          <w:color w:val="000000"/>
          <w:sz w:val="18"/>
        </w:rPr>
        <w:t>For the quarterly period ended June 30, 2024</w:t>
      </w:r>
      <w:r>
        <w:rPr>
          <w:color w:val="000000"/>
        </w:rPr>
        <w:t> </w:t>
      </w:r>
    </w:p>
    <w:p>
      <w:pPr>
        <w:pStyle w:val="TextBody"/>
        <w:bidi w:val="0"/>
        <w:spacing w:lineRule="auto" w:line="288" w:before="57" w:after="283"/>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color w:val="000000"/>
          <w:sz w:val="18"/>
        </w:rPr>
        <w:t>For the transition period from __________ to</w:t>
      </w:r>
      <w:r>
        <w:rPr>
          <w:color w:val="000000"/>
        </w:rPr>
        <w:t> </w:t>
      </w:r>
      <w:r>
        <w:rPr>
          <w:rFonts w:ascii="Times New Roman;sans-serif" w:hAnsi="Times New Roman;sans-serif"/>
          <w:b/>
          <w:color w:val="000000"/>
          <w:sz w:val="18"/>
        </w:rPr>
        <w:t>__________.</w:t>
      </w:r>
    </w:p>
    <w:p>
      <w:pPr>
        <w:pStyle w:val="TextBody"/>
        <w:bidi w:val="0"/>
        <w:spacing w:lineRule="auto" w:line="288" w:before="57" w:after="283"/>
        <w:jc w:val="center"/>
        <w:rPr/>
      </w:pPr>
      <w:r>
        <w:rPr>
          <w:rFonts w:ascii="Times New Roman;sans-serif" w:hAnsi="Times New Roman;sans-serif"/>
          <w:b/>
          <w:color w:val="000000"/>
          <w:sz w:val="18"/>
        </w:rPr>
        <w:t>Commission File Number: 001-39565</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ans-serif" w:hAnsi="Times New Roman;sans-serif"/>
          <w:b/>
          <w:color w:val="000000"/>
          <w:sz w:val="40"/>
        </w:rPr>
        <w:t>The Beauty Health Company</w:t>
      </w:r>
      <w:r>
        <w:rPr>
          <w:color w:val="231F20"/>
        </w:rPr>
        <w:t xml:space="preserve"> </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3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884"/>
        <w:gridCol w:w="884"/>
        <w:gridCol w:w="126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85-1908962</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tbl>
      <w:tblPr>
        <w:tblW w:w="9551" w:type="dxa"/>
        <w:jc w:val="center"/>
        <w:tblInd w:w="0" w:type="dxa"/>
        <w:tblLayout w:type="fixed"/>
        <w:tblCellMar>
          <w:top w:w="28" w:type="dxa"/>
          <w:left w:w="28" w:type="dxa"/>
          <w:bottom w:w="28" w:type="dxa"/>
          <w:right w:w="28" w:type="dxa"/>
        </w:tblCellMar>
      </w:tblPr>
      <w:tblGrid>
        <w:gridCol w:w="1780"/>
        <w:gridCol w:w="1566"/>
        <w:gridCol w:w="1573"/>
        <w:gridCol w:w="109"/>
        <w:gridCol w:w="109"/>
        <w:gridCol w:w="109"/>
        <w:gridCol w:w="1257"/>
        <w:gridCol w:w="1257"/>
        <w:gridCol w:w="1791"/>
      </w:tblGrid>
      <w:tr>
        <w:trPr/>
        <w:tc>
          <w:tcPr>
            <w:tcW w:w="1780"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2165 Spring Street</w:t>
            </w:r>
          </w:p>
          <w:p>
            <w:pPr>
              <w:pStyle w:val="TableContents"/>
              <w:bidi w:val="0"/>
              <w:spacing w:lineRule="auto" w:line="240" w:before="0" w:after="0"/>
              <w:jc w:val="center"/>
              <w:rPr>
                <w:rFonts w:ascii="Times New Roman;sans-serif" w:hAnsi="Times New Roman;sans-serif"/>
                <w:b/>
                <w:color w:val="231F20"/>
                <w:sz w:val="20"/>
              </w:rPr>
            </w:pPr>
            <w:r>
              <w:rPr>
                <w:rFonts w:ascii="Times New Roman;sans-serif" w:hAnsi="Times New Roman;sans-serif"/>
                <w:b/>
                <w:color w:val="231F20"/>
                <w:sz w:val="20"/>
              </w:rPr>
              <w:t>Long Beach, CA 90806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120" w:after="283"/>
              <w:jc w:val="center"/>
              <w:rPr>
                <w:rFonts w:ascii="Times New Roman;sans-serif" w:hAnsi="Times New Roman;sans-serif"/>
                <w:b/>
                <w:color w:val="231F20"/>
                <w:sz w:val="20"/>
              </w:rPr>
            </w:pPr>
            <w:r>
              <w:rPr>
                <w:rFonts w:ascii="Times New Roman;sans-serif" w:hAnsi="Times New Roman;sans-serif"/>
                <w:b/>
                <w:color w:val="231F20"/>
                <w:sz w:val="20"/>
              </w:rPr>
              <w:t>(800) 603-4996</w:t>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(Address of principal executive offices, including zip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Registrant's telephone number, including area code</w:t>
            </w:r>
          </w:p>
        </w:tc>
      </w:tr>
    </w:tbl>
    <w:tbl>
      <w:tblPr>
        <w:tblW w:w="6645" w:type="dxa"/>
        <w:jc w:val="center"/>
        <w:tblInd w:w="0" w:type="dxa"/>
        <w:tblLayout w:type="fixed"/>
        <w:tblCellMar>
          <w:top w:w="28" w:type="dxa"/>
          <w:left w:w="28" w:type="dxa"/>
          <w:bottom w:w="28" w:type="dxa"/>
          <w:right w:w="28" w:type="dxa"/>
        </w:tblCellMar>
      </w:tblPr>
      <w:tblGrid>
        <w:gridCol w:w="2127"/>
        <w:gridCol w:w="1871"/>
        <w:gridCol w:w="2647"/>
      </w:tblGrid>
      <w:tr>
        <w:trPr/>
        <w:tc>
          <w:tcPr>
            <w:tcW w:w="212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w:t>
            </w:r>
          </w:p>
        </w:tc>
      </w:tr>
      <w:tr>
        <w:trPr/>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231F20"/>
          <w:sz w:val="20"/>
        </w:rPr>
      </w:pPr>
      <w:r>
        <w:rPr>
          <w:rFonts w:ascii="Times New Roman;sans-serif" w:hAnsi="Times New Roman;sans-serif"/>
          <w:b/>
          <w:color w:val="231F20"/>
          <w:sz w:val="20"/>
        </w:rPr>
        <w:t xml:space="preserve">Securities registered pursuant to Section 12(b) of the Act: </w:t>
      </w:r>
    </w:p>
    <w:tbl>
      <w:tblPr>
        <w:tblW w:w="9966"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484"/>
        <w:gridCol w:w="484"/>
        <w:gridCol w:w="486"/>
        <w:gridCol w:w="109"/>
        <w:gridCol w:w="109"/>
        <w:gridCol w:w="109"/>
        <w:gridCol w:w="970"/>
        <w:gridCol w:w="970"/>
        <w:gridCol w:w="1374"/>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SKIN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The Nasdaq Capital Market</w:t>
            </w:r>
          </w:p>
        </w:tc>
      </w:tr>
    </w:tbl>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lineRule="auto" w:line="247"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84"/>
        <w:gridCol w:w="784"/>
        <w:gridCol w:w="787"/>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196"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August 6, 2024, there were 124,020,249 shares of Class A Common Stock, par value $0.0001 per share issued and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FOR THE QUARTER ENDED 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tbl>
      <w:tblPr>
        <w:tblW w:w="9562" w:type="dxa"/>
        <w:jc w:val="left"/>
        <w:tblInd w:w="0" w:type="dxa"/>
        <w:tblLayout w:type="fixed"/>
        <w:tblCellMar>
          <w:top w:w="28" w:type="dxa"/>
          <w:left w:w="28" w:type="dxa"/>
          <w:bottom w:w="28" w:type="dxa"/>
          <w:right w:w="28" w:type="dxa"/>
        </w:tblCellMar>
      </w:tblPr>
      <w:tblGrid>
        <w:gridCol w:w="591"/>
        <w:gridCol w:w="518"/>
        <w:gridCol w:w="518"/>
        <w:gridCol w:w="2435"/>
        <w:gridCol w:w="2435"/>
        <w:gridCol w:w="2494"/>
        <w:gridCol w:w="167"/>
        <w:gridCol w:w="167"/>
        <w:gridCol w:w="237"/>
      </w:tblGrid>
      <w:tr>
        <w:trPr/>
        <w:tc>
          <w:tcPr>
            <w:tcW w:w="59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I—FINANCIAL INFORMATION</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13">
              <w:r>
                <w:rPr>
                  <w:rStyle w:val="InternetLink"/>
                  <w:rFonts w:ascii="Times New Roman;sans-serif" w:hAnsi="Times New Roman;sans-serif"/>
                  <w:b w:val="false"/>
                  <w:color w:val="0000FF"/>
                  <w:sz w:val="20"/>
                  <w:u w:val="single"/>
                </w:rPr>
                <w:t>Financial Statements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13">
              <w:r>
                <w:rPr>
                  <w:rStyle w:val="InternetLink"/>
                  <w:rFonts w:ascii="Times New Roman;sans-serif" w:hAnsi="Times New Roman;sans-serif"/>
                  <w:b w:val="false"/>
                  <w:color w:val="0000FF"/>
                  <w:sz w:val="20"/>
                  <w:u w:val="single"/>
                </w:rPr>
                <w:t>3</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16">
              <w:r>
                <w:rPr>
                  <w:rStyle w:val="InternetLink"/>
                  <w:rFonts w:ascii="Times New Roman;sans-serif" w:hAnsi="Times New Roman;sans-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16">
              <w:r>
                <w:rPr>
                  <w:rStyle w:val="InternetLink"/>
                  <w:rFonts w:ascii="Times New Roman;sans-serif" w:hAnsi="Times New Roman;sans-serif"/>
                  <w:b w:val="false"/>
                  <w:color w:val="0000FF"/>
                  <w:sz w:val="20"/>
                  <w:u w:val="single"/>
                </w:rPr>
                <w:t>3</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19">
              <w:r>
                <w:rPr>
                  <w:rStyle w:val="InternetLink"/>
                  <w:rFonts w:ascii="Times New Roman;sans-serif" w:hAnsi="Times New Roman;sans-serif"/>
                  <w:b w:val="false"/>
                  <w:color w:val="0000FF"/>
                  <w:sz w:val="20"/>
                  <w:u w:val="single"/>
                </w:rPr>
                <w:t>Condensed Consolidated Statements of Comprehensive Income (Loss)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19">
              <w:r>
                <w:rPr>
                  <w:rStyle w:val="InternetLink"/>
                  <w:rFonts w:ascii="Times New Roman;sans-serif" w:hAnsi="Times New Roman;sans-serif"/>
                  <w:b w:val="false"/>
                  <w:color w:val="0000FF"/>
                  <w:sz w:val="20"/>
                  <w:u w:val="single"/>
                </w:rPr>
                <w:t>4</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22">
              <w:r>
                <w:rPr>
                  <w:rStyle w:val="InternetLink"/>
                  <w:rFonts w:ascii="Times New Roman;sans-serif" w:hAnsi="Times New Roman;sans-serif"/>
                  <w:b w:val="false"/>
                  <w:color w:val="0000FF"/>
                  <w:sz w:val="20"/>
                  <w:u w:val="single"/>
                </w:rPr>
                <w:t>Condensed Consolidated Statements of Stockholders’ Equity (Deficit)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22">
              <w:r>
                <w:rPr>
                  <w:rStyle w:val="InternetLink"/>
                  <w:rFonts w:ascii="Times New Roman;sans-serif" w:hAnsi="Times New Roman;sans-serif"/>
                  <w:b w:val="false"/>
                  <w:color w:val="0000FF"/>
                  <w:sz w:val="20"/>
                  <w:u w:val="single"/>
                </w:rPr>
                <w:t>5</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1">
              <w:r>
                <w:rPr>
                  <w:rStyle w:val="InternetLink"/>
                  <w:rFonts w:ascii="Times New Roman;sans-serif" w:hAnsi="Times New Roman;sans-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1">
              <w:r>
                <w:rPr>
                  <w:rStyle w:val="InternetLink"/>
                  <w:rFonts w:ascii="Times New Roman;sans-serif" w:hAnsi="Times New Roman;sans-serif"/>
                  <w:b w:val="false"/>
                  <w:color w:val="0000FF"/>
                  <w:sz w:val="20"/>
                  <w:u w:val="single"/>
                </w:rPr>
                <w:t>6</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4">
              <w:r>
                <w:rPr>
                  <w:rStyle w:val="InternetLink"/>
                  <w:rFonts w:ascii="Times New Roman;sans-serif" w:hAnsi="Times New Roman;sans-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4">
              <w:r>
                <w:rPr>
                  <w:rStyle w:val="InternetLink"/>
                  <w:rFonts w:ascii="Times New Roman;sans-serif" w:hAnsi="Times New Roman;sans-serif"/>
                  <w:b w:val="false"/>
                  <w:color w:val="0000FF"/>
                  <w:sz w:val="20"/>
                  <w:u w:val="single"/>
                </w:rPr>
                <w:t>7</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28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283">
              <w:r>
                <w:rPr>
                  <w:rStyle w:val="InternetLink"/>
                  <w:rFonts w:ascii="Times New Roman;sans-serif" w:hAnsi="Times New Roman;sans-serif"/>
                  <w:b w:val="false"/>
                  <w:color w:val="0000FF"/>
                  <w:sz w:val="20"/>
                  <w:u w:val="single"/>
                </w:rPr>
                <w:t>20</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16">
              <w:r>
                <w:rPr>
                  <w:rStyle w:val="InternetLink"/>
                  <w:rFonts w:ascii="Times New Roman;sans-serif" w:hAnsi="Times New Roman;sans-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16">
              <w:r>
                <w:rPr>
                  <w:rStyle w:val="InternetLink"/>
                  <w:rFonts w:ascii="Times New Roman;sans-serif" w:hAnsi="Times New Roman;sans-serif"/>
                  <w:b w:val="false"/>
                  <w:color w:val="0000FF"/>
                  <w:sz w:val="20"/>
                  <w:u w:val="single"/>
                </w:rPr>
                <w:t>31</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19">
              <w:r>
                <w:rPr>
                  <w:rStyle w:val="InternetLink"/>
                  <w:rFonts w:ascii="Times New Roman;sans-serif" w:hAnsi="Times New Roman;sans-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19">
              <w:r>
                <w:rPr>
                  <w:rStyle w:val="InternetLink"/>
                  <w:rFonts w:ascii="Times New Roman;sans-serif" w:hAnsi="Times New Roman;sans-serif"/>
                  <w:b w:val="false"/>
                  <w:color w:val="0000FF"/>
                  <w:sz w:val="20"/>
                  <w:u w:val="single"/>
                </w:rPr>
                <w:t>31</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 II—OTHER INFORMATION</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25">
              <w:r>
                <w:rPr>
                  <w:rStyle w:val="InternetLink"/>
                  <w:rFonts w:ascii="Times New Roman;sans-serif" w:hAnsi="Times New Roman;sans-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25">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28">
              <w:r>
                <w:rPr>
                  <w:rStyle w:val="InternetLink"/>
                  <w:rFonts w:ascii="Times New Roman;sans-serif" w:hAnsi="Times New Roman;sans-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28">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31">
              <w:r>
                <w:rPr>
                  <w:rStyle w:val="InternetLink"/>
                  <w:rFonts w:ascii="Times New Roman;sans-serif" w:hAnsi="Times New Roman;sans-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31">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37">
              <w:r>
                <w:rPr>
                  <w:rStyle w:val="InternetLink"/>
                  <w:rFonts w:ascii="Times New Roman;sans-serif" w:hAnsi="Times New Roman;sans-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37">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40">
              <w:r>
                <w:rPr>
                  <w:rStyle w:val="InternetLink"/>
                  <w:rFonts w:ascii="Times New Roman;sans-serif" w:hAnsi="Times New Roman;sans-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40">
              <w:r>
                <w:rPr>
                  <w:rStyle w:val="InternetLink"/>
                  <w:rFonts w:ascii="Times New Roman;sans-serif" w:hAnsi="Times New Roman;sans-serif"/>
                  <w:b w:val="false"/>
                  <w:color w:val="0000FF"/>
                  <w:sz w:val="20"/>
                  <w:u w:val="single"/>
                </w:rPr>
                <w:t>32</w:t>
              </w:r>
            </w:hyperlink>
          </w:p>
        </w:tc>
      </w:tr>
      <w:tr>
        <w:trPr/>
        <w:tc>
          <w:tcPr>
            <w:tcW w:w="16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43">
              <w:r>
                <w:rPr>
                  <w:rStyle w:val="InternetLink"/>
                  <w:rFonts w:ascii="Times New Roman;sans-serif" w:hAnsi="Times New Roman;sans-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43">
              <w:r>
                <w:rPr>
                  <w:rStyle w:val="InternetLink"/>
                  <w:rFonts w:ascii="Times New Roman;sans-serif" w:hAnsi="Times New Roman;sans-serif"/>
                  <w:b w:val="false"/>
                  <w:color w:val="0000FF"/>
                  <w:sz w:val="20"/>
                  <w:u w:val="single"/>
                </w:rPr>
                <w:t>32</w:t>
              </w:r>
            </w:hyperlink>
          </w:p>
        </w:tc>
      </w:tr>
      <w:tr>
        <w:trPr/>
        <w:tc>
          <w:tcPr>
            <w:tcW w:w="1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46">
              <w:r>
                <w:rPr>
                  <w:rStyle w:val="InternetLink"/>
                  <w:rFonts w:ascii="Times New Roman;sans-serif" w:hAnsi="Times New Roman;sans-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fac9883c0534def8343aab9e35b4f78_346">
              <w:r>
                <w:rPr>
                  <w:rStyle w:val="InternetLink"/>
                  <w:rFonts w:ascii="Times New Roman;sans-serif" w:hAnsi="Times New Roman;sans-serif"/>
                  <w:b w:val="false"/>
                  <w:color w:val="0000FF"/>
                  <w:sz w:val="20"/>
                  <w:u w:val="single"/>
                </w:rPr>
                <w:t>34</w:t>
              </w:r>
            </w:hyperlink>
          </w:p>
        </w:tc>
      </w:tr>
      <w:tr>
        <w:trPr/>
        <w:tc>
          <w:tcPr>
            <w:tcW w:w="89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ac9883c0534def8343aab9e35b4f78_349">
              <w:r>
                <w:rPr>
                  <w:rStyle w:val="InternetLink"/>
                  <w:rFonts w:ascii="Times New Roman;sans-serif" w:hAnsi="Times New Roman;sans-serif"/>
                  <w:b w:val="false"/>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10" w:after="283"/>
        <w:jc w:val="center"/>
        <w:rPr>
          <w:rFonts w:ascii="Times New Roman;sans-serif" w:hAnsi="Times New Roman;sans-serif"/>
          <w:b/>
          <w:color w:val="231F20"/>
          <w:sz w:val="20"/>
        </w:rPr>
      </w:pPr>
      <w:r>
        <w:rPr>
          <w:rFonts w:ascii="Times New Roman;sans-serif" w:hAnsi="Times New Roman;sans-serif"/>
          <w:b/>
          <w:color w:val="231F20"/>
          <w:sz w:val="20"/>
        </w:rPr>
        <w:t>CONDENSED CONSOLIDATED BALANCE SHEETS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973"/>
        <w:gridCol w:w="2229"/>
        <w:gridCol w:w="2174"/>
        <w:gridCol w:w="211"/>
        <w:gridCol w:w="828"/>
        <w:gridCol w:w="109"/>
        <w:gridCol w:w="109"/>
        <w:gridCol w:w="109"/>
        <w:gridCol w:w="109"/>
        <w:gridCol w:w="239"/>
        <w:gridCol w:w="937"/>
        <w:gridCol w:w="178"/>
      </w:tblGrid>
      <w:tr>
        <w:trPr/>
        <w:tc>
          <w:tcPr>
            <w:tcW w:w="297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assets: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349,544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523,025</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231F20"/>
                <w:sz w:val="20"/>
              </w:rPr>
            </w:pPr>
            <w:r>
              <w:rPr>
                <w:rFonts w:ascii="Times New Roman;sans-serif" w:hAnsi="Times New Roman;sans-serif"/>
                <w:b w:val="false"/>
                <w:color w:val="231F20"/>
                <w:sz w:val="20"/>
              </w:rPr>
              <w:t>Accounts receivable, net of allowances for estimated credit losses of $8,257 and $6,604 at June 30, 2024 and December 31, 2023, respectively</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41,409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54,697</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Inventories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77,143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91,321</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Income tax receivable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332</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Prepaid expenses and other current assets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28,877</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current assets</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489,626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698,252</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14,226</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Right-of-use assets, net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12,120</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Intangible assets, net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62,123</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Goodwill</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124,822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125,818</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income tax assets, net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531</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Other assets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16,043</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711,833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929,113</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71" w:before="36" w:after="283"/>
              <w:jc w:val="left"/>
              <w:rPr>
                <w:rFonts w:ascii="Times New Roman;sans-serif" w:hAnsi="Times New Roman;sans-serif"/>
                <w:b/>
                <w:color w:val="231F20"/>
                <w:sz w:val="20"/>
              </w:rPr>
            </w:pPr>
            <w:r>
              <w:rPr>
                <w:rFonts w:ascii="Times New Roman;sans-serif" w:hAnsi="Times New Roman;sans-serif"/>
                <w:b/>
                <w:color w:val="231F20"/>
                <w:sz w:val="20"/>
              </w:rPr>
              <w:t>LIABILITIES AND STOCKHOLDERS’ EQUITY</w:t>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Current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26,686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44,768</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22,028</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current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4,598</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payable</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2,759</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Syndeo Program reserves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21,009</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19,846</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current liabilities </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75,426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115,008</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 liabilities, non-current</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9,319</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Deferred income tax liabilities, net </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702</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Warrant liabilities </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senior notes, net</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550,625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738,372</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long-term liabilities</w:t>
            </w:r>
          </w:p>
        </w:tc>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2,767</w:t>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Total liabilities</w:t>
            </w:r>
          </w:p>
        </w:tc>
        <w:tc>
          <w:tcPr>
            <w:tcW w:w="11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642,644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869,723</w:t>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Commitments (Note 10) </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Stockholders’ equity:</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231F20"/>
                <w:sz w:val="20"/>
              </w:rPr>
            </w:pPr>
            <w:r>
              <w:rPr>
                <w:rFonts w:ascii="Times New Roman;sans-serif" w:hAnsi="Times New Roman;sans-serif"/>
                <w:b w:val="false"/>
                <w:color w:val="231F20"/>
                <w:sz w:val="20"/>
              </w:rPr>
              <w:t>Class A Common Stock, $0.0001 par value; 320,000,000 shares authorized; 123,993,785 and 122,899,002 shares issued and outstanding at June 30, 2024 and December 31, 2023, respectively</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Additional paid-in capital </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553,420 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541,281 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other comprehensive loss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(3,036)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Accumulated deficit</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(479,344)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(478,867)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stockholders’ equity</w:t>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59,390 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6" w:type="dxa"/>
            <w:gridSpan w:val="3"/>
            <w:tcBorders/>
            <w:shd w:fill="FFFFFF" w:val="clear"/>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color w:val="231F20"/>
                <w:sz w:val="20"/>
              </w:rPr>
            </w:pPr>
            <w:r>
              <w:rPr>
                <w:rFonts w:ascii="Times New Roman;sans-serif" w:hAnsi="Times New Roman;sans-serif"/>
                <w:b/>
                <w:color w:val="231F20"/>
                <w:sz w:val="20"/>
              </w:rPr>
              <w:t>TOTAL LIABILITIES AND STOCKHOLDERS’ EQUITY</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711,833 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929,113 </w:t>
            </w:r>
          </w:p>
        </w:tc>
        <w:tc>
          <w:tcPr>
            <w:tcW w:w="17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and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24"/>
        <w:gridCol w:w="1182"/>
        <w:gridCol w:w="1173"/>
        <w:gridCol w:w="268"/>
        <w:gridCol w:w="918"/>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56"/>
      </w:tblGrid>
      <w:tr>
        <w:trPr/>
        <w:tc>
          <w:tcPr>
            <w:tcW w:w="142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Net sales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203,757 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Cost of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231F20"/>
                <w:sz w:val="20"/>
              </w:rPr>
            </w:pPr>
            <w:r>
              <w:rPr>
                <w:rFonts w:ascii="Times New Roman;sans-serif" w:hAnsi="Times New Roman;sans-serif"/>
                <w:b/>
                <w:color w:val="231F20"/>
                <w:sz w:val="20"/>
              </w:rPr>
              <w:t>Gross profit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121,980 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128,403 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(9,550)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20"/>
              </w:rPr>
            </w:pPr>
            <w:r>
              <w:rPr>
                <w:rFonts w:ascii="Times New Roman;sans-serif" w:hAnsi="Times New Roman;sans-serif"/>
                <w:b/>
                <w:color w:val="231F20"/>
                <w:sz w:val="20"/>
              </w:rPr>
              <w:t>(Loss) income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(22,750)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benefit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income (loss)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income (loss), net of tax:</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translation adjustments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231F20"/>
                <w:sz w:val="20"/>
              </w:rPr>
            </w:pPr>
            <w:r>
              <w:rPr>
                <w:rFonts w:ascii="Times New Roman;sans-serif" w:hAnsi="Times New Roman;sans-serif"/>
                <w:b/>
                <w:color w:val="231F20"/>
                <w:sz w:val="20"/>
              </w:rPr>
              <w:t>Comprehensive (loss) income</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(16,374)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income (loss) per share</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Weighted average common shares outstanding </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123,718,797 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132,716,024 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123,417,353 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132,569,209 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141,927,750 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132,716,024 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143,200,221 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132,569,209 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STOCKHOLDERS’ EQUITY (DEFICIT)</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 except for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68"/>
        <w:gridCol w:w="439"/>
        <w:gridCol w:w="441"/>
        <w:gridCol w:w="525"/>
        <w:gridCol w:w="526"/>
        <w:gridCol w:w="196"/>
        <w:gridCol w:w="109"/>
        <w:gridCol w:w="109"/>
        <w:gridCol w:w="109"/>
        <w:gridCol w:w="212"/>
        <w:gridCol w:w="359"/>
        <w:gridCol w:w="120"/>
        <w:gridCol w:w="109"/>
        <w:gridCol w:w="109"/>
        <w:gridCol w:w="109"/>
        <w:gridCol w:w="212"/>
        <w:gridCol w:w="799"/>
        <w:gridCol w:w="118"/>
        <w:gridCol w:w="109"/>
        <w:gridCol w:w="109"/>
        <w:gridCol w:w="109"/>
        <w:gridCol w:w="109"/>
        <w:gridCol w:w="109"/>
        <w:gridCol w:w="323"/>
        <w:gridCol w:w="940"/>
        <w:gridCol w:w="180"/>
        <w:gridCol w:w="109"/>
        <w:gridCol w:w="109"/>
        <w:gridCol w:w="109"/>
        <w:gridCol w:w="203"/>
        <w:gridCol w:w="786"/>
        <w:gridCol w:w="112"/>
        <w:gridCol w:w="109"/>
        <w:gridCol w:w="109"/>
        <w:gridCol w:w="109"/>
        <w:gridCol w:w="231"/>
        <w:gridCol w:w="871"/>
        <w:gridCol w:w="191"/>
      </w:tblGrid>
      <w:tr>
        <w:trPr/>
        <w:tc>
          <w:tcPr>
            <w:tcW w:w="56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9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132,214,695 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550,320 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(378,751)</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167,053 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(20,259)</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relating to asset acquisition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132,626,954 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555,046 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(3,642)</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(399,010)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152,408 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3,364 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(83,234)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share repurchase payment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132,881,417 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561,483 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(4,009)</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(395,646)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161,842 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122,899,002 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541,281 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(478,867)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6,636 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123,453,419 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(4,083)</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(479,546)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63,295 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pursuant to equity compensation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454,362 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for tax withholdings on vested stock awards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relating to employee stock purchase plan</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190,124 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6,498 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123,993,785 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553,420 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(4,899)</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(479,344)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69,189 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44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THE BEAUTY HEALTH COMPANY</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CONDENSED CONSOLIDATED STATEMENTS OF CASH FLOWS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(in thousands)</w:t>
      </w:r>
    </w:p>
    <w:p>
      <w:pPr>
        <w:pStyle w:val="TextBody"/>
        <w:bidi w:val="0"/>
        <w:spacing w:lineRule="auto" w:line="288" w:before="0" w:after="0"/>
        <w:jc w:val="center"/>
        <w:rPr>
          <w:rFonts w:ascii="Times New Roman;sans-serif" w:hAnsi="Times New Roman;sans-serif"/>
          <w:b/>
          <w:color w:val="231F20"/>
          <w:sz w:val="20"/>
        </w:rPr>
      </w:pPr>
      <w:r>
        <w:rPr>
          <w:rFonts w:ascii="Times New Roman;sans-serif" w:hAnsi="Times New Roman;sans-serif"/>
          <w:b/>
          <w:color w:val="231F20"/>
          <w:sz w:val="20"/>
        </w:rPr>
        <w:t xml:space="preserve">(Unaudited) </w:t>
      </w:r>
    </w:p>
    <w:p>
      <w:pPr>
        <w:pStyle w:val="TextBody"/>
        <w:bidi w:val="0"/>
        <w:spacing w:before="100" w:after="283"/>
        <w:jc w:val="center"/>
        <w:rPr/>
      </w:pPr>
      <w:r>
        <w:rPr/>
      </w:r>
    </w:p>
    <w:p>
      <w:pPr>
        <w:pStyle w:val="TextBody"/>
        <w:bidi w:val="0"/>
        <w:spacing w:before="0" w:after="0"/>
        <w:jc w:val="center"/>
        <w:rPr/>
      </w:pPr>
      <w:r>
        <w:rPr/>
      </w:r>
    </w:p>
    <w:tbl>
      <w:tblPr>
        <w:tblW w:w="7681" w:type="dxa"/>
        <w:jc w:val="center"/>
        <w:tblInd w:w="0" w:type="dxa"/>
        <w:tblLayout w:type="fixed"/>
        <w:tblCellMar>
          <w:top w:w="28" w:type="dxa"/>
          <w:left w:w="28" w:type="dxa"/>
          <w:bottom w:w="28" w:type="dxa"/>
          <w:right w:w="28" w:type="dxa"/>
        </w:tblCellMar>
      </w:tblPr>
      <w:tblGrid>
        <w:gridCol w:w="1815"/>
        <w:gridCol w:w="1591"/>
        <w:gridCol w:w="1603"/>
        <w:gridCol w:w="196"/>
        <w:gridCol w:w="736"/>
        <w:gridCol w:w="109"/>
        <w:gridCol w:w="109"/>
        <w:gridCol w:w="109"/>
        <w:gridCol w:w="109"/>
        <w:gridCol w:w="196"/>
        <w:gridCol w:w="736"/>
        <w:gridCol w:w="109"/>
        <w:gridCol w:w="109"/>
        <w:gridCol w:w="154"/>
      </w:tblGrid>
      <w:tr>
        <w:trPr/>
        <w:tc>
          <w:tcPr>
            <w:tcW w:w="1815"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8"/>
              </w:rPr>
            </w:pPr>
            <w:r>
              <w:rPr>
                <w:rFonts w:ascii="Times New Roman;sans-serif" w:hAnsi="Times New Roman;sans-serif"/>
                <w:b/>
                <w:color w:val="231F2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Adjustments to reconcile net loss to net cash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Depreciation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Inventory write-down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Provision for estimated credit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 in fair value of warrant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Gain on repurchase of convertible 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Inventories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Prepaid expenses, other current assets, and income tax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Accounts payable, accrued expenses, and income tax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(10,653)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8,956 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paid for asset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(24,903)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8"/>
              </w:rPr>
            </w:pPr>
            <w:r>
              <w:rPr>
                <w:rFonts w:ascii="Times New Roman;sans-serif" w:hAnsi="Times New Roman;sans-serif"/>
                <w:b/>
                <w:color w:val="231F20"/>
                <w:sz w:val="18"/>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Repurchase of convertible senior notes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tax withholdings on vested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Payment of accelerated share repurchases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cash used for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(157,367)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18"/>
              </w:rPr>
            </w:pPr>
            <w:r>
              <w:rPr>
                <w:rFonts w:ascii="Times New Roman;sans-serif" w:hAnsi="Times New Roman;sans-serif"/>
                <w:b w:val="false"/>
                <w:color w:val="231F20"/>
                <w:sz w:val="18"/>
              </w:rPr>
              <w:t>(3,741)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Effect of foreign currency translation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18"/>
              </w:rPr>
            </w:pPr>
            <w:r>
              <w:rPr>
                <w:rFonts w:ascii="Times New Roman;sans-serif" w:hAnsi="Times New Roman;sans-serif"/>
                <w:b w:val="false"/>
                <w:color w:val="231F20"/>
                <w:sz w:val="18"/>
              </w:rPr>
              <w:t>Cash, cash equivalents, and restricted cash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financial statements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before="240" w:after="283"/>
        <w:jc w:val="left"/>
        <w:rPr/>
      </w:pPr>
      <w:r>
        <w:rPr/>
      </w:r>
    </w:p>
    <w:p>
      <w:pPr>
        <w:pStyle w:val="TextBody"/>
        <w:bidi w:val="0"/>
        <w:spacing w:lineRule="auto" w:line="288" w:before="100" w:after="283"/>
        <w:jc w:val="center"/>
        <w:rPr>
          <w:rFonts w:ascii="Times New Roman;sans-serif" w:hAnsi="Times New Roman;sans-serif"/>
          <w:b/>
          <w:color w:val="231F20"/>
          <w:sz w:val="20"/>
          <w:shd w:fill="FFFFFF" w:val="clear"/>
        </w:rPr>
      </w:pPr>
      <w:r>
        <w:rPr>
          <w:rFonts w:ascii="Times New Roman;sans-serif" w:hAnsi="Times New Roman;sans-serif"/>
          <w:b/>
          <w:color w:val="231F20"/>
          <w:sz w:val="20"/>
          <w:shd w:fill="FFFFFF" w:val="clear"/>
        </w:rPr>
        <w:t>THE BEAUTY HEALTH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1 — Description of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Beauty Health Company (the “Company”) is a global category-creating company focused on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Historical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(f.k.a. Vesper Healthcare Acquisition Corp.) was incorporated in the State of Delaware on July 8, 2020. On May 4, 2021, we consummated the previously announced business combination pursuant to that certain Agreement and Plan of Merger, dated December 8, 2020, by and among Vesper Healthcare Acquisition Corp. (“Vesper Healthcare”), Hydrate Merger Sub I, Inc. (“Merger Sub I”), Hydrate Merger Sub II, LLC (“Merger Sub II”), LCP Edge Intermediate, Inc., the indirect parent of HydraFacial LLC, f.k.a. Edge Systems LLC (“Hydrafacial”), and LCP Edge Holdco, LLC (“LCP,” or “Former Parent,” and, in its capacity as the stockholders’ representative, the “Stockholders’ Representative”) (the “Merger Agreement”), which provided for: (a) the merger of Merger Sub I with and into Hydrafacial, with Hydrafacial continuing as the surviving corporation (the “First Merger”), and (b) immediately following the First Merger and as part of the same overall transaction as the First Merger, the merger of Hydrafacial with and into Merger Sub II, with Merger Sub II continuing as the surviving entity (the “Second Merger” and, together with the First Merger, the “Mergers” and, together with the other transactions contemplated by the Merger Agreement, the “Business Combination”). As a result of the First Merger, the Company owns 100% of the outstanding common stock of Hydrafacial and each share of common stock and preferred stock of Hydrafacial was cancelled and converted into the right to receive a portion of the consideration payable in connection with the Mergers. As a result of the Second Merger, the Company owns 100% of the outstanding interests in Merger Sub II. In connection with the closing of the Business Combination (the “Closing”), the Company owns, directly or indirectly, 100% of the stock of Hydrafacial and its subsidiaries and the stockholders of Hydrafacial as of immediately prior to the effective time of the First Merger (the “Hydrafacial Stockholders”) hold a portion of the Company’s Class A common stock, par value $0.0001 per share (the “Class A Common Stock”).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financial statements have been prepared in accordance with the instructions to Form 10-Q and Article 10 of Regulation S-X. Accordingly, they do not include all information and footnotes required by accounting principles generally accepted in the United States of America (“GAAP”) for complete financial statements. These statements reflect all normal and recurring adjustments which, in the opinion of management, are necessary to present fairly the financial position, results of operations and cash flows of the Company for the interim periods presented.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interim financial statements should be read in conjunction with the audited consolidated financial statements and notes thereto included in, or presented as exhibits to, the Company’s Annual Report on Form 10-K for the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 generates revenue through manufacturing and selling its patented hydradermabrasion delivery systems (“Delivery Systems”). In conjunction with the sale of Delivery Systems, the Company also sells single-use tips, solutions, and serums used to provide a Hydrafacial treatment that cleanses, extracts, and hydrates the skin (collectively “Consumables”). Original Consumables are sold solely and exclusively by the Company (and from authorized retailers) and are available for purchase separately from the purchase of Delivery Systems. For both Delivery Systems and Consumables, revenue is recognized upon transfer of control to the customer, which generally takes place at the point of shipment.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 manages its business on the basis of one operating segment and one reportable segment. As a result, the chief operating decision maker, who is the Chief Executive Officer, reviews financial information presented on a consolidated basis for purposes of making operating decisions, allocating resources and evaluating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The Company’s revenue disaggregated by major product line consists of the following for the periods indicated:</w:t>
      </w:r>
    </w:p>
    <w:tbl>
      <w:tblPr>
        <w:tblW w:w="7252" w:type="dxa"/>
        <w:jc w:val="left"/>
        <w:tblInd w:w="0" w:type="dxa"/>
        <w:tblLayout w:type="fixed"/>
        <w:tblCellMar>
          <w:top w:w="28" w:type="dxa"/>
          <w:left w:w="28" w:type="dxa"/>
          <w:bottom w:w="28" w:type="dxa"/>
          <w:right w:w="28" w:type="dxa"/>
        </w:tblCellMar>
      </w:tblPr>
      <w:tblGrid>
        <w:gridCol w:w="553"/>
        <w:gridCol w:w="487"/>
        <w:gridCol w:w="48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720"/>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10" w:after="283"/>
              <w:ind w:left="0" w:right="0" w:hanging="720"/>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ind w:left="0" w:right="0" w:hanging="360"/>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203,757 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by geographic region were as follows for the periods indicated:</w:t>
      </w:r>
    </w:p>
    <w:tbl>
      <w:tblPr>
        <w:tblW w:w="9593" w:type="dxa"/>
        <w:jc w:val="left"/>
        <w:tblInd w:w="0" w:type="dxa"/>
        <w:tblLayout w:type="fixed"/>
        <w:tblCellMar>
          <w:top w:w="28" w:type="dxa"/>
          <w:left w:w="28" w:type="dxa"/>
          <w:bottom w:w="28" w:type="dxa"/>
          <w:right w:w="28" w:type="dxa"/>
        </w:tblCellMar>
      </w:tblPr>
      <w:tblGrid>
        <w:gridCol w:w="1400"/>
        <w:gridCol w:w="1233"/>
        <w:gridCol w:w="1237"/>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108,057 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Asia-Pacific (“APAC”)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Europe, the Middle East and Africa (“EMEA”)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117,479 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203,757 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 — Balance Sheet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Inventories consist of the following as of the periods indicated:</w:t>
      </w:r>
    </w:p>
    <w:p>
      <w:pPr>
        <w:pStyle w:val="TextBody"/>
        <w:bidi w:val="0"/>
        <w:spacing w:before="0" w:after="0"/>
        <w:jc w:val="left"/>
        <w:rPr/>
      </w:pPr>
      <w:r>
        <w:rPr/>
      </w:r>
    </w:p>
    <w:tbl>
      <w:tblPr>
        <w:tblW w:w="4555" w:type="dxa"/>
        <w:jc w:val="left"/>
        <w:tblInd w:w="0" w:type="dxa"/>
        <w:tblLayout w:type="fixed"/>
        <w:tblCellMar>
          <w:top w:w="28" w:type="dxa"/>
          <w:left w:w="28" w:type="dxa"/>
          <w:bottom w:w="28" w:type="dxa"/>
          <w:right w:w="28" w:type="dxa"/>
        </w:tblCellMar>
      </w:tblPr>
      <w:tblGrid>
        <w:gridCol w:w="564"/>
        <w:gridCol w:w="497"/>
        <w:gridCol w:w="498"/>
        <w:gridCol w:w="228"/>
        <w:gridCol w:w="779"/>
        <w:gridCol w:w="117"/>
        <w:gridCol w:w="109"/>
        <w:gridCol w:w="109"/>
        <w:gridCol w:w="109"/>
        <w:gridCol w:w="300"/>
        <w:gridCol w:w="1026"/>
        <w:gridCol w:w="219"/>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23,907 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24,406 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Finished goods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53,236 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66,915 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inventories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77,143 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91,321 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During the six months ended </w:t>
      </w:r>
      <w:r>
        <w:rPr>
          <w:rFonts w:ascii="Times New Roman;sans-serif" w:hAnsi="Times New Roman;sans-serif"/>
          <w:b w:val="false"/>
          <w:color w:val="000000"/>
          <w:sz w:val="20"/>
        </w:rPr>
        <w:t xml:space="preserve">June 30, 2024, the Company recognized </w:t>
      </w:r>
      <w:r>
        <w:rPr>
          <w:rFonts w:ascii="Times New Roman;sans-serif" w:hAnsi="Times New Roman;sans-serif"/>
          <w:b w:val="false"/>
          <w:color w:val="231F20"/>
          <w:sz w:val="20"/>
        </w:rPr>
        <w:t xml:space="preserve">$19.3 million of inventory charges for discontinued, excess, obsolete inventory, including the write-down of Delivery System inventory to its net realizable value and the write-off of excess raw materials. During the six months ended </w:t>
      </w:r>
      <w:r>
        <w:rPr>
          <w:rFonts w:ascii="Times New Roman;sans-serif" w:hAnsi="Times New Roman;sans-serif"/>
          <w:b w:val="false"/>
          <w:color w:val="000000"/>
          <w:sz w:val="20"/>
        </w:rPr>
        <w:t>June 30, 2023</w:t>
      </w:r>
      <w:r>
        <w:rPr>
          <w:rFonts w:ascii="Times New Roman;sans-serif" w:hAnsi="Times New Roman;sans-serif"/>
          <w:b w:val="false"/>
          <w:color w:val="231F20"/>
          <w:sz w:val="20"/>
        </w:rPr>
        <w:t>, the Company recognized $4.4 million of inventory charges for discontinued, excess, and obsolete inventory.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Accrued payroll-related expenses consist of the following as of the periods indicated:</w:t>
      </w:r>
    </w:p>
    <w:p>
      <w:pPr>
        <w:pStyle w:val="TextBody"/>
        <w:bidi w:val="0"/>
        <w:spacing w:before="0" w:after="0"/>
        <w:jc w:val="left"/>
        <w:rPr/>
      </w:pPr>
      <w:r>
        <w:rPr/>
      </w:r>
    </w:p>
    <w:tbl>
      <w:tblPr>
        <w:tblW w:w="6415" w:type="dxa"/>
        <w:jc w:val="left"/>
        <w:tblInd w:w="0" w:type="dxa"/>
        <w:tblLayout w:type="fixed"/>
        <w:tblCellMar>
          <w:top w:w="28" w:type="dxa"/>
          <w:left w:w="28" w:type="dxa"/>
          <w:bottom w:w="28" w:type="dxa"/>
          <w:right w:w="28" w:type="dxa"/>
        </w:tblCellMar>
      </w:tblPr>
      <w:tblGrid>
        <w:gridCol w:w="1234"/>
        <w:gridCol w:w="1087"/>
        <w:gridCol w:w="1098"/>
        <w:gridCol w:w="228"/>
        <w:gridCol w:w="779"/>
        <w:gridCol w:w="117"/>
        <w:gridCol w:w="109"/>
        <w:gridCol w:w="109"/>
        <w:gridCol w:w="109"/>
        <w:gridCol w:w="300"/>
        <w:gridCol w:w="1026"/>
        <w:gridCol w:w="219"/>
      </w:tblGrid>
      <w:tr>
        <w:trPr/>
        <w:tc>
          <w:tcPr>
            <w:tcW w:w="123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payroll taxes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commissions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payroll-related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accrued expenses consist of the following as of the periods indicated:</w:t>
      </w:r>
    </w:p>
    <w:p>
      <w:pPr>
        <w:pStyle w:val="TextBody"/>
        <w:bidi w:val="0"/>
        <w:spacing w:before="0" w:after="0"/>
        <w:jc w:val="left"/>
        <w:rPr/>
      </w:pPr>
      <w:r>
        <w:rPr/>
      </w:r>
    </w:p>
    <w:tbl>
      <w:tblPr>
        <w:tblW w:w="5470" w:type="dxa"/>
        <w:jc w:val="left"/>
        <w:tblInd w:w="0" w:type="dxa"/>
        <w:tblLayout w:type="fixed"/>
        <w:tblCellMar>
          <w:top w:w="28" w:type="dxa"/>
          <w:left w:w="28" w:type="dxa"/>
          <w:bottom w:w="28" w:type="dxa"/>
          <w:right w:w="28" w:type="dxa"/>
        </w:tblCellMar>
      </w:tblPr>
      <w:tblGrid>
        <w:gridCol w:w="895"/>
        <w:gridCol w:w="788"/>
        <w:gridCol w:w="791"/>
        <w:gridCol w:w="228"/>
        <w:gridCol w:w="779"/>
        <w:gridCol w:w="117"/>
        <w:gridCol w:w="109"/>
        <w:gridCol w:w="109"/>
        <w:gridCol w:w="109"/>
        <w:gridCol w:w="300"/>
        <w:gridCol w:w="1026"/>
        <w:gridCol w:w="219"/>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Sales and VAT tax payables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4,798 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4,971 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Royalty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3,914 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Accrued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9,883 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other accrued expenses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24,044 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19,846 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As of June 30, 2024 and December 31, 2023, the Company has approximately $9 million and $15 million, respectively, of non-trade receivables from certain of its manufacturing vendors resulting from the sale of components to these vendors who manufacture or assemble final products for the Company, which is included in prepaid expenses and other current assets on the Consolidated Balance Sheets. The Company purchases components directly from suppliers and do not reflect the sale of these components to the manufacturing vendors in net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June 30, 2024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xml:space="preserve">, total warranty reserve was approximately $7 million and $6 million, respectively. As of </w:t>
      </w:r>
      <w:r>
        <w:rPr>
          <w:rFonts w:ascii="Times New Roman;sans-serif" w:hAnsi="Times New Roman;sans-serif"/>
          <w:b w:val="false"/>
          <w:color w:val="231F20"/>
          <w:sz w:val="20"/>
        </w:rPr>
        <w:t>June 30, 2024</w:t>
      </w:r>
      <w:r>
        <w:rPr>
          <w:rFonts w:ascii="Times New Roman;sans-serif" w:hAnsi="Times New Roman;sans-serif"/>
          <w:b w:val="false"/>
          <w:color w:val="000000"/>
          <w:sz w:val="20"/>
        </w:rPr>
        <w:t xml:space="preserve">, approximately $5 million was included in other accrued expenses and approximately $2 million was included in other long-term liabilities on the Condensed Consolidated Balance Sheets. As of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approximately $4 million was included in other accrued expenses and approximately $2 million was included in other long-term liabilities on the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June 30, 2024, the Company has approximately $2 million in restricted cash held as collateral for the Company’s credit cards.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 Fair Value Measurements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information about the Company’s assets and liabilities that are measured at fair value on a recurring basis as of June 30, 2024 and December 31, 2023, and indicate the fair value hierarchy of the valuation inputs the Company utilized to determine such fair value.</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three levels of the fair value hierarchy are as follows: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based on our assessment of the assumptions that market participants would use in pricing the asset or liability.</w:t>
      </w:r>
    </w:p>
    <w:p>
      <w:pPr>
        <w:pStyle w:val="TextBody"/>
        <w:bidi w:val="0"/>
        <w:spacing w:before="0" w:after="0"/>
        <w:jc w:val="left"/>
        <w:rPr/>
      </w:pPr>
      <w:r>
        <w:rPr/>
      </w:r>
    </w:p>
    <w:tbl>
      <w:tblPr>
        <w:tblW w:w="934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616"/>
        <w:gridCol w:w="109"/>
        <w:gridCol w:w="109"/>
        <w:gridCol w:w="109"/>
        <w:gridCol w:w="109"/>
        <w:gridCol w:w="211"/>
        <w:gridCol w:w="46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June 30, 2024</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282,257 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282,257 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International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91" w:type="dxa"/>
        <w:jc w:val="left"/>
        <w:tblInd w:w="0" w:type="dxa"/>
        <w:tblLayout w:type="fixed"/>
        <w:tblCellMar>
          <w:top w:w="28" w:type="dxa"/>
          <w:left w:w="28" w:type="dxa"/>
          <w:bottom w:w="28" w:type="dxa"/>
          <w:right w:w="28" w:type="dxa"/>
        </w:tblCellMar>
      </w:tblPr>
      <w:tblGrid>
        <w:gridCol w:w="1437"/>
        <w:gridCol w:w="1267"/>
        <w:gridCol w:w="1270"/>
        <w:gridCol w:w="109"/>
        <w:gridCol w:w="109"/>
        <w:gridCol w:w="109"/>
        <w:gridCol w:w="211"/>
        <w:gridCol w:w="826"/>
        <w:gridCol w:w="109"/>
        <w:gridCol w:w="109"/>
        <w:gridCol w:w="109"/>
        <w:gridCol w:w="109"/>
        <w:gridCol w:w="211"/>
        <w:gridCol w:w="616"/>
        <w:gridCol w:w="109"/>
        <w:gridCol w:w="109"/>
        <w:gridCol w:w="109"/>
        <w:gridCol w:w="109"/>
        <w:gridCol w:w="211"/>
        <w:gridCol w:w="616"/>
        <w:gridCol w:w="109"/>
        <w:gridCol w:w="109"/>
        <w:gridCol w:w="109"/>
        <w:gridCol w:w="109"/>
        <w:gridCol w:w="211"/>
        <w:gridCol w:w="82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As of December 31, 2023</w:t>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Total</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458,676 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458,676 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International treasuries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20"/>
              </w:rPr>
            </w:pPr>
            <w:r>
              <w:rPr>
                <w:rFonts w:ascii="Times New Roman;sans-serif" w:hAnsi="Times New Roman;sans-serif"/>
                <w:b/>
                <w:color w:val="231F2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Warrant liability — Private Placement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ind w:left="0" w:right="0" w:firstLine="5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in connection with the consummation of Vesper Healthcare’s initial public offering, the Company issued 9,333,333 warrants to purchase shares of the Company’s Class A Common Stock at $11.50 per share (the “Private Placement Warrants”), to BLS Investor Group LLC. As of June 30, 2024 and December 31, 2023, the Company had approximately 7 million Private Placement Warrants outstanding for which the fair value was determined using a Monte Carlo simulation.</w:t>
      </w:r>
    </w:p>
    <w:p>
      <w:pPr>
        <w:pStyle w:val="TextBody"/>
        <w:bidi w:val="0"/>
        <w:spacing w:before="0" w:after="0"/>
        <w:ind w:left="0" w:right="0" w:firstLine="5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Property and Equipment,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 as of the periods indicated:</w:t>
      </w:r>
    </w:p>
    <w:tbl>
      <w:tblPr>
        <w:tblW w:w="9890" w:type="dxa"/>
        <w:jc w:val="left"/>
        <w:tblInd w:w="0" w:type="dxa"/>
        <w:tblLayout w:type="fixed"/>
        <w:tblCellMar>
          <w:top w:w="28" w:type="dxa"/>
          <w:left w:w="28" w:type="dxa"/>
          <w:bottom w:w="28" w:type="dxa"/>
          <w:right w:w="28" w:type="dxa"/>
        </w:tblCellMar>
      </w:tblPr>
      <w:tblGrid>
        <w:gridCol w:w="1484"/>
        <w:gridCol w:w="1308"/>
        <w:gridCol w:w="1318"/>
        <w:gridCol w:w="781"/>
        <w:gridCol w:w="781"/>
        <w:gridCol w:w="792"/>
        <w:gridCol w:w="109"/>
        <w:gridCol w:w="109"/>
        <w:gridCol w:w="109"/>
        <w:gridCol w:w="551"/>
        <w:gridCol w:w="335"/>
        <w:gridCol w:w="341"/>
        <w:gridCol w:w="109"/>
        <w:gridCol w:w="109"/>
        <w:gridCol w:w="109"/>
        <w:gridCol w:w="300"/>
        <w:gridCol w:w="1026"/>
        <w:gridCol w:w="219"/>
      </w:tblGrid>
      <w:tr>
        <w:trPr/>
        <w:tc>
          <w:tcPr>
            <w:tcW w:w="148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2354" w:type="dxa"/>
            <w:gridSpan w:val="3"/>
            <w:tcBorders/>
            <w:tcMar>
              <w:top w:w="0" w:type="dxa"/>
              <w:left w:w="0" w:type="dxa"/>
              <w:bottom w:w="0" w:type="dxa"/>
              <w:right w:w="0" w:type="dxa"/>
            </w:tcMar>
            <w:vAlign w:val="center"/>
          </w:tcPr>
          <w:p>
            <w:pPr>
              <w:pStyle w:val="TableContents"/>
              <w:bidi w:val="0"/>
              <w:spacing w:lineRule="auto" w:line="288" w:before="10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p>
            <w:pPr>
              <w:pStyle w:val="TableContents"/>
              <w:bidi w:val="0"/>
              <w:spacing w:lineRule="auto" w:line="240" w:before="0" w:after="0"/>
              <w:jc w:val="center"/>
              <w:rPr>
                <w:rFonts w:ascii="Times New Roman;sans-serif" w:hAnsi="Times New Roman;sans-serif"/>
                <w:b/>
                <w:color w:val="231F20"/>
                <w:sz w:val="16"/>
              </w:rPr>
            </w:pPr>
            <w:r>
              <w:rPr>
                <w:rFonts w:ascii="Times New Roman;sans-serif" w:hAnsi="Times New Roman;sans-serif"/>
                <w:b/>
                <w:color w:val="231F2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December 31, 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Leasehold improvements</w:t>
            </w:r>
          </w:p>
        </w:tc>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Shorter of remaining lease</w:t>
              <w:br/>
              <w:t>term or estimated useful life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12,323 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Machinery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8,597 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Furniture and fixtures</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Computers and equipment</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9"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5,479 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Tooling</w:t>
            </w:r>
          </w:p>
        </w:tc>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Autos and trucks</w:t>
            </w:r>
          </w:p>
        </w:tc>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Construction in progress </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property and equipment </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34,179 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Less: accumulated depreciation and amortization</w:t>
            </w:r>
          </w:p>
        </w:tc>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(24,299)</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(19,953)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Property and equipment, net</w:t>
            </w:r>
          </w:p>
        </w:tc>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124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14,226</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 — Goodwill and Intangible Assets, net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changes in the carrying value of goodwill for the </w:t>
      </w:r>
      <w:r>
        <w:rPr>
          <w:rFonts w:ascii="Times New Roman;sans-serif" w:hAnsi="Times New Roman;sans-serif"/>
          <w:b w:val="false"/>
          <w:color w:val="000000"/>
          <w:sz w:val="20"/>
        </w:rPr>
        <w:t>six months ended June 30, 2024</w:t>
      </w:r>
      <w:r>
        <w:rPr>
          <w:color w:val="231F20"/>
        </w:rPr>
        <w:t xml:space="preserve"> </w:t>
      </w:r>
      <w:r>
        <w:rPr>
          <w:rFonts w:ascii="Times New Roman;sans-serif" w:hAnsi="Times New Roman;sans-serif"/>
          <w:b w:val="false"/>
          <w:color w:val="231F20"/>
          <w:sz w:val="20"/>
        </w:rPr>
        <w:t>is as follows (in thousands):</w:t>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r>
    </w:p>
    <w:tbl>
      <w:tblPr>
        <w:tblW w:w="4205" w:type="dxa"/>
        <w:jc w:val="left"/>
        <w:tblInd w:w="0" w:type="dxa"/>
        <w:tblLayout w:type="fixed"/>
        <w:tblCellMar>
          <w:top w:w="28" w:type="dxa"/>
          <w:left w:w="28" w:type="dxa"/>
          <w:bottom w:w="28" w:type="dxa"/>
          <w:right w:w="28" w:type="dxa"/>
        </w:tblCellMar>
      </w:tblPr>
      <w:tblGrid>
        <w:gridCol w:w="1091"/>
        <w:gridCol w:w="959"/>
        <w:gridCol w:w="964"/>
        <w:gridCol w:w="211"/>
        <w:gridCol w:w="826"/>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impact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Intangible Assets, Net</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June 30, 2024 were as follows:</w:t>
      </w:r>
    </w:p>
    <w:tbl>
      <w:tblPr>
        <w:tblW w:w="7657"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538"/>
        <w:gridCol w:w="395"/>
        <w:gridCol w:w="400"/>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5"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(69,923)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21,706 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14,781 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3,716 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151,360 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(97,199)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54,161 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gross carrying amount and accumulated amortization of the Company’s intangible assets, net, as of December 31, 2023 were as follows:</w:t>
      </w:r>
    </w:p>
    <w:tbl>
      <w:tblPr>
        <w:tblW w:w="7440" w:type="dxa"/>
        <w:jc w:val="left"/>
        <w:tblInd w:w="0" w:type="dxa"/>
        <w:tblLayout w:type="fixed"/>
        <w:tblCellMar>
          <w:top w:w="28" w:type="dxa"/>
          <w:left w:w="28" w:type="dxa"/>
          <w:bottom w:w="28" w:type="dxa"/>
          <w:right w:w="28" w:type="dxa"/>
        </w:tblCellMar>
      </w:tblPr>
      <w:tblGrid>
        <w:gridCol w:w="759"/>
        <w:gridCol w:w="669"/>
        <w:gridCol w:w="671"/>
        <w:gridCol w:w="211"/>
        <w:gridCol w:w="826"/>
        <w:gridCol w:w="109"/>
        <w:gridCol w:w="109"/>
        <w:gridCol w:w="109"/>
        <w:gridCol w:w="109"/>
        <w:gridCol w:w="211"/>
        <w:gridCol w:w="796"/>
        <w:gridCol w:w="109"/>
        <w:gridCol w:w="109"/>
        <w:gridCol w:w="109"/>
        <w:gridCol w:w="109"/>
        <w:gridCol w:w="228"/>
        <w:gridCol w:w="779"/>
        <w:gridCol w:w="117"/>
        <w:gridCol w:w="109"/>
        <w:gridCol w:w="109"/>
        <w:gridCol w:w="109"/>
        <w:gridCol w:w="285"/>
        <w:gridCol w:w="285"/>
        <w:gridCol w:w="40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w:t>
              <w:br/>
              <w:t xml:space="preserve">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Accumulated </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xml:space="preserve">Estimated </w:t>
              <w:br/>
              <w:t xml:space="preserve">Useful Life </w:t>
              <w:br/>
              <w:t>(Years)</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Developed technology</w:t>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91,629 </w:t>
            </w:r>
          </w:p>
        </w:tc>
        <w:tc>
          <w:tcPr>
            <w:tcW w:w="109" w:type="dxa"/>
            <w:tcBorders>
              <w:top w:val="single" w:sz="8" w:space="0" w:color="231F2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05"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96" w:type="dxa"/>
            <w:gridSpan w:val="2"/>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27,176</w:t>
            </w:r>
          </w:p>
        </w:tc>
        <w:tc>
          <w:tcPr>
            <w:tcW w:w="327" w:type="dxa"/>
            <w:gridSpan w:val="3"/>
            <w:tcBorders>
              <w:top w:val="single" w:sz="8" w:space="0" w:color="231F2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231F2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Capitalized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5 - 10</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Trademarks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15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Non-compete agreement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3</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Patents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3 - 19</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(87,269)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62,123 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Acquisition of Esthetic Medical, Inc. and Anacapa Aesthetics LLC</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2023, Edge Systems Intermediate, LLC, an indirect, wholly-owned subsidiary of the Company, acquired all of the outstanding shares of Esthetic Medical, Inc. (“EMI”) in exchange for (i) a cash payment of $11.8 million and (ii) 109,625 shares of Class A Common Stock of the Company ($1.3 million). In addition, Dr. Lawrence Groop (the “Seller”) is entitled to receive up to an additional $3.2 million in contingent consideration based upon the achievement of certain conditions defined in the purchase agreement, of which $1.9 million was considered probable as of the acquisition date. Applicable tax guidance was used to apply the simultaneous equation method to incrementally assign $4.6 million to the book value of the intangible asset in excess of the purchase price. The Company accounted for this transaction as an asset acquisition and allocated substantially all of the purchase price and the tax basis difference totaling $19.9 million to intangible assets, primarily related to developed technology.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2023, EMI obtained clearance from the U.S. Food and Drug Administration that the SkinStylus Sterilock MicroSystem is cleared for use as a treatment to improve the appearance of facial acne scars in Fitzpatrick skin types I, II, and III in adults aged 22 years and older (the “Facial Indication Approval”). Obtaining the Facial Indication Approval triggered a $1.3 million contingent payment made in July 2023 by the Company to the Seller, which was previously not considered probable of payment.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acquired assets from Anacapa Aesthetics LLC and recognized approximately $5 million of intangible assets, primarily related to non-compete agreements.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 Long-Term Debt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Convertible Senior Notes</w:t>
      </w:r>
    </w:p>
    <w:p>
      <w:pPr>
        <w:pStyle w:val="TextBody"/>
        <w:bidi w:val="0"/>
        <w:spacing w:lineRule="auto" w:line="288" w:before="0" w:after="0"/>
        <w:jc w:val="left"/>
        <w:rPr/>
      </w:pPr>
      <w:r>
        <w:rPr>
          <w:rFonts w:ascii="Times New Roman;sans-serif" w:hAnsi="Times New Roman;sans-serif"/>
          <w:b w:val="false"/>
          <w:color w:val="000000"/>
          <w:sz w:val="20"/>
          <w:shd w:fill="FFFFFF" w:val="clear"/>
        </w:rPr>
        <w:t xml:space="preserve">On September 14, 2021, the Company issued an aggregate of </w:t>
      </w:r>
      <w:r>
        <w:rPr>
          <w:rFonts w:ascii="Times New Roman;sans-serif" w:hAnsi="Times New Roman;sans-serif"/>
          <w:b w:val="false"/>
          <w:color w:val="000000"/>
          <w:sz w:val="20"/>
        </w:rPr>
        <w:t>$750.0 million</w:t>
      </w:r>
      <w:r>
        <w:rPr>
          <w:color w:val="000000"/>
          <w:shd w:fill="FFFFFF" w:val="clear"/>
        </w:rPr>
        <w:t xml:space="preserve"> </w:t>
      </w:r>
      <w:r>
        <w:rPr>
          <w:rFonts w:ascii="Times New Roman;sans-serif" w:hAnsi="Times New Roman;sans-serif"/>
          <w:b w:val="false"/>
          <w:color w:val="000000"/>
          <w:sz w:val="20"/>
          <w:shd w:fill="FFFFFF" w:val="clear"/>
        </w:rPr>
        <w:t xml:space="preserve">in principal amount of its 1.25% Convertible Senior Notes due 2026 (the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w:t>
      </w:r>
      <w:r>
        <w:rPr>
          <w:rFonts w:ascii="Times New Roman;sans-serif" w:hAnsi="Times New Roman;sans-serif"/>
          <w:b w:val="false"/>
          <w:color w:val="000000"/>
          <w:sz w:val="20"/>
        </w:rPr>
        <w:t>$100.0 million</w:t>
      </w:r>
      <w:r>
        <w:rPr>
          <w:color w:val="000000"/>
          <w:shd w:fill="FFFFFF" w:val="clear"/>
        </w:rPr>
        <w:t xml:space="preserve"> </w:t>
      </w:r>
      <w:r>
        <w:rPr>
          <w:rFonts w:ascii="Times New Roman;sans-serif" w:hAnsi="Times New Roman;sans-serif"/>
          <w:b w:val="false"/>
          <w:color w:val="000000"/>
          <w:sz w:val="20"/>
          <w:shd w:fill="FFFFFF" w:val="clear"/>
        </w:rPr>
        <w:t xml:space="preserve">principal amount of Notes. The Notes issued on September 14, 2021 include the </w:t>
      </w:r>
      <w:r>
        <w:rPr>
          <w:rFonts w:ascii="Times New Roman;sans-serif" w:hAnsi="Times New Roman;sans-serif"/>
          <w:b w:val="false"/>
          <w:color w:val="000000"/>
          <w:sz w:val="20"/>
        </w:rPr>
        <w:t>$100.0 million</w:t>
      </w:r>
      <w:r>
        <w:rPr>
          <w:color w:val="000000"/>
          <w:shd w:fill="FFFFFF" w:val="clear"/>
        </w:rPr>
        <w:t xml:space="preserve"> </w:t>
      </w:r>
      <w:r>
        <w:rPr>
          <w:rFonts w:ascii="Times New Roman;sans-serif" w:hAnsi="Times New Roman;sans-serif"/>
          <w:b w:val="false"/>
          <w:color w:val="000000"/>
          <w:sz w:val="20"/>
          <w:shd w:fill="FFFFFF" w:val="clear"/>
        </w:rPr>
        <w:t>principal amount of Notes issued pursuant to the full exercise by the initial purchasers of such option.</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The following is a summary of the Company’s Notes for the periods indicated:</w:t>
      </w:r>
    </w:p>
    <w:tbl>
      <w:tblPr>
        <w:tblW w:w="6002" w:type="dxa"/>
        <w:jc w:val="left"/>
        <w:tblInd w:w="0" w:type="dxa"/>
        <w:tblLayout w:type="fixed"/>
        <w:tblCellMar>
          <w:top w:w="28" w:type="dxa"/>
          <w:left w:w="28" w:type="dxa"/>
          <w:bottom w:w="28" w:type="dxa"/>
          <w:right w:w="28" w:type="dxa"/>
        </w:tblCellMar>
      </w:tblPr>
      <w:tblGrid>
        <w:gridCol w:w="1080"/>
        <w:gridCol w:w="951"/>
        <w:gridCol w:w="954"/>
        <w:gridCol w:w="211"/>
        <w:gridCol w:w="826"/>
        <w:gridCol w:w="109"/>
        <w:gridCol w:w="109"/>
        <w:gridCol w:w="109"/>
        <w:gridCol w:w="109"/>
        <w:gridCol w:w="273"/>
        <w:gridCol w:w="1072"/>
        <w:gridCol w:w="199"/>
      </w:tblGrid>
      <w:tr>
        <w:trPr/>
        <w:tc>
          <w:tcPr>
            <w:tcW w:w="108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1.25% Convertible Notes due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(11,628)</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738,372 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repurchased $75.0 million principal amount of its Notes at a weighted-average price equal to 77% for $57.8 million and recognized a net gain of $16.1 million, which includes $1.2 million of unamortized debt issuance costs related to the repurchase. Additionally, during the three months ended June 30, 2024, the Company repurchased $117.3 million principal amount of its Notes at a weighted-average price equal to 84% for $98.3 million and recognized a net gain of $17.3 million, which includes $1.6 million of unamortized debt issuance costs related to the repurchase. The total amount paid and net gain recognized to repurchase $192.3 million principal amount during the six months ended June 30, 2024 was $156.1 million and $33.4 million, respectively. The net gain is included in other income, net in the Condensed Consolidated Statements of Comprehensive Income (Loss).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shd w:fill="FFFFFF" w:val="clear"/>
        </w:rPr>
        <w:t xml:space="preserve">As of June 30, 2024 and </w:t>
      </w:r>
      <w:r>
        <w:rPr>
          <w:rFonts w:ascii="Times New Roman;sans-serif" w:hAnsi="Times New Roman;sans-serif"/>
          <w:b w:val="false"/>
          <w:color w:val="000000"/>
          <w:sz w:val="20"/>
        </w:rPr>
        <w:t>December 31, 2023</w:t>
      </w:r>
      <w:r>
        <w:rPr>
          <w:rFonts w:ascii="Times New Roman;sans-serif" w:hAnsi="Times New Roman;sans-serif"/>
          <w:b w:val="false"/>
          <w:color w:val="231F20"/>
          <w:sz w:val="20"/>
          <w:shd w:fill="FFFFFF" w:val="clear"/>
        </w:rPr>
        <w:t xml:space="preserve">, the estimated fair value of the Notes was approximately $464 million and $558 million, respectively. The estimated fair value of the Notes was determined based on the actual bid price of the Notes on June 30, 2024 and </w:t>
      </w:r>
      <w:r>
        <w:rPr>
          <w:rFonts w:ascii="Times New Roman;sans-serif" w:hAnsi="Times New Roman;sans-serif"/>
          <w:b w:val="false"/>
          <w:color w:val="000000"/>
          <w:sz w:val="20"/>
        </w:rPr>
        <w:t>December 31, 2023,</w:t>
      </w:r>
      <w:r>
        <w:rPr>
          <w:color w:val="000000"/>
          <w:shd w:fill="FFFFFF" w:val="clear"/>
        </w:rPr>
        <w:t xml:space="preserve"> </w:t>
      </w:r>
      <w:r>
        <w:rPr>
          <w:rFonts w:ascii="Times New Roman;sans-serif" w:hAnsi="Times New Roman;sans-serif"/>
          <w:b w:val="false"/>
          <w:color w:val="000000"/>
          <w:sz w:val="20"/>
          <w:shd w:fill="FFFFFF" w:val="clear"/>
        </w:rPr>
        <w:t>and are classified as Level 2 within the fair value hierarchy.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9, 2021, in connection with the pricing of the offering of Notes, the Company entered into privately negotiated capped call transactions (the “Base Capped Call Transactions”) with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Amended and Restated Credit Facility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$50.0 million revolving credit facility with a maturity date of November 14, 2027. As of June 30, 2024, the Credit Agreement was undrawn and there was no outstanding balance under the revolving credit facility.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Income Taxes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Company is required to calculate its interim income tax provision using the estimated annual effective tax rate (“AETR”) method prescribed by Accounting Standards Codification (“ASC”) 740 - Income Taxes, and as such, excludes losses in jurisdictions where the Company cannot benefit in computing its worldwide AETR. A separate AETR is computed and applied to ordinary losses in the U.S. jurisdiction as required by ASC 740-270-30-36(a). For the </w:t>
      </w:r>
      <w:r>
        <w:rPr>
          <w:rFonts w:ascii="Times New Roman;sans-serif" w:hAnsi="Times New Roman;sans-serif"/>
          <w:b w:val="false"/>
          <w:color w:val="000000"/>
          <w:sz w:val="20"/>
        </w:rPr>
        <w:t>three and six months</w:t>
      </w:r>
      <w:r>
        <w:rPr>
          <w:color w:val="231F20"/>
        </w:rPr>
        <w:t xml:space="preserve">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recorded foreign income tax benefit of $0.4 million and $1.0 million, respectively, and U.S. income tax expense of zero. Additionally, during the three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recorded true-up adjustments related to foreign income tax returns filed. The Company’s effective tax rate for the three months ended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231F20"/>
          <w:sz w:val="20"/>
        </w:rPr>
        <w:t xml:space="preserve">was affected by a mix of ordinary losses in foreign jurisdictions that are tax-effected using a worldwide AETR of 30%, and ordinary income in the U.S. jurisdiction that was tax-effected using a separate U.S. AETR of 0%. The separate U.S. AETR differed from the U.S. federal statutory tax rate of 21% due primarily to a full valuation allowance against the Company's U.S. deferred tax assets.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six months</w:t>
      </w:r>
      <w:r>
        <w:rPr>
          <w:color w:val="231F20"/>
        </w:rPr>
        <w:t xml:space="preserve"> </w:t>
      </w:r>
      <w:r>
        <w:rPr>
          <w:rFonts w:ascii="Times New Roman;sans-serif" w:hAnsi="Times New Roman;sans-serif"/>
          <w:b w:val="false"/>
          <w:color w:val="231F20"/>
          <w:sz w:val="20"/>
        </w:rPr>
        <w:t xml:space="preserve">ended </w:t>
      </w:r>
      <w:r>
        <w:rPr>
          <w:rFonts w:ascii="Times New Roman;sans-serif" w:hAnsi="Times New Roman;sans-serif"/>
          <w:b w:val="false"/>
          <w:color w:val="000000"/>
          <w:sz w:val="20"/>
        </w:rPr>
        <w:t>June 30, 2023</w:t>
      </w:r>
      <w:r>
        <w:rPr>
          <w:rFonts w:ascii="Times New Roman;sans-serif" w:hAnsi="Times New Roman;sans-serif"/>
          <w:b w:val="false"/>
          <w:color w:val="231F20"/>
          <w:sz w:val="20"/>
        </w:rPr>
        <w:t xml:space="preserve">, the Company recorded income tax </w:t>
      </w:r>
      <w:r>
        <w:rPr>
          <w:rFonts w:ascii="Times New Roman;sans-serif" w:hAnsi="Times New Roman;sans-serif"/>
          <w:b w:val="false"/>
          <w:color w:val="000000"/>
          <w:sz w:val="20"/>
        </w:rPr>
        <w:t>benefit</w:t>
      </w:r>
      <w:r>
        <w:rPr>
          <w:color w:val="231F20"/>
        </w:rPr>
        <w:t xml:space="preserve"> </w:t>
      </w:r>
      <w:r>
        <w:rPr>
          <w:rFonts w:ascii="Times New Roman;sans-serif" w:hAnsi="Times New Roman;sans-serif"/>
          <w:b w:val="false"/>
          <w:color w:val="231F20"/>
          <w:sz w:val="20"/>
        </w:rPr>
        <w:t xml:space="preserve">of $2.2 million and $5.9 million, respectively. The estimated worldwide AETR differed from the U.S. federal statutory tax rate of 21% due primarily to losses in foreign jurisdictions that are taxed at higher rates than the U.S. federal rate, a full valuation allowance against the Company's U.S. deferred tax assets, and the impact of accounting for business combination.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a valuation allowance in the U.S. against its deferred tax assets because it is more likely than not that the deferred tax assets will not be realized. In determining whether deferred tax assets are realizable, the Company considers numerous factors including historical profitability, the amount of future taxable income and the existence of taxable temporary differences that can be used to realize deferred tax assets.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applies ASC 740, the accounting standard addressing the accounting for uncertainty in income taxes, which prescribes rules for recognition, measurement and classification in the financial statements of tax positions taken or expected to be taken in a tax return. The Company has gross unrecognized tax benefits </w:t>
      </w:r>
      <w:r>
        <w:rPr>
          <w:rFonts w:ascii="Times New Roman;sans-serif" w:hAnsi="Times New Roman;sans-serif"/>
          <w:b w:val="false"/>
          <w:color w:val="231F20"/>
          <w:sz w:val="20"/>
        </w:rPr>
        <w:t xml:space="preserve">of $1.4 million and $1.1 million as of June 30, 2024 and December 31, 2023, respectively.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various stock compensation plans, which are more fully described in Part II, Item 8 “Financial Statements and Supplementary Data—Note 13 to the Consolidated Financial Statements—Equity-Based Compensation” in the Company’s 2023 Annual Report on Form 10-K. Under the Beauty Health Company 2021 Incentive Award Plan, the Company may grant stock options, stock appreciation rights, restricted stock, restricted stock units, dividend equivalents, other stock or cash-based awards to eligible service providers. Additionally, the Company maintains the Employee Stock Purchase Plan for employees located in the United States, whereby eligible employees can have up to 10% of their earnings withheld, subject to certain maximums, to be used to purchase shares of the Company’s Class A Common Stock at certain purchase dates.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was as follows for the periods indicated:</w:t>
      </w:r>
    </w:p>
    <w:p>
      <w:pPr>
        <w:pStyle w:val="TextBody"/>
        <w:bidi w:val="0"/>
        <w:spacing w:before="0" w:after="0"/>
        <w:jc w:val="left"/>
        <w:rPr/>
      </w:pPr>
      <w:r>
        <w:rPr/>
      </w:r>
    </w:p>
    <w:tbl>
      <w:tblPr>
        <w:tblW w:w="7773" w:type="dxa"/>
        <w:jc w:val="left"/>
        <w:tblInd w:w="0" w:type="dxa"/>
        <w:tblLayout w:type="fixed"/>
        <w:tblCellMar>
          <w:top w:w="28" w:type="dxa"/>
          <w:left w:w="28" w:type="dxa"/>
          <w:bottom w:w="28" w:type="dxa"/>
          <w:right w:w="28" w:type="dxa"/>
        </w:tblCellMar>
      </w:tblPr>
      <w:tblGrid>
        <w:gridCol w:w="987"/>
        <w:gridCol w:w="871"/>
        <w:gridCol w:w="872"/>
        <w:gridCol w:w="217"/>
        <w:gridCol w:w="634"/>
        <w:gridCol w:w="112"/>
        <w:gridCol w:w="112"/>
        <w:gridCol w:w="112"/>
        <w:gridCol w:w="112"/>
        <w:gridCol w:w="217"/>
        <w:gridCol w:w="634"/>
        <w:gridCol w:w="112"/>
        <w:gridCol w:w="109"/>
        <w:gridCol w:w="109"/>
        <w:gridCol w:w="109"/>
        <w:gridCol w:w="211"/>
        <w:gridCol w:w="721"/>
        <w:gridCol w:w="109"/>
        <w:gridCol w:w="109"/>
        <w:gridCol w:w="109"/>
        <w:gridCol w:w="109"/>
        <w:gridCol w:w="211"/>
        <w:gridCol w:w="72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231F20"/>
          <w:sz w:val="20"/>
        </w:rPr>
        <w:t>June 30, 2024</w:t>
      </w:r>
      <w:r>
        <w:rPr>
          <w:rFonts w:ascii="Times New Roman;sans-serif" w:hAnsi="Times New Roman;sans-serif"/>
          <w:b w:val="false"/>
          <w:color w:val="000000"/>
          <w:sz w:val="20"/>
        </w:rPr>
        <w:t>, total unrecognized compensation expense related to unvested share-based compensation totaled $44.8 million and is expected to be recognized over a weighted-average period of 1.9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Cartessa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14, 2020, Hydrafacial filed a complaint (the “Cartessa Complaint”) against Cartessa Aesthetics, LLC (“Cartessa”) in the United States District Court for the Eastern District of New York (the “New York Court”), captioned Edge Systems LLC v. Cartessa Aesthetics, LLC, Case No. 1:20-cv-6082, for patent infringement arising from Cartessa’s sale of Cartessa’s hydrodermabrasion system that Hydrafacial alleged has infringed five of Hydrafacial’s patents on its device. Hydrafacial narrowed its allegation in the Cartessa Complaint to assert infringement of just four of its patents. On September 15, 2022, the New York Court granted Hydrafacial’s Motion for Summary Judgment of No Unclean Hands and denied Cartessa’s Motion for Summary Judgment of non-infringement on three of the four patents-in-suit. On June 6, 2023, the New York Court granted Hydrafacial’s Motion for Summary Judgment of No Invalidity of the fourth patent-in-suit and granted Cartessa’s Motion for Summary Judgment of non-infringement of that same patent. As of the date of this report, Hydrafacial and Cartessa are awaiting the New York Court to set a trial date on Hydrafacial’s remaining three patents-in-suit in the Cartessa Complaint.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Hydrafacial is seeking monetary damages and plans to vigorously pursue its claims against Cartessa. Hydrafacial also plans to appeal the New York Court’s grant of Cartessa’s Motion for Summary Judgment.</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Cartessa - Eunsung Global Corp.</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2024, Hydrafacial filed a complaint against Cartessa and its foreign manufacturer, Eunsung Global Corp., in the United States International Trade Commission. A Notice of Institution of Investigation was issued on July 11, 2024, and the investigation was assigned investigation number 337-TA-1408. In the investigation, Hydrafacial has asserted a single patent, U.S. Patent No. 11,865,287, which relates to hydrodermabrasion systems but was not asserted in the Cartessa Complaint. The investigation is in the early stages, and Hydrafacial is seeking an exclusion order preventing importation or sale of Cartessa’s hydrodermabrasion systems within the U.S.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Medicreations </w:t>
      </w:r>
    </w:p>
    <w:p>
      <w:pPr>
        <w:pStyle w:val="TextBody"/>
        <w:bidi w:val="0"/>
        <w:spacing w:before="0" w:after="0"/>
        <w:ind w:left="0" w:right="0" w:firstLine="18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6, 2024, Hydrafacial filed a complaint against Medicreations LLC (“Medicreations”) in the United States District Court for Nevada, Case Number 2:24-cv-00855 (the “Medicreations Complaint”), for patent infringement arising from Medicreations’ sale of hydrodermabrasion systems that Hydrafacial alleged to have infringed twelve of Hydrafacial’s patents. The Medicreations Complaint is in its early stages, and Hydrafacial is seeking monetary damages and plans to vigorously pursue its claims against Medicreations.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Aesthetic Management Partners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July 8, 2024, Hydrafacial filed a complaint against Aesthetic Management Partners Inc. (“Aesthetic Management Partners”) in the United States District Court for the Western District of Tennessee, Case No. 2:24-cv-02480-JPM-TMP (the “AMP Complaint”), for patent infringement arising from Aesthetic Management Partners’ sale of hydrodermabrasion systems that Hydrafacial alleged to have infringed five of Hydrafacial’s patents on its device. The AMP Complaint is in its early stages, and Hydrafacial is seeking monetary damages and plans to vigorously pursue its claims against Aesthetic Management Partners.</w:t>
      </w:r>
    </w:p>
    <w:p>
      <w:pPr>
        <w:pStyle w:val="TextBody"/>
        <w:bidi w:val="0"/>
        <w:spacing w:before="0" w:after="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Medical Purchasing Resource</w:t>
      </w:r>
    </w:p>
    <w:p>
      <w:pPr>
        <w:pStyle w:val="TextBody"/>
        <w:bidi w:val="0"/>
        <w:spacing w:before="0" w:after="0"/>
        <w:ind w:left="0" w:right="0" w:firstLine="18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2024, Hydrafacial filed a complaint against Medical Purchasing Resource, LLC (“Medical Purchasing Resource”) in the United States District Court for the Central District of California, Case No. 2:24-cv-4655 (the “MPR Complaint”), for trademark infringement, false designation of origin, unfair competition, tortious interference, and other causes of action relating to Hydrafacial’s trademark rights. The MPR Complaint is in its early stages, and Hydrafacial is seeking monetary damages and plans to vigorously pursue its claims against Medical Purchasing Resource. </w:t>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Securities Class Action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a putative class action was filed in the United States District Court for the Central District of California against the Company, its then-current president and chief executive officer, Andrew Stanleick, its former chief financial officer, Liyuan Woo, and its current chief financial officer, Michael Monahan. The complaint, styled Abduladhim A. Alghazwi, individually and on behalf of all others similarly situated, v. The Beauty Health Company, Andrew Stanleick, Liyuan Woo, and Michael Monahan, Case No. 2:23-cv-09733 (C.D. Ca.) (the “Securities Class Action”), asserts claims for violation of Section 10(b) of the Securities Exchange Act of 1934, as amended (the “Exchange Act”) and Rule 10b-5 promulgated thereunder against all defendants (First Claim), and violation of Section 20(a) of the Exchange Act against the individual defendants (Second Claim). The complaint alleges that, between May 10, 2022 and November 13, 2023, defendants materially misled the investing public by publicly issuing false and/or misleading statements and/or omissions relating to Hydrafacial's business, operations, and prospects, specifically with respect to the performance of and demand for the Syndeo 1.0 and 2.0 devices. The relief sought in the complaint includes a request for compensatory damages suffered by the plaintiff and other members of the putative class for damages allegedly sustained as a result of the alleged securities violations.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16, 2024, putative class members Jeff and Kevin Brown (the “Browns”), Priscilla and Martjn Dijkgraaf (the “Dijkgraafs”), and Joseph Jou filed three competing motions for appointment as lead plaintiff under the Private Securities Litigation Reform Act (“PSLRA”), 17 U.S.C. § 78u-4(a)(3). On January 31, 2024, Joseph Jou filed a notice of non-opposition to the Browns’ and Dijkgraafs’ motions for appointment as lead plaintiff. On May 2, 2024, the court granted the Dijkgraafs’ motion for appointment as lead plaintiff and approved the Dijkgraafs’ counsel, Hagens Berman, as lead counsel. On May 9, 2024, the parties submitted a joint stipulation to the court setting forth a proposed schedule for the filing of an amended complaint and defendants’ response thereto. The proposed schedule has not yet been approved by the court. On July 1, 2024, lead plaintiffs filed a consolidated amended class action complaint asserting the same causes of action as the original complaint. The Securities Class Action case is assigned to U.S. District Judge Sherilyn Peace Garnett.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Securities Class Action have no merit and intends to vigorously defend them. The Company is unable to reasonably estimate the possible loss or range of loss, if any, associated with these claims, and, accordingly, it has not accrued any liability associated with the Securities Class Action.</w:t>
      </w:r>
    </w:p>
    <w:p>
      <w:pPr>
        <w:pStyle w:val="TextBody"/>
        <w:bidi w:val="0"/>
        <w:spacing w:before="0" w:after="0"/>
        <w:ind w:left="0" w:right="0" w:firstLine="180"/>
        <w:jc w:val="left"/>
        <w:rPr/>
      </w:pPr>
      <w:r>
        <w:rPr/>
      </w:r>
    </w:p>
    <w:p>
      <w:pPr>
        <w:pStyle w:val="TextBody"/>
        <w:bidi w:val="0"/>
        <w:spacing w:lineRule="auto" w:line="256"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Consolidated Derivative Action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8, 2024, a derivative complaint was filed in the Delaware Court of Chancery against the Company’s former president and chief executive officer, Andrew Stanleick; its former chief financial officer, Liyuan Woo, and current members of the Company’s board of directors (the “Board of Directors”): Brenton Saunders, Marla Beck, Michael Capellas, Julius Few, Desiree Gruber, Michelle Kerrick, Brian Miller, and Doug Schillinger, with the Company as the nominal defendant. The complaint, styled Margie Elstein, derivatively on behalf of The Beauty Health Company v. Brenton Saunders, Marla Beck, Michael Capellas, Julius Few, Desiree Gruber, Michelle C. Kerrick, Brian Miller, Doug Schillinger Andrew Stanleick, and Liyuan Woo, C.A. No. 2024-0114-LWW (Del. Ch.) (the “Elstein Derivative Action”), asserts a single claim for breach of fiduciary duty against the individual defendants based on the alleged disclosure of knowingly false information and/or the alleged failure to respond to red flags relating to Hydrafacial’s business, operations, and prospects, specifically with respect to the performance of and demand for the Syndeo 1.0 and 2.0 devices. The plaintiff-stockholder further maintains that no demand was made upon the Company’s Board of Directors prior to the initiation of the Elstein Derivative Action based on allegations that a majority of the Board of Directors was not disinterested or independent with respect to the fiduciary duty claim, such that demand should be excused as futile. The relief sought in the complaint includes a finding of demand futility, a finding that the individual defendants are liable for breaching their fiduciary duties (as current/former officers and directors), and an award of compensatory damages for harm suffered by the Company and its stockholders for harm allegedly sustained as a result of the alleged fiduciary duty violation.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a derivative complaint was filed in the Delaware Court of Chancery against the Company’s former president and chief executive officer, Andrew Stanleick; its former chief financial officer, Liyuan Woo, and current members of the Company’s Board of Directors: Brent Saunders, Marla Beck, Michael Capellas, Julius Few, Desiree Gruber, Michelle Kerrick, Brian Miller, and Doug Schillinger, with the Company as the nominal defendant. The complaint, styled Richard Montague, derivatively on behalf of The Beauty Health Company v. Andrew Stanleick, Liyuan Woo, Brent Saunders, Marla Beck, Michael Capellas, Julius Few, Desiree Gruber, Michelle C. Kerrick, Brian Miller, and Doug Schillinger, C.A. No. 2024-0463-LWW (Del. Ch) (the “Montague Derivative Action”), asserts claims for (i) breach of fiduciary duty, (ii) gross mismanagement, (iii) waste of corporate assets, (iv) unjust enrichment, and (v) aiding and abetting against the individual defendants based on allegations that the individual defendants made materially false and/or misleading statements, as well as failing to disclose material adverse facts about the Company’s business, operations, and prospects, specifically relating to the Syndeo 1.0 and 2.0 devices. The relief sought in the Montague Derivative Action includes (a) awarding damages for harm suffered by the Company allegedly sustained as a result of the individual defendants’ alleged breach of fiduciary duties, gross mismanagement, waste of corporate assets, and unjust enrichment, (b) awarding damages for harm suffered by the Company allegedly sustained as a result of the Company’s directors’ alleged aiding and abetting of breaching their fiduciary duties, (c) directing the Company to reform and improve its corporate governance and internal procedures, to comply with its existing governance obligations and all applicable laws, and to protect its investors from a recurrence of the alleged damaging events, and (d) awarding the plaintiff-stockholder the costs and disbursements of the Montague Derivative Action, including reasonable attorneys’ fees, accountants’ and experts’ fees, costs, and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22, 2024, the parties to the Elstein Derivative Action and Montague Derivative Action submitted a Stipulation and Proposed Order Governing Consolidation, Appointment of Lead, and Deadline to Respond to Operative Complaint. On May 24, 2024, Vice Chancellor Will, who was assigned to both the Elstein Derivative Action and the Montague Derivative Action, entered the Stipulation and Order Governing Consolidation, Appointment of Lead, and Deadline to Respond to Operative Complaint (the “Consolidation Order”). Per the Consolidation Order, the Elstein Derivative Action and the Montague Derivative Action were consolidated into a single derivative action, styled In re The Beauty Health Company Consolidated Stockholder Derivative Litigation, C.A. No. 2024-0114-LWW (Del. Ch.) (the “Consolidated Derivative Action”). The Consolidation Order designated the law firms of Gainey McKenna &amp; Egleston and Komlossy Law, P.A. as co-lead counsel for plaintiffs in the Consolidated Derivative Action, and designated the law firm of Cooch and Taylor, P.A. as Delaware counsel for plaintiffs in the Consolidated Derivative Action. Additionally, the Consolidation Order designated the complaint filed in the Elstein Derivative Action as the operative complaint for the Consolidated Derivative Action (the “Operative Complaint”), further providing that defendants are not obligated to answer or otherwise respond to the complaint filed in the Montague Derivative Action. The Consolidation Order further provided that defendants shall answer or otherwise respond to the Operative Complaint by August 25,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claims asserted in the Consolidated Derivative Action have no merit and intends to vigorously defend them. The Company is unable to reasonably estimate the possible loss or range of loss, if any, associated with these claims, and, accordingly, it has not accrued any liability associated with the Consolidated Derivative Action.</w:t>
      </w:r>
    </w:p>
    <w:p>
      <w:pPr>
        <w:pStyle w:val="TextBody"/>
        <w:bidi w:val="0"/>
        <w:spacing w:before="0" w:after="0"/>
        <w:jc w:val="left"/>
        <w:rPr/>
      </w:pPr>
      <w:r>
        <w:rPr/>
      </w:r>
    </w:p>
    <w:p>
      <w:pPr>
        <w:pStyle w:val="TextBody"/>
        <w:bidi w:val="0"/>
        <w:spacing w:lineRule="auto" w:line="256" w:before="0" w:after="0"/>
        <w:ind w:left="0" w:right="0" w:firstLine="180"/>
        <w:jc w:val="left"/>
        <w:rPr/>
      </w:pPr>
      <w:r>
        <w:rPr>
          <w:rFonts w:ascii="Times New Roman;sans-serif" w:hAnsi="Times New Roman;sans-serif"/>
          <w:b w:val="false"/>
          <w:i/>
          <w:color w:val="000000"/>
          <w:sz w:val="20"/>
        </w:rPr>
        <w:t>Securities and Exchange Commission</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i/>
          <w:color w:val="000000"/>
          <w:sz w:val="20"/>
        </w:rPr>
        <w:t>the</w:t>
      </w:r>
      <w:r>
        <w:rPr>
          <w:color w:val="000000"/>
        </w:rPr>
        <w:t xml:space="preserve"> “</w:t>
      </w:r>
      <w:r>
        <w:rPr>
          <w:rFonts w:ascii="Times New Roman;sans-serif" w:hAnsi="Times New Roman;sans-serif"/>
          <w:b w:val="false"/>
          <w:i/>
          <w:color w:val="000000"/>
          <w:sz w:val="20"/>
        </w:rPr>
        <w:t xml:space="preserve">SEC”) Subpoena </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Division of Enforcement of the SEC has issued a subpoena in connection with a formal order of investigation of the Company seeking documents and information from us. The Company is in the process of responding to the subpoena and intends to fully cooperate with the SEC investigation. We cannot predict the duration, scope, or outcome of this matter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Related-Party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entered into that certain Amended and Restated Registration Rights Agreement (the “Registration Rights Agreement”) with BLS Investor Group LLC and the Hydrafacial Stockholders.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Registration Rights Agreement, (i) any outstanding shares of Class A Common Stock or any other equity securities (including the Private Placement Warrants and including shares of Class A Common Stock issued or issuable upon the exercise of any other equity security) of the Company held by BLS Investor Group LLC (the “Sponsor”) or the Hydrafacial Stockholders (together, the “Restricted Stockholders”) as of the date of the Registration Rights Agreement or thereafter acquired by a Restricted Stockholder (including the shares of Class A Common Stock issued upon conversion of the 11,500,000 shares of Class B common stock (the “Founder Shares”) that were owned by the Sponsor and converted into shares of Class A Common Stock in connection with the Business Combination and upon exercise of any Private Placement Warrants) and shares of Class A Common Stock issued as earn-out shares to the Hydrafacial Stockholders and (ii) any other equity security of the Company issued or issuable with respect to any such share of common stock by way of a stock dividend or stock split or in connection with a combination of shares, recapitalization, merger, consolidation or other reorganization or otherwise will be entitled to registration rights.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Registration Rights Agreement provides that the Company will, within 60 days after the consummation of the Business Combination, file with the SEC a shelf registration statement registering the resale of the shares of common stock held by the Restricted Stockholders and will use its reasonable best efforts to have such registration statement declared effective as soon as practicable after the filing thereof, but in no event later than 60 days following the filing deadline. The Company filed such registration statement on July 19, 2021 and it was declared effective by the SEC on July 26, 2021. The Hydrafacial Stockholders are entitled to make up to an aggregate of two demands for registration, excluding short form demands, that the Company register shares of common stock held by these parties. In addition, the Restricted Stockholders have certain “piggy-back” registration rights. The Company will bear the expenses incurred in connection with the filing of any registration statements filed pursuant to the terms of the Registration Rights Agreement. The Company and the Restricted Stockholders agree in the Registration Rights Agreement to provide customary indemnification in connection with any offerings of common stock effected pursuant to the terms of the Registration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Registration Rights Agreement, the Sponsor agreed to restrictions on the transfer of its securities issued in the Company’s initial public offering, which (i) in the case of the Founder Shares is one year after the completion of the Business Combination unless (A) the closing price of the common stock equals or exceeds $12.00 per share for 20 days out of any 30-trading-day period commencing at least 150 days following the Closing of the Business Combination or (B) the Company completes a liquidation, merger, capital stock exchange, reorganization or other similar transaction that results in all of the Company’s stockholders having the right to exchange their shares of common stock for cash, securities or other property, and (ii) in the case of the Private Placement Warrants and the respective Class A Common Stock underlying the Private Placement Warrants is 30 days after the completion of the Business Combination. The Sponsor and its permitted transferees will also be required, subject to the terms and conditions in the Registration Rights Agreement, not to transfer their Private Placement Warrants (as defined in the Registration Rights Agreement) or shares of common stock issuable upon the exercise thereof for 30 days following the Closing.</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Investor Rights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Business Combination, on May 4, 2021, the Company and LCP Edge Holdco, LLC entered into that certain Investor Rights Agreement (the “Investor Rights Agreement”). Pursuant to the Investor Rights Agreement, LCP has the right to designate a number of directors for appointment or election to the Company’s Board of Directors as follows: (i) one director for so long as LCP holds at least 10% of the outstanding Class A Common Stock, (ii) two directors for so long as LCP holds at least 15% of the outstanding Class A Common Stock, and (iii) three directors for so long as LCP holds at least 40% of the outstanding Class A Common Stock. Pursuant to the Investor Rights Agreement, for so long as LCP holds at least 10% of the outstanding Class A Common Stock, LCP will be entitled to have at least one of its designees represented on the compensation committee and nominating committee and corporate governance committee of the Company’s Board of Directors.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12 — Stockholders' Equity</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Company is authorized to issue 320,000,000 shares of Class A Common Stock, par value of $0.0001 per share. Holders of Class A Common Stock are entitled to </w:t>
      </w:r>
      <w:r>
        <w:rPr>
          <w:rFonts w:ascii="Times New Roman;sans-serif" w:hAnsi="Times New Roman;sans-serif"/>
          <w:b w:val="false"/>
          <w:color w:val="000000"/>
          <w:sz w:val="20"/>
        </w:rPr>
        <w:t>one</w:t>
      </w:r>
      <w:r>
        <w:rPr>
          <w:color w:val="231F20"/>
        </w:rPr>
        <w:t xml:space="preserve"> </w:t>
      </w:r>
      <w:r>
        <w:rPr>
          <w:rFonts w:ascii="Times New Roman;sans-serif" w:hAnsi="Times New Roman;sans-serif"/>
          <w:b w:val="false"/>
          <w:color w:val="231F20"/>
          <w:sz w:val="20"/>
        </w:rPr>
        <w:t>vote for each share. As of June 30, 2024 and December 31, 2023, there were 123,993,785 and 122,899,002, respectively, of Class A Common Stock issued and outstanding. The Company has not declared or paid any dividends with respect to its Class A Common Stock</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Common Stock Repurchases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12, 2023, the Company’s Board of Directors approved a share repurchase program authorizing the Company to repurchase up to $100.0 million of the Company’s Class A Common Stock. Under the share repurchase program, repurchases can be made from time to time using a variety of methods, which may include open market purchases, privately negotiated transactions, transactions structured through investment banking institutions, or a combination of the foregoing. Under this share repurchase program, for the year ended December 31, 2023, the Company repurchased and retired 10.4 million shares for $30.2 million excluding taxes. During the three and six months ended June 30, 2024, the Company did not repurchase any shares of its common stock.</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The</w:t>
      </w:r>
      <w:r>
        <w:rPr>
          <w:color w:val="000000"/>
        </w:rPr>
        <w:t xml:space="preserve"> </w:t>
      </w:r>
      <w:r>
        <w:rPr>
          <w:rFonts w:ascii="Times New Roman;sans-serif" w:hAnsi="Times New Roman;sans-serif"/>
          <w:b w:val="false"/>
          <w:color w:val="000000"/>
          <w:sz w:val="20"/>
        </w:rPr>
        <w:t xml:space="preserve">Company is authorized to issue 1,000,000 shares of preferred stock with a par value of $0.0001 per share with such designations, voting and other rights and preferences as may be determined from time to time by the Company’s Board of Directors. At June 30, 2024 and </w:t>
      </w:r>
      <w:r>
        <w:rPr>
          <w:rFonts w:ascii="Times New Roman;sans-serif" w:hAnsi="Times New Roman;sans-serif"/>
          <w:b w:val="false"/>
          <w:color w:val="231F20"/>
          <w:sz w:val="20"/>
        </w:rPr>
        <w:t>December 31, 2023</w:t>
      </w:r>
      <w:r>
        <w:rPr>
          <w:rFonts w:ascii="Times New Roman;sans-serif" w:hAnsi="Times New Roman;sans-serif"/>
          <w:b w:val="false"/>
          <w:color w:val="000000"/>
          <w:sz w:val="20"/>
        </w:rPr>
        <w:t>, there were no shares of preferred stock issued or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13 — Net Income (Loss) Attributable to Common Stockholders</w:t>
      </w:r>
    </w:p>
    <w:p>
      <w:pPr>
        <w:pStyle w:val="TextBody"/>
        <w:bidi w:val="0"/>
        <w:spacing w:before="0" w:after="0"/>
        <w:jc w:val="left"/>
        <w:rPr/>
      </w:pPr>
      <w:r>
        <w:rPr/>
      </w:r>
    </w:p>
    <w:p>
      <w:pPr>
        <w:pStyle w:val="TextBody"/>
        <w:bidi w:val="0"/>
        <w:spacing w:lineRule="auto" w:line="288" w:before="0" w:after="120"/>
        <w:jc w:val="left"/>
        <w:rPr/>
      </w:pPr>
      <w:r>
        <w:rPr>
          <w:rFonts w:ascii="Times New Roman;sans-serif" w:hAnsi="Times New Roman;sans-serif"/>
          <w:b w:val="false"/>
          <w:color w:val="231F20"/>
          <w:sz w:val="20"/>
        </w:rPr>
        <w:t xml:space="preserve">The following table sets forth the calculation of both basic and diluted net </w:t>
      </w:r>
      <w:r>
        <w:rPr>
          <w:rFonts w:ascii="Times New Roman;sans-serif" w:hAnsi="Times New Roman;sans-serif"/>
          <w:b w:val="false"/>
          <w:color w:val="000000"/>
          <w:sz w:val="20"/>
        </w:rPr>
        <w:t>income (loss)</w:t>
      </w:r>
      <w:r>
        <w:rPr>
          <w:color w:val="231F20"/>
        </w:rPr>
        <w:t xml:space="preserve"> </w:t>
      </w:r>
      <w:r>
        <w:rPr>
          <w:rFonts w:ascii="Times New Roman;sans-serif" w:hAnsi="Times New Roman;sans-serif"/>
          <w:b w:val="false"/>
          <w:color w:val="231F20"/>
          <w:sz w:val="20"/>
        </w:rPr>
        <w:t xml:space="preserve">per share as follows for the periods indicated: </w:t>
      </w:r>
    </w:p>
    <w:tbl>
      <w:tblPr>
        <w:tblW w:w="10205" w:type="dxa"/>
        <w:jc w:val="left"/>
        <w:tblInd w:w="0" w:type="dxa"/>
        <w:tblLayout w:type="fixed"/>
        <w:tblCellMar>
          <w:top w:w="28" w:type="dxa"/>
          <w:left w:w="28" w:type="dxa"/>
          <w:bottom w:w="28" w:type="dxa"/>
          <w:right w:w="28" w:type="dxa"/>
        </w:tblCellMar>
      </w:tblPr>
      <w:tblGrid>
        <w:gridCol w:w="1427"/>
        <w:gridCol w:w="1174"/>
        <w:gridCol w:w="1178"/>
        <w:gridCol w:w="264"/>
        <w:gridCol w:w="922"/>
        <w:gridCol w:w="109"/>
        <w:gridCol w:w="109"/>
        <w:gridCol w:w="109"/>
        <w:gridCol w:w="109"/>
        <w:gridCol w:w="302"/>
        <w:gridCol w:w="884"/>
        <w:gridCol w:w="109"/>
        <w:gridCol w:w="109"/>
        <w:gridCol w:w="109"/>
        <w:gridCol w:w="109"/>
        <w:gridCol w:w="264"/>
        <w:gridCol w:w="922"/>
        <w:gridCol w:w="109"/>
        <w:gridCol w:w="109"/>
        <w:gridCol w:w="109"/>
        <w:gridCol w:w="109"/>
        <w:gridCol w:w="264"/>
        <w:gridCol w:w="922"/>
        <w:gridCol w:w="109"/>
        <w:gridCol w:w="109"/>
        <w:gridCol w:w="156"/>
      </w:tblGrid>
      <w:tr>
        <w:trPr/>
        <w:tc>
          <w:tcPr>
            <w:tcW w:w="14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265"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thousands, except share and per share amounts)</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income (loss) available to common stockholders - basic</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231F20"/>
                <w:sz w:val="20"/>
              </w:rPr>
              <w:t xml:space="preserve">Adjustments related to Convertible Notes </w:t>
            </w:r>
            <w:r>
              <w:rPr>
                <w:rFonts w:ascii="Times New Roman;sans-serif" w:hAnsi="Times New Roman;sans-serif"/>
                <w:b w:val="false"/>
                <w:color w:val="231F2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 income available to common stockholders - diluted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(28,199)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123,718,797 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132,716,024 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123,417,353 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132,569,209 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Effect of dilutive shares: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Notes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18,208,953 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19,782,868 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Weighted average common shares outstanding - diluted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141,927,750 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132,716,024 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143,200,221 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132,569,209 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Basic net income (loss) per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Dilutive net (loss) income per share: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For the three and six months ended June 30, 2024, the adjustments related to Convertible Notes include the net gain on repurchase offset by interest expense and amortization of debt issuance costs related to our Notes (net of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shares have been excluded from the calculation of the weighted average diluted shares outstanding as the effect would have been anti-dilutive: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97"/>
        <w:gridCol w:w="1050"/>
        <w:gridCol w:w="1019"/>
        <w:gridCol w:w="603"/>
        <w:gridCol w:w="373"/>
        <w:gridCol w:w="232"/>
        <w:gridCol w:w="232"/>
        <w:gridCol w:w="232"/>
        <w:gridCol w:w="232"/>
        <w:gridCol w:w="750"/>
        <w:gridCol w:w="331"/>
        <w:gridCol w:w="232"/>
        <w:gridCol w:w="109"/>
        <w:gridCol w:w="109"/>
        <w:gridCol w:w="109"/>
        <w:gridCol w:w="552"/>
        <w:gridCol w:w="424"/>
        <w:gridCol w:w="214"/>
        <w:gridCol w:w="214"/>
        <w:gridCol w:w="214"/>
        <w:gridCol w:w="214"/>
        <w:gridCol w:w="696"/>
        <w:gridCol w:w="385"/>
        <w:gridCol w:w="214"/>
        <w:gridCol w:w="109"/>
        <w:gridCol w:w="159"/>
      </w:tblGrid>
      <w:tr>
        <w:trPr/>
        <w:tc>
          <w:tcPr>
            <w:tcW w:w="119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268" w:type="dxa"/>
            <w:gridSpan w:val="2"/>
            <w:tcBorders/>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Convertible Notes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23,614,425 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23,614,425 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7,050,916 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4,518,083 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7,050,916 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4,518,083 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Stock Options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3,617,970 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4,294,507 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3,617,970 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4,294,507 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Performance-based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2,302,162 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2,168,560 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2,302,162 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2,168,560 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66"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64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income and shares related to the Private Placement Warrants were excluded from the calculation of diluted net (loss) income per common share because their effect would be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14 — New Accounting Pronouncements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Standards Accounting Board (“FASB”) issued Accounting Standards Update 2023-07 "Segment Reporting (Topic 280): Improvements to Reportable Segment Disclosures" which expands annual and interim disclosure requirements for reportable segments, primarily through enhanced disclosures about significant segment expenses. ASU 2023-07 is effective for annual periods beginning January 1, 2024, and for interim periods beginning January 1, 2025, with early adoption permitted.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to expand the disclosure requirements for income taxes, specifically related to the rate reconciliation and income taxes paid. ASU 2023-09 is effective for annual periods beginning January 1, 2025, with early adoption permitted. The Company is currently evaluating the potential effect that the updated standard will have on its financial statement disclosures.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FASB issued ASU 2024-02 "Codification Improvements—Amendments to Remove References to the Concepts Statements." ASU 2024-02 amends the FASB Accounting Standards Codification to remove references to various FASB Concept Statements. The amendments are considered to be codification improvements only and are effective for annual periods beginning January 1, 2025, with early adoption permitted. Adoption of ASU 2024-02 is not expected to have a material impact to our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15 — Syndeo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stand behind its commitment to its customers and protect the Company’s brand reputation, during October 2023, the Company’s management decided that, with respect to Syndeo devices, the Company will only market and sell Syndeo 3.0 devices. The Company provided, at no cost to the customer, the option of (i) a technician upgrade to their Syndeo 1.0 or 2.0 devices to 3.0 standards in the field; or (ii) a replacement Syndeo 3.0 device for their existing device (the “Syndeo Program”). Additionally, the Company extended the customer’s warranty by one year for each system from the date it was either brought to the 3.0 standards or the customer received a Syndeo 3.0 device. As of June 30, 2024, the Syndeo Program is substantially complete.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accrued costs of $21.0 million, primarily for the estimated cost to remediate, upgrade or exchange the remaining Syndeo 1.0 and 2.0 builds.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Syndeo Program usage for the three and six months ended June 30, 2024 (in thousands):</w:t>
      </w:r>
    </w:p>
    <w:p>
      <w:pPr>
        <w:pStyle w:val="TextBody"/>
        <w:bidi w:val="0"/>
        <w:spacing w:before="0" w:after="0"/>
        <w:jc w:val="left"/>
        <w:rPr/>
      </w:pPr>
      <w:r>
        <w:rPr/>
      </w:r>
    </w:p>
    <w:tbl>
      <w:tblPr>
        <w:tblW w:w="4625" w:type="dxa"/>
        <w:jc w:val="left"/>
        <w:tblInd w:w="0" w:type="dxa"/>
        <w:tblLayout w:type="fixed"/>
        <w:tblCellMar>
          <w:top w:w="28" w:type="dxa"/>
          <w:left w:w="28" w:type="dxa"/>
          <w:bottom w:w="28" w:type="dxa"/>
          <w:right w:w="28" w:type="dxa"/>
        </w:tblCellMar>
      </w:tblPr>
      <w:tblGrid>
        <w:gridCol w:w="1281"/>
        <w:gridCol w:w="1125"/>
        <w:gridCol w:w="1133"/>
        <w:gridCol w:w="211"/>
        <w:gridCol w:w="72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Usage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Usage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liability as of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for the three months ended June 30, 2024 (the “Quarterly Report on Form 10-Q”) contains “forward looking statements” within the meaning of the “safe harbor” provisions of the United States Private Securities Litigation Reform Act of 1995. When used in this Quarterly Report on Form 10-Q,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are not guarantees of future performance, conditions or results, and involve a number of known and unknown risks, uncertainties, assumptions and other important factors, many of which are outside the Company’s control, that could cause actual results or outcomes to differ materially from those discussed in the forward-looking statements. Factors that could cause or contribute to these differences include, but are not limited to, those identified below and those discussed in the section titled Risk Factors of this filing and our Annual Report on Form 10-K for the fiscal year ended December 31, 2023 filed with the Securities and Exchange Commission (the “SEC”) on March 12, 2024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Important factors, among others, that may affect actual results or outcomes include the inability to recognize the anticipated benefits of the business combination consummated on May 4, 2021 pursuant to a certain Agreement and Plan of Merger entered into by and among the Company and other parties (the “Business Combination”); costs related to the Business Combination; the Company’s availability of cash for debt service and exposure to risk of default under debt obligations; the Company’s ability to manage growth; the Company’s ability to execute its business plan; potential litigation involving the Company; changes in applicable laws or regulations; and the possibility that the Company may be adversely affected by other economic, business, and/or competitive factors. The Company does not undertake any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also with our audited consolidated financial statements and notes thereto included in our Annual Report on Form 10-K.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references to the “Company”, “Hydrafacial”, “we”, “us”, and “our” in this section are intended to mean the business and operations of The Beauty Health Company and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Beauty Health Company is a global category-creating company delivering skin health experiences that help consumers reinvent their relationship with their skin, bodies and self-confidence. The Company and its subsidiaries design, develop, manufacture, market, and sell esthetic technologies and products. The Company’s brands are pioneers: Hydrafacial in hydradermabrasion; SkinStylus in microneedling; and Keravive in scalp health. Together, with its powerful global community of estheticians, partners and consumers, the Company is personalizing skin health for all ages, genders, skin tones, and skin types.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Business and Macroeconomic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three and six months ended</w:t>
      </w:r>
      <w:r>
        <w:rPr>
          <w:color w:val="231F20"/>
        </w:rPr>
        <w:t xml:space="preserve">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we continued to execute against our plan to expand our footprint by selling and placing our patented hydradermabrasion delivery systems (“Delivery Systems”) worldwide, drive consumables, which consist of single-use tips, solutions, serums and other consumables used to provide a hydrafacial treatment that cleanses, extracts, and hydrates the skin (collectively “Consumables”), invest in our community of providers, partners, and consumers, drive brand awareness, and optimize our global infrastructure. Although we believe we can be successful in our current operating environment, various factors may impact our business in unpredictable ways such as: </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 xml:space="preserve">Disruptions in transportation and other supply chain related constraints, such as labor strife in the transportation industry; </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Global economic conditions, including inflation, recession, changes in foreign currency exchange rates, higher interest rates, and other changes in economic conditions; and</w:t>
      </w:r>
    </w:p>
    <w:p>
      <w:pPr>
        <w:pStyle w:val="TextBody"/>
        <w:bidi w:val="0"/>
        <w:spacing w:lineRule="auto" w:line="268" w:before="0" w:after="0"/>
        <w:ind w:left="0" w:right="0" w:hanging="360"/>
        <w:jc w:val="left"/>
        <w:rPr/>
      </w:pPr>
      <w:r>
        <w:rPr>
          <w:color w:val="231F20"/>
        </w:rPr>
        <w:t>•</w:t>
      </w:r>
      <w:r>
        <w:rPr>
          <w:rFonts w:ascii="Times New Roman;sans-serif" w:hAnsi="Times New Roman;sans-serif"/>
          <w:b w:val="false"/>
          <w:color w:val="231F20"/>
          <w:sz w:val="20"/>
        </w:rPr>
        <w:t xml:space="preserve">Ongoing issues related to new and older models of Hydrafacial’s current generation Delivery System, Syndeo (“Syndeo”), and our actions to remediate such ongoing issues. The Company executed replacements under the Syndeo Program and continues to address customer cases under warranty. </w:t>
      </w:r>
      <w:r>
        <w:rPr>
          <w:rFonts w:ascii="Times New Roman;sans-serif" w:hAnsi="Times New Roman;sans-serif"/>
          <w:b w:val="false"/>
          <w:color w:val="000000"/>
          <w:sz w:val="20"/>
        </w:rPr>
        <w:t>As of June 30, 2024, the Syndeo Program is substantially complete.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We may be able to offset cost pressures through increasing the selling prices of some of our products, increasing value engineering efforts to optimize product costs, increasing the diversification of our suppliers and supplier contracts, increasing natural foreign currency hedging, as applicable, and reducing discretionary spending. However, our pricing actions could have an adverse impact on demand, and may in turn, cause our providers to halt or decrease Delivery Systems and/or Consumables spending, and our actions may not be sufficient to cover unexpected increased costs that we may experience.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shd w:fill="FFFFFF" w:val="clear"/>
        </w:rPr>
      </w:pPr>
      <w:r>
        <w:rPr>
          <w:rFonts w:ascii="Times New Roman;sans-serif" w:hAnsi="Times New Roman;sans-serif"/>
          <w:b w:val="false"/>
          <w:color w:val="231F20"/>
          <w:sz w:val="20"/>
          <w:shd w:fill="FFFFFF" w:val="clear"/>
        </w:rPr>
        <w:t>Business and macroeconomic factors may also negatively impact, in the short-term or long-term, the global economy, the beauty health industry, our providers and their budgets with us, our business, the Company’s brand reputation, financial condition, and results of operations. We remain attentive to these business and macroeconomic conditions that may materially impact our business, and we continue to explore and implement reporting and quality management systems and risk mitigation strategies in the face of these unfolding conditions to remain agile in adopting to changing circumstances.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Comparison of Three Months Ended June 30, 2024 to Three Months Ended June 30,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three months ended June 30, 2024 and June 30, 2023 have been derived from the condensed consolidated financial statements included elsewhere in this Form 10-Q. Amounts and percentages may not foot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tbl>
      <w:tblPr>
        <w:tblW w:w="9366" w:type="dxa"/>
        <w:jc w:val="left"/>
        <w:tblInd w:w="0" w:type="dxa"/>
        <w:tblLayout w:type="fixed"/>
        <w:tblCellMar>
          <w:top w:w="28" w:type="dxa"/>
          <w:left w:w="28" w:type="dxa"/>
          <w:bottom w:w="28" w:type="dxa"/>
          <w:right w:w="28" w:type="dxa"/>
        </w:tblCellMar>
      </w:tblPr>
      <w:tblGrid>
        <w:gridCol w:w="1455"/>
        <w:gridCol w:w="1279"/>
        <w:gridCol w:w="1285"/>
        <w:gridCol w:w="211"/>
        <w:gridCol w:w="511"/>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45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r>
      <w:tr>
        <w:trPr/>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54.8 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42.2 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45.2 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57.8 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36.6 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34.7 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29.9 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69.6 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69.0 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from operations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(24.4)</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2.7 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(19.1)</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(gain),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income before provision for income taxes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(0.4)</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0.2 </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2.9 </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Net Sales</w:t>
      </w:r>
    </w:p>
    <w:tbl>
      <w:tblPr>
        <w:tblW w:w="6670" w:type="dxa"/>
        <w:jc w:val="left"/>
        <w:tblInd w:w="0" w:type="dxa"/>
        <w:tblLayout w:type="fixed"/>
        <w:tblCellMar>
          <w:top w:w="28" w:type="dxa"/>
          <w:left w:w="28" w:type="dxa"/>
          <w:bottom w:w="28" w:type="dxa"/>
          <w:right w:w="28" w:type="dxa"/>
        </w:tblCellMar>
      </w:tblPr>
      <w:tblGrid>
        <w:gridCol w:w="706"/>
        <w:gridCol w:w="621"/>
        <w:gridCol w:w="622"/>
        <w:gridCol w:w="228"/>
        <w:gridCol w:w="552"/>
        <w:gridCol w:w="117"/>
        <w:gridCol w:w="117"/>
        <w:gridCol w:w="117"/>
        <w:gridCol w:w="117"/>
        <w:gridCol w:w="228"/>
        <w:gridCol w:w="666"/>
        <w:gridCol w:w="117"/>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(46.3)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117.5 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(22.9)</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Percentage of net sales</w:t>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38.9%</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61.1%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89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231F20"/>
          <w:sz w:val="20"/>
        </w:rPr>
        <w:t xml:space="preserve">Total net sales for the three months ended June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$26.9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22.9%</w:t>
      </w:r>
      <w:r>
        <w:rPr>
          <w:rFonts w:ascii="Times New Roman;sans-serif" w:hAnsi="Times New Roman;sans-serif"/>
          <w:b w:val="false"/>
          <w:color w:val="231F20"/>
          <w:sz w:val="20"/>
        </w:rPr>
        <w:t xml:space="preserve">, compared to the three months ended June 30, 2023. Delivery Systems net sales for the three months ended June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$30.4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46.3%</w:t>
      </w:r>
      <w:r>
        <w:rPr>
          <w:rFonts w:ascii="Times New Roman;sans-serif" w:hAnsi="Times New Roman;sans-serif"/>
          <w:b w:val="false"/>
          <w:color w:val="231F20"/>
          <w:sz w:val="20"/>
        </w:rPr>
        <w:t>, compared to the three months ended June 30, 2023, with decreases across all regions. The decrease in Delivery Systems net sales reflects a challenging year-over-year comparison due to the prior year international launch of Syndeo, which included trade-up net sales. Delivery Systems net sales were negatively impacted globally by unfavorable macroeconomic and credit conditions and as the Company works to strengthen customer confidence in Syndeo.</w:t>
      </w:r>
    </w:p>
    <w:p>
      <w:pPr>
        <w:pStyle w:val="TextBody"/>
        <w:bidi w:val="0"/>
        <w:spacing w:lineRule="auto" w:line="288" w:before="240" w:after="283"/>
        <w:jc w:val="left"/>
        <w:rPr/>
      </w:pPr>
      <w:r>
        <w:rPr>
          <w:rFonts w:ascii="Times New Roman;sans-serif" w:hAnsi="Times New Roman;sans-serif"/>
          <w:b w:val="false"/>
          <w:color w:val="231F20"/>
          <w:sz w:val="20"/>
        </w:rPr>
        <w:t xml:space="preserve">Consumables net sales for the three months ended June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$3.5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6.7%</w:t>
      </w:r>
      <w:r>
        <w:rPr>
          <w:rFonts w:ascii="Times New Roman;sans-serif" w:hAnsi="Times New Roman;sans-serif"/>
          <w:b w:val="false"/>
          <w:color w:val="231F20"/>
          <w:sz w:val="20"/>
        </w:rPr>
        <w:t>, compared to the three months ended June 30, 2023. The increase in Consumables net sales was primarily attributable to increased placements of Delivery Systems and the adjoining consumption of Consumables during the three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tbl>
      <w:tblPr>
        <w:tblW w:w="5852" w:type="dxa"/>
        <w:jc w:val="left"/>
        <w:tblInd w:w="0" w:type="dxa"/>
        <w:tblLayout w:type="fixed"/>
        <w:tblCellMar>
          <w:top w:w="28" w:type="dxa"/>
          <w:left w:w="28" w:type="dxa"/>
          <w:bottom w:w="28" w:type="dxa"/>
          <w:right w:w="28" w:type="dxa"/>
        </w:tblCellMar>
      </w:tblPr>
      <w:tblGrid>
        <w:gridCol w:w="429"/>
        <w:gridCol w:w="377"/>
        <w:gridCol w:w="378"/>
        <w:gridCol w:w="211"/>
        <w:gridCol w:w="511"/>
        <w:gridCol w:w="271"/>
        <w:gridCol w:w="109"/>
        <w:gridCol w:w="109"/>
        <w:gridCol w:w="109"/>
        <w:gridCol w:w="211"/>
        <w:gridCol w:w="511"/>
        <w:gridCol w:w="271"/>
        <w:gridCol w:w="109"/>
        <w:gridCol w:w="109"/>
        <w:gridCol w:w="109"/>
        <w:gridCol w:w="211"/>
        <w:gridCol w:w="586"/>
        <w:gridCol w:w="109"/>
        <w:gridCol w:w="109"/>
        <w:gridCol w:w="109"/>
        <w:gridCol w:w="109"/>
        <w:gridCol w:w="230"/>
        <w:gridCol w:w="230"/>
        <w:gridCol w:w="33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(39.7)%</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Cost of sales for the three months ended June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$0.1 million, compared to the three months ended June 30, 2023 primarily due to higher inventory related charges, offset by lower net sales</w:t>
      </w:r>
      <w:r>
        <w:rPr>
          <w:rFonts w:ascii="Times New Roman;sans-serif" w:hAnsi="Times New Roman;sans-serif"/>
          <w:b w:val="false"/>
          <w:color w:val="231F20"/>
          <w:sz w:val="20"/>
        </w:rPr>
        <w:t xml:space="preserve">. Cost of sales for the three months ended June 30, 2024 include </w:t>
      </w:r>
      <w:r>
        <w:rPr>
          <w:rFonts w:ascii="Times New Roman;sans-serif" w:hAnsi="Times New Roman;sans-serif"/>
          <w:b w:val="false"/>
          <w:color w:val="000000"/>
          <w:sz w:val="20"/>
        </w:rPr>
        <w:t>$13.8 million</w:t>
      </w:r>
      <w:r>
        <w:rPr>
          <w:color w:val="231F20"/>
        </w:rPr>
        <w:t xml:space="preserve"> </w:t>
      </w:r>
      <w:r>
        <w:rPr>
          <w:rFonts w:ascii="Times New Roman;sans-serif" w:hAnsi="Times New Roman;sans-serif"/>
          <w:b w:val="false"/>
          <w:color w:val="231F20"/>
          <w:sz w:val="20"/>
        </w:rPr>
        <w:t xml:space="preserve">of inventory charges for discontinued, excess, obsolete inventory, including the write-down of Delivery System inventory to its net realizable value and the write-off of excess raw materials. Gross margin decreased to </w:t>
      </w:r>
      <w:r>
        <w:rPr>
          <w:rFonts w:ascii="Times New Roman;sans-serif" w:hAnsi="Times New Roman;sans-serif"/>
          <w:b w:val="false"/>
          <w:color w:val="000000"/>
          <w:sz w:val="20"/>
        </w:rPr>
        <w:t>45.2%</w:t>
      </w:r>
      <w:r>
        <w:rPr>
          <w:color w:val="231F20"/>
        </w:rPr>
        <w:t xml:space="preserve"> </w:t>
      </w:r>
      <w:r>
        <w:rPr>
          <w:rFonts w:ascii="Times New Roman;sans-serif" w:hAnsi="Times New Roman;sans-serif"/>
          <w:b w:val="false"/>
          <w:color w:val="231F20"/>
          <w:sz w:val="20"/>
        </w:rPr>
        <w:t xml:space="preserve">during the three months ended June 30, 2024 from </w:t>
      </w:r>
      <w:r>
        <w:rPr>
          <w:rFonts w:ascii="Times New Roman;sans-serif" w:hAnsi="Times New Roman;sans-serif"/>
          <w:b w:val="false"/>
          <w:color w:val="000000"/>
          <w:sz w:val="20"/>
        </w:rPr>
        <w:t>57.8%</w:t>
      </w:r>
      <w:r>
        <w:rPr>
          <w:color w:val="231F20"/>
        </w:rPr>
        <w:t xml:space="preserve"> </w:t>
      </w:r>
      <w:r>
        <w:rPr>
          <w:rFonts w:ascii="Times New Roman;sans-serif" w:hAnsi="Times New Roman;sans-serif"/>
          <w:b w:val="false"/>
          <w:color w:val="231F20"/>
          <w:sz w:val="20"/>
        </w:rPr>
        <w:t xml:space="preserve">during the three months ended </w:t>
      </w:r>
      <w:r>
        <w:rPr>
          <w:rFonts w:ascii="Times New Roman;sans-serif" w:hAnsi="Times New Roman;sans-serif"/>
          <w:b w:val="false"/>
          <w:color w:val="000000"/>
          <w:sz w:val="20"/>
        </w:rPr>
        <w:t>June 30, 2023</w:t>
      </w:r>
      <w:r>
        <w:rPr>
          <w:color w:val="231F20"/>
        </w:rPr>
        <w:t xml:space="preserve"> </w:t>
      </w:r>
      <w:r>
        <w:rPr>
          <w:rFonts w:ascii="Times New Roman;sans-serif" w:hAnsi="Times New Roman;sans-serif"/>
          <w:b w:val="false"/>
          <w:color w:val="231F20"/>
          <w:sz w:val="20"/>
        </w:rPr>
        <w:t>primarily due to higher inventory related charges resulting from the inventory write-downs.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7159" w:type="dxa"/>
        <w:jc w:val="left"/>
        <w:tblInd w:w="0" w:type="dxa"/>
        <w:tblLayout w:type="fixed"/>
        <w:tblCellMar>
          <w:top w:w="28" w:type="dxa"/>
          <w:left w:w="28" w:type="dxa"/>
          <w:bottom w:w="28" w:type="dxa"/>
          <w:right w:w="28" w:type="dxa"/>
        </w:tblCellMar>
      </w:tblPr>
      <w:tblGrid>
        <w:gridCol w:w="864"/>
        <w:gridCol w:w="759"/>
        <w:gridCol w:w="761"/>
        <w:gridCol w:w="211"/>
        <w:gridCol w:w="511"/>
        <w:gridCol w:w="271"/>
        <w:gridCol w:w="109"/>
        <w:gridCol w:w="109"/>
        <w:gridCol w:w="109"/>
        <w:gridCol w:w="211"/>
        <w:gridCol w:w="511"/>
        <w:gridCol w:w="271"/>
        <w:gridCol w:w="109"/>
        <w:gridCol w:w="109"/>
        <w:gridCol w:w="109"/>
        <w:gridCol w:w="211"/>
        <w:gridCol w:w="586"/>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43.0 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for the three months ended June 30, 2024 decreased $12.6 million, or 29.2%, compared to the three months ended June 30, 2023. The decrease is primarily driven by lower personnel-related expenses, including sales commission expense and lower marketing spend.</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7049" w:type="dxa"/>
        <w:jc w:val="left"/>
        <w:tblInd w:w="0" w:type="dxa"/>
        <w:tblLayout w:type="fixed"/>
        <w:tblCellMar>
          <w:top w:w="28" w:type="dxa"/>
          <w:left w:w="28" w:type="dxa"/>
          <w:bottom w:w="28" w:type="dxa"/>
          <w:right w:w="28" w:type="dxa"/>
        </w:tblCellMar>
      </w:tblPr>
      <w:tblGrid>
        <w:gridCol w:w="879"/>
        <w:gridCol w:w="772"/>
        <w:gridCol w:w="778"/>
        <w:gridCol w:w="227"/>
        <w:gridCol w:w="437"/>
        <w:gridCol w:w="292"/>
        <w:gridCol w:w="117"/>
        <w:gridCol w:w="117"/>
        <w:gridCol w:w="117"/>
        <w:gridCol w:w="227"/>
        <w:gridCol w:w="437"/>
        <w:gridCol w:w="292"/>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three months ended June 30, 2024 decreased $1.7 million, or 59.8%, compared to the three months ended June 30, 2023. The decrease is primarily driven by lower personnel-related expenses, including share-based compensation expense.</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7100" w:type="dxa"/>
        <w:jc w:val="left"/>
        <w:tblInd w:w="0" w:type="dxa"/>
        <w:tblLayout w:type="fixed"/>
        <w:tblCellMar>
          <w:top w:w="28" w:type="dxa"/>
          <w:left w:w="28" w:type="dxa"/>
          <w:bottom w:w="28" w:type="dxa"/>
          <w:right w:w="28" w:type="dxa"/>
        </w:tblCellMar>
      </w:tblPr>
      <w:tblGrid>
        <w:gridCol w:w="879"/>
        <w:gridCol w:w="772"/>
        <w:gridCol w:w="779"/>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General and administrative expense for the three months ended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231F20"/>
          <w:sz w:val="20"/>
        </w:rPr>
        <w:t>$3.7 million, or 10.5%, compared to the three months ended June 30, 2023. The decrease is primarily driven by lower personnel-related expenses, including share-based compensation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Interest Income, Change in Fair Value of Warrant Liabilities, and Other Income, Net</w:t>
      </w:r>
    </w:p>
    <w:tbl>
      <w:tblPr>
        <w:tblW w:w="8173" w:type="dxa"/>
        <w:jc w:val="left"/>
        <w:tblInd w:w="0" w:type="dxa"/>
        <w:tblLayout w:type="fixed"/>
        <w:tblCellMar>
          <w:top w:w="28" w:type="dxa"/>
          <w:left w:w="28" w:type="dxa"/>
          <w:bottom w:w="28" w:type="dxa"/>
          <w:right w:w="28" w:type="dxa"/>
        </w:tblCellMar>
      </w:tblPr>
      <w:tblGrid>
        <w:gridCol w:w="1251"/>
        <w:gridCol w:w="1097"/>
        <w:gridCol w:w="1102"/>
        <w:gridCol w:w="223"/>
        <w:gridCol w:w="620"/>
        <w:gridCol w:w="115"/>
        <w:gridCol w:w="115"/>
        <w:gridCol w:w="115"/>
        <w:gridCol w:w="115"/>
        <w:gridCol w:w="223"/>
        <w:gridCol w:w="620"/>
        <w:gridCol w:w="115"/>
        <w:gridCol w:w="109"/>
        <w:gridCol w:w="109"/>
        <w:gridCol w:w="109"/>
        <w:gridCol w:w="211"/>
        <w:gridCol w:w="586"/>
        <w:gridCol w:w="109"/>
        <w:gridCol w:w="109"/>
        <w:gridCol w:w="109"/>
        <w:gridCol w:w="109"/>
        <w:gridCol w:w="293"/>
        <w:gridCol w:w="293"/>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231F20"/>
              </w:rPr>
            </w:pPr>
            <w:r>
              <w:rPr>
                <w:color w:val="231F2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Interest income for the three months ended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231F20"/>
          <w:sz w:val="20"/>
        </w:rPr>
        <w:t xml:space="preserve">$1.5 million compared to the three months ended </w:t>
      </w:r>
      <w:r>
        <w:rPr>
          <w:rFonts w:ascii="Times New Roman;sans-serif" w:hAnsi="Times New Roman;sans-serif"/>
          <w:b w:val="false"/>
          <w:color w:val="000000"/>
          <w:sz w:val="20"/>
        </w:rPr>
        <w:t>June 30, 2023</w:t>
      </w:r>
      <w:r>
        <w:rPr>
          <w:color w:val="231F20"/>
        </w:rPr>
        <w:t xml:space="preserve"> </w:t>
      </w:r>
      <w:r>
        <w:rPr>
          <w:rFonts w:ascii="Times New Roman;sans-serif" w:hAnsi="Times New Roman;sans-serif"/>
          <w:b w:val="false"/>
          <w:color w:val="231F20"/>
          <w:sz w:val="20"/>
        </w:rPr>
        <w:t xml:space="preserve">primarily due to lower average invested balances during the three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three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recognized income of $4.0 million related to the change in the fair value of the warrant liabilities, a decrease of $7.5 million, as compared to income of $11.6 million for the three months ended </w:t>
      </w:r>
      <w:r>
        <w:rPr>
          <w:rFonts w:ascii="Times New Roman;sans-serif" w:hAnsi="Times New Roman;sans-serif"/>
          <w:b w:val="false"/>
          <w:color w:val="000000"/>
          <w:sz w:val="20"/>
        </w:rPr>
        <w:t>June 30, 2023</w:t>
      </w:r>
      <w:r>
        <w:rPr>
          <w:rFonts w:ascii="Times New Roman;sans-serif" w:hAnsi="Times New Roman;sans-serif"/>
          <w:b w:val="false"/>
          <w:color w:val="231F20"/>
          <w:sz w:val="20"/>
        </w:rPr>
        <w:t>, driven primarily by the fluctuation of the Company’s stock price.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three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recognized </w:t>
      </w:r>
      <w:r>
        <w:rPr>
          <w:rFonts w:ascii="Times New Roman;sans-serif" w:hAnsi="Times New Roman;sans-serif"/>
          <w:b w:val="false"/>
          <w:color w:val="000000"/>
          <w:sz w:val="20"/>
        </w:rPr>
        <w:t>$17.3 million net gain</w:t>
      </w:r>
      <w:r>
        <w:rPr>
          <w:color w:val="231F20"/>
        </w:rPr>
        <w:t xml:space="preserve"> </w:t>
      </w:r>
      <w:r>
        <w:rPr>
          <w:rFonts w:ascii="Times New Roman;sans-serif" w:hAnsi="Times New Roman;sans-serif"/>
          <w:b w:val="false"/>
          <w:color w:val="231F20"/>
          <w:sz w:val="20"/>
        </w:rPr>
        <w:t>related to the repurchase of its 1.25% Convertible Senior Notes due 2026 (the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0" w:after="0"/>
        <w:jc w:val="left"/>
        <w:rPr/>
      </w:pPr>
      <w:r>
        <w:rPr>
          <w:rFonts w:ascii="Times New Roman;sans-serif" w:hAnsi="Times New Roman;sans-serif"/>
          <w:b/>
          <w:color w:val="231F20"/>
          <w:sz w:val="20"/>
        </w:rPr>
        <w:t xml:space="preserve">Comparison of </w:t>
      </w:r>
      <w:r>
        <w:rPr>
          <w:rFonts w:ascii="Times New Roman;sans-serif" w:hAnsi="Times New Roman;sans-serif"/>
          <w:b/>
          <w:color w:val="000000"/>
          <w:sz w:val="20"/>
        </w:rPr>
        <w:t>Six Months Ended</w:t>
      </w:r>
      <w:r>
        <w:rPr>
          <w:color w:val="231F20"/>
        </w:rPr>
        <w:t xml:space="preserve"> </w:t>
      </w:r>
      <w:r>
        <w:rPr>
          <w:rFonts w:ascii="Times New Roman;sans-serif" w:hAnsi="Times New Roman;sans-serif"/>
          <w:b/>
          <w:color w:val="231F20"/>
          <w:sz w:val="20"/>
        </w:rPr>
        <w:t xml:space="preserve">June 30, 2024 to </w:t>
      </w:r>
      <w:r>
        <w:rPr>
          <w:rFonts w:ascii="Times New Roman;sans-serif" w:hAnsi="Times New Roman;sans-serif"/>
          <w:b/>
          <w:color w:val="000000"/>
          <w:sz w:val="20"/>
        </w:rPr>
        <w:t>Six Months Ended</w:t>
      </w:r>
      <w:r>
        <w:rPr>
          <w:color w:val="231F20"/>
        </w:rPr>
        <w:t xml:space="preserve"> </w:t>
      </w:r>
      <w:r>
        <w:rPr>
          <w:rFonts w:ascii="Times New Roman;sans-serif" w:hAnsi="Times New Roman;sans-serif"/>
          <w:b/>
          <w:color w:val="231F20"/>
          <w:sz w:val="20"/>
        </w:rPr>
        <w:t>June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 following tables set forth our consolidated results of operations in dollars and as a percentage of net sales for the periods presented. The period-to-period comparisons of our historical results are not necessarily indicative of the results that may be expected in the future. The results of operations data 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June 30, 2024 and June 30, 2023 have been derived from the condensed consolidated financial statements included elsewhere in this Form 10-Q. Amounts and percentages may not foot due to rounding.</w:t>
      </w:r>
    </w:p>
    <w:tbl>
      <w:tblPr>
        <w:tblW w:w="9126" w:type="dxa"/>
        <w:jc w:val="left"/>
        <w:tblInd w:w="0" w:type="dxa"/>
        <w:tblLayout w:type="fixed"/>
        <w:tblCellMar>
          <w:top w:w="28" w:type="dxa"/>
          <w:left w:w="28" w:type="dxa"/>
          <w:bottom w:w="28" w:type="dxa"/>
          <w:right w:w="28" w:type="dxa"/>
        </w:tblCellMar>
      </w:tblPr>
      <w:tblGrid>
        <w:gridCol w:w="1330"/>
        <w:gridCol w:w="1169"/>
        <w:gridCol w:w="1175"/>
        <w:gridCol w:w="211"/>
        <w:gridCol w:w="616"/>
        <w:gridCol w:w="109"/>
        <w:gridCol w:w="109"/>
        <w:gridCol w:w="109"/>
        <w:gridCol w:w="109"/>
        <w:gridCol w:w="308"/>
        <w:gridCol w:w="308"/>
        <w:gridCol w:w="648"/>
        <w:gridCol w:w="109"/>
        <w:gridCol w:w="109"/>
        <w:gridCol w:w="109"/>
        <w:gridCol w:w="211"/>
        <w:gridCol w:w="616"/>
        <w:gridCol w:w="109"/>
        <w:gridCol w:w="109"/>
        <w:gridCol w:w="109"/>
        <w:gridCol w:w="109"/>
        <w:gridCol w:w="308"/>
        <w:gridCol w:w="308"/>
        <w:gridCol w:w="719"/>
      </w:tblGrid>
      <w:tr>
        <w:trPr/>
        <w:tc>
          <w:tcPr>
            <w:tcW w:w="133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 of Net Sales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48.1 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40.1 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51.9 </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59.9 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40.1 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Research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35.0 </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32.1 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Total operating expenses </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74.7 </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74.8 </w:t>
            </w:r>
          </w:p>
        </w:tc>
        <w:tc>
          <w:tcPr>
            <w:tcW w:w="7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from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(22.7)</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3.4 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(5.6)</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(4.9)</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(19.4)</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(0.2)</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w:t>
            </w:r>
          </w:p>
        </w:tc>
        <w:tc>
          <w:tcPr>
            <w:tcW w:w="6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Foreign currency transaction loss (gain),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1.4 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(0.8)</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Loss before provision for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(11.2)</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(0.6)</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(2.9)</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(0.3)</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(8.3)</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bl>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Net Sales</w:t>
      </w:r>
    </w:p>
    <w:tbl>
      <w:tblPr>
        <w:tblW w:w="6610" w:type="dxa"/>
        <w:jc w:val="left"/>
        <w:tblInd w:w="0" w:type="dxa"/>
        <w:tblLayout w:type="fixed"/>
        <w:tblCellMar>
          <w:top w:w="28" w:type="dxa"/>
          <w:left w:w="28" w:type="dxa"/>
          <w:bottom w:w="28" w:type="dxa"/>
          <w:right w:w="28" w:type="dxa"/>
        </w:tblCellMar>
      </w:tblPr>
      <w:tblGrid>
        <w:gridCol w:w="706"/>
        <w:gridCol w:w="621"/>
        <w:gridCol w:w="622"/>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93"/>
        <w:gridCol w:w="293"/>
        <w:gridCol w:w="316"/>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64" w:before="1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(36.0)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(15.6)</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Percentage of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Delivery Systems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Consumables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Total</w:t>
            </w:r>
          </w:p>
        </w:tc>
        <w:tc>
          <w:tcPr>
            <w:tcW w:w="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ans-serif" w:hAnsi="Times New Roman;sans-serif"/>
          <w:b w:val="false"/>
          <w:color w:val="231F20"/>
          <w:sz w:val="20"/>
        </w:rPr>
        <w:t xml:space="preserve">Total net sales 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 xml:space="preserve">June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$31.8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15.6%</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 xml:space="preserve">June 30, 2023. Delivery System net sales 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 xml:space="preserve">June 30, 2024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$40.0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36.0%</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June 30, 2023, with decreases across all regions. The decrease in Delivery Systems net sales reflects a challenging year-over-year comparison due to the prior year international launch of Syndeo, which included trade-up net sales. Delivery Systems net sales were negatively impacted globally by unfavorable macroeconomic and credit conditions and as the Company works to strengthen customer confidence in Syndeo.</w:t>
      </w:r>
    </w:p>
    <w:p>
      <w:pPr>
        <w:pStyle w:val="TextBody"/>
        <w:bidi w:val="0"/>
        <w:spacing w:lineRule="auto" w:line="288" w:before="240" w:after="283"/>
        <w:jc w:val="left"/>
        <w:rPr/>
      </w:pPr>
      <w:r>
        <w:rPr>
          <w:rFonts w:ascii="Times New Roman;sans-serif" w:hAnsi="Times New Roman;sans-serif"/>
          <w:b w:val="false"/>
          <w:color w:val="231F20"/>
          <w:sz w:val="20"/>
        </w:rPr>
        <w:t xml:space="preserve">Consumables net sales for the </w:t>
      </w:r>
      <w:r>
        <w:rPr>
          <w:rFonts w:ascii="Times New Roman;sans-serif" w:hAnsi="Times New Roman;sans-serif"/>
          <w:b w:val="false"/>
          <w:color w:val="000000"/>
          <w:sz w:val="20"/>
        </w:rPr>
        <w:t xml:space="preserve">six months ended </w:t>
      </w:r>
      <w:r>
        <w:rPr>
          <w:rFonts w:ascii="Times New Roman;sans-serif" w:hAnsi="Times New Roman;sans-serif"/>
          <w:b w:val="false"/>
          <w:color w:val="231F20"/>
          <w:sz w:val="20"/>
        </w:rPr>
        <w:t xml:space="preserve">June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$8.2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8.8%</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 xml:space="preserve">June 30, 2023. The increase in Consumables net sales was primarily attributable to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231F20"/>
          <w:sz w:val="20"/>
        </w:rPr>
        <w:t xml:space="preserve">placements of Delivery Systems and the adjoining consumption of Consumables during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 Gross Profit, and Gross Margin</w:t>
      </w:r>
    </w:p>
    <w:tbl>
      <w:tblPr>
        <w:tblW w:w="5957" w:type="dxa"/>
        <w:jc w:val="left"/>
        <w:tblInd w:w="0" w:type="dxa"/>
        <w:tblLayout w:type="fixed"/>
        <w:tblCellMar>
          <w:top w:w="28" w:type="dxa"/>
          <w:left w:w="28" w:type="dxa"/>
          <w:bottom w:w="28" w:type="dxa"/>
          <w:right w:w="28" w:type="dxa"/>
        </w:tblCellMar>
      </w:tblPr>
      <w:tblGrid>
        <w:gridCol w:w="429"/>
        <w:gridCol w:w="377"/>
        <w:gridCol w:w="378"/>
        <w:gridCol w:w="211"/>
        <w:gridCol w:w="511"/>
        <w:gridCol w:w="271"/>
        <w:gridCol w:w="109"/>
        <w:gridCol w:w="109"/>
        <w:gridCol w:w="109"/>
        <w:gridCol w:w="211"/>
        <w:gridCol w:w="616"/>
        <w:gridCol w:w="271"/>
        <w:gridCol w:w="109"/>
        <w:gridCol w:w="109"/>
        <w:gridCol w:w="109"/>
        <w:gridCol w:w="211"/>
        <w:gridCol w:w="586"/>
        <w:gridCol w:w="109"/>
        <w:gridCol w:w="109"/>
        <w:gridCol w:w="109"/>
        <w:gridCol w:w="109"/>
        <w:gridCol w:w="230"/>
        <w:gridCol w:w="230"/>
        <w:gridCol w:w="33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Cost of sales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1.1%</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122.0 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(26.8)%</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Gross margin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59.9 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231F20"/>
          <w:sz w:val="20"/>
        </w:rPr>
        <w:t xml:space="preserve">Cost of sales for the six months ended June 30, 2024 </w:t>
      </w:r>
      <w:r>
        <w:rPr>
          <w:rFonts w:ascii="Times New Roman;sans-serif" w:hAnsi="Times New Roman;sans-serif"/>
          <w:b w:val="false"/>
          <w:color w:val="000000"/>
          <w:sz w:val="20"/>
        </w:rPr>
        <w:t>increased</w:t>
      </w:r>
      <w:r>
        <w:rPr>
          <w:color w:val="231F20"/>
        </w:rPr>
        <w:t xml:space="preserve"> </w:t>
      </w:r>
      <w:r>
        <w:rPr>
          <w:rFonts w:ascii="Times New Roman;sans-serif" w:hAnsi="Times New Roman;sans-serif"/>
          <w:b w:val="false"/>
          <w:color w:val="000000"/>
          <w:sz w:val="20"/>
        </w:rPr>
        <w:t>$0.9 million, compared to the six months ended June 30, 2023 primarily due to higher inventory related charges, offset by lower net sales.</w:t>
      </w:r>
      <w:r>
        <w:rPr>
          <w:color w:val="231F20"/>
        </w:rPr>
        <w:t xml:space="preserve"> </w:t>
      </w:r>
      <w:r>
        <w:rPr>
          <w:rFonts w:ascii="Times New Roman;sans-serif" w:hAnsi="Times New Roman;sans-serif"/>
          <w:b w:val="false"/>
          <w:color w:val="231F20"/>
          <w:sz w:val="20"/>
        </w:rPr>
        <w:t xml:space="preserve">Cost of sales for the six months ended June 30, 2024 include </w:t>
      </w:r>
      <w:r>
        <w:rPr>
          <w:rFonts w:ascii="Times New Roman;sans-serif" w:hAnsi="Times New Roman;sans-serif"/>
          <w:b w:val="false"/>
          <w:color w:val="000000"/>
          <w:sz w:val="20"/>
        </w:rPr>
        <w:t>$19.3 million</w:t>
      </w:r>
      <w:r>
        <w:rPr>
          <w:color w:val="231F20"/>
        </w:rPr>
        <w:t xml:space="preserve"> </w:t>
      </w:r>
      <w:r>
        <w:rPr>
          <w:rFonts w:ascii="Times New Roman;sans-serif" w:hAnsi="Times New Roman;sans-serif"/>
          <w:b w:val="false"/>
          <w:color w:val="231F20"/>
          <w:sz w:val="20"/>
        </w:rPr>
        <w:t xml:space="preserve">of inventory charges for discontinued, excess, obsolete inventory, including the write-down of Delivery System inventory to its net realizable value and the write-off of excess raw materials. Gross margin decreased to </w:t>
      </w:r>
      <w:r>
        <w:rPr>
          <w:rFonts w:ascii="Times New Roman;sans-serif" w:hAnsi="Times New Roman;sans-serif"/>
          <w:b w:val="false"/>
          <w:color w:val="000000"/>
          <w:sz w:val="20"/>
        </w:rPr>
        <w:t>51.9%</w:t>
      </w:r>
      <w:r>
        <w:rPr>
          <w:color w:val="231F20"/>
        </w:rPr>
        <w:t xml:space="preserve"> </w:t>
      </w:r>
      <w:r>
        <w:rPr>
          <w:rFonts w:ascii="Times New Roman;sans-serif" w:hAnsi="Times New Roman;sans-serif"/>
          <w:b w:val="false"/>
          <w:color w:val="231F20"/>
          <w:sz w:val="20"/>
        </w:rPr>
        <w:t xml:space="preserve">during the six months ended June 30, 2024 from </w:t>
      </w:r>
      <w:r>
        <w:rPr>
          <w:rFonts w:ascii="Times New Roman;sans-serif" w:hAnsi="Times New Roman;sans-serif"/>
          <w:b w:val="false"/>
          <w:color w:val="000000"/>
          <w:sz w:val="20"/>
        </w:rPr>
        <w:t>59.9%</w:t>
      </w:r>
      <w:r>
        <w:rPr>
          <w:color w:val="231F20"/>
        </w:rPr>
        <w:t xml:space="preserve"> </w:t>
      </w:r>
      <w:r>
        <w:rPr>
          <w:rFonts w:ascii="Times New Roman;sans-serif" w:hAnsi="Times New Roman;sans-serif"/>
          <w:b w:val="false"/>
          <w:color w:val="231F20"/>
          <w:sz w:val="20"/>
        </w:rPr>
        <w:t>during the six months ended June 30, 2023 primarily due to higher inventory related charges resulting from the inventory write-downs.</w:t>
      </w:r>
    </w:p>
    <w:p>
      <w:pPr>
        <w:pStyle w:val="TextBody"/>
        <w:bidi w:val="0"/>
        <w:spacing w:lineRule="auto" w:line="288" w:before="240" w:after="283"/>
        <w:jc w:val="left"/>
        <w:rPr>
          <w:rFonts w:ascii="Times New Roman;sans-serif" w:hAnsi="Times New Roman;sans-serif"/>
          <w:b/>
          <w:i/>
          <w:color w:val="231F20"/>
          <w:sz w:val="20"/>
        </w:rPr>
      </w:pPr>
      <w:r>
        <w:rPr>
          <w:rFonts w:ascii="Times New Roman;sans-serif" w:hAnsi="Times New Roman;sans-serif"/>
          <w:b/>
          <w:i/>
          <w:color w:val="231F20"/>
          <w:sz w:val="20"/>
        </w:rPr>
        <w:t xml:space="preserve">Operating Expenses </w:t>
      </w:r>
    </w:p>
    <w:p>
      <w:pPr>
        <w:pStyle w:val="TextBody"/>
        <w:bidi w:val="0"/>
        <w:spacing w:before="0" w:after="0"/>
        <w:jc w:val="left"/>
        <w:rPr/>
      </w:pPr>
      <w:r>
        <w:rPr/>
      </w:r>
    </w:p>
    <w:p>
      <w:pPr>
        <w:pStyle w:val="TextBody"/>
        <w:bidi w:val="0"/>
        <w:spacing w:lineRule="auto" w:line="288" w:before="0" w:after="120"/>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Selling and Marketing</w:t>
      </w:r>
    </w:p>
    <w:tbl>
      <w:tblPr>
        <w:tblW w:w="7159" w:type="dxa"/>
        <w:jc w:val="left"/>
        <w:tblInd w:w="0" w:type="dxa"/>
        <w:tblLayout w:type="fixed"/>
        <w:tblCellMar>
          <w:top w:w="28" w:type="dxa"/>
          <w:left w:w="28" w:type="dxa"/>
          <w:bottom w:w="28" w:type="dxa"/>
          <w:right w:w="28" w:type="dxa"/>
        </w:tblCellMar>
      </w:tblPr>
      <w:tblGrid>
        <w:gridCol w:w="864"/>
        <w:gridCol w:w="759"/>
        <w:gridCol w:w="761"/>
        <w:gridCol w:w="211"/>
        <w:gridCol w:w="511"/>
        <w:gridCol w:w="271"/>
        <w:gridCol w:w="109"/>
        <w:gridCol w:w="109"/>
        <w:gridCol w:w="109"/>
        <w:gridCol w:w="211"/>
        <w:gridCol w:w="511"/>
        <w:gridCol w:w="271"/>
        <w:gridCol w:w="109"/>
        <w:gridCol w:w="109"/>
        <w:gridCol w:w="109"/>
        <w:gridCol w:w="211"/>
        <w:gridCol w:w="586"/>
        <w:gridCol w:w="109"/>
        <w:gridCol w:w="109"/>
        <w:gridCol w:w="109"/>
        <w:gridCol w:w="109"/>
        <w:gridCol w:w="293"/>
        <w:gridCol w:w="29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Selling and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81.7 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As a percentage of net sales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384"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 for the six months ended June 30, 2024 decreased $17.6 million, or 21.5%, compared to the six months ended June 30, 2023. The decrease is primarily driven by lower personnel-related expenses, including sales commission expense and lower marketing spend.</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Research and Development</w:t>
      </w:r>
    </w:p>
    <w:tbl>
      <w:tblPr>
        <w:tblW w:w="6889" w:type="dxa"/>
        <w:jc w:val="left"/>
        <w:tblInd w:w="0" w:type="dxa"/>
        <w:tblLayout w:type="fixed"/>
        <w:tblCellMar>
          <w:top w:w="28" w:type="dxa"/>
          <w:left w:w="28" w:type="dxa"/>
          <w:bottom w:w="28" w:type="dxa"/>
          <w:right w:w="28" w:type="dxa"/>
        </w:tblCellMar>
      </w:tblPr>
      <w:tblGrid>
        <w:gridCol w:w="879"/>
        <w:gridCol w:w="772"/>
        <w:gridCol w:w="778"/>
        <w:gridCol w:w="211"/>
        <w:gridCol w:w="406"/>
        <w:gridCol w:w="271"/>
        <w:gridCol w:w="109"/>
        <w:gridCol w:w="109"/>
        <w:gridCol w:w="109"/>
        <w:gridCol w:w="211"/>
        <w:gridCol w:w="406"/>
        <w:gridCol w:w="271"/>
        <w:gridCol w:w="109"/>
        <w:gridCol w:w="109"/>
        <w:gridCol w:w="109"/>
        <w:gridCol w:w="211"/>
        <w:gridCol w:w="481"/>
        <w:gridCol w:w="109"/>
        <w:gridCol w:w="109"/>
        <w:gridCol w:w="109"/>
        <w:gridCol w:w="109"/>
        <w:gridCol w:w="293"/>
        <w:gridCol w:w="293"/>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Research and development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six months ended June 30, 2024 decreased $1.3 million, or 24.0%, compared to the six months ended June 30, 2023. The decrease is primarily driven by lower personnel-related expenses, including lower share-based compensation expense.</w:t>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General and Administrative</w:t>
      </w:r>
    </w:p>
    <w:tbl>
      <w:tblPr>
        <w:tblW w:w="6994" w:type="dxa"/>
        <w:jc w:val="left"/>
        <w:tblInd w:w="0" w:type="dxa"/>
        <w:tblLayout w:type="fixed"/>
        <w:tblCellMar>
          <w:top w:w="28" w:type="dxa"/>
          <w:left w:w="28" w:type="dxa"/>
          <w:bottom w:w="28" w:type="dxa"/>
          <w:right w:w="28" w:type="dxa"/>
        </w:tblCellMar>
      </w:tblPr>
      <w:tblGrid>
        <w:gridCol w:w="879"/>
        <w:gridCol w:w="772"/>
        <w:gridCol w:w="779"/>
        <w:gridCol w:w="211"/>
        <w:gridCol w:w="511"/>
        <w:gridCol w:w="271"/>
        <w:gridCol w:w="109"/>
        <w:gridCol w:w="109"/>
        <w:gridCol w:w="109"/>
        <w:gridCol w:w="211"/>
        <w:gridCol w:w="511"/>
        <w:gridCol w:w="271"/>
        <w:gridCol w:w="109"/>
        <w:gridCol w:w="109"/>
        <w:gridCol w:w="109"/>
        <w:gridCol w:w="211"/>
        <w:gridCol w:w="481"/>
        <w:gridCol w:w="109"/>
        <w:gridCol w:w="109"/>
        <w:gridCol w:w="109"/>
        <w:gridCol w:w="109"/>
        <w:gridCol w:w="239"/>
        <w:gridCol w:w="241"/>
        <w:gridCol w:w="316"/>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General and administrative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65.5 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 xml:space="preserve">As a percentage of net sales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General and administrative expense 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$5.2 million</w:t>
      </w:r>
      <w:r>
        <w:rPr>
          <w:rFonts w:ascii="Times New Roman;sans-serif" w:hAnsi="Times New Roman;sans-serif"/>
          <w:b w:val="false"/>
          <w:color w:val="231F20"/>
          <w:sz w:val="20"/>
        </w:rPr>
        <w:t xml:space="preserve">, or </w:t>
      </w:r>
      <w:r>
        <w:rPr>
          <w:rFonts w:ascii="Times New Roman;sans-serif" w:hAnsi="Times New Roman;sans-serif"/>
          <w:b w:val="false"/>
          <w:color w:val="000000"/>
          <w:sz w:val="20"/>
        </w:rPr>
        <w:t>8.0%</w:t>
      </w:r>
      <w:r>
        <w:rPr>
          <w:rFonts w:ascii="Times New Roman;sans-serif" w:hAnsi="Times New Roman;sans-serif"/>
          <w:b w:val="false"/>
          <w:color w:val="231F20"/>
          <w:sz w:val="20"/>
        </w:rPr>
        <w:t xml:space="preserve">, compared to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231F20"/>
          <w:sz w:val="20"/>
        </w:rPr>
        <w:t>June 30, 2023. The decrease is primarily driven by lower personnel-related expenses, professional fees, and software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240" w:after="283"/>
        <w:jc w:val="left"/>
        <w:rPr/>
      </w:pPr>
      <w:r>
        <w:rPr/>
      </w:r>
    </w:p>
    <w:p>
      <w:pPr>
        <w:pStyle w:val="TextBody"/>
        <w:bidi w:val="0"/>
        <w:spacing w:before="60" w:after="283"/>
        <w:jc w:val="left"/>
        <w:rPr/>
      </w:pPr>
      <w:r>
        <w:rPr/>
      </w:r>
    </w:p>
    <w:p>
      <w:pPr>
        <w:pStyle w:val="TextBody"/>
        <w:bidi w:val="0"/>
        <w:spacing w:lineRule="auto" w:line="288" w:before="240" w:after="283"/>
        <w:ind w:left="0" w:right="0" w:firstLine="540"/>
        <w:jc w:val="left"/>
        <w:rPr>
          <w:rFonts w:ascii="Times New Roman;sans-serif" w:hAnsi="Times New Roman;sans-serif"/>
          <w:b/>
          <w:i/>
          <w:color w:val="231F20"/>
          <w:sz w:val="20"/>
        </w:rPr>
      </w:pPr>
      <w:r>
        <w:rPr>
          <w:rFonts w:ascii="Times New Roman;sans-serif" w:hAnsi="Times New Roman;sans-serif"/>
          <w:b/>
          <w:i/>
          <w:color w:val="231F20"/>
          <w:sz w:val="20"/>
        </w:rPr>
        <w:t>Interest Income, Change in Fair Value of Warrant Liabilities, and Other Income, Net</w:t>
      </w:r>
    </w:p>
    <w:tbl>
      <w:tblPr>
        <w:tblW w:w="7945" w:type="dxa"/>
        <w:jc w:val="left"/>
        <w:tblInd w:w="0" w:type="dxa"/>
        <w:tblLayout w:type="fixed"/>
        <w:tblCellMar>
          <w:top w:w="28" w:type="dxa"/>
          <w:left w:w="28" w:type="dxa"/>
          <w:bottom w:w="28" w:type="dxa"/>
          <w:right w:w="28" w:type="dxa"/>
        </w:tblCellMar>
      </w:tblPr>
      <w:tblGrid>
        <w:gridCol w:w="1251"/>
        <w:gridCol w:w="1097"/>
        <w:gridCol w:w="1102"/>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39"/>
        <w:gridCol w:w="241"/>
        <w:gridCol w:w="316"/>
      </w:tblGrid>
      <w:tr>
        <w:trPr/>
        <w:tc>
          <w:tcPr>
            <w:tcW w:w="125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Change</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(in millions)</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Interest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Change in fair value of warrant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Other income,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4"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64"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N/M - Not meaningful</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231F20"/>
          <w:sz w:val="20"/>
        </w:rPr>
        <w:t xml:space="preserve">Interest income 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2024</w:t>
      </w:r>
      <w:r>
        <w:rPr>
          <w:color w:val="231F20"/>
        </w:rPr>
        <w:t xml:space="preserve"> </w:t>
      </w:r>
      <w:r>
        <w:rPr>
          <w:rFonts w:ascii="Times New Roman;sans-serif" w:hAnsi="Times New Roman;sans-serif"/>
          <w:b w:val="false"/>
          <w:color w:val="000000"/>
          <w:sz w:val="20"/>
        </w:rPr>
        <w:t>decreased</w:t>
      </w:r>
      <w:r>
        <w:rPr>
          <w:color w:val="231F20"/>
        </w:rPr>
        <w:t xml:space="preserve"> </w:t>
      </w:r>
      <w:r>
        <w:rPr>
          <w:rFonts w:ascii="Times New Roman;sans-serif" w:hAnsi="Times New Roman;sans-serif"/>
          <w:b w:val="false"/>
          <w:color w:val="000000"/>
          <w:sz w:val="20"/>
        </w:rPr>
        <w:t>$0.5 million</w:t>
      </w:r>
      <w:r>
        <w:rPr>
          <w:color w:val="231F20"/>
        </w:rPr>
        <w:t xml:space="preserve"> </w:t>
      </w:r>
      <w:r>
        <w:rPr>
          <w:rFonts w:ascii="Times New Roman;sans-serif" w:hAnsi="Times New Roman;sans-serif"/>
          <w:b w:val="false"/>
          <w:color w:val="231F20"/>
          <w:sz w:val="20"/>
        </w:rPr>
        <w:t xml:space="preserve">compared to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2023</w:t>
      </w:r>
      <w:r>
        <w:rPr>
          <w:color w:val="231F20"/>
        </w:rPr>
        <w:t xml:space="preserve"> </w:t>
      </w:r>
      <w:r>
        <w:rPr>
          <w:rFonts w:ascii="Times New Roman;sans-serif" w:hAnsi="Times New Roman;sans-serif"/>
          <w:b w:val="false"/>
          <w:color w:val="231F20"/>
          <w:sz w:val="20"/>
        </w:rPr>
        <w:t xml:space="preserve">primarily due to lower average invested balances during the six months ended </w:t>
      </w:r>
      <w:r>
        <w:rPr>
          <w:rFonts w:ascii="Times New Roman;sans-serif" w:hAnsi="Times New Roman;sans-serif"/>
          <w:b w:val="false"/>
          <w:color w:val="000000"/>
          <w:sz w:val="20"/>
        </w:rPr>
        <w:t>June 30, 2024</w:t>
      </w:r>
      <w:r>
        <w:rPr>
          <w:rFonts w:ascii="Times New Roman;sans-serif" w:hAnsi="Times New Roman;sans-serif"/>
          <w:b w:val="false"/>
          <w:color w:val="231F2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recognized income of </w:t>
      </w:r>
      <w:r>
        <w:rPr>
          <w:rFonts w:ascii="Times New Roman;sans-serif" w:hAnsi="Times New Roman;sans-serif"/>
          <w:b w:val="false"/>
          <w:color w:val="000000"/>
          <w:sz w:val="20"/>
        </w:rPr>
        <w:t>$2.6 million</w:t>
      </w:r>
      <w:r>
        <w:rPr>
          <w:color w:val="231F20"/>
        </w:rPr>
        <w:t xml:space="preserve"> </w:t>
      </w:r>
      <w:r>
        <w:rPr>
          <w:rFonts w:ascii="Times New Roman;sans-serif" w:hAnsi="Times New Roman;sans-serif"/>
          <w:b w:val="false"/>
          <w:color w:val="231F20"/>
          <w:sz w:val="20"/>
        </w:rPr>
        <w:t xml:space="preserve">related to the change in the fair value of the warrant liabilities, an increase of </w:t>
      </w:r>
      <w:r>
        <w:rPr>
          <w:rFonts w:ascii="Times New Roman;sans-serif" w:hAnsi="Times New Roman;sans-serif"/>
          <w:b w:val="false"/>
          <w:color w:val="000000"/>
          <w:sz w:val="20"/>
        </w:rPr>
        <w:t>$0.1 million</w:t>
      </w:r>
      <w:r>
        <w:rPr>
          <w:rFonts w:ascii="Times New Roman;sans-serif" w:hAnsi="Times New Roman;sans-serif"/>
          <w:b w:val="false"/>
          <w:color w:val="231F20"/>
          <w:sz w:val="20"/>
        </w:rPr>
        <w:t xml:space="preserve">, as compared to income of </w:t>
      </w:r>
      <w:r>
        <w:rPr>
          <w:rFonts w:ascii="Times New Roman;sans-serif" w:hAnsi="Times New Roman;sans-serif"/>
          <w:b w:val="false"/>
          <w:color w:val="000000"/>
          <w:sz w:val="20"/>
        </w:rPr>
        <w:t>$2.5 million</w:t>
      </w:r>
      <w:r>
        <w:rPr>
          <w:color w:val="231F20"/>
        </w:rPr>
        <w:t xml:space="preserve">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2023</w:t>
      </w:r>
      <w:r>
        <w:rPr>
          <w:rFonts w:ascii="Times New Roman;sans-serif" w:hAnsi="Times New Roman;sans-serif"/>
          <w:b w:val="false"/>
          <w:color w:val="231F20"/>
          <w:sz w:val="20"/>
        </w:rPr>
        <w:t>, driven primarily by the fluctuation of the Company’s stock price.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During the </w:t>
      </w:r>
      <w:r>
        <w:rPr>
          <w:rFonts w:ascii="Times New Roman;sans-serif" w:hAnsi="Times New Roman;sans-serif"/>
          <w:b w:val="false"/>
          <w:color w:val="000000"/>
          <w:sz w:val="20"/>
        </w:rPr>
        <w:t>six months ended</w:t>
      </w:r>
      <w:r>
        <w:rPr>
          <w:color w:val="231F20"/>
        </w:rPr>
        <w:t xml:space="preserve">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xml:space="preserve">, the Company recognized </w:t>
      </w:r>
      <w:r>
        <w:rPr>
          <w:rFonts w:ascii="Times New Roman;sans-serif" w:hAnsi="Times New Roman;sans-serif"/>
          <w:b w:val="false"/>
          <w:color w:val="000000"/>
          <w:sz w:val="20"/>
        </w:rPr>
        <w:t>$33.4 million net gain</w:t>
      </w:r>
      <w:r>
        <w:rPr>
          <w:color w:val="231F20"/>
        </w:rPr>
        <w:t xml:space="preserve"> </w:t>
      </w:r>
      <w:r>
        <w:rPr>
          <w:rFonts w:ascii="Times New Roman;sans-serif" w:hAnsi="Times New Roman;sans-serif"/>
          <w:b w:val="false"/>
          <w:color w:val="231F20"/>
          <w:sz w:val="20"/>
        </w:rPr>
        <w:t>related to the repurchase of its Notes.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Our primary sources of capital have been (i) cash flow from operating activities, (ii) net proceeds received from the consummation of the Business Combination, (iii) net proceeds received from the Notes, and (iv) net proceeds received from the exercise of public and private placement warrants. As of </w:t>
      </w:r>
      <w:r>
        <w:rPr>
          <w:rFonts w:ascii="Times New Roman;sans-serif" w:hAnsi="Times New Roman;sans-serif"/>
          <w:b w:val="false"/>
          <w:color w:val="000000"/>
          <w:sz w:val="20"/>
        </w:rPr>
        <w:t>June 30, 2024</w:t>
      </w:r>
      <w:r>
        <w:rPr>
          <w:rFonts w:ascii="Times New Roman;sans-serif" w:hAnsi="Times New Roman;sans-serif"/>
          <w:b w:val="false"/>
          <w:color w:val="231F20"/>
          <w:sz w:val="20"/>
        </w:rPr>
        <w:t>, we had cash, cash equivalents, and restricted cash of approximately $349.5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operating cash flows result primarily from cash received from sales of Delivery Systems and Consumables, offset primarily by cash payments made for products and services, employee compensation, payment processing and related transaction costs, operating leases, marketing expenses, and interest payments on our long-term obligations. Cash received from our customers and other activities generally corresponds to our net sales.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Our sources of liquidity and cash flows are used to fund ongoing operations, research and development projects for new products, services, and technologies, and provide ongoing support services for our providers and customers, </w:t>
      </w:r>
      <w:r>
        <w:rPr>
          <w:rFonts w:ascii="Times New Roman;sans-serif" w:hAnsi="Times New Roman;sans-serif"/>
          <w:b w:val="false"/>
          <w:color w:val="231F20"/>
          <w:sz w:val="20"/>
        </w:rPr>
        <w:t>including liabilities associated with the recently completed Syndeo Program</w:t>
      </w:r>
      <w:r>
        <w:rPr>
          <w:rFonts w:ascii="Times New Roman;sans-serif" w:hAnsi="Times New Roman;sans-serif"/>
          <w:b w:val="false"/>
          <w:color w:val="000000"/>
          <w:sz w:val="20"/>
        </w:rPr>
        <w:t xml:space="preserve">. As part of our business strategy, we occasionally evaluate potential acquisitions of businesses and products and technologies. Accordingly, a portion of our available cash may be used at any time for the acquisition of complementary products, services, or businesses. Such potential transactions may require substantial capital resources, which may require us to seek additional debt or equity financing. We cannot assure you that we will be able to successfully identify suitable acquisition candidates, complete acquisitions, integrate acquired businesses into our current operations, or expand into new markets. Furthermore, we cannot provide assurances that additional financing will be available to us in any required time frame and on commercially reasonable terms, if at all.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our sources of capital, management believes that we have sufficient liquidity to satisfy our anticipated working capital requirements for our ongoing operations and obligations for at least the next 12 months. However, we will continue to evaluate our capital expenditure needs based upon factors including but not limited to our rate of revenue growth, potential acquisitions, the timing and amount of spending on research and development, growth in sales and marketing activities, the timing of new product launches, timing and investments needed for international expansion, the continuing market acceptance of the Company’s products and services, expansion, and overall economic conditions.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from time to time, seek to redeem or repurchase our outstanding debt or equity securities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For information regarding the Company’s repurchases of its Notes during the first and second quarter of 2024, see Note 7, Long-Term Debt, to our condensed consolidated financial statements included in Part I, Item 1 of this Quarterly Report on Form 10-Q.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cash generated from operations is insufficient to satisfy our capital requirements, we may have to sell additional equity or debt securities or obtain expanded credit facilities to fund our operating expenses. The sale of additional equity would result in additional dilution to our stockholders. Also, the incurrence of additional debt financing would result in debt service obligations and the instruments governing such debt could provide for operating and financing covenants that would restrict our operations. In the event such additional capital is needed in the future, there can be no assurance that such capital will be available to us, or, if available, that it will be in amounts and on terms acceptable to us. If we cannot raise additional funds when we need or want them, our operations and prospects could be negatively affected. However, if cash flows from operations become insufficient to continue operations at the current level, and if no additional capital were obtained, then management would restructure the Company in a way to preserve our business while maintaining expenses within operating cash flows. </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Convertible Senior Notes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14, 2021, the Company issued an aggregate of $750.0 million in principal amount of its Notes. The Notes were issued pursuant to, and are governed by, an indenture dated as of September 14, 2021, between the Company and U.S. Bank National Association, as trustee (the “Indenture”). Pursuant to the purchase agreement between the Company and the initial purchasers of the Notes, the Company granted the initial purchasers an option to purchase, for settlement within a period of 13 days from, and including, the date the Notes were first issued, up to an additional $100.0 million principal amount of Notes. The Notes issued on September 14, 2021 include the $100.0 million principal amount of Notes issued pursuant to the full exercise by the initial purchasers of such option.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repurchased $75.0 million principal amount of its Notes at a weighted-average price equal to 77% for $57.8 million. Additionally, during the three months ended June 30, 2024, the Company repurchased $117.3 million principal amount of its Notes at a weighted-average price equal to 84% for $98.3 million. The total amount paid to repurchase $192.3 million principal amount was $156.1 million for the six months ended June 30, 2024.</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Capped Call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9, 2021, in connection with the pricing of the offering of Notes, the Company entered into privately negotiated capped call transactions (the “Base Capped Call Transactions”) with the Bank of Montreal, Credit Suisse Capital LLC, Deutsche Bank AG, London Branch, Goldman Sachs &amp; Co. LLC, JPMorgan Chase Bank, National Association, Mizuho Markets Americas LLC and Wells Fargo Bank, National Association (collectively, the “Option Counterparties”). In addition, on September 10, 2021, in connection with the initial purchasers’ exercise of their option to purchase additional Notes, the Company entered into additional capped call transactions (the “Additional Capped Call Transactions”, and together with the Base Capped Call Transactions, the “Capped Call Transactions”) with each of the Option Counterparties. The Capped Call Transactions cover, subject to customary anti-dilution adjustments, the aggregate number of shares of the Company’s common stock that initially underlie the Notes, and are expected generally to reduce potential dilution to the Company’s common stock upon any conversion of Notes and/or offset any cash payments the Company is required to make in excess of the principal amount of converted Notes, as the case may be, with such reduction and/or offset subject to a cap, based on the cap price of the Capped Call Transactions. The cap price of the Capped Call Transactions is initially $47.94, which represents a premium of 100% over the last reported sale price of the Company’s common stock on September 9, 2021. The cost of the Capped Call Transactions was $90.2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each between the Company and the applicable option counterparty, and are not part of the terms of the Notes and do not affect any holder’s rights under the Notes or the Indenture. Holders of the Notes will not have any rights with respect to the Capped Call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Amended and Restated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2022, the Company, as successor by assumption to Hydrafacial, a California limited liability company, entered into an Amended and Restated Credit Agreement (as it may be further amended, restated, supplemented or modified from time to time, the “Credit Agreement”) with JPMorgan Chase Bank, N.A. (the “Administrative Agent”). The Credit Agreement provides for a $50.0 million revolving credit facility with a maturity date of November 14, 2027. As of June 30, 2024, the Credit Agreement was undrawn and there was no outstanding balance under the revolving credit facility.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80"/>
        <w:jc w:val="left"/>
        <w:rPr/>
      </w:pPr>
      <w:r>
        <w:rPr/>
      </w:r>
    </w:p>
    <w:p>
      <w:pPr>
        <w:pStyle w:val="TextBody"/>
        <w:bidi w:val="0"/>
        <w:spacing w:lineRule="auto" w:line="288" w:before="0" w:after="0"/>
        <w:ind w:left="0" w:right="0" w:firstLine="180"/>
        <w:jc w:val="left"/>
        <w:rPr/>
      </w:pPr>
      <w:r>
        <w:rPr>
          <w:rFonts w:ascii="Times New Roman;sans-serif" w:hAnsi="Times New Roman;sans-serif"/>
          <w:b/>
          <w:i/>
          <w:color w:val="000000"/>
          <w:sz w:val="20"/>
          <w:shd w:fill="FFFFFF" w:val="clear"/>
        </w:rPr>
        <w:t>Known Tren</w:t>
      </w:r>
      <w:r>
        <w:rPr>
          <w:rFonts w:ascii="Times New Roman;sans-serif" w:hAnsi="Times New Roman;sans-serif"/>
          <w:b/>
          <w:i/>
          <w:color w:val="000000"/>
          <w:sz w:val="20"/>
        </w:rPr>
        <w:t>ds or Uncertainties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majority of our customers operate within the medical industry (dermatologists and plastic surgeons), esthetician industry, and beauty retail industry. Although we have not seen any significant reduction in revenues to date due to consolidations, we have seen some consolidation in these industries during economic downturns. These consolidations have not had a negative effect on our total sales; however, should consolidations and downsizing in the industries continue to occur, those events could adversely impact our revenues and earnings going forward.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In addition, we continue to face macro-economic challenges such as the possibility of recession or financial market instability, and the impact of any governmental actions on the economy. These factors may adversely impact consumers, business, and government spending as well as our customers' ability to pay for our products and services on an ongoing basis.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If economic and social conditions or the degree of uncertainty or volatility worsen, or the adverse conditions previously described are further prolonged, our revenues could be adversely affected. Macro-economic challenges and credit conditions have negatively impacted our revenues in 2024. We are continuing to monitor these and other risks that may affect our business so that we can respond appropriately. Negative trends in our financial performance or financial condition may result in a sustained decline in our stock price, which may result in a triggering event necessitating an interim goodwill impairment assessment and potential goodwill impairment.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Syndeo Program Costs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 accrued $0.9 million </w:t>
      </w:r>
      <w:r>
        <w:rPr>
          <w:rFonts w:ascii="Times New Roman;sans-serif" w:hAnsi="Times New Roman;sans-serif"/>
          <w:b w:val="false"/>
          <w:color w:val="231F20"/>
          <w:sz w:val="20"/>
        </w:rPr>
        <w:t>as of June 30, 2024 for</w:t>
      </w:r>
      <w:r>
        <w:rPr>
          <w:color w:val="000000"/>
        </w:rPr>
        <w:t xml:space="preserve"> </w:t>
      </w:r>
      <w:r>
        <w:rPr>
          <w:rFonts w:ascii="Times New Roman;sans-serif" w:hAnsi="Times New Roman;sans-serif"/>
          <w:b w:val="false"/>
          <w:color w:val="000000"/>
          <w:sz w:val="20"/>
        </w:rPr>
        <w:t>the remaining estimated cost for its remediation plan to upgrade or exchange customer Syndeo devices to meet the Syndeo 3.0 device standard. As of June 30, 2024, the Syndeo Program is substantially complete.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231F20"/>
          <w:sz w:val="20"/>
        </w:rPr>
      </w:pPr>
      <w:r>
        <w:rPr>
          <w:rFonts w:ascii="Times New Roman;sans-serif" w:hAnsi="Times New Roman;sans-serif"/>
          <w:b w:val="false"/>
          <w:i/>
          <w:color w:val="231F20"/>
          <w:sz w:val="20"/>
        </w:rPr>
        <w:t>Discontinuation of Trade-up Program in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accepted Delivery Systems in trade-up transactions with the intent to refurbish and resell such Delivery Systems received from the customer. During the six months ended June 30, 2023 and the year ended December 31, 2023, the Company recognized approximately $6 million and $17 million, respectively, of revenue based on the estimated fair value of such Delivery Systems. While the Company still expects to resell Delivery Systems previously received in trade-up transactions, starting in 2024, the Company plans to discontinue the use of trade-up transactions and the ensuing revenue recognition for noncash consideration.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Cash Flows</w:t>
      </w:r>
    </w:p>
    <w:p>
      <w:pPr>
        <w:pStyle w:val="TextBody"/>
        <w:bidi w:val="0"/>
        <w:spacing w:before="0" w:after="0"/>
        <w:jc w:val="left"/>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activities from our statements of cash flows. Amounts may not foot due to rounding.</w:t>
      </w:r>
    </w:p>
    <w:tbl>
      <w:tblPr>
        <w:tblW w:w="7658" w:type="dxa"/>
        <w:jc w:val="left"/>
        <w:tblInd w:w="0" w:type="dxa"/>
        <w:tblLayout w:type="fixed"/>
        <w:tblCellMar>
          <w:top w:w="28" w:type="dxa"/>
          <w:left w:w="28" w:type="dxa"/>
          <w:bottom w:w="28" w:type="dxa"/>
          <w:right w:w="28" w:type="dxa"/>
        </w:tblCellMar>
      </w:tblPr>
      <w:tblGrid>
        <w:gridCol w:w="1957"/>
        <w:gridCol w:w="1725"/>
        <w:gridCol w:w="1732"/>
        <w:gridCol w:w="211"/>
        <w:gridCol w:w="616"/>
        <w:gridCol w:w="109"/>
        <w:gridCol w:w="109"/>
        <w:gridCol w:w="109"/>
        <w:gridCol w:w="109"/>
        <w:gridCol w:w="211"/>
        <w:gridCol w:w="616"/>
        <w:gridCol w:w="154"/>
      </w:tblGrid>
      <w:tr>
        <w:trPr/>
        <w:tc>
          <w:tcPr>
            <w:tcW w:w="195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Six Months Ended June 30,</w:t>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231F20"/>
                <w:sz w:val="16"/>
              </w:rPr>
            </w:pPr>
            <w:r>
              <w:rPr>
                <w:rFonts w:ascii="Times New Roman;sans-serif" w:hAnsi="Times New Roman;sans-serif"/>
                <w:b/>
                <w:color w:val="231F20"/>
                <w:sz w:val="16"/>
              </w:rPr>
              <w:t>(Dollars 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231F20"/>
                <w:sz w:val="16"/>
              </w:rPr>
            </w:pPr>
            <w:r>
              <w:rPr>
                <w:rFonts w:ascii="Times New Roman;sans-serif" w:hAnsi="Times New Roman;sans-serif"/>
                <w:b/>
                <w:color w:val="231F20"/>
                <w:sz w:val="16"/>
              </w:rPr>
              <w:t>2023</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Non-cash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Changes in working capital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(10.7)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231F20"/>
                <w:sz w:val="20"/>
              </w:rPr>
            </w:pPr>
            <w:r>
              <w:rPr>
                <w:rFonts w:ascii="Times New Roman;sans-serif" w:hAnsi="Times New Roman;sans-serif"/>
                <w:b w:val="false"/>
                <w:color w:val="231F20"/>
                <w:sz w:val="20"/>
              </w:rPr>
              <w:t>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Net cash used for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Net change in cash, cash equivalents, and restricted cash</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31F20"/>
                <w:sz w:val="20"/>
              </w:rPr>
            </w:pPr>
            <w:r>
              <w:rPr>
                <w:rFonts w:ascii="Times New Roman;sans-serif" w:hAnsi="Times New Roman;sans-serif"/>
                <w:b w:val="false"/>
                <w:color w:val="231F20"/>
                <w:sz w:val="20"/>
              </w:rPr>
              <w:t>Effect of foreign currency translation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Operating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Net cash used for operating activities for the </w:t>
      </w:r>
      <w:r>
        <w:rPr>
          <w:rFonts w:ascii="Times New Roman;sans-serif" w:hAnsi="Times New Roman;sans-serif"/>
          <w:b w:val="false"/>
          <w:color w:val="000000"/>
          <w:sz w:val="20"/>
        </w:rPr>
        <w:t>six months ended June 30, 2024</w:t>
      </w:r>
      <w:r>
        <w:rPr>
          <w:color w:val="231F20"/>
        </w:rPr>
        <w:t xml:space="preserve"> </w:t>
      </w:r>
      <w:r>
        <w:rPr>
          <w:rFonts w:ascii="Times New Roman;sans-serif" w:hAnsi="Times New Roman;sans-serif"/>
          <w:b w:val="false"/>
          <w:color w:val="231F20"/>
          <w:sz w:val="20"/>
        </w:rPr>
        <w:t xml:space="preserve">was $10.7 million, as compared to net cash provided by operating activities of $9.0 million for the </w:t>
      </w:r>
      <w:r>
        <w:rPr>
          <w:rFonts w:ascii="Times New Roman;sans-serif" w:hAnsi="Times New Roman;sans-serif"/>
          <w:b w:val="false"/>
          <w:color w:val="000000"/>
          <w:sz w:val="20"/>
        </w:rPr>
        <w:t>six months ended June 30, 2023</w:t>
      </w:r>
      <w:r>
        <w:rPr>
          <w:rFonts w:ascii="Times New Roman;sans-serif" w:hAnsi="Times New Roman;sans-serif"/>
          <w:b w:val="false"/>
          <w:color w:val="231F20"/>
          <w:sz w:val="20"/>
        </w:rPr>
        <w:t xml:space="preserve">. The change in cash used for operating activities was primarily related to higher working capital usage, the net impact of current year net </w:t>
      </w:r>
      <w:r>
        <w:rPr>
          <w:rFonts w:ascii="Times New Roman;sans-serif" w:hAnsi="Times New Roman;sans-serif"/>
          <w:b w:val="false"/>
          <w:color w:val="000000"/>
          <w:sz w:val="20"/>
        </w:rPr>
        <w:t>loss,</w:t>
      </w:r>
      <w:r>
        <w:rPr>
          <w:color w:val="231F20"/>
        </w:rPr>
        <w:t xml:space="preserve"> </w:t>
      </w:r>
      <w:r>
        <w:rPr>
          <w:rFonts w:ascii="Times New Roman;sans-serif" w:hAnsi="Times New Roman;sans-serif"/>
          <w:b w:val="false"/>
          <w:color w:val="231F20"/>
          <w:sz w:val="20"/>
        </w:rPr>
        <w:t xml:space="preserve">and other non-cash adjustments. The current year net </w:t>
      </w:r>
      <w:r>
        <w:rPr>
          <w:rFonts w:ascii="Times New Roman;sans-serif" w:hAnsi="Times New Roman;sans-serif"/>
          <w:b w:val="false"/>
          <w:color w:val="000000"/>
          <w:sz w:val="20"/>
        </w:rPr>
        <w:t>loss</w:t>
      </w:r>
      <w:r>
        <w:rPr>
          <w:color w:val="231F20"/>
        </w:rPr>
        <w:t xml:space="preserve"> </w:t>
      </w:r>
      <w:r>
        <w:rPr>
          <w:rFonts w:ascii="Times New Roman;sans-serif" w:hAnsi="Times New Roman;sans-serif"/>
          <w:b w:val="false"/>
          <w:color w:val="231F20"/>
          <w:sz w:val="20"/>
        </w:rPr>
        <w:t xml:space="preserve">and non-cash adjustments include a net </w:t>
      </w:r>
      <w:r>
        <w:rPr>
          <w:rFonts w:ascii="Times New Roman;sans-serif" w:hAnsi="Times New Roman;sans-serif"/>
          <w:b w:val="false"/>
          <w:color w:val="000000"/>
          <w:sz w:val="20"/>
        </w:rPr>
        <w:t>gain of $33.4 million related to the repurchase of our Notes and higher inventory related charges as compared to the prior year.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Investing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Net cash used for investing activities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 xml:space="preserve">six months ended June 30, 2024 was </w:t>
      </w:r>
      <w:r>
        <w:rPr>
          <w:rFonts w:ascii="Times New Roman;sans-serif" w:hAnsi="Times New Roman;sans-serif"/>
          <w:b w:val="false"/>
          <w:color w:val="231F20"/>
          <w:sz w:val="20"/>
        </w:rPr>
        <w:t xml:space="preserve">$3.8 million, as compared to $24.9 million for the </w:t>
      </w:r>
      <w:r>
        <w:rPr>
          <w:rFonts w:ascii="Times New Roman;sans-serif" w:hAnsi="Times New Roman;sans-serif"/>
          <w:b w:val="false"/>
          <w:color w:val="000000"/>
          <w:sz w:val="20"/>
        </w:rPr>
        <w:t>six months ended June 30, 2023</w:t>
      </w:r>
      <w:r>
        <w:rPr>
          <w:rFonts w:ascii="Times New Roman;sans-serif" w:hAnsi="Times New Roman;sans-serif"/>
          <w:b w:val="false"/>
          <w:color w:val="231F20"/>
          <w:sz w:val="20"/>
        </w:rPr>
        <w:t>. The change in cash used for investing activities was primarily related to prior year’s asset acquisitions of Esthetic Medical Inc. and Anacapa Aesthetics LLC for $16.9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231F20"/>
          <w:sz w:val="20"/>
        </w:rPr>
      </w:pPr>
      <w:r>
        <w:rPr>
          <w:rFonts w:ascii="Times New Roman;sans-serif" w:hAnsi="Times New Roman;sans-serif"/>
          <w:b/>
          <w:i/>
          <w:color w:val="231F20"/>
          <w:sz w:val="20"/>
        </w:rPr>
        <w:t>Financing Activities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Net cash used for financing activities for the </w:t>
      </w:r>
      <w:r>
        <w:rPr>
          <w:rFonts w:ascii="Times New Roman;sans-serif" w:hAnsi="Times New Roman;sans-serif"/>
          <w:b w:val="false"/>
          <w:color w:val="000000"/>
          <w:sz w:val="20"/>
        </w:rPr>
        <w:t>six months ended June 30, 2024</w:t>
      </w:r>
      <w:r>
        <w:rPr>
          <w:color w:val="231F20"/>
        </w:rPr>
        <w:t xml:space="preserve"> </w:t>
      </w:r>
      <w:r>
        <w:rPr>
          <w:rFonts w:ascii="Times New Roman;sans-serif" w:hAnsi="Times New Roman;sans-serif"/>
          <w:b w:val="false"/>
          <w:color w:val="231F20"/>
          <w:sz w:val="20"/>
        </w:rPr>
        <w:t xml:space="preserve">was $157.4 million, as compared to $3.7 million for the </w:t>
      </w:r>
      <w:r>
        <w:rPr>
          <w:rFonts w:ascii="Times New Roman;sans-serif" w:hAnsi="Times New Roman;sans-serif"/>
          <w:b w:val="false"/>
          <w:color w:val="000000"/>
          <w:sz w:val="20"/>
        </w:rPr>
        <w:t>six months ended June 30, 2023</w:t>
      </w:r>
      <w:r>
        <w:rPr>
          <w:rFonts w:ascii="Times New Roman;sans-serif" w:hAnsi="Times New Roman;sans-serif"/>
          <w:b w:val="false"/>
          <w:color w:val="231F20"/>
          <w:sz w:val="20"/>
        </w:rPr>
        <w:t xml:space="preserve">. The change in cash used for financing activities was primarily related to the repurchase of $192.3 million principal amount of our Notes at a weighted-average price equal to </w:t>
      </w:r>
      <w:r>
        <w:rPr>
          <w:rFonts w:ascii="Times New Roman;sans-serif" w:hAnsi="Times New Roman;sans-serif"/>
          <w:b w:val="false"/>
          <w:color w:val="000000"/>
          <w:sz w:val="20"/>
        </w:rPr>
        <w:t>81%</w:t>
      </w:r>
      <w:r>
        <w:rPr>
          <w:color w:val="231F20"/>
        </w:rPr>
        <w:t xml:space="preserve"> </w:t>
      </w:r>
      <w:r>
        <w:rPr>
          <w:rFonts w:ascii="Times New Roman;sans-serif" w:hAnsi="Times New Roman;sans-serif"/>
          <w:b w:val="false"/>
          <w:color w:val="231F20"/>
          <w:sz w:val="20"/>
        </w:rPr>
        <w:t>for $156.1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There have been no changes to our critical accounting policies since our Annual Report on Form 10-K for the fiscal year ended </w:t>
      </w:r>
      <w:r>
        <w:rPr>
          <w:rFonts w:ascii="Times New Roman;sans-serif" w:hAnsi="Times New Roman;sans-serif"/>
          <w:b w:val="false"/>
          <w:color w:val="000000"/>
          <w:sz w:val="20"/>
        </w:rPr>
        <w:t>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See Part I, Item 1 "Financial Statements—Note </w:t>
      </w:r>
      <w:r>
        <w:rPr>
          <w:rFonts w:ascii="Times New Roman;sans-serif" w:hAnsi="Times New Roman;sans-serif"/>
          <w:b w:val="false"/>
          <w:color w:val="000000"/>
          <w:sz w:val="20"/>
        </w:rPr>
        <w:t>14</w:t>
      </w:r>
      <w:r>
        <w:rPr>
          <w:color w:val="231F20"/>
        </w:rPr>
        <w:t xml:space="preserve"> </w:t>
      </w:r>
      <w:r>
        <w:rPr>
          <w:rFonts w:ascii="Times New Roman;sans-serif" w:hAnsi="Times New Roman;sans-serif"/>
          <w:b w:val="false"/>
          <w:color w:val="231F20"/>
          <w:sz w:val="20"/>
        </w:rPr>
        <w:t>to the Consolidated Financial Statements—New Accounting Pronouncements"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231F20"/>
          <w:sz w:val="20"/>
        </w:rPr>
      </w:pPr>
      <w:r>
        <w:rPr>
          <w:rFonts w:ascii="Times New Roman;sans-serif" w:hAnsi="Times New Roman;sans-serif"/>
          <w:b/>
          <w:color w:val="231F2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 risks relating to our operations result primarily from changes in interest rates, foreign currency, and inflation risk. There were no material changes to our market risks disclosed in our Annual Report on Form 10-K for the fiscal year ended December 31,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conducted an evaluation, under the supervision and with the participation of the Company’s management, including the Company’s principal executive officer and principal financial officer, of the effectiveness of the design and operation of its disclosure controls and procedures as defined in Rules 13a-15(e) and 15-d-15(e) under the Securities Exchange Act of 1934, as amended (the “Exchange Act”) as of the end of the period covered by this Quarterly Report on Form 10-Q. 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on that evaluation, the Company’s principal executive officer and principal financial officer have concluded that, as a result of the material weakness in our internal control over financial reporting related to the Company’s inventory process as described in Part II, Item 9A of our Annual Report on Form 10-K for the year ended December 31, 2023 (the “Inventory Material Weakness”), the Company’s disclosure controls and procedures were not effective as of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Remediation Plan for Material Weakness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with oversight from its Audit Committee, is in the process of implementing measures designed to ensure that control deficiencies contributing to the material weakness are remediated, such that these controls are designed, implemented, and operating effectively. The remediation plan includes, but is not limited to, the following: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hiring additional personnel, both internal and external, with the necessary experience and skill to manage supply chain and inventory operations</w:t>
      </w:r>
      <w:r>
        <w:rPr>
          <w:rFonts w:ascii="Times New Roman;sans-serif" w:hAnsi="Times New Roman;sans-serif"/>
          <w:b w:val="false"/>
          <w:color w:val="231F20"/>
          <w:sz w:val="20"/>
        </w:rPr>
        <w:t>;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231F20"/>
          <w:sz w:val="20"/>
        </w:rPr>
        <w:t>enhancing controls, including the implementation of manual or automated processes over the physical existence of inventory, identification of excess and obsolete inventory, and authorization of inventory pricing and purchase arrangements.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these actions will remediate the material weakness, additional time is required to test such actions and to complete the design, implementation, and review its controls to demonstrate the effectiveness of the Company’s remediation efforts. The material weakness cannot be considered remediated until the applicable remedial controls operate for a sufficient period of time and management has concluded, through testing, that these controls are operating effectively.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our internal control over financial reporting (as such term is defined in the Exchange Act) that occurred during the three months ended June 30, 2024 that have materially affected, or are reasonably likely to materially affect, our internal control over financial reporting.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For a description of our material pending legal proceedings, see Note 10, Commitments and Contingencies, to our condensed consolidated financial statem</w:t>
      </w:r>
      <w:r>
        <w:rPr>
          <w:rFonts w:ascii="Times New Roman;sans-serif" w:hAnsi="Times New Roman;sans-serif"/>
          <w:b w:val="false"/>
          <w:color w:val="000000"/>
          <w:sz w:val="20"/>
          <w:shd w:fill="FFFFFF" w:val="clear"/>
        </w:rPr>
        <w:t>ents included in Part I, Item 1 of this Quarterly Report on Form 10-Q</w:t>
      </w:r>
      <w:r>
        <w:rPr>
          <w:rFonts w:ascii="Times New Roman;sans-serif" w:hAnsi="Times New Roman;sans-serif"/>
          <w:b w:val="false"/>
          <w:color w:val="000000"/>
          <w:sz w:val="2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carefully consider the information set forth in this Quarterly Report on Form 10-Q and the risk factors discussed in Part I, “Item 1A. Risk Factors” in the Annual Report on Form 10-K, which could materially affect our business, financial condition, or future results. The risks described in our Annual Report on Form 10-K, as well as additional risks and uncertainties not presently known to us or that we currently deem immaterial, could materially and adversely affect our business, results of operations, and financial condition, which in turn could materially and adversely affect the trading price of shares of our Class A Common Stock. As of the date of this Quarterly Report on Form 10-Q, there have been no material updates or changes with respect to the risk factors previously disclosed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did not issue any shares of its Class A Common Stock or other equity securities that were not registered under the Securities Act of 1933, as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Purchase of Equity Securities by Issuer and Affiliated Purchasers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the Company and its affiliated purchasers did not make any purchases of the Company’s equity securities.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ind w:left="0" w:right="0" w:firstLine="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modified, or terminated a “Rule 10b5-1 trading arrangement” or “non-Rule 10b5-1 trading arrangement,” as each term is defined in Item 408(a) of Regulation 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Michael Monahan - Cash-Based Performance Bonus Opportunity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information included in this portion of Part II, Item 5 of this Quarterly Report on Form 10-Q is provided in lieu of filing such information on a Current Report on Form 8-K under Item 5.02. Departure of Directors or Certain Officers; Election of Directors; Appointment of Certain Officers; Compensatory Arrangements of Certain Officers.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6, 2024, the Company, following consultation with and under the recommendation of the Company’s Compensation Committee, issued a letter (the “Bonus Opportunity Letter”) that approved the grant of a cash-based performance bonus in the amount of $300,000 to Michael Monahan, the Company’s Chief Financial Officer (the “Cash Performance Bonus”).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Cash Performance Bonus will be paid in one lump sum payment on or before April 15, 2025 (the “Target Date”), provided that Mr. Monahan achieves the following performance goals, the satisfaction of which will be determined by the Company: Mr. Monahan must ensure (i) that a written remediation plan to address the Company’s Inventory Material Weakness as further described in Part I, Item 4 of this Quarterly Report on Form 10-Q is implemented by the Target Date, whereby the remediation plan must establish a process for ongoing monitoring and oversight, appropriate training, and appropriate system enhancements to address (a) physical existence of inventory, (b) excess and obsolete inventory, and (c) inventory pricing and purchase agreements, including non-trade vendor receivables and potential disputes with vendors, and (ii) that systems and processes are in place to align the Company’s sales and operational planning process with the Company’s demand planning and inventory management process.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description of the Bonus Opportunity Letter is qualified in its entirety by reference to the text of the Bonus Opportunity Letter, which is filed as Exhibit 10.5 to this Quarterly Report on Form 10-Q and incorporated herein by reference.</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Termination of Credit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this portion of Part II, Item 5 of this Quarterly Report on Form 10-Q is provided in lieu of filing such information on a Current Report on Form 8-K under Item 1.02 Termination of a Material Definitive Agreement.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Company prepaid all obligations and terminated all commitments, liabilities, and other obligations under the Credit Agreement. There were no material early termination penalties incurred in connection therewith, all outstanding obligations and commitments under the Credit Agreement were satisfied and terminated, and all related security interests and liens securing such obligations and commitments were released.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as part of, or incorporated by reference into, this Quarterly Report on Form 10-Q. </w:t>
      </w:r>
    </w:p>
    <w:tbl>
      <w:tblPr>
        <w:tblW w:w="10205" w:type="dxa"/>
        <w:jc w:val="left"/>
        <w:tblInd w:w="0" w:type="dxa"/>
        <w:tblLayout w:type="fixed"/>
        <w:tblCellMar>
          <w:top w:w="28" w:type="dxa"/>
          <w:left w:w="28" w:type="dxa"/>
          <w:bottom w:w="28" w:type="dxa"/>
          <w:right w:w="28" w:type="dxa"/>
        </w:tblCellMar>
      </w:tblPr>
      <w:tblGrid>
        <w:gridCol w:w="178"/>
        <w:gridCol w:w="156"/>
        <w:gridCol w:w="159"/>
        <w:gridCol w:w="109"/>
        <w:gridCol w:w="109"/>
        <w:gridCol w:w="109"/>
        <w:gridCol w:w="1323"/>
        <w:gridCol w:w="1190"/>
        <w:gridCol w:w="1193"/>
        <w:gridCol w:w="109"/>
        <w:gridCol w:w="109"/>
        <w:gridCol w:w="109"/>
        <w:gridCol w:w="196"/>
        <w:gridCol w:w="196"/>
        <w:gridCol w:w="197"/>
        <w:gridCol w:w="109"/>
        <w:gridCol w:w="109"/>
        <w:gridCol w:w="109"/>
        <w:gridCol w:w="263"/>
        <w:gridCol w:w="242"/>
        <w:gridCol w:w="167"/>
        <w:gridCol w:w="109"/>
        <w:gridCol w:w="109"/>
        <w:gridCol w:w="109"/>
        <w:gridCol w:w="246"/>
        <w:gridCol w:w="246"/>
        <w:gridCol w:w="247"/>
        <w:gridCol w:w="109"/>
        <w:gridCol w:w="109"/>
        <w:gridCol w:w="109"/>
        <w:gridCol w:w="414"/>
        <w:gridCol w:w="374"/>
        <w:gridCol w:w="259"/>
        <w:gridCol w:w="109"/>
        <w:gridCol w:w="109"/>
        <w:gridCol w:w="109"/>
        <w:gridCol w:w="288"/>
        <w:gridCol w:w="288"/>
        <w:gridCol w:w="4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4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December 8, 2020, by and among Vesper Healthcare Acquisition Corp., Hydrate Merger Sub I, Inc., Hydrate Merger Sub II, LLC, LCP Edge Intermediate, Inc. and LCP Edge Holdco, LLC, in its capacity as the Stockholders’ Representative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9,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hyperlink r:id="rId5">
              <w:r>
                <w:rPr>
                  <w:rStyle w:val="InternetLink"/>
                  <w:rFonts w:ascii="Times New Roman;sans-serif" w:hAnsi="Times New Roman;sans-serif"/>
                  <w:b w:val="false"/>
                  <w:color w:val="0000FF"/>
                  <w:sz w:val="20"/>
                  <w:u w:val="single"/>
                </w:rPr>
                <w:t>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7">
              <w:r>
                <w:rPr>
                  <w:rStyle w:val="InternetLink"/>
                  <w:rFonts w:ascii="Times New Roman;sans-serif" w:hAnsi="Times New Roman;sans-serif"/>
                  <w:b w:val="false"/>
                  <w:color w:val="0000FF"/>
                  <w:sz w:val="20"/>
                  <w:u w:val="single"/>
                </w:rPr>
                <w:t>Certificate of Amendment to the Second Amended and Restated Certificate of Incorporation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    </w:t>
            </w:r>
          </w:p>
          <w:p>
            <w:pPr>
              <w:pStyle w:val="TableContents"/>
              <w:bidi w:val="0"/>
              <w:spacing w:lineRule="auto" w:line="268" w:before="0" w:after="0"/>
              <w:jc w:val="left"/>
              <w:rPr/>
            </w:pPr>
            <w:hyperlink r:id="rId9">
              <w:r>
                <w:rPr>
                  <w:rStyle w:val="InternetLink"/>
                  <w:rFonts w:ascii="Times New Roman;sans-serif" w:hAnsi="Times New Roman;sans-serif"/>
                  <w:b w:val="false"/>
                  <w:color w:val="0000FF"/>
                  <w:sz w:val="20"/>
                  <w:u w:val="single"/>
                </w:rPr>
                <w:t>Second Certificate of Amendment to the Second Amended and Restated Certificate of Incorporation of The Beauty Health Company</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80"/>
                  <w:sz w:val="20"/>
                  <w:u w:val="single"/>
                </w:rPr>
                <w:t>3.</w:t>
              </w:r>
            </w:hyperlink>
            <w:hyperlink r:id="rId11">
              <w:r>
                <w:rPr>
                  <w:rStyle w:val="InternetLink"/>
                  <w:rFonts w:ascii="Times New Roman;sans-serif" w:hAnsi="Times New Roman;sans-serif"/>
                  <w:b w:val="false"/>
                  <w:color w:val="000080"/>
                  <w:sz w:val="20"/>
                  <w:u w:val="single"/>
                </w:rPr>
                <w:t>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Amended and Restated Bylaws of The Beauty Health Company</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10,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Indenture, dated as of September 14, 2021, between The Beauty Health Company and U.S. Bank National Association,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ans-serif" w:hAnsi="Times New Roman;sans-serif"/>
                  <w:b w:val="false"/>
                  <w:color w:val="0000FF"/>
                  <w:sz w:val="20"/>
                  <w:u w:val="single"/>
                </w:rPr>
                <w:t xml:space="preserve">Form of certificate representing the 1.25% Convertible Senior Notes due 2026 (included as Exhibit A to Exhibit 4.1)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14,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4.3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Warrant Agreement, dated September 29, 2020, between the Company and Continental Stock Transfer &amp; Trust Company, as warrant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4.4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Description of Registrant’s Securities Registered Pursuant to Section 12 of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10.1</w:t>
              </w:r>
            </w:hyperlink>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Employment Agreement, dated April 8, 2024, by and among The Beauty Health Company, HydraFacial LLC, and Marla Beck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80"/>
                  <w:sz w:val="20"/>
                  <w:u w:val="single"/>
                </w:rPr>
                <w:t>10.2</w:t>
              </w:r>
            </w:hyperlink>
            <w:hyperlink r:id="rId24">
              <w:r>
                <w:rPr>
                  <w:rStyle w:val="InternetLink"/>
                  <w:rFonts w:ascii="Times New Roman;sans-serif" w:hAnsi="Times New Roman;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The Beauty Health Company Amended and Restated Executive Severance Plan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80"/>
                  <w:sz w:val="20"/>
                  <w:u w:val="single"/>
                </w:rPr>
                <w:t>10.</w:t>
              </w:r>
            </w:hyperlink>
            <w:hyperlink r:id="rId27">
              <w:r>
                <w:rPr>
                  <w:rStyle w:val="InternetLink"/>
                  <w:rFonts w:ascii="Times New Roman;sans-serif" w:hAnsi="Times New Roman;sans-serif"/>
                  <w:b w:val="false"/>
                  <w:color w:val="000080"/>
                  <w:sz w:val="20"/>
                  <w:u w:val="single"/>
                </w:rPr>
                <w:t>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Purchase Agreement, dated April 1, 2024, by and between The Beauty Health Company and Goldman Sachs &amp; Co.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80"/>
                  <w:sz w:val="20"/>
                  <w:u w:val="single"/>
                </w:rPr>
                <w:t>10.</w:t>
              </w:r>
            </w:hyperlink>
            <w:hyperlink r:id="rId30">
              <w:r>
                <w:rPr>
                  <w:rStyle w:val="InternetLink"/>
                  <w:rFonts w:ascii="Times New Roman;sans-serif" w:hAnsi="Times New Roman;sans-serif"/>
                  <w:b w:val="false"/>
                  <w:color w:val="000080"/>
                  <w:sz w:val="20"/>
                  <w:u w:val="single"/>
                </w:rPr>
                <w:t>4</w:t>
              </w:r>
            </w:hyperlink>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 xml:space="preserve">Separation, Transition and General Release Agreement, dated April 29, 2024, by and between Hydrafacial LLC and Brad Hauser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8-K/A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001-39565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5-bhc_mikemonah.htm">
              <w:r>
                <w:rPr>
                  <w:rStyle w:val="InternetLink"/>
                  <w:rFonts w:ascii="Times New Roman;sans-serif" w:hAnsi="Times New Roman;sans-serif"/>
                  <w:b w:val="false"/>
                  <w:color w:val="0000FF"/>
                  <w:sz w:val="20"/>
                  <w:u w:val="single"/>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5-bhc_mikemonah.htm">
              <w:r>
                <w:rPr>
                  <w:rStyle w:val="InternetLink"/>
                  <w:rFonts w:ascii="Times New Roman;sans-serif" w:hAnsi="Times New Roman;sans-serif"/>
                  <w:b w:val="false"/>
                  <w:color w:val="0000FF"/>
                  <w:sz w:val="20"/>
                  <w:u w:val="single"/>
                </w:rPr>
                <w:t>Bonus Opportunity Letter, dated August 6, 2024, for Michael Monahan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3"/>
        <w:gridCol w:w="192"/>
        <w:gridCol w:w="196"/>
        <w:gridCol w:w="109"/>
        <w:gridCol w:w="109"/>
        <w:gridCol w:w="109"/>
        <w:gridCol w:w="1491"/>
        <w:gridCol w:w="1265"/>
        <w:gridCol w:w="1264"/>
        <w:gridCol w:w="109"/>
        <w:gridCol w:w="109"/>
        <w:gridCol w:w="109"/>
        <w:gridCol w:w="198"/>
        <w:gridCol w:w="198"/>
        <w:gridCol w:w="199"/>
        <w:gridCol w:w="109"/>
        <w:gridCol w:w="109"/>
        <w:gridCol w:w="109"/>
        <w:gridCol w:w="168"/>
        <w:gridCol w:w="168"/>
        <w:gridCol w:w="169"/>
        <w:gridCol w:w="109"/>
        <w:gridCol w:w="109"/>
        <w:gridCol w:w="109"/>
        <w:gridCol w:w="248"/>
        <w:gridCol w:w="248"/>
        <w:gridCol w:w="249"/>
        <w:gridCol w:w="109"/>
        <w:gridCol w:w="109"/>
        <w:gridCol w:w="109"/>
        <w:gridCol w:w="235"/>
        <w:gridCol w:w="235"/>
        <w:gridCol w:w="237"/>
        <w:gridCol w:w="109"/>
        <w:gridCol w:w="109"/>
        <w:gridCol w:w="109"/>
        <w:gridCol w:w="302"/>
        <w:gridCol w:w="302"/>
        <w:gridCol w:w="436"/>
      </w:tblGrid>
      <w:tr>
        <w:trPr/>
        <w:tc>
          <w:tcPr>
            <w:tcW w:w="2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205" w:type="dxa"/>
            <w:gridSpan w:val="3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Filed Herewith</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4q210q.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1-2024q210q.htm">
              <w:r>
                <w:rPr>
                  <w:rStyle w:val="InternetLink"/>
                  <w:rFonts w:ascii="Times New Roman;sans-serif" w:hAnsi="Times New Roman;sans-serif"/>
                  <w:b w:val="false"/>
                  <w:color w:val="0000FF"/>
                  <w:sz w:val="20"/>
                  <w:u w:val="single"/>
                </w:rPr>
                <w:t>Certification of Principal Executive Officer Pursuant to Securities Exchange Act Rules 13a-14(a),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4q210q.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12-2024q210q.htm">
              <w:r>
                <w:rPr>
                  <w:rStyle w:val="InternetLink"/>
                  <w:rFonts w:ascii="Times New Roman;sans-serif" w:hAnsi="Times New Roman;sans-serif"/>
                  <w:b w:val="false"/>
                  <w:color w:val="0000FF"/>
                  <w:sz w:val="20"/>
                  <w:u w:val="single"/>
                </w:rPr>
                <w:t>Certification of Principal Financial Officer Pursuant to Securities Exchange Act Rules 13a-14(a),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4q210q.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21-2024q210q.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4q210q.htm">
              <w:r>
                <w:rPr>
                  <w:rStyle w:val="InternetLink"/>
                  <w:rFonts w:ascii="Times New Roman;sans-serif" w:hAnsi="Times New Roman;sans-serif"/>
                  <w:b w:val="false"/>
                  <w:color w:val="0000FF"/>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2-2024q210q.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 attachments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The XBRL related information in Exhibit 101 shall not be deemed “filed” for purposes of Section 18 of the Securities Exchange Act of 1934, as amended, or otherwise subject to liability of that section and shall not be incorporated by reference into any filing or other document pursuant to the Securities Act of 1933, as amended, except as shall be expressly set forth by specific reference in such filing or document.</w:t>
      </w:r>
    </w:p>
    <w:p>
      <w:pPr>
        <w:pStyle w:val="TextBody"/>
        <w:bidi w:val="0"/>
        <w:spacing w:lineRule="auto" w:line="268" w:before="0" w:after="0"/>
        <w:ind w:left="0" w:right="0" w:hanging="360"/>
        <w:jc w:val="left"/>
        <w:rPr>
          <w:color w:val="000000"/>
        </w:rPr>
      </w:pPr>
      <w:r>
        <w:rPr>
          <w:color w:val="000000"/>
        </w:rPr>
        <w:t>†     </w:t>
      </w:r>
      <w:r>
        <w:rPr>
          <w:rFonts w:ascii="Times New Roman;sans-serif" w:hAnsi="Times New Roman;sans-serif"/>
          <w:b w:val="false"/>
          <w:color w:val="000000"/>
          <w:sz w:val="16"/>
        </w:rPr>
        <w:t xml:space="preserve">Confidential portions of this exhibit were redacted pursuant to Item 601(b)(10) of Regulation S-K, and the Company agrees to furnish to the SEC a copy of any omitted schedule and/or exhibit upon request. </w:t>
      </w:r>
    </w:p>
    <w:p>
      <w:pPr>
        <w:pStyle w:val="TextBody"/>
        <w:bidi w:val="0"/>
        <w:spacing w:lineRule="auto" w:line="26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Management contract or compensatory plan or arrangement.</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826"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519"/>
        <w:gridCol w:w="519"/>
        <w:gridCol w:w="519"/>
        <w:gridCol w:w="1267"/>
        <w:gridCol w:w="1267"/>
        <w:gridCol w:w="18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THE BEAUTY HEALTH COMPANY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 and Financial Officer)</w:t>
            </w:r>
          </w:p>
        </w:tc>
      </w:tr>
    </w:tbl>
    <w:p>
      <w:pPr>
        <w:pStyle w:val="TextBody"/>
        <w:bidi w:val="0"/>
        <w:spacing w:before="0" w:after="0"/>
        <w:jc w:val="center"/>
        <w:rPr/>
      </w:pPr>
      <w:bookmarkStart w:id="0" w:name="exhibit105-bhc_mikemonah.htm"/>
      <w:bookmarkStart w:id="1" w:name="ksexhibit105bhc_mikemonah"/>
      <w:bookmarkEnd w:id="0"/>
      <w:bookmarkEnd w:id="1"/>
      <w:r>
        <w:rPr/>
        <w:drawing>
          <wp:inline distT="0" distB="0" distL="0" distR="0">
            <wp:extent cx="10048875" cy="13001625"/>
            <wp:effectExtent l="0" t="0" r="0" b="0"/>
            <wp:docPr id="3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jc w:val="center"/>
        <w:rPr>
          <w:color w:val="FFFFFF"/>
          <w:sz w:val="2"/>
        </w:rPr>
      </w:pPr>
      <w:r>
        <w:rPr>
          <w:color w:val="FFFFFF"/>
          <w:sz w:val="2"/>
        </w:rPr>
        <w:t xml:space="preserve">US_ACTIVE-181295609.1 August 6, 2024 Mike Monahan 3600 E. Burnett St. Long Beach, CA 90815 Re: Cash-Based Performance Bonus Opportunity Dear Mike: The Beauty Health Company and HydraFacial LLC (together with any of their respective successors or assigns, the “Company”), wish to provide you with the following cash-based performance award opportunity under the terms and on the conditions outlined below. The Company shall determine, in its reasonable discretion, whether you have met the goals and conditions below regarding the outlined performance goals. Nothing in this correspondence is intended to alter your “at-will” employment status or to provide you with a contract of employment for any set or guaranteed term. You shall be entitled to the performance bonus outlined below only if you remain an active employee of the Company as of the date, April 15, 2025, of payout of the performance bonus. If you meet, as determined by the Company in its reasonable discretion, the following supplemental performance goals by April 15, 2025, you shall be entitled to a cash-based supplemental performance bonus in the amount of Three Hundred Thousand Dollars and No Cents ($300,000), minus customary tax withholdings, to be paid to you on or before April 15th 2025: 1. You must by April 15, 2025 ensure the implementation of a written remediation plan for inventory material weakness. Such written plan will establish processes for ongoing monitoring and oversight, appropriate training and appropriate system enhancements to address current identified issues including, but not limited to: • Physical existence of inventory; • Excess and obsolete inventory; and • Inventory pricing and purchase agreements, including non-trade vendor receivables and potential disputes with vendors; 2. In partnership with Chief Supply Chain and Operations Officer, you must by April 15, 2025, ensure the Sales &amp; Operational Planning process is in alignment with finance to ensure linkage with demand planning and inventory management. Please let us know if you have any questions about the above terms and conditions. We appreciate your continued service as Chief Financial Officer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US_ACTIVE-181295609.1 Sincerely, /s/ Doug Schillinger Doug Schillinger Chairman, Compensation Committee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Marla Beck,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70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 RULE 13A-14(A) UNDER THE SECURITIES EXCHANGE ACT OF 1934,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Monahan,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The Beauty Health Company;</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June 30, 2024, as filed with the Securities and Exchange Commission (the “Report”), I, Marla Beck, Chief Executive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0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723"/>
        <w:gridCol w:w="723"/>
        <w:gridCol w:w="102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Marla Beck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ind w:left="0" w:right="0" w:firstLine="5424"/>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SECTION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The Beauty Health Company (the “Company”) on Form 10-Q for the quarterly period ended June 30, 2024, as filed with the Securities and Exchange Commission (the “Report”), I, Michael Monahan, Chief Financial Officer of the Company, certify, pursuant to 18 U.S.C. §1350, as added by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995"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099"/>
        <w:gridCol w:w="1099"/>
        <w:gridCol w:w="156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Monahan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and Financial Officer)</w:t>
            </w:r>
          </w:p>
        </w:tc>
      </w:tr>
    </w:tbl>
    <w:p>
      <w:pPr>
        <w:pStyle w:val="TextBody"/>
        <w:bidi w:val="0"/>
        <w:ind w:left="0" w:right="0" w:firstLine="5424"/>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093/000121390020041690/ea131234ex2-1_vesperhealth.htm" TargetMode="External"/><Relationship Id="rId3" Type="http://schemas.openxmlformats.org/officeDocument/2006/relationships/hyperlink" Target="https://www.sec.gov/Archives/edgar/data/1818093/000121390020041690/ea131234ex2-1_vesperhealth.htm" TargetMode="External"/><Relationship Id="rId4" Type="http://schemas.openxmlformats.org/officeDocument/2006/relationships/hyperlink" Target="https://www.sec.gov/Archives/edgar/data/1818093/000119312521156433/d422189dex31.htm" TargetMode="External"/><Relationship Id="rId5" Type="http://schemas.openxmlformats.org/officeDocument/2006/relationships/hyperlink" Target="https://www.sec.gov/Archives/edgar/data/1818093/000119312521156433/d422189dex31.htm" TargetMode="External"/><Relationship Id="rId6" Type="http://schemas.openxmlformats.org/officeDocument/2006/relationships/hyperlink" Target="https://www.sec.gov/Archives/edgar/data/1818093/000162828024027695/exhibit31-amendmenttocoide.htm" TargetMode="External"/><Relationship Id="rId7" Type="http://schemas.openxmlformats.org/officeDocument/2006/relationships/hyperlink" Target="https://www.sec.gov/Archives/edgar/data/1818093/000162828024027695/exhibit31-amendmenttocoide.htm" TargetMode="External"/><Relationship Id="rId8" Type="http://schemas.openxmlformats.org/officeDocument/2006/relationships/hyperlink" Target="https://www.sec.gov/Archives/edgar/data/1818093/000162828024027695/exhibit32-amendmenttocoiel.htm" TargetMode="External"/><Relationship Id="rId9" Type="http://schemas.openxmlformats.org/officeDocument/2006/relationships/hyperlink" Target="https://www.sec.gov/Archives/edgar/data/1818093/000162828024027695/exhibit32-amendmenttocoiel.htm" TargetMode="External"/><Relationship Id="rId10" Type="http://schemas.openxmlformats.org/officeDocument/2006/relationships/hyperlink" Target="https://www.sec.gov/Archives/edgar/data/1818093/000119312521156433/d422189dex32.htm" TargetMode="External"/><Relationship Id="rId11" Type="http://schemas.openxmlformats.org/officeDocument/2006/relationships/hyperlink" Target="https://www.sec.gov/Archives/edgar/data/1818093/000119312521156433/d422189dex32.htm" TargetMode="External"/><Relationship Id="rId12" Type="http://schemas.openxmlformats.org/officeDocument/2006/relationships/hyperlink" Target="https://www.sec.gov/Archives/edgar/data/1818093/000119312521156433/d422189dex32.htm" TargetMode="External"/><Relationship Id="rId13" Type="http://schemas.openxmlformats.org/officeDocument/2006/relationships/hyperlink" Target="https://www.sec.gov/Archives/edgar/data/1818093/000181809321000062/exhibit41-convdebtclosing.htm" TargetMode="External"/><Relationship Id="rId14" Type="http://schemas.openxmlformats.org/officeDocument/2006/relationships/hyperlink" Target="https://www.sec.gov/Archives/edgar/data/1818093/000181809321000062/exhibit41-convdebtclosing.htm" TargetMode="External"/><Relationship Id="rId15" Type="http://schemas.openxmlformats.org/officeDocument/2006/relationships/hyperlink" Target="https://www.sec.gov/Archives/edgar/data/1818093/000181809321000062/exhibit41-convdebtclosing.htm" TargetMode="External"/><Relationship Id="rId16" Type="http://schemas.openxmlformats.org/officeDocument/2006/relationships/hyperlink" Target="https://www.sec.gov/Archives/edgar/data/1818093/000181809321000062/exhibit41-convdebtclosing.htm" TargetMode="External"/><Relationship Id="rId17" Type="http://schemas.openxmlformats.org/officeDocument/2006/relationships/hyperlink" Target="https://www.sec.gov/Archives/edgar/data/1818093/000121390020030149/ea127784ex4-1_vesper.htm" TargetMode="External"/><Relationship Id="rId18" Type="http://schemas.openxmlformats.org/officeDocument/2006/relationships/hyperlink" Target="https://www.sec.gov/Archives/edgar/data/1818093/000121390020030149/ea127784ex4-1_vesper.htm" TargetMode="External"/><Relationship Id="rId19" Type="http://schemas.openxmlformats.org/officeDocument/2006/relationships/hyperlink" Target="https://www.sec.gov/Archives/edgar/data/1818093/000181809322000046/ex44descriptionofsecurities.htm" TargetMode="External"/><Relationship Id="rId20" Type="http://schemas.openxmlformats.org/officeDocument/2006/relationships/hyperlink" Target="https://www.sec.gov/Archives/edgar/data/1818093/000181809322000046/ex44descriptionofsecurities.htm" TargetMode="External"/><Relationship Id="rId21" Type="http://schemas.openxmlformats.org/officeDocument/2006/relationships/hyperlink" Target="https://www.sec.gov/Archives/edgar/data/1818093/000162828024015295/ex101-mbeckexecutiveagre.htm" TargetMode="External"/><Relationship Id="rId22" Type="http://schemas.openxmlformats.org/officeDocument/2006/relationships/hyperlink" Target="https://www.sec.gov/Archives/edgar/data/1818093/000162828024015295/ex101-mbeckexecutiveagre.htm" TargetMode="External"/><Relationship Id="rId23" Type="http://schemas.openxmlformats.org/officeDocument/2006/relationships/hyperlink" Target="https://www.sec.gov/Archives/edgar/data/1818093/000162828024015295/ex102-amendedandrestated.htm" TargetMode="External"/><Relationship Id="rId24" Type="http://schemas.openxmlformats.org/officeDocument/2006/relationships/hyperlink" Target="https://www.sec.gov/Archives/edgar/data/1818093/000162828024015295/ex102-amendedandrestated.htm" TargetMode="External"/><Relationship Id="rId25" Type="http://schemas.openxmlformats.org/officeDocument/2006/relationships/hyperlink" Target="https://www.sec.gov/Archives/edgar/data/1818093/000162828024015295/ex102-amendedandrestated.htm" TargetMode="External"/><Relationship Id="rId26" Type="http://schemas.openxmlformats.org/officeDocument/2006/relationships/hyperlink" Target="https://www.sec.gov/Archives/edgar/data/1818093/000162828024022336/exhibit104edgarversion-s.htm" TargetMode="External"/><Relationship Id="rId27" Type="http://schemas.openxmlformats.org/officeDocument/2006/relationships/hyperlink" Target="https://www.sec.gov/Archives/edgar/data/1818093/000162828024022336/exhibit104edgarversion-s.htm" TargetMode="External"/><Relationship Id="rId28" Type="http://schemas.openxmlformats.org/officeDocument/2006/relationships/hyperlink" Target="https://www.sec.gov/Archives/edgar/data/1818093/000162828024022336/exhibit104edgarversion-s.htm" TargetMode="External"/><Relationship Id="rId29" Type="http://schemas.openxmlformats.org/officeDocument/2006/relationships/hyperlink" Target="https://www.sec.gov/Archives/edgar/data/1818093/000162828024019980/ex101-bhauserseparationagr.htm" TargetMode="External"/><Relationship Id="rId30" Type="http://schemas.openxmlformats.org/officeDocument/2006/relationships/hyperlink" Target="https://www.sec.gov/Archives/edgar/data/1818093/000162828024019980/ex101-bhauserseparationagr.htm" TargetMode="External"/><Relationship Id="rId31" Type="http://schemas.openxmlformats.org/officeDocument/2006/relationships/hyperlink" Target="https://www.sec.gov/Archives/edgar/data/1818093/000162828024019980/ex101-bhauserseparationagr.htm" TargetMode="External"/><Relationship Id="rId32" Type="http://schemas.openxmlformats.org/officeDocument/2006/relationships/image" Target="media/image1.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18003</Words>
  <Characters>99962</Characters>
  <CharactersWithSpaces>116483</CharactersWithSpaces>
  <Paragraphs>2290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exhibit105-bhc_mikemonah</dc:title>
</cp:coreProperties>
</file>