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31F20"/>
          <w:sz w:val="36"/>
        </w:rPr>
      </w:pPr>
      <w:r>
        <w:rPr>
          <w:rFonts w:ascii="Times New Roman;serif" w:hAnsi="Times New Roman;serif"/>
          <w:b/>
          <w:color w:val="231F20"/>
          <w:sz w:val="36"/>
        </w:rPr>
        <w:t>UNITED STATES</w:t>
      </w:r>
    </w:p>
    <w:p>
      <w:pPr>
        <w:pStyle w:val="TextBody"/>
        <w:bidi w:val="0"/>
        <w:spacing w:lineRule="auto" w:line="288" w:before="0" w:after="0"/>
        <w:jc w:val="center"/>
        <w:rPr>
          <w:rFonts w:ascii="Times New Roman;serif" w:hAnsi="Times New Roman;serif"/>
          <w:b/>
          <w:color w:val="231F20"/>
          <w:sz w:val="36"/>
        </w:rPr>
      </w:pPr>
      <w:r>
        <w:rPr>
          <w:rFonts w:ascii="Times New Roman;serif" w:hAnsi="Times New Roman;serif"/>
          <w:b/>
          <w:color w:val="231F20"/>
          <w:sz w:val="36"/>
        </w:rPr>
        <w:t>SECURITIES AND EXCHANGE COMMISSION</w:t>
      </w:r>
    </w:p>
    <w:p>
      <w:pPr>
        <w:pStyle w:val="TextBody"/>
        <w:bidi w:val="0"/>
        <w:spacing w:lineRule="auto" w:line="288" w:before="0" w:after="0"/>
        <w:jc w:val="center"/>
        <w:rPr>
          <w:rFonts w:ascii="Times New Roman;serif" w:hAnsi="Times New Roman;serif"/>
          <w:b/>
          <w:color w:val="231F20"/>
          <w:sz w:val="28"/>
        </w:rPr>
      </w:pPr>
      <w:r>
        <w:rPr>
          <w:rFonts w:ascii="Times New Roman;serif" w:hAnsi="Times New Roman;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erif" w:hAnsi="Times New Roman;serif"/>
          <w:b/>
          <w:color w:val="231F20"/>
          <w:sz w:val="36"/>
        </w:rPr>
      </w:pPr>
      <w:r>
        <w:rPr>
          <w:rFonts w:ascii="Times New Roman;serif" w:hAnsi="Times New Roman;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erif" w:hAnsi="Times New Roman;serif"/>
          <w:b/>
          <w:color w:val="000000"/>
          <w:sz w:val="18"/>
        </w:rPr>
        <w:t>For the quarterly period ended June 30, 2026</w:t>
      </w:r>
      <w:r>
        <w:rPr>
          <w:color w:val="000000"/>
        </w:rPr>
        <w:t> </w:t>
      </w:r>
    </w:p>
    <w:p>
      <w:pPr>
        <w:pStyle w:val="TextBody"/>
        <w:bidi w:val="0"/>
        <w:spacing w:lineRule="auto" w:line="288" w:before="57" w:after="283"/>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color w:val="000000"/>
          <w:sz w:val="18"/>
        </w:rPr>
        <w:t>For the transition period from __________ to</w:t>
      </w:r>
      <w:r>
        <w:rPr>
          <w:color w:val="000000"/>
        </w:rPr>
        <w:t> </w:t>
      </w:r>
      <w:r>
        <w:rPr>
          <w:rFonts w:ascii="Times New Roman;serif" w:hAnsi="Times New Roman;serif"/>
          <w:b/>
          <w:color w:val="000000"/>
          <w:sz w:val="18"/>
        </w:rPr>
        <w:t>__________.</w:t>
      </w:r>
    </w:p>
    <w:p>
      <w:pPr>
        <w:pStyle w:val="TextBody"/>
        <w:bidi w:val="0"/>
        <w:spacing w:lineRule="auto" w:line="288" w:before="57" w:after="283"/>
        <w:jc w:val="center"/>
        <w:rPr/>
      </w:pPr>
      <w:r>
        <w:rPr>
          <w:rFonts w:ascii="Times New Roman;serif" w:hAnsi="Times New Roman;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color w:val="000000"/>
          <w:sz w:val="40"/>
        </w:rPr>
        <w:t>SkinHealth Systems Inc.</w:t>
      </w:r>
      <w:r>
        <w:rPr>
          <w:color w:val="231F20"/>
        </w:rPr>
        <w:t xml:space="preserv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9552" w:type="dxa"/>
        <w:jc w:val="center"/>
        <w:tblInd w:w="0" w:type="dxa"/>
        <w:tblLayout w:type="fixed"/>
        <w:tblCellMar>
          <w:top w:w="28" w:type="dxa"/>
          <w:left w:w="28" w:type="dxa"/>
          <w:bottom w:w="28" w:type="dxa"/>
          <w:right w:w="28" w:type="dxa"/>
        </w:tblCellMar>
      </w:tblPr>
      <w:tblGrid>
        <w:gridCol w:w="1779"/>
        <w:gridCol w:w="1567"/>
        <w:gridCol w:w="1574"/>
        <w:gridCol w:w="109"/>
        <w:gridCol w:w="109"/>
        <w:gridCol w:w="109"/>
        <w:gridCol w:w="1257"/>
        <w:gridCol w:w="1257"/>
        <w:gridCol w:w="1791"/>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3600 E. Burnett Street</w:t>
            </w:r>
          </w:p>
          <w:p>
            <w:pPr>
              <w:pStyle w:val="TableContents"/>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Long Beach, CA 90815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231F20"/>
                <w:sz w:val="20"/>
              </w:rPr>
            </w:pPr>
            <w:r>
              <w:rPr>
                <w:rFonts w:ascii="Times New Roman;serif" w:hAnsi="Times New Roman;serif"/>
                <w:b/>
                <w:color w:val="231F20"/>
                <w:sz w:val="20"/>
              </w:rPr>
              <w:t>(800) 603-4996</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231F20"/>
          <w:sz w:val="20"/>
        </w:rPr>
      </w:pPr>
      <w:r>
        <w:rPr>
          <w:rFonts w:ascii="Times New Roman;serif" w:hAnsi="Times New Roman;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3, 2026, there were 130,140,763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THE QUARTER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13">
              <w:r>
                <w:rPr>
                  <w:rStyle w:val="InternetLink"/>
                  <w:rFonts w:ascii="Times New Roman;serif" w:hAnsi="Times New Roman;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13">
              <w:r>
                <w:rPr>
                  <w:rStyle w:val="InternetLink"/>
                  <w:rFonts w:ascii="Times New Roman;serif" w:hAnsi="Times New Roman;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16">
              <w:r>
                <w:rPr>
                  <w:rStyle w:val="InternetLink"/>
                  <w:rFonts w:ascii="Times New Roman;serif" w:hAnsi="Times New Roman;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19">
              <w:r>
                <w:rPr>
                  <w:rStyle w:val="InternetLink"/>
                  <w:rFonts w:ascii="Times New Roman;serif" w:hAnsi="Times New Roman;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19">
              <w:r>
                <w:rPr>
                  <w:rStyle w:val="InternetLink"/>
                  <w:rFonts w:ascii="Times New Roman;serif" w:hAnsi="Times New Roman;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2">
              <w:r>
                <w:rPr>
                  <w:rStyle w:val="InternetLink"/>
                  <w:rFonts w:ascii="Times New Roman;serif" w:hAnsi="Times New Roman;serif"/>
                  <w:b w:val="false"/>
                  <w:color w:val="0000FF"/>
                  <w:sz w:val="20"/>
                  <w:u w:val="single"/>
                </w:rPr>
                <w:t>Condensed Consolidated Statements of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2">
              <w:r>
                <w:rPr>
                  <w:rStyle w:val="InternetLink"/>
                  <w:rFonts w:ascii="Times New Roman;serif" w:hAnsi="Times New Roman;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5">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5">
              <w:r>
                <w:rPr>
                  <w:rStyle w:val="InternetLink"/>
                  <w:rFonts w:ascii="Times New Roman;serif" w:hAnsi="Times New Roman;serif"/>
                  <w:b w:val="false"/>
                  <w:color w:val="0000FF"/>
                  <w:sz w:val="20"/>
                  <w:u w:val="single"/>
                </w:rPr>
                <w:t>6</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8">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8">
              <w:r>
                <w:rPr>
                  <w:rStyle w:val="InternetLink"/>
                  <w:rFonts w:ascii="Times New Roman;serif" w:hAnsi="Times New Roman;serif"/>
                  <w:b w:val="false"/>
                  <w:color w:val="0000FF"/>
                  <w:sz w:val="20"/>
                  <w:u w:val="single"/>
                </w:rPr>
                <w:t>7</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2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29">
              <w:r>
                <w:rPr>
                  <w:rStyle w:val="InternetLink"/>
                  <w:rFonts w:ascii="Times New Roman;serif" w:hAnsi="Times New Roman;serif"/>
                  <w:b w:val="false"/>
                  <w:color w:val="0000FF"/>
                  <w:sz w:val="20"/>
                  <w:u w:val="single"/>
                </w:rPr>
                <w:t>24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9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92">
              <w:r>
                <w:rPr>
                  <w:rStyle w:val="InternetLink"/>
                  <w:rFonts w:ascii="Times New Roman;serif" w:hAnsi="Times New Roman;serif"/>
                  <w:b w:val="false"/>
                  <w:color w:val="0000FF"/>
                  <w:sz w:val="20"/>
                  <w:u w:val="single"/>
                </w:rPr>
                <w:t>34</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295">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295">
              <w:r>
                <w:rPr>
                  <w:rStyle w:val="InternetLink"/>
                  <w:rFonts w:ascii="Times New Roman;serif" w:hAnsi="Times New Roman;serif"/>
                  <w:b w:val="false"/>
                  <w:color w:val="0000FF"/>
                  <w:sz w:val="20"/>
                  <w:u w:val="single"/>
                </w:rPr>
                <w:t>34</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01">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01">
              <w:r>
                <w:rPr>
                  <w:rStyle w:val="InternetLink"/>
                  <w:rFonts w:ascii="Times New Roman;serif" w:hAnsi="Times New Roman;serif"/>
                  <w:b w:val="false"/>
                  <w:color w:val="0000FF"/>
                  <w:sz w:val="20"/>
                  <w:u w:val="single"/>
                </w:rPr>
                <w:t>35</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04">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04">
              <w:r>
                <w:rPr>
                  <w:rStyle w:val="InternetLink"/>
                  <w:rFonts w:ascii="Times New Roman;serif" w:hAnsi="Times New Roman;serif"/>
                  <w:b w:val="false"/>
                  <w:color w:val="0000FF"/>
                  <w:sz w:val="20"/>
                  <w:u w:val="single"/>
                </w:rPr>
                <w:t>43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0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07">
              <w:r>
                <w:rPr>
                  <w:rStyle w:val="InternetLink"/>
                  <w:rFonts w:ascii="Times New Roman;serif" w:hAnsi="Times New Roman;serif"/>
                  <w:b w:val="false"/>
                  <w:color w:val="0000FF"/>
                  <w:sz w:val="20"/>
                  <w:u w:val="single"/>
                </w:rPr>
                <w:t>44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13">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13">
              <w:r>
                <w:rPr>
                  <w:rStyle w:val="InternetLink"/>
                  <w:rFonts w:ascii="Times New Roman;serif" w:hAnsi="Times New Roman;serif"/>
                  <w:b w:val="false"/>
                  <w:color w:val="0000FF"/>
                  <w:sz w:val="20"/>
                  <w:u w:val="single"/>
                </w:rPr>
                <w:t>44</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16">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16">
              <w:r>
                <w:rPr>
                  <w:rStyle w:val="InternetLink"/>
                  <w:rFonts w:ascii="Times New Roman;serif" w:hAnsi="Times New Roman;serif"/>
                  <w:b w:val="false"/>
                  <w:color w:val="0000FF"/>
                  <w:sz w:val="20"/>
                  <w:u w:val="single"/>
                </w:rPr>
                <w:t>44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19">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19">
              <w:r>
                <w:rPr>
                  <w:rStyle w:val="InternetLink"/>
                  <w:rFonts w:ascii="Times New Roman;serif" w:hAnsi="Times New Roman;serif"/>
                  <w:b w:val="false"/>
                  <w:color w:val="0000FF"/>
                  <w:sz w:val="20"/>
                  <w:u w:val="single"/>
                </w:rPr>
                <w:t>45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22">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b8245fc40a45148dbe9273d3600290_322">
              <w:r>
                <w:rPr>
                  <w:rStyle w:val="InternetLink"/>
                  <w:rFonts w:ascii="Times New Roman;serif" w:hAnsi="Times New Roman;serif"/>
                  <w:b w:val="false"/>
                  <w:color w:val="0000FF"/>
                  <w:sz w:val="20"/>
                  <w:u w:val="single"/>
                </w:rPr>
                <w:t>46</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b8245fc40a45148dbe9273d3600290_325">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3"/>
        <w:gridCol w:w="2229"/>
        <w:gridCol w:w="2174"/>
        <w:gridCol w:w="211"/>
        <w:gridCol w:w="828"/>
        <w:gridCol w:w="109"/>
        <w:gridCol w:w="109"/>
        <w:gridCol w:w="109"/>
        <w:gridCol w:w="109"/>
        <w:gridCol w:w="239"/>
        <w:gridCol w:w="937"/>
        <w:gridCol w:w="178"/>
      </w:tblGrid>
      <w:tr>
        <w:trPr/>
        <w:tc>
          <w:tcPr>
            <w:tcW w:w="297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assets: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206,074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232,673</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231F20"/>
                <w:sz w:val="20"/>
              </w:rPr>
            </w:pPr>
            <w:r>
              <w:rPr>
                <w:rFonts w:ascii="Times New Roman;serif" w:hAnsi="Times New Roman;serif"/>
                <w:b w:val="false"/>
                <w:color w:val="231F20"/>
                <w:sz w:val="20"/>
              </w:rPr>
              <w:t>Accounts receivable, net of allowances for estimated credit losses of $3,652 and $6,022 at June 30, 2026 and December 31, 2025, respectively</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21,741</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Inventories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Income tax receivable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1,696</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expenses and other current assets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5,395</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295,241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309,517</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Right-of-use assets, net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11,570</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Intangible assets, net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126,621</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income tax assets, net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1,925</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assets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11,869</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486,573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erif" w:hAnsi="Times New Roman;serif"/>
                <w:b/>
                <w:color w:val="231F20"/>
                <w:sz w:val="20"/>
              </w:rPr>
            </w:pPr>
            <w:r>
              <w:rPr>
                <w:rFonts w:ascii="Times New Roman;serif" w:hAnsi="Times New Roman;serif"/>
                <w:b/>
                <w:color w:val="231F20"/>
                <w:sz w:val="20"/>
              </w:rPr>
              <w:t>LIABILITIES AND STOCKHOLDERS’ EQUITY</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convertible senior notes,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123,959</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15,631</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24,947</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current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5,128</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payable</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1,226</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accrued expenses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current liabilities </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168,198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186,275</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 liabilities, non-current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9,238</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Deferred income tax liabilities, net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393</w:t>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Convertible senior notes, net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242,120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240,431</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2,410</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438,747</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(Note 6) </w:t>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Class A Common Stock, $0.0001 par value; 320,000,000 shares authorized; 130,104,671 and 127,520,823 shares issued and outstanding at June 30, 2026 and December 31, 2025, respectively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Additional paid-in capital </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579,961 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other comprehensive loss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Accumulated deficit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(526,783)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(517,484)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61,056 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Times New Roman;serif" w:hAnsi="Times New Roman;serif"/>
                <w:b/>
                <w:color w:val="231F20"/>
                <w:sz w:val="20"/>
              </w:rPr>
            </w:pPr>
            <w:r>
              <w:rPr>
                <w:rFonts w:ascii="Times New Roman;serif" w:hAnsi="Times New Roman;serif"/>
                <w:b/>
                <w:color w:val="231F2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486,573 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499,803 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COMPREHENSIVE INCOME (LOSS)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23"/>
        <w:gridCol w:w="1182"/>
        <w:gridCol w:w="1174"/>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09"/>
        <w:gridCol w:w="109"/>
        <w:gridCol w:w="156"/>
      </w:tblGrid>
      <w:tr>
        <w:trPr/>
        <w:tc>
          <w:tcPr>
            <w:tcW w:w="14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97,692 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Income (loss)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20"/>
              </w:rPr>
            </w:pPr>
            <w:r>
              <w:rPr>
                <w:rFonts w:ascii="Times New Roman;serif" w:hAnsi="Times New Roman;serif"/>
                <w:b/>
                <w:color w:val="231F20"/>
                <w:sz w:val="20"/>
              </w:rPr>
              <w:t>(Loss) income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Comprehensive (loss) income, net of tax:</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231F20"/>
                <w:sz w:val="20"/>
              </w:rPr>
            </w:pPr>
            <w:r>
              <w:rPr>
                <w:rFonts w:ascii="Times New Roman;serif" w:hAnsi="Times New Roman;serif"/>
                <w:b/>
                <w:color w:val="231F20"/>
                <w:sz w:val="20"/>
              </w:rPr>
              <w:t>Comprehensive (loss)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14,373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 xml:space="preserve">Weighted average common stock outstanding </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129,596,886 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126,072,603 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128,699,733 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125,578,780 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129,596,886 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140,294,291 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128,699,733 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140,589,807 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STOCKHOLDERS’ EQUITY</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 except for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2"/>
        <w:gridCol w:w="453"/>
        <w:gridCol w:w="454"/>
        <w:gridCol w:w="525"/>
        <w:gridCol w:w="526"/>
        <w:gridCol w:w="196"/>
        <w:gridCol w:w="109"/>
        <w:gridCol w:w="109"/>
        <w:gridCol w:w="109"/>
        <w:gridCol w:w="212"/>
        <w:gridCol w:w="359"/>
        <w:gridCol w:w="120"/>
        <w:gridCol w:w="109"/>
        <w:gridCol w:w="109"/>
        <w:gridCol w:w="109"/>
        <w:gridCol w:w="216"/>
        <w:gridCol w:w="812"/>
        <w:gridCol w:w="120"/>
        <w:gridCol w:w="109"/>
        <w:gridCol w:w="109"/>
        <w:gridCol w:w="109"/>
        <w:gridCol w:w="109"/>
        <w:gridCol w:w="109"/>
        <w:gridCol w:w="316"/>
        <w:gridCol w:w="922"/>
        <w:gridCol w:w="176"/>
        <w:gridCol w:w="109"/>
        <w:gridCol w:w="109"/>
        <w:gridCol w:w="109"/>
        <w:gridCol w:w="204"/>
        <w:gridCol w:w="794"/>
        <w:gridCol w:w="113"/>
        <w:gridCol w:w="109"/>
        <w:gridCol w:w="109"/>
        <w:gridCol w:w="109"/>
        <w:gridCol w:w="244"/>
        <w:gridCol w:w="808"/>
        <w:gridCol w:w="200"/>
      </w:tblGrid>
      <w:tr>
        <w:trPr/>
        <w:tc>
          <w:tcPr>
            <w:tcW w:w="5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124,924,185 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566,709 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(507,965)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(10,096)</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125,246,286 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(518,061)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19,712 </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2,091,026 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126,764,562 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(498,349)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2"/>
        <w:gridCol w:w="434"/>
        <w:gridCol w:w="435"/>
        <w:gridCol w:w="525"/>
        <w:gridCol w:w="526"/>
        <w:gridCol w:w="196"/>
        <w:gridCol w:w="109"/>
        <w:gridCol w:w="109"/>
        <w:gridCol w:w="109"/>
        <w:gridCol w:w="212"/>
        <w:gridCol w:w="359"/>
        <w:gridCol w:w="120"/>
        <w:gridCol w:w="109"/>
        <w:gridCol w:w="109"/>
        <w:gridCol w:w="109"/>
        <w:gridCol w:w="213"/>
        <w:gridCol w:w="801"/>
        <w:gridCol w:w="118"/>
        <w:gridCol w:w="109"/>
        <w:gridCol w:w="109"/>
        <w:gridCol w:w="109"/>
        <w:gridCol w:w="109"/>
        <w:gridCol w:w="109"/>
        <w:gridCol w:w="324"/>
        <w:gridCol w:w="945"/>
        <w:gridCol w:w="181"/>
        <w:gridCol w:w="109"/>
        <w:gridCol w:w="109"/>
        <w:gridCol w:w="109"/>
        <w:gridCol w:w="203"/>
        <w:gridCol w:w="787"/>
        <w:gridCol w:w="113"/>
        <w:gridCol w:w="109"/>
        <w:gridCol w:w="109"/>
        <w:gridCol w:w="109"/>
        <w:gridCol w:w="253"/>
        <w:gridCol w:w="837"/>
        <w:gridCol w:w="208"/>
      </w:tblGrid>
      <w:tr>
        <w:trPr/>
        <w:tc>
          <w:tcPr>
            <w:tcW w:w="5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127,520,823 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(517,484)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(845,917)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129,144,801 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(524,114)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1,187,071 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130,104,671 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(526,783)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10" w:after="283"/>
        <w:jc w:val="center"/>
        <w:rPr/>
      </w:pPr>
      <w:r>
        <w:rPr>
          <w:rFonts w:ascii="Times New Roman;serif" w:hAnsi="Times New Roman;serif"/>
          <w:b/>
          <w:color w:val="000000"/>
          <w:sz w:val="20"/>
        </w:rPr>
        <w:t>CONDENSED CONSOLIDATED</w:t>
      </w:r>
      <w:r>
        <w:rPr>
          <w:color w:val="231F20"/>
        </w:rPr>
        <w:t xml:space="preserve"> </w:t>
      </w:r>
      <w:r>
        <w:rPr>
          <w:rFonts w:ascii="Times New Roman;serif" w:hAnsi="Times New Roman;serif"/>
          <w:b/>
          <w:color w:val="231F20"/>
          <w:sz w:val="20"/>
        </w:rPr>
        <w:t>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100" w:after="283"/>
        <w:jc w:val="center"/>
        <w:rPr/>
      </w:pPr>
      <w:r>
        <w:rPr/>
      </w:r>
    </w:p>
    <w:tbl>
      <w:tblPr>
        <w:tblW w:w="8356" w:type="dxa"/>
        <w:jc w:val="center"/>
        <w:tblInd w:w="0" w:type="dxa"/>
        <w:tblLayout w:type="fixed"/>
        <w:tblCellMar>
          <w:top w:w="28" w:type="dxa"/>
          <w:left w:w="28" w:type="dxa"/>
          <w:bottom w:w="28" w:type="dxa"/>
          <w:right w:w="28" w:type="dxa"/>
        </w:tblCellMar>
      </w:tblPr>
      <w:tblGrid>
        <w:gridCol w:w="2059"/>
        <w:gridCol w:w="1806"/>
        <w:gridCol w:w="1819"/>
        <w:gridCol w:w="196"/>
        <w:gridCol w:w="736"/>
        <w:gridCol w:w="109"/>
        <w:gridCol w:w="109"/>
        <w:gridCol w:w="109"/>
        <w:gridCol w:w="109"/>
        <w:gridCol w:w="196"/>
        <w:gridCol w:w="736"/>
        <w:gridCol w:w="109"/>
        <w:gridCol w:w="109"/>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Adjustments to reconcile net (loss) income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Inventory write-down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Provision for estimated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Gain on exchange and repurchases of convertible 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Prepaid expenses, other current assets, and 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Accounts payable, accrued expenses, and 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paid for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8"/>
              </w:rPr>
            </w:pPr>
            <w:r>
              <w:rPr>
                <w:rFonts w:ascii="Times New Roman;serif" w:hAnsi="Times New Roman;serif"/>
                <w:b/>
                <w:color w:val="231F2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 in connection with exchange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Issuance of 2028 Notes in connection with exchange,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Repurchase of 2026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Payment of tax withholdings on vested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cash used for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(21,130)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18"/>
              </w:rPr>
            </w:pPr>
            <w:r>
              <w:rPr>
                <w:rFonts w:ascii="Times New Roman;serif" w:hAnsi="Times New Roman;serif"/>
                <w:b w:val="false"/>
                <w:color w:val="231F20"/>
                <w:sz w:val="18"/>
              </w:rPr>
              <w:t>(173,611)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Net change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Effect of foreign currency translation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18"/>
              </w:rPr>
            </w:pPr>
            <w:r>
              <w:rPr>
                <w:rFonts w:ascii="Times New Roman;serif" w:hAnsi="Times New Roman;serif"/>
                <w:b w:val="false"/>
                <w:color w:val="231F20"/>
                <w:sz w:val="18"/>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SKINHEALTH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SkinHealth Systems Inc. (the “Company”)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The Beauty Health Company, and formerly, Vesper Healthcare Acquisition Corp.) was incorporated in the State of Delaware on July 8, 2020. On May 4, 2021, we consummated the business combination pursuant to that certain Agreement and Plan of Merger, dated December 8, 2020, by and among Vesper Healthcare Acquisition Corp.,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Balance Sheet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Inventories consist of the following as of the periods indicated:</w:t>
      </w:r>
    </w:p>
    <w:p>
      <w:pPr>
        <w:pStyle w:val="TextBody"/>
        <w:bidi w:val="0"/>
        <w:spacing w:before="0" w:after="0"/>
        <w:jc w:val="left"/>
        <w:rPr/>
      </w:pPr>
      <w:r>
        <w:rPr/>
      </w:r>
    </w:p>
    <w:tbl>
      <w:tblPr>
        <w:tblW w:w="4555" w:type="dxa"/>
        <w:jc w:val="left"/>
        <w:tblInd w:w="0" w:type="dxa"/>
        <w:tblLayout w:type="fixed"/>
        <w:tblCellMar>
          <w:top w:w="28" w:type="dxa"/>
          <w:left w:w="28" w:type="dxa"/>
          <w:bottom w:w="28" w:type="dxa"/>
          <w:right w:w="28" w:type="dxa"/>
        </w:tblCellMar>
      </w:tblPr>
      <w:tblGrid>
        <w:gridCol w:w="564"/>
        <w:gridCol w:w="497"/>
        <w:gridCol w:w="498"/>
        <w:gridCol w:w="228"/>
        <w:gridCol w:w="779"/>
        <w:gridCol w:w="117"/>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18,546 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29,466 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inventories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46,842 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48,012 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Accrued payroll-related expenses consist of the following as of the periods indicated:</w:t>
      </w:r>
    </w:p>
    <w:p>
      <w:pPr>
        <w:pStyle w:val="TextBody"/>
        <w:bidi w:val="0"/>
        <w:spacing w:before="0" w:after="0"/>
        <w:jc w:val="left"/>
        <w:rPr/>
      </w:pPr>
      <w:r>
        <w:rPr/>
      </w:r>
    </w:p>
    <w:tbl>
      <w:tblPr>
        <w:tblW w:w="6415" w:type="dxa"/>
        <w:jc w:val="left"/>
        <w:tblInd w:w="0" w:type="dxa"/>
        <w:tblLayout w:type="fixed"/>
        <w:tblCellMar>
          <w:top w:w="28" w:type="dxa"/>
          <w:left w:w="28" w:type="dxa"/>
          <w:bottom w:w="28" w:type="dxa"/>
          <w:right w:w="28" w:type="dxa"/>
        </w:tblCellMar>
      </w:tblPr>
      <w:tblGrid>
        <w:gridCol w:w="1234"/>
        <w:gridCol w:w="1087"/>
        <w:gridCol w:w="1098"/>
        <w:gridCol w:w="228"/>
        <w:gridCol w:w="779"/>
        <w:gridCol w:w="117"/>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and payroll taxes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commissions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payroll-related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Other accrued expenses consist of the following as of the periods indicated:</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1009"/>
        <w:gridCol w:w="889"/>
        <w:gridCol w:w="891"/>
        <w:gridCol w:w="228"/>
        <w:gridCol w:w="779"/>
        <w:gridCol w:w="117"/>
        <w:gridCol w:w="109"/>
        <w:gridCol w:w="109"/>
        <w:gridCol w:w="109"/>
        <w:gridCol w:w="300"/>
        <w:gridCol w:w="1026"/>
        <w:gridCol w:w="219"/>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Securities class action settlement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Sales and VAT tax payables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Royalty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5,601 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other accrued expenses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31,605 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15,384 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 and December 31, 2025,</w:t>
      </w:r>
      <w:r>
        <w:rPr>
          <w:color w:val="000000"/>
        </w:rPr>
        <w:t xml:space="preserve"> </w:t>
      </w:r>
      <w:r>
        <w:rPr>
          <w:rFonts w:ascii="Times New Roman;serif" w:hAnsi="Times New Roman;serif"/>
          <w:b w:val="false"/>
          <w:color w:val="000000"/>
          <w:sz w:val="20"/>
        </w:rPr>
        <w:t>total warranty reserve was approximately $1 million, which was included in other accrued expenses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June 30, 2026 and December 31, 2025, the Company has approximately $2 million in restricted cash held as collateral for the Company’s credit cards, which was included in cash, cash equivalents and restricted cash on the </w:t>
      </w:r>
      <w:r>
        <w:rPr>
          <w:rFonts w:ascii="Times New Roman;serif" w:hAnsi="Times New Roman;serif"/>
          <w:b w:val="false"/>
          <w:color w:val="000000"/>
          <w:sz w:val="20"/>
        </w:rPr>
        <w:t>Condensed Consolidated</w:t>
      </w:r>
      <w:r>
        <w:rPr>
          <w:color w:val="231F20"/>
        </w:rPr>
        <w:t xml:space="preserve"> </w:t>
      </w:r>
      <w:r>
        <w:rPr>
          <w:rFonts w:ascii="Times New Roman;serif" w:hAnsi="Times New Roman;serif"/>
          <w:b w:val="false"/>
          <w:color w:val="231F20"/>
          <w:sz w:val="20"/>
        </w:rPr>
        <w:t>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During the six months ended June 30, 2026, the Company amended the terms of its principal executive office lease agreement to expire in November 2032, resulting in an increase of approximately $14 million in future operating lease payments and an approximately $10 million increase in lease-related balances on the Condensed Consolidated</w:t>
      </w:r>
      <w:r>
        <w:rPr>
          <w:color w:val="231F20"/>
        </w:rPr>
        <w:t xml:space="preserve"> </w:t>
      </w:r>
      <w:r>
        <w:rPr>
          <w:rFonts w:ascii="Times New Roman;serif" w:hAnsi="Times New Roman;serif"/>
          <w:b w:val="false"/>
          <w:color w:val="231F20"/>
          <w:sz w:val="20"/>
        </w:rPr>
        <w:t>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231F20"/>
          <w:sz w:val="20"/>
        </w:rPr>
        <w:t xml:space="preserve">As of June 30, 2026, the Company recorded a liability of </w:t>
      </w:r>
      <w:r>
        <w:rPr>
          <w:rFonts w:ascii="Times New Roman;serif" w:hAnsi="Times New Roman;serif"/>
          <w:b w:val="false"/>
          <w:color w:val="000000"/>
          <w:sz w:val="20"/>
        </w:rPr>
        <w:t>$18.0 million in other accrued expenses and $15.0 million in prepaid expenses and other current assets on the Condensed Consolidated</w:t>
      </w:r>
      <w:r>
        <w:rPr>
          <w:color w:val="231F20"/>
        </w:rPr>
        <w:t xml:space="preserve"> </w:t>
      </w:r>
      <w:r>
        <w:rPr>
          <w:rFonts w:ascii="Times New Roman;serif" w:hAnsi="Times New Roman;serif"/>
          <w:b w:val="false"/>
          <w:color w:val="231F20"/>
          <w:sz w:val="20"/>
        </w:rPr>
        <w:t xml:space="preserve">Balance Sheets related to the settlement amount to be paid to the plaintiffs and insurance recovery from the Company’s insurers, respectively, related to the proposed settlement the Company has reached with plaintiffs in the Securities Class Action (as defined in Note 6 </w:t>
      </w:r>
      <w:r>
        <w:rPr>
          <w:color w:val="000000"/>
        </w:rPr>
        <w:t>–</w:t>
      </w:r>
      <w:r>
        <w:rPr>
          <w:color w:val="231F20"/>
        </w:rPr>
        <w:t xml:space="preserve"> </w:t>
      </w:r>
      <w:r>
        <w:rPr>
          <w:rFonts w:ascii="Times New Roman;serif" w:hAnsi="Times New Roman;serif"/>
          <w:b w:val="false"/>
          <w:color w:val="231F20"/>
          <w:sz w:val="20"/>
        </w:rPr>
        <w:t xml:space="preserve">Commitments and Contingencies </w:t>
      </w:r>
      <w:r>
        <w:rPr>
          <w:color w:val="000000"/>
        </w:rPr>
        <w:t>–</w:t>
      </w:r>
      <w:r>
        <w:rPr>
          <w:color w:val="231F20"/>
        </w:rPr>
        <w:t xml:space="preserve"> </w:t>
      </w:r>
      <w:r>
        <w:rPr>
          <w:rFonts w:ascii="Times New Roman;serif" w:hAnsi="Times New Roman;serif"/>
          <w:b w:val="false"/>
          <w:color w:val="231F20"/>
          <w:sz w:val="20"/>
        </w:rPr>
        <w:t xml:space="preserve">Securities Class Action). See Note 6 </w:t>
      </w:r>
      <w:r>
        <w:rPr>
          <w:color w:val="000000"/>
        </w:rPr>
        <w:t>–</w:t>
      </w:r>
      <w:r>
        <w:rPr>
          <w:color w:val="231F20"/>
        </w:rPr>
        <w:t xml:space="preserve"> </w:t>
      </w:r>
      <w:r>
        <w:rPr>
          <w:rFonts w:ascii="Times New Roman;serif" w:hAnsi="Times New Roman;serif"/>
          <w:b w:val="false"/>
          <w:color w:val="231F20"/>
          <w:sz w:val="20"/>
        </w:rPr>
        <w:t xml:space="preserve">Commitments and Contingencies </w:t>
      </w:r>
      <w:r>
        <w:rPr>
          <w:color w:val="000000"/>
        </w:rPr>
        <w:t xml:space="preserve">– </w:t>
      </w:r>
      <w:r>
        <w:rPr>
          <w:rFonts w:ascii="Times New Roman;serif" w:hAnsi="Times New Roman;serif"/>
          <w:b w:val="false"/>
          <w:color w:val="000000"/>
          <w:sz w:val="20"/>
        </w:rPr>
        <w:t>Securities Class Action</w:t>
      </w:r>
      <w:r>
        <w:rPr>
          <w:rFonts w:ascii="Times New Roman;serif" w:hAnsi="Times New Roman;serif"/>
          <w:b w:val="false"/>
          <w:color w:val="231F20"/>
          <w:sz w:val="20"/>
        </w:rPr>
        <w:t>, in this Quarterly Report on Form 10-Q for additional information with respect to the Securities Class Action.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as of the periods indicated:</w:t>
      </w:r>
    </w:p>
    <w:tbl>
      <w:tblPr>
        <w:tblW w:w="9787" w:type="dxa"/>
        <w:jc w:val="left"/>
        <w:tblInd w:w="0" w:type="dxa"/>
        <w:tblLayout w:type="fixed"/>
        <w:tblCellMar>
          <w:top w:w="28" w:type="dxa"/>
          <w:left w:w="28" w:type="dxa"/>
          <w:bottom w:w="28" w:type="dxa"/>
          <w:right w:w="28" w:type="dxa"/>
        </w:tblCellMar>
      </w:tblPr>
      <w:tblGrid>
        <w:gridCol w:w="1484"/>
        <w:gridCol w:w="1308"/>
        <w:gridCol w:w="1318"/>
        <w:gridCol w:w="781"/>
        <w:gridCol w:w="781"/>
        <w:gridCol w:w="792"/>
        <w:gridCol w:w="109"/>
        <w:gridCol w:w="109"/>
        <w:gridCol w:w="109"/>
        <w:gridCol w:w="228"/>
        <w:gridCol w:w="779"/>
        <w:gridCol w:w="117"/>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Useful life</w:t>
            </w:r>
          </w:p>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Leasehold improvements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11,080 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Furniture and fixtures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Machinery and equipment</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231F20"/>
                <w:sz w:val="20"/>
              </w:rPr>
            </w:pPr>
            <w:r>
              <w:rPr>
                <w:rFonts w:ascii="Times New Roman;serif" w:hAnsi="Times New Roman;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3,556 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Construction in progress </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property and equipment </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25,336 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Less: accumulated depreciation and amortization</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(22,798)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Property and equipment, net</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changes in the carrying value of goodwill for the </w:t>
      </w:r>
      <w:r>
        <w:rPr>
          <w:rFonts w:ascii="Times New Roman;serif" w:hAnsi="Times New Roman;serif"/>
          <w:b w:val="false"/>
          <w:color w:val="000000"/>
          <w:sz w:val="20"/>
        </w:rPr>
        <w:t xml:space="preserve">six months ended June 30, 2026 are </w:t>
      </w:r>
      <w:r>
        <w:rPr>
          <w:rFonts w:ascii="Times New Roman;serif" w:hAnsi="Times New Roman;serif"/>
          <w:b w:val="false"/>
          <w:color w:val="231F20"/>
          <w:sz w:val="20"/>
        </w:rPr>
        <w:t>as follows (in thousands):</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June 30, 2026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(82,226)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10,297 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158,613 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30,218 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The gross carrying amount and accumulated amortization of the Company’s intangible assets, net, as of December 31, 2025 were as follows:</w:t>
      </w:r>
    </w:p>
    <w:tbl>
      <w:tblPr>
        <w:tblW w:w="7545"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901"/>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01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(79,405)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12,224</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231F20"/>
                <w:sz w:val="20"/>
              </w:rPr>
            </w:pPr>
            <w:r>
              <w:rPr>
                <w:rFonts w:ascii="Times New Roman;serif" w:hAnsi="Times New Roman;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159,494 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35,763 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pPr>
      <w:r>
        <w:rPr>
          <w:rFonts w:ascii="Times New Roman;serif" w:hAnsi="Times New Roman;serif"/>
          <w:b w:val="false"/>
          <w:i/>
          <w:color w:val="000000"/>
          <w:sz w:val="20"/>
          <w:shd w:fill="FFFFFF" w:val="clear"/>
        </w:rPr>
        <w:t>Convertible Senior Secured Notes - 2028</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1.25% Convertible Senior Notes due October 1, 2026 (the “2026 Notes”). Pursuant to the Exchange Agreements, the Company exchanged and repurchased $413.2 million aggregate principal amount of the 2026 Notes. Of the $413.2 million aggregate principal amount of the 2026 Notes, $263.2 million principal amount were exchanged at a weighted-average price equal to 95% for $250.0 million principal amount of new 7.95% Convertible Senior Secured Notes due November 15, 2028 (the “2028 Notes”, and together with the 2026 Notes, the “Notes”), and $150.1 million principal amount were repurchased at a weighted-average price equal to 95% for $142.6 million. The exchange and repurchase resulted in a net gain of $16.6 million, which includes $3.1 million of unamortized debt issuance costs and $0.9 million of other related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27, 2025, the Company issued the 2028 Notes to the Exchanging Holders. The 2028 Notes were issued pursuant to, and are governed by, an indenture, dated as of May 27, 2025, between the Company, the guarantors party thereto, and U.S. Bank Trust Company, National Association, as trustee and collateral agent.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2026 Notes pursuant to, and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were no repurchases related to the 2026 Notes. During the six months ended June 30, 2026, the Company repurchased $21.3 million principal amount of its 2026 Notes at a weighted-average price equal to 94.875% for $20.2 million and recognized a net gain of $1.0 million, which includes $0.1 million of unamortized debt issuance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repurchased $20.0 million principal amount of the 2026 Notes for $18.4 million and recognized a net gain of $1.5 million, which includes $0.1 million of unamortized debt issuance costs related to the repurchase. Since inception through December 31, 2025, the Company exchanged and repurchased in total $625.5 million principal amount of its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gain recognized related to the repurchase is included in other income, net in the Condensed Consolidated Statements of Comprehensive Income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is a summary of the Company’s Notes for the periods indicated:</w:t>
      </w:r>
    </w:p>
    <w:tbl>
      <w:tblPr>
        <w:tblW w:w="6946" w:type="dxa"/>
        <w:jc w:val="left"/>
        <w:tblInd w:w="0" w:type="dxa"/>
        <w:tblLayout w:type="fixed"/>
        <w:tblCellMar>
          <w:top w:w="28" w:type="dxa"/>
          <w:left w:w="28" w:type="dxa"/>
          <w:bottom w:w="28" w:type="dxa"/>
          <w:right w:w="28" w:type="dxa"/>
        </w:tblCellMar>
      </w:tblPr>
      <w:tblGrid>
        <w:gridCol w:w="1420"/>
        <w:gridCol w:w="1251"/>
        <w:gridCol w:w="1258"/>
        <w:gridCol w:w="211"/>
        <w:gridCol w:w="826"/>
        <w:gridCol w:w="109"/>
        <w:gridCol w:w="109"/>
        <w:gridCol w:w="109"/>
        <w:gridCol w:w="109"/>
        <w:gridCol w:w="273"/>
        <w:gridCol w:w="1072"/>
        <w:gridCol w:w="199"/>
      </w:tblGrid>
      <w:tr>
        <w:trPr/>
        <w:tc>
          <w:tcPr>
            <w:tcW w:w="142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net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(123,959)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242,120 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240,431 </w:t>
            </w:r>
          </w:p>
        </w:tc>
        <w:tc>
          <w:tcPr>
            <w:tcW w:w="19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As of June 30, 2026 and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the estimated fair value of the Notes were $341.6 million (compared to a carrying amount of </w:t>
      </w:r>
      <w:r>
        <w:rPr>
          <w:rFonts w:ascii="Times New Roman;serif" w:hAnsi="Times New Roman;serif"/>
          <w:b w:val="false"/>
          <w:color w:val="000000"/>
          <w:sz w:val="20"/>
        </w:rPr>
        <w:t>$353.2 million</w:t>
      </w:r>
      <w:r>
        <w:rPr>
          <w:rFonts w:ascii="Times New Roman;serif" w:hAnsi="Times New Roman;serif"/>
          <w:b w:val="false"/>
          <w:color w:val="231F20"/>
          <w:sz w:val="20"/>
        </w:rPr>
        <w:t xml:space="preserve">) and $383.1 million (compared to a carrying amount of </w:t>
      </w:r>
      <w:r>
        <w:rPr>
          <w:rFonts w:ascii="Times New Roman;serif" w:hAnsi="Times New Roman;serif"/>
          <w:b w:val="false"/>
          <w:color w:val="000000"/>
          <w:sz w:val="20"/>
        </w:rPr>
        <w:t>$374.5 million</w:t>
      </w:r>
      <w:r>
        <w:rPr>
          <w:rFonts w:ascii="Times New Roman;serif" w:hAnsi="Times New Roman;serif"/>
          <w:b w:val="false"/>
          <w:color w:val="231F20"/>
          <w:sz w:val="20"/>
        </w:rPr>
        <w:t xml:space="preserve">), respectively. The estimated fair value of the Notes was determined based on the actual bid price of the Notes on June 30, 2026 and </w:t>
      </w:r>
      <w:r>
        <w:rPr>
          <w:rFonts w:ascii="Times New Roman;serif" w:hAnsi="Times New Roman;serif"/>
          <w:b w:val="false"/>
          <w:color w:val="000000"/>
          <w:sz w:val="20"/>
        </w:rPr>
        <w:t>December 31, 2025, 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if the Company determines a loss is probable and its amount can be reasonably estimated, the Company accrues an amount equal to the estimated loss. The assessment of whether a loss is probable or reasonably possible, and whether the loss or a range of loss is estimable, often involves a series of complex judgments about future events. In all instances, management has assessed the matter based on current information and made a judgment concerning its potential outcome, giving due consideration to the nature of the claim, the amount and nature of damages sought and the probability of success, and taking into account, among other things, negotiations with claimants, discovery, settlements and payments, judicial rulings, arbitration and mediation decisions, advice of internal and external legal counsel, and other information and events pertaining to a particular matter. Costs incurred for litigation are expensed as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(the “First Claim”), and violation of Section 20(a) of the Exchange Act against the individual defendants (the “Second Claim”). The complaint alleged that, between May 10, 2022 and November 13, 2023, defendants materially misled the investing public by publicly issuing false and/or misleading statements and/or omissions relating to Hydrafacial LLC's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Martijn Dijkgraaf (the “Dijkgraafs”), and Joseph Jou filed three competing motions for appointment as lead plaintiff under the Private Securities Litigation Reform Act,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but dropping Mr. Monahan as a defendant.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before Greg Danilow of Phillips ADR Enterprises, P.C.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On March 24, 2026, the parties entered into a stipulation to extend the case schedule by approximately three months to allow them to focus on mediation efforts. On March 25, 2026, the Court issued an order granting the joint stipulation, resulting in a three-month extension of the case schedule and discovery deadlines. On May 20, 2026, the parties participated in a second private mediation, which took place in person, with Mr. Danilow of Phillips ADR Enterprises, P.C. After extensive negotiations, the parties reached a settlement in principle. On May 26, 2026, lead plaintiffs filed a notice of settlement, notifying the Court that the parties had agreed to a tentative settlement to resolve the entire action against all defendants, including Andrew Stanleick and Liyuan Woo. In that notice of settlement, the parties also notified the Court that they intended to file a comprehensive written settlement agreement and related documents, as part of their motion for preliminary approval. On June 17, 2026, lead plaintiffs filed their motion for preliminary approval of the proposed class action settlement, certification of the settlement class, approval of notice to the settlement class, and scheduling of the fairness hearing (the “Preliminary Approval Motion”). On July 2, 2026, lead plaintiffs filed a notice of absence of objection to the Preliminary Approval Motion, noting that no opposition or objection to the Preliminary Approval Motion had been filed to date. The proposed settlement remains subject to Court approval. However, if the Court does approve the proposed settlement, the Company will cause to be paid a total cash settlement payment of $18,000,000 (the “Cash Payment”), of which, the Company will be responsible to pay only $3,000,000 of the Cash Payment from its own funds, while the remaining $15,000,000 of the Cash Payment will come from certain of the Company’s insurers.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denies and continues to deny the allegations in the Securities Class Action and all charges of wrongdoing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Following motion practice and two amended complaints (as further described below), the case is now captioned Sol Tan Tanning &amp; Spa LLC, et al., on behalf of themselves and all others similarly situated v. Hydrafacial LLC dba The Hydrafacial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as well as a New York subclass. The Complaint asserted five causes of action: (1) violations of N.Y. G.B.L., § 349, the state consumer protection statute; (2) violations of N.Y. G.B.L., § 350, the state’s false advertising statute; (3) breach of contract; (4) breach of the implied warranty of merchantability; and (5) breach of the implied warranty of fitness. The relief sought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Sol Tan to file an amended complaint no later than June 2, 2025, and scheduled an initial pretrial conference for July 18,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Sol Tan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Class Action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Class Action Defendants’ motion to dismiss in its entirety, except it denied Class Action Defendants’ request that the claims brought by plaintiff Spa Thirsty be dismissed with prejudice. Specifically, the Court dismissed (i) all of Plaintiffs’ claims against BHC; (ii) Plaintiffs’ Count I, Count II, Count IV, Count V, and their request for injunctive relief; and (iii) the Class Action Plaintiffs’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 On May 29, 2026, Class Action Plaintiffs filed a motion for preliminary approval of the settlement. On June 10, 2026, the Court issued an order denying the motion without prejudice, and requested that Class Action Plaintiffs file a supplemental letter addressing certain questions from the Court regarding distribution of proceeds and payment of attorneys’ fees and requesting amended versions of the proposed forms of notice. On June 15, 2026, Class Action Plaintiffs filed their supplemental letter and revised proposed forms of notice. On June 25, 2026, the Court issued an order granting preliminary approval of the class action settlement and set a final approval hearing for December 4, 2026 at 10:00 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the then-current members of the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reached agreement on terms of a mutually agreeable resolution. On February 9, 2026, the parties entered into a Stipulation of Settlement, which is subject to court approval. On February 20, 2026, the Delaware Court of Chancery entered a Scheduling Order with respect to Notice and Settlement Hearing, requiring the Company to file a copy of the Notice of Pendency and Proposed Settlement of Derivative Action as an exhibit to a Current Report on Form 8-K, which the Company filed on March 6, 2026. The Court conducted a settlement hearing on May 13, 2026</w:t>
      </w:r>
      <w:r>
        <w:rPr>
          <w:rFonts w:ascii="Times New Roman;serif" w:hAnsi="Times New Roman;serif"/>
          <w:b w:val="false"/>
          <w:color w:val="008080"/>
          <w:sz w:val="20"/>
        </w:rPr>
        <w:t xml:space="preserve">. </w:t>
      </w:r>
      <w:r>
        <w:rPr>
          <w:rFonts w:ascii="Times New Roman;serif" w:hAnsi="Times New Roman;serif"/>
          <w:b w:val="false"/>
          <w:color w:val="000000"/>
          <w:sz w:val="20"/>
        </w:rPr>
        <w:t>The Delaware Court of Chancery took the matter under advisement, and the parties are awaiting the Court’s decision on approval of the Stipulation of Settlement.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witness testimony related to its investigation. The Company is in the process of responding to the subpoenas and intends to continue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Registration Rights Agreement, (i) any outstanding shares of Class A Common Stock or any other equity securities (including the 9,333,333 warrants to purchase shares of the Company’s Class A Common Stock at $11.50 per share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As of December 31, 2025</w:t>
      </w:r>
      <w:r>
        <w:rPr>
          <w:rFonts w:ascii="Times New Roman;serif" w:hAnsi="Times New Roman;serif"/>
          <w:b w:val="false"/>
          <w:color w:val="000000"/>
          <w:sz w:val="20"/>
        </w:rPr>
        <w:t xml:space="preserve">, the Company had approximately 7 million Private Placement Warrants outstanding, which all expired in May 2026. </w:t>
      </w:r>
      <w:r>
        <w:rPr>
          <w:rFonts w:ascii="Times New Roman;serif" w:hAnsi="Times New Roman;serif"/>
          <w:b w:val="false"/>
          <w:color w:val="231F20"/>
          <w:sz w:val="20"/>
        </w:rPr>
        <w:t xml:space="preserve">No Private Placement Warrants were outstanding as of June 30, 2026. </w:t>
      </w:r>
      <w:r>
        <w:rPr>
          <w:rFonts w:ascii="Times New Roman;serif" w:hAnsi="Times New Roman;serif"/>
          <w:b w:val="false"/>
          <w:color w:val="000000"/>
          <w:sz w:val="20"/>
        </w:rPr>
        <w:t xml:space="preserve">The fair value of the Private Placement Warrants was immaterial as of </w:t>
      </w:r>
      <w:r>
        <w:rPr>
          <w:rFonts w:ascii="Times New Roman;serif" w:hAnsi="Times New Roman;serif"/>
          <w:b w:val="false"/>
          <w:color w:val="231F20"/>
          <w:sz w:val="20"/>
        </w:rPr>
        <w:t>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Company is authorized to issue 320,000,000 shares of Class A Common Stock, par value of $0.0001 per share. Holders of Class A Common Stock are entitled to </w:t>
      </w:r>
      <w:r>
        <w:rPr>
          <w:rFonts w:ascii="Times New Roman;serif" w:hAnsi="Times New Roman;serif"/>
          <w:b w:val="false"/>
          <w:color w:val="000000"/>
          <w:sz w:val="20"/>
        </w:rPr>
        <w:t>one</w:t>
      </w:r>
      <w:r>
        <w:rPr>
          <w:color w:val="231F20"/>
        </w:rPr>
        <w:t xml:space="preserve"> </w:t>
      </w:r>
      <w:r>
        <w:rPr>
          <w:rFonts w:ascii="Times New Roman;serif" w:hAnsi="Times New Roman;serif"/>
          <w:b w:val="false"/>
          <w:color w:val="231F20"/>
          <w:sz w:val="20"/>
        </w:rPr>
        <w:t>vote for each share. As of June 30, 2026 and December 31, 2025, there were 130,104,671 and 127,520,823, respectively, of Class A Common Stock issued and outstanding. The Company has not declared or paid any dividends with respect to its Class A Common Stock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The</w:t>
      </w:r>
      <w:r>
        <w:rPr>
          <w:color w:val="000000"/>
        </w:rPr>
        <w:t xml:space="preserve"> </w:t>
      </w:r>
      <w:r>
        <w:rPr>
          <w:rFonts w:ascii="Times New Roman;serif" w:hAnsi="Times New Roman;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June 30, 2026 and </w:t>
      </w:r>
      <w:r>
        <w:rPr>
          <w:rFonts w:ascii="Times New Roman;serif" w:hAnsi="Times New Roman;serif"/>
          <w:b w:val="false"/>
          <w:color w:val="231F20"/>
          <w:sz w:val="20"/>
        </w:rPr>
        <w:t>December 31, 2025</w:t>
      </w:r>
      <w:r>
        <w:rPr>
          <w:rFonts w:ascii="Times New Roman;serif" w:hAnsi="Times New Roman;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 as of June 30, 2026 and December 31, 2025, and indicate the fair value hierarchy of the valuation inputs the Company utilized to determine such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based on our assessment of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11"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June 30, 2026</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11"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20"/>
              </w:rPr>
            </w:pPr>
            <w:r>
              <w:rPr>
                <w:rFonts w:ascii="Times New Roman;serif" w:hAnsi="Times New Roman;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serums, and other products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Net sales disaggregated by major product line were as follows for the periods indicated:</w:t>
      </w:r>
    </w:p>
    <w:tbl>
      <w:tblPr>
        <w:tblW w:w="7147" w:type="dxa"/>
        <w:jc w:val="left"/>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36,793 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geographic region were as follows for the periods indicated:</w:t>
      </w:r>
    </w:p>
    <w:p>
      <w:pPr>
        <w:pStyle w:val="TextBody"/>
        <w:bidi w:val="0"/>
        <w:spacing w:before="0" w:after="0"/>
        <w:jc w:val="left"/>
        <w:rPr/>
      </w:pPr>
      <w:r>
        <w:rPr/>
      </w:r>
    </w:p>
    <w:tbl>
      <w:tblPr>
        <w:tblW w:w="8587" w:type="dxa"/>
        <w:jc w:val="left"/>
        <w:tblInd w:w="0" w:type="dxa"/>
        <w:tblLayout w:type="fixed"/>
        <w:tblCellMar>
          <w:top w:w="28" w:type="dxa"/>
          <w:left w:w="28" w:type="dxa"/>
          <w:bottom w:w="28" w:type="dxa"/>
          <w:right w:w="28" w:type="dxa"/>
        </w:tblCellMar>
      </w:tblPr>
      <w:tblGrid>
        <w:gridCol w:w="1074"/>
        <w:gridCol w:w="946"/>
        <w:gridCol w:w="94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Europe, the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Asia-Pacific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Share-Based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stock compensation plans, which are more fully described in Part II, Item 8 “Financial Statements and Supplementary Data—Note 12 to the Consolidated Financial Statements—Share-Based Compensation” in the Company’s 2025 Annual Report on Form 10-K. Under The Beauty Health Company 2021 Incentive Award Plan, the Company may grant stock options, stock appreciation rights, restricted stock, restricted stock units, dividend equivalents, other stock or cash-based awards to eligible service providers.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was as follows for the periods indicated:</w:t>
      </w:r>
    </w:p>
    <w:p>
      <w:pPr>
        <w:pStyle w:val="TextBody"/>
        <w:bidi w:val="0"/>
        <w:spacing w:before="0" w:after="0"/>
        <w:jc w:val="left"/>
        <w:rPr/>
      </w:pPr>
      <w:r>
        <w:rPr/>
      </w:r>
    </w:p>
    <w:tbl>
      <w:tblPr>
        <w:tblW w:w="7563" w:type="dxa"/>
        <w:jc w:val="left"/>
        <w:tblInd w:w="0" w:type="dxa"/>
        <w:tblLayout w:type="fixed"/>
        <w:tblCellMar>
          <w:top w:w="28" w:type="dxa"/>
          <w:left w:w="28" w:type="dxa"/>
          <w:bottom w:w="28" w:type="dxa"/>
          <w:right w:w="28" w:type="dxa"/>
        </w:tblCellMar>
      </w:tblPr>
      <w:tblGrid>
        <w:gridCol w:w="987"/>
        <w:gridCol w:w="871"/>
        <w:gridCol w:w="87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Restricted Stock Units (“RSU”) and </w:t>
      </w:r>
      <w:r>
        <w:rPr>
          <w:rFonts w:ascii="Times New Roman;serif" w:hAnsi="Times New Roman;serif"/>
          <w:b w:val="false"/>
          <w:i/>
          <w:color w:val="231F20"/>
          <w:sz w:val="20"/>
        </w:rPr>
        <w:t>Performance-based Restricted Stock Units (“PSU”)</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and PSU activity:</w:t>
      </w:r>
    </w:p>
    <w:tbl>
      <w:tblPr>
        <w:tblW w:w="9448"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540"/>
        <w:gridCol w:w="541"/>
        <w:gridCol w:w="321"/>
        <w:gridCol w:w="109"/>
        <w:gridCol w:w="109"/>
        <w:gridCol w:w="109"/>
        <w:gridCol w:w="488"/>
        <w:gridCol w:w="488"/>
        <w:gridCol w:w="316"/>
        <w:gridCol w:w="109"/>
        <w:gridCol w:w="109"/>
        <w:gridCol w:w="109"/>
        <w:gridCol w:w="333"/>
        <w:gridCol w:w="806"/>
        <w:gridCol w:w="172"/>
        <w:gridCol w:w="172"/>
        <w:gridCol w:w="172"/>
        <w:gridCol w:w="172"/>
        <w:gridCol w:w="333"/>
        <w:gridCol w:w="806"/>
        <w:gridCol w:w="24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Grant Date 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PSU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RSU</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PSU</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12,311,446 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2,154,230 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9,137,666 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434,068 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(3,656,966)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(2,930,180)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(651,047)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14,861,966 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1,937,251 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w:t>
      </w:r>
      <w:r>
        <w:rPr>
          <w:rFonts w:ascii="Times New Roman;serif" w:hAnsi="Times New Roman;serif"/>
          <w:b w:val="false"/>
          <w:color w:val="000000"/>
          <w:sz w:val="20"/>
        </w:rPr>
        <w:t>, total unrecognized compensation expense related to unvested RSU and PSU totaled $20.1 million and is expected to be recognized over a weighted-average period of 2.1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pPr>
      <w:r>
        <w:rPr>
          <w:rFonts w:ascii="Times New Roman;serif" w:hAnsi="Times New Roman;serif"/>
          <w:b w:val="false"/>
          <w:i/>
          <w:color w:val="000000"/>
          <w:sz w:val="20"/>
        </w:rPr>
        <w:t xml:space="preserve">Stock </w:t>
      </w:r>
      <w:r>
        <w:rPr>
          <w:rFonts w:ascii="Times New Roman;serif" w:hAnsi="Times New Roman;serif"/>
          <w:b w:val="false"/>
          <w:i/>
          <w:color w:val="231F20"/>
          <w:sz w:val="20"/>
        </w:rPr>
        <w:t>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1"/>
        <w:gridCol w:w="948"/>
        <w:gridCol w:w="953"/>
        <w:gridCol w:w="109"/>
        <w:gridCol w:w="109"/>
        <w:gridCol w:w="109"/>
        <w:gridCol w:w="488"/>
        <w:gridCol w:w="488"/>
        <w:gridCol w:w="196"/>
        <w:gridCol w:w="109"/>
        <w:gridCol w:w="109"/>
        <w:gridCol w:w="109"/>
        <w:gridCol w:w="417"/>
        <w:gridCol w:w="1219"/>
        <w:gridCol w:w="215"/>
        <w:gridCol w:w="109"/>
        <w:gridCol w:w="109"/>
        <w:gridCol w:w="109"/>
        <w:gridCol w:w="983"/>
        <w:gridCol w:w="983"/>
        <w:gridCol w:w="986"/>
        <w:gridCol w:w="109"/>
        <w:gridCol w:w="158"/>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31F20"/>
                <w:sz w:val="16"/>
              </w:rPr>
            </w:pPr>
            <w:r>
              <w:rPr>
                <w:rFonts w:ascii="Times New Roman;serif" w:hAnsi="Times New Roman;serif"/>
                <w:b/>
                <w:color w:val="231F2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Weighted Average Remaining Contractual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2,459,920 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13.51 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Outstanding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2,439,920 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Vested and Exercisable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2,439,920 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231F20"/>
                <w:sz w:val="20"/>
              </w:rPr>
            </w:pPr>
            <w:r>
              <w:rPr>
                <w:rFonts w:ascii="Times New Roman;serif" w:hAnsi="Times New Roman;serif"/>
                <w:b w:val="false"/>
                <w:color w:val="231F20"/>
                <w:sz w:val="20"/>
              </w:rPr>
              <w:t>Options vested and expected to vest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2,439,920 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13.47 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4.87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Performance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performance awards with an original total target value of $2.8 million were granted for which the final payout will range from 0% to 200% of the target value based on the total shareholder return of the Company’s Class A Common stock relative to a defined peer group. The cash performance awards vest over a two to three-year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cash performance awards can be settled in either cash or Class A Common Stock upon vesting at the Company’s discretion. These awards are accounted for as liability awards under Accounting Standards Codification (“ASC”) 718 and are measured at fair value through the end of the performance period using the Monte Carlo simulation model. For the three and six months ended June 30, 2026, the expense associated with the cash performance awards was $0.1 million. The estimated future cash payments of these awards are included within other long-term liabilities in the Condensed Consolidated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June 30, 2026</w:t>
      </w:r>
      <w:r>
        <w:rPr>
          <w:rFonts w:ascii="Times New Roman;serif" w:hAnsi="Times New Roman;serif"/>
          <w:b w:val="false"/>
          <w:color w:val="000000"/>
          <w:sz w:val="20"/>
        </w:rPr>
        <w:t>, total unrecognized compensation expense related to unvested cash performance awards totaled $0.6 million and is expected to be recognized over a weighted-average period of 2.0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calculate its interim income tax provision using the estimated annual effective tax rate (“AETR”) method prescribed by ASC 740-270, and as such, excludes losses in jurisdictions where the Company cannot benefit in computing its worldwide AETR. A separate AETR is computed and applied to ordinary losses in the U.S. and China as required by ASC 740-270-30-36(a). For the three and six months ended June 30, 2026, the Company recorded income tax expense of $1.2 million and $1.0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AETR differed from the U.S. federal statutory tax rate of 21% due primarily to a full valuation allowance against the Company's deferred tax assets in the U.S. and China,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recorded income tax benefit of $1.0 million and $0.1 million, respectively. The estimated worldwide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valuation allowance against its deferred tax assets in the U.S. and China,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$1.8 million and $1.7 million as of June 30, 2026 and December 31, 2025,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taxation and files income tax returns in the U.S. federal and various state and foreign jurisdictions. The Company is subject to routine examinations in the jurisdictions in which the Company conducts business. While the timing and outcome of tax examinations are inherently uncertain, the Company does not currently expect the resolution of ongoing examinations to have a material impact on its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Net (Loss) Income Attributable to Common Stockholders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following table sets forth the calculation of both basic and diluted net </w:t>
      </w:r>
      <w:r>
        <w:rPr>
          <w:rFonts w:ascii="Times New Roman;serif" w:hAnsi="Times New Roman;serif"/>
          <w:b w:val="false"/>
          <w:color w:val="000000"/>
          <w:sz w:val="20"/>
        </w:rPr>
        <w:t>(loss) income</w:t>
      </w:r>
      <w:r>
        <w:rPr>
          <w:color w:val="231F20"/>
        </w:rPr>
        <w:t xml:space="preserve"> </w:t>
      </w:r>
      <w:r>
        <w:rPr>
          <w:rFonts w:ascii="Times New Roman;serif" w:hAnsi="Times New Roman;serif"/>
          <w:b w:val="false"/>
          <w:color w:val="231F20"/>
          <w:sz w:val="20"/>
        </w:rPr>
        <w:t xml:space="preserve">per share as follows for the periods indicated: </w:t>
      </w:r>
    </w:p>
    <w:tbl>
      <w:tblPr>
        <w:tblW w:w="10205" w:type="dxa"/>
        <w:jc w:val="left"/>
        <w:tblInd w:w="0" w:type="dxa"/>
        <w:tblLayout w:type="fixed"/>
        <w:tblCellMar>
          <w:top w:w="28" w:type="dxa"/>
          <w:left w:w="28" w:type="dxa"/>
          <w:bottom w:w="28" w:type="dxa"/>
          <w:right w:w="28" w:type="dxa"/>
        </w:tblCellMar>
      </w:tblPr>
      <w:tblGrid>
        <w:gridCol w:w="1427"/>
        <w:gridCol w:w="1174"/>
        <w:gridCol w:w="1178"/>
        <w:gridCol w:w="297"/>
        <w:gridCol w:w="889"/>
        <w:gridCol w:w="109"/>
        <w:gridCol w:w="109"/>
        <w:gridCol w:w="109"/>
        <w:gridCol w:w="109"/>
        <w:gridCol w:w="268"/>
        <w:gridCol w:w="918"/>
        <w:gridCol w:w="109"/>
        <w:gridCol w:w="109"/>
        <w:gridCol w:w="109"/>
        <w:gridCol w:w="109"/>
        <w:gridCol w:w="297"/>
        <w:gridCol w:w="889"/>
        <w:gridCol w:w="109"/>
        <w:gridCol w:w="109"/>
        <w:gridCol w:w="109"/>
        <w:gridCol w:w="109"/>
        <w:gridCol w:w="297"/>
        <w:gridCol w:w="889"/>
        <w:gridCol w:w="109"/>
        <w:gridCol w:w="109"/>
        <w:gridCol w:w="156"/>
      </w:tblGrid>
      <w:tr>
        <w:trPr/>
        <w:tc>
          <w:tcPr>
            <w:tcW w:w="14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 available to common stockholders - basic</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9,616 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31F20"/>
                <w:sz w:val="20"/>
              </w:rPr>
              <w:t xml:space="preserve">Adjustments related to the 2026 Notes </w:t>
            </w:r>
            <w:r>
              <w:rPr>
                <w:rFonts w:ascii="Times New Roman;serif" w:hAnsi="Times New Roman;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 available to common stockholders - diluted</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129,596,886 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126,072,603 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128,699,733 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125,578,780 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dilutive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12,490,375 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15,011,027 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1,731,313 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common stock outstanding -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129,596,886 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140,294,291 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128,699,733 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140,589,807 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Basic net (loss) income per share:</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Diluted net (loss) income per share:</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and six months ended June 30, 2025, the adjustments related to the 2026 Notes include the net gain related to the exchange and repurchases offset by interest expense and amortization of debt issuance costs related to the 2026 Notes (net of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8593" w:type="dxa"/>
        <w:jc w:val="left"/>
        <w:tblInd w:w="0" w:type="dxa"/>
        <w:tblLayout w:type="fixed"/>
        <w:tblCellMar>
          <w:top w:w="28" w:type="dxa"/>
          <w:left w:w="28" w:type="dxa"/>
          <w:bottom w:w="28" w:type="dxa"/>
          <w:right w:w="28" w:type="dxa"/>
        </w:tblCellMar>
      </w:tblPr>
      <w:tblGrid>
        <w:gridCol w:w="461"/>
        <w:gridCol w:w="404"/>
        <w:gridCol w:w="409"/>
        <w:gridCol w:w="750"/>
        <w:gridCol w:w="331"/>
        <w:gridCol w:w="251"/>
        <w:gridCol w:w="251"/>
        <w:gridCol w:w="251"/>
        <w:gridCol w:w="251"/>
        <w:gridCol w:w="668"/>
        <w:gridCol w:w="413"/>
        <w:gridCol w:w="251"/>
        <w:gridCol w:w="109"/>
        <w:gridCol w:w="109"/>
        <w:gridCol w:w="109"/>
        <w:gridCol w:w="695"/>
        <w:gridCol w:w="386"/>
        <w:gridCol w:w="230"/>
        <w:gridCol w:w="230"/>
        <w:gridCol w:w="230"/>
        <w:gridCol w:w="230"/>
        <w:gridCol w:w="612"/>
        <w:gridCol w:w="469"/>
        <w:gridCol w:w="230"/>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2026 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3,250,447 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3,250,447 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2028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87,412,575 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14,861,966 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3,031,211 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14,861,966 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13,970,137 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2,439,920 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2,930,820 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2,439,920 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2,930,820 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1,937,251 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2,845,617 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1,937,251 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2,845,617 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2025, income and shares related to the Private Placement Warrants were excluded from the calculation of diluted net (loss) income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marketing-related expenses, software, facilities-related costs, credit card and wire fees, and insurance.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components of operating expenses for the periods indicated: </w:t>
      </w:r>
    </w:p>
    <w:p>
      <w:pPr>
        <w:pStyle w:val="TextBody"/>
        <w:bidi w:val="0"/>
        <w:spacing w:before="0" w:after="0"/>
        <w:jc w:val="left"/>
        <w:rPr/>
      </w:pPr>
      <w:r>
        <w:rPr/>
      </w:r>
    </w:p>
    <w:tbl>
      <w:tblPr>
        <w:tblW w:w="7823"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color w:val="231F20"/>
                <w:sz w:val="16"/>
              </w:rPr>
            </w:pPr>
            <w:r>
              <w:rPr>
                <w:rFonts w:ascii="Times New Roman;serif" w:hAnsi="Times New Roman;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72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Personnel-related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erif" w:hAnsi="Times New Roman;serif"/>
                <w:b w:val="false"/>
                <w:color w:val="231F20"/>
                <w:sz w:val="20"/>
              </w:rPr>
            </w:pPr>
            <w:r>
              <w:rPr>
                <w:rFonts w:ascii="Times New Roman;serif" w:hAnsi="Times New Roman;serif"/>
                <w:b w:val="false"/>
                <w:color w:val="231F20"/>
                <w:sz w:val="20"/>
              </w:rPr>
              <w:t>Other segment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2024-04 “Debt with Conversion and Other Options (Subtopic 470-20): Induced Conversions of Convertible Debt Instruments” which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The Company adopted ASU 2024-04 on a prospective basis beginning January 1, 2026 and the adoption did not have a material impact on its consolidated financial statements and related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simplifies the application of the current expected credit loss model for current accounts receivable and current contract assets under ASC 606. The Company adopted ASU 2025-05 on a prospective basis beginning January 1, 2026 and the adoption did not have a material impact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consolidated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 Internal-Use Software (Subtopic 350-40): Targeted Improvements to the Accounting for Internal-Use Software” which modernizes the accounting for internal-use software to current development practices, clarifies when to begin capitalizing costs, and enhances disclosure requirements. ASU 2025-06 is effective for interim and annual reporting periods beginning after December 15, 2027, with early adoption permitted, and should be applied either prospectively, retrospectively, or under a modified prospective transition approach.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 Scope Improvements” which clarifies and reorganizes GAAP interim reporting guidance to improve navigability, applicability, and consistency without changing the fundamental nature or volume of required interim disclosures. This amendment clarifies when ASC 270 is applicable, establishes a disclosure principle requiring disclosure of material events or changes occurring since the most recent annual reporting period, and consolidates into ASC Topic 270 a comprehensive list of interim disclosures required by other Codification Topics. The amendment also clarifies the form and content of interim financial statements, including guidance for condensed interim reporting. ASU 2025-11 is effective for interim reporting periods beginning after December 15, 2027, with early adoption permitted.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GAAP. The update represents changes to the Codification that (1) clarify, (2) correct errors or (3) make minor improvements. ASU 2025-12 is effective for annual reporting periods beginning after December 15, 2026, and interim reporting periods within those annual reporting periods, with early adoption permitted, and should be applied either prospectively or retrospectively. The Company is currently evaluating the potential effect that the updated standard will have on its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three months ended June 30, 2026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2025 filed with the Securities and Exchange Commission (the “SEC”) on March 12, 2026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Important factors that may affect actual results or outcomes include, among others: the inability to recognize the benefits of the business combination consummated on May 4, 2021 pursuant to a certain Agreement and Plan of Merger entered into by and among the Company and other parties (the “Business Combination”); the Company’s availability of cash for debt service and exposure to risk of default under debt obligations; the Company’s ability to manage growth; the Company’s ability to execute its business plan; potential negative reactions or outcomes related to the Company’s name change in general and focused shift in operations;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references to the “Company”, “Hydrafacial”, “we”, “us”, and “our” in this section are intended to mean the business and operations of SkinHealth Systems Inc.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SkinHealth Systems Inc. (the “Company” or “SkinHealth Systems”) is a global medical aesthetics company delivering an integrated ecosystem of clinically proven solutions designed to help consumers achieve superior skin health and support the success of providers. Anchored by Hydrafacial, a leading and widely requested professional skincare treatment, and supported by complementary offerings including SkinStylus microneedling and HydraScalp powered by Keravive, the Company combines advanced device technology, proprietary consumables, and clinical validation to deliver trusted treatment experiences through an omnichannel network of providers worldwide.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June 30, 2026</w:t>
      </w:r>
      <w:r>
        <w:rPr>
          <w:rFonts w:ascii="Times New Roman;serif" w:hAnsi="Times New Roman;serif"/>
          <w:b w:val="false"/>
          <w:color w:val="231F20"/>
          <w:sz w:val="20"/>
        </w:rPr>
        <w:t>, we continued to strengthen the foundation of the business while expanding our footprint by selling and placing our patented hydradermabrasion delivery systems (“Delivery Systems”) worldwide, driving consumables, which consist of single-use tips, solutions, serums, and other products used to provide a Hydrafacial treatment (collectively “Consumables”), investing in our community of providers, partners, and consumers, driving brand awareness, advancing our science-backed innovation product pipeline, and optimizing our global infrastructure. Although we believe we can be successful in our current operating environment, various factors may impact our business in unpredictable ways such as: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Global economic conditions, including inflation, recession, changes in foreign currency exchange rates, higher interest rates, and other changes in economic conditions;</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 xml:space="preserve">Market conditions, including increased competition and the interest rate environment, affecting the ability of potential customers to obtain credit on acceptable terms and longer sales cycles; </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The imposition of tariffs and/or trade restrictions, due to geopolitical tensions or otherwise, may impact material costs and pricing;</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Changes in applicable laws, regulations, regulatory interpretations, or enforcement policies in countries in which we operate;</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Disruptions in transportation and other supply chain related constraints, such as labor strife in the transportation industry or geopolitical tensions; and</w:t>
      </w:r>
    </w:p>
    <w:p>
      <w:pPr>
        <w:pStyle w:val="TextBody"/>
        <w:bidi w:val="0"/>
        <w:spacing w:lineRule="auto" w:line="288" w:before="0" w:after="0"/>
        <w:ind w:left="0" w:right="0" w:hanging="360"/>
        <w:jc w:val="left"/>
        <w:rPr/>
      </w:pPr>
      <w:r>
        <w:rPr>
          <w:color w:val="231F20"/>
        </w:rPr>
        <w:t>•</w:t>
      </w:r>
      <w:r>
        <w:rPr>
          <w:rFonts w:ascii="Times New Roman;serif" w:hAnsi="Times New Roman;serif"/>
          <w:b w:val="false"/>
          <w:color w:val="231F20"/>
          <w:sz w:val="20"/>
        </w:rPr>
        <w:t>Issues related to older models of Syndeo and our actions to remediate such issues.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adapting to changing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Australia and New Zealand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evaluating the Company's global distribution strategy to align with its go-to-market strategy with in-market partner capabilities and market opportunity, the Company transitioned sales in the Australia and New Zealand market to a distributor partner in June 2026. As a result, the Company has discontinued its direct sales presence in Australia and New Zealand. The change in go-to-market strategy is expected to be accretive to the Company’s long-term profitability, as reductions in operating spend are partially offset by a reduction to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Comparison of Three Months Ended June 30, 2026 to Three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June 30, 2026 and June 30, 2025, have been derived from the condensed consolidated financial statements included elsewhere in this Quarterly Report on Form 10-Q. Amounts and percentages may not foot due to rounding.</w:t>
      </w:r>
    </w:p>
    <w:p>
      <w:pPr>
        <w:pStyle w:val="TextBody"/>
        <w:bidi w:val="0"/>
        <w:spacing w:before="0" w:after="0"/>
        <w:jc w:val="left"/>
        <w:rPr/>
      </w:pPr>
      <w:r>
        <w:rPr/>
      </w:r>
    </w:p>
    <w:tbl>
      <w:tblPr>
        <w:tblW w:w="9262" w:type="dxa"/>
        <w:jc w:val="left"/>
        <w:tblInd w:w="0" w:type="dxa"/>
        <w:tblLayout w:type="fixed"/>
        <w:tblCellMar>
          <w:top w:w="28" w:type="dxa"/>
          <w:left w:w="28" w:type="dxa"/>
          <w:bottom w:w="28" w:type="dxa"/>
          <w:right w:w="28" w:type="dxa"/>
        </w:tblCellMar>
      </w:tblPr>
      <w:tblGrid>
        <w:gridCol w:w="1456"/>
        <w:gridCol w:w="1280"/>
        <w:gridCol w:w="1284"/>
        <w:gridCol w:w="211"/>
        <w:gridCol w:w="511"/>
        <w:gridCol w:w="109"/>
        <w:gridCol w:w="109"/>
        <w:gridCol w:w="109"/>
        <w:gridCol w:w="109"/>
        <w:gridCol w:w="308"/>
        <w:gridCol w:w="308"/>
        <w:gridCol w:w="648"/>
        <w:gridCol w:w="109"/>
        <w:gridCol w:w="109"/>
        <w:gridCol w:w="109"/>
        <w:gridCol w:w="211"/>
        <w:gridCol w:w="511"/>
        <w:gridCol w:w="109"/>
        <w:gridCol w:w="109"/>
        <w:gridCol w:w="109"/>
        <w:gridCol w:w="109"/>
        <w:gridCol w:w="308"/>
        <w:gridCol w:w="308"/>
        <w:gridCol w:w="719"/>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31.6 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68.4 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62.8 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29.6 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35.1 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operating expenses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63.5 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66.3 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(loss) from operations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(4.0)</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(23.2)</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0.3 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(5.7)</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income before provision for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23.9 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(3.7)</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25.2 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Net Sales</w:t>
      </w:r>
    </w:p>
    <w:tbl>
      <w:tblPr>
        <w:tblW w:w="6570" w:type="dxa"/>
        <w:jc w:val="left"/>
        <w:tblInd w:w="0" w:type="dxa"/>
        <w:tblLayout w:type="fixed"/>
        <w:tblCellMar>
          <w:top w:w="28" w:type="dxa"/>
          <w:left w:w="28" w:type="dxa"/>
          <w:bottom w:w="28" w:type="dxa"/>
          <w:right w:w="28" w:type="dxa"/>
        </w:tblCellMar>
      </w:tblPr>
      <w:tblGrid>
        <w:gridCol w:w="706"/>
        <w:gridCol w:w="621"/>
        <w:gridCol w:w="622"/>
        <w:gridCol w:w="240"/>
        <w:gridCol w:w="582"/>
        <w:gridCol w:w="124"/>
        <w:gridCol w:w="124"/>
        <w:gridCol w:w="124"/>
        <w:gridCol w:w="124"/>
        <w:gridCol w:w="240"/>
        <w:gridCol w:w="582"/>
        <w:gridCol w:w="124"/>
        <w:gridCol w:w="109"/>
        <w:gridCol w:w="109"/>
        <w:gridCol w:w="109"/>
        <w:gridCol w:w="211"/>
        <w:gridCol w:w="481"/>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22.4 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72.1 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74.7%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sales for the three months ended June 30, 2026 decreased $6.1 million, or 7.8%, compared to the three months ended June 30, 2025. Delivery Systems net sales for the three months ended June 30, 2026 decreased $4.1 million, or 18.4%, compared to the three months ended June 30, 2025, with decreases across all regions. Delivery Systems net sales were negatively impacted globally by unfavorable macroeconomic and credit conditions.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 net sales for the three months ended June 30, 2026 decreased $2.0 million, or 3.5%, compared to the three months ended June 30, 2025, with decreases in Europe, the Middle East, and Africa, and the Americas, impacted by pressure on treatment volume and timing of booster launches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5746" w:type="dxa"/>
        <w:jc w:val="left"/>
        <w:tblInd w:w="0" w:type="dxa"/>
        <w:tblLayout w:type="fixed"/>
        <w:tblCellMar>
          <w:top w:w="28" w:type="dxa"/>
          <w:left w:w="28" w:type="dxa"/>
          <w:bottom w:w="28" w:type="dxa"/>
          <w:right w:w="28" w:type="dxa"/>
        </w:tblCellMar>
      </w:tblPr>
      <w:tblGrid>
        <w:gridCol w:w="429"/>
        <w:gridCol w:w="377"/>
        <w:gridCol w:w="378"/>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(21.7)%</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0.5%</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June 30, 2026 decreased $6.3 million, compared to the three months ended June 30, 2025, primarily due to lower net sales in 2026 and higher product costs related to the sell through associated with Delivery Systems received back as part of the Company’s previous trade-in program and higher inventory related charges in 2025. Gross margin increased to 68.4% for the three months ended June 30, 2026 from 62.8% for the three months ended June 30, 2025 primarily due to higher product costs related to the sell through associated with Delivery Systems received back as part of the Company’s previous trade-in program and higher inventory related charges in 2025.</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6948" w:type="dxa"/>
        <w:jc w:val="left"/>
        <w:tblInd w:w="0" w:type="dxa"/>
        <w:tblLayout w:type="fixed"/>
        <w:tblCellMar>
          <w:top w:w="28" w:type="dxa"/>
          <w:left w:w="28" w:type="dxa"/>
          <w:bottom w:w="28" w:type="dxa"/>
          <w:right w:w="28" w:type="dxa"/>
        </w:tblCellMar>
      </w:tblPr>
      <w:tblGrid>
        <w:gridCol w:w="864"/>
        <w:gridCol w:w="759"/>
        <w:gridCol w:w="761"/>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39"/>
        <w:gridCol w:w="24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 for the three months ended June 30, 2026 decreased $2.1 million, or 9.0%, compared to the three months ended June 30, 2025. The decrease is primarily driven by lower personnel-related expenses, including share-based compensation expense and severance, partially offset by higher marketing-related spend. </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6899" w:type="dxa"/>
        <w:jc w:val="left"/>
        <w:tblInd w:w="0" w:type="dxa"/>
        <w:tblLayout w:type="fixed"/>
        <w:tblCellMar>
          <w:top w:w="28" w:type="dxa"/>
          <w:left w:w="28" w:type="dxa"/>
          <w:bottom w:w="28" w:type="dxa"/>
          <w:right w:w="28" w:type="dxa"/>
        </w:tblCellMar>
      </w:tblPr>
      <w:tblGrid>
        <w:gridCol w:w="879"/>
        <w:gridCol w:w="772"/>
        <w:gridCol w:w="778"/>
        <w:gridCol w:w="227"/>
        <w:gridCol w:w="437"/>
        <w:gridCol w:w="292"/>
        <w:gridCol w:w="117"/>
        <w:gridCol w:w="117"/>
        <w:gridCol w:w="117"/>
        <w:gridCol w:w="227"/>
        <w:gridCol w:w="437"/>
        <w:gridCol w:w="292"/>
        <w:gridCol w:w="109"/>
        <w:gridCol w:w="109"/>
        <w:gridCol w:w="109"/>
        <w:gridCol w:w="211"/>
        <w:gridCol w:w="406"/>
        <w:gridCol w:w="109"/>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three months ended June 30, 2026 increased $0.2 million, or 12.5%, compared to the three months ended June 30, 2025, reflecting increased investment in future product development.</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100" w:type="dxa"/>
        <w:jc w:val="left"/>
        <w:tblInd w:w="0" w:type="dxa"/>
        <w:tblLayout w:type="fixed"/>
        <w:tblCellMar>
          <w:top w:w="28" w:type="dxa"/>
          <w:left w:w="28" w:type="dxa"/>
          <w:bottom w:w="28" w:type="dxa"/>
          <w:right w:w="28" w:type="dxa"/>
        </w:tblCellMar>
      </w:tblPr>
      <w:tblGrid>
        <w:gridCol w:w="879"/>
        <w:gridCol w:w="772"/>
        <w:gridCol w:w="779"/>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for the three months ended June 30, 2026 decreased $4.1 million, or 15.0%, compared to the three months ended June 30, 2025. The decrease is primarily driven by lower personnel-related expenses, including share-based compensation expense, legal fees, and professional fees, partially offset by the costs associated with the proposed settlement the Company has reached with the plaintiffs in the Securities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Interest Expense, Interest Income, and Other Income, Net</w:t>
      </w:r>
    </w:p>
    <w:tbl>
      <w:tblPr>
        <w:tblW w:w="6568" w:type="dxa"/>
        <w:jc w:val="left"/>
        <w:tblInd w:w="0" w:type="dxa"/>
        <w:tblLayout w:type="fixed"/>
        <w:tblCellMar>
          <w:top w:w="28" w:type="dxa"/>
          <w:left w:w="28" w:type="dxa"/>
          <w:bottom w:w="28" w:type="dxa"/>
          <w:right w:w="28" w:type="dxa"/>
        </w:tblCellMar>
      </w:tblPr>
      <w:tblGrid>
        <w:gridCol w:w="696"/>
        <w:gridCol w:w="611"/>
        <w:gridCol w:w="613"/>
        <w:gridCol w:w="235"/>
        <w:gridCol w:w="535"/>
        <w:gridCol w:w="121"/>
        <w:gridCol w:w="121"/>
        <w:gridCol w:w="121"/>
        <w:gridCol w:w="121"/>
        <w:gridCol w:w="235"/>
        <w:gridCol w:w="652"/>
        <w:gridCol w:w="121"/>
        <w:gridCol w:w="109"/>
        <w:gridCol w:w="109"/>
        <w:gridCol w:w="109"/>
        <w:gridCol w:w="211"/>
        <w:gridCol w:w="511"/>
        <w:gridCol w:w="109"/>
        <w:gridCol w:w="109"/>
        <w:gridCol w:w="109"/>
        <w:gridCol w:w="109"/>
        <w:gridCol w:w="291"/>
        <w:gridCol w:w="294"/>
        <w:gridCol w:w="31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increased $2.2 million compared to the three months ended June 30, 2025, primarily due to interest and amortization of debt issuance costs related to the 7.95% Convertible Senior Secured Notes due November 15, 2028 (the “2028 Notes”), partially offset by lower outstanding balances related to the 1.25% Convertible Senior Notes due October 2026 (the “2026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decreased $1.9 million compared to the three months ended June 30, 2025 primarily due to lower average invested balances and interest rates during the three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months ended June 30, 2025 included $18.1 million net gain related to the exchange and repurchases of the 2026 Notes.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231F20"/>
          <w:sz w:val="20"/>
        </w:rPr>
        <w:t xml:space="preserve">Comparison of </w:t>
      </w:r>
      <w:r>
        <w:rPr>
          <w:rFonts w:ascii="Times New Roman;serif" w:hAnsi="Times New Roman;serif"/>
          <w:b/>
          <w:color w:val="000000"/>
          <w:sz w:val="20"/>
        </w:rPr>
        <w:t>Six Months Ended</w:t>
      </w:r>
      <w:r>
        <w:rPr>
          <w:color w:val="231F20"/>
        </w:rPr>
        <w:t xml:space="preserve"> </w:t>
      </w:r>
      <w:r>
        <w:rPr>
          <w:rFonts w:ascii="Times New Roman;serif" w:hAnsi="Times New Roman;serif"/>
          <w:b/>
          <w:color w:val="231F20"/>
          <w:sz w:val="20"/>
        </w:rPr>
        <w:t xml:space="preserve">June 30, 2026 to </w:t>
      </w:r>
      <w:r>
        <w:rPr>
          <w:rFonts w:ascii="Times New Roman;serif" w:hAnsi="Times New Roman;serif"/>
          <w:b/>
          <w:color w:val="000000"/>
          <w:sz w:val="20"/>
        </w:rPr>
        <w:t>Six Months Ended</w:t>
      </w:r>
      <w:r>
        <w:rPr>
          <w:color w:val="231F20"/>
        </w:rPr>
        <w:t xml:space="preserve"> </w:t>
      </w:r>
      <w:r>
        <w:rPr>
          <w:rFonts w:ascii="Times New Roman;serif" w:hAnsi="Times New Roman;serif"/>
          <w:b/>
          <w:color w:val="231F20"/>
          <w:sz w:val="20"/>
        </w:rPr>
        <w:t>June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June 30, 2026 and June 30, 2025 have been derived from the condensed consolidated financial statements included elsewhere in this Form 10-Q. Amounts and percentages may not foot due to rounding.</w:t>
      </w:r>
    </w:p>
    <w:tbl>
      <w:tblPr>
        <w:tblW w:w="9472" w:type="dxa"/>
        <w:jc w:val="left"/>
        <w:tblInd w:w="0" w:type="dxa"/>
        <w:tblLayout w:type="fixed"/>
        <w:tblCellMar>
          <w:top w:w="28" w:type="dxa"/>
          <w:left w:w="28" w:type="dxa"/>
          <w:bottom w:w="28" w:type="dxa"/>
          <w:right w:w="28" w:type="dxa"/>
        </w:tblCellMar>
      </w:tblPr>
      <w:tblGrid>
        <w:gridCol w:w="1456"/>
        <w:gridCol w:w="1280"/>
        <w:gridCol w:w="1284"/>
        <w:gridCol w:w="211"/>
        <w:gridCol w:w="616"/>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 of Net Sales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31.6 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33.9 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68.4 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66.1 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32.3 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33.3 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33.0 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operating expenses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67.1 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76.1 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(loss) from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9.2 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(2.0)</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(4.2)</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(0.8)</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Foreign currency transaction loss (gain),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0.9 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(Loss) income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6.4 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0.7 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(0.1)</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6.5 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bl>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Net Sales</w:t>
      </w:r>
    </w:p>
    <w:tbl>
      <w:tblPr>
        <w:tblW w:w="6610" w:type="dxa"/>
        <w:jc w:val="left"/>
        <w:tblInd w:w="0" w:type="dxa"/>
        <w:tblLayout w:type="fixed"/>
        <w:tblCellMar>
          <w:top w:w="28" w:type="dxa"/>
          <w:left w:w="28" w:type="dxa"/>
          <w:bottom w:w="28" w:type="dxa"/>
          <w:right w:w="28" w:type="dxa"/>
        </w:tblCellMar>
      </w:tblPr>
      <w:tblGrid>
        <w:gridCol w:w="706"/>
        <w:gridCol w:w="621"/>
        <w:gridCol w:w="62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Percentage of net sales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Delivery Systems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Consumables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Total</w:t>
            </w:r>
          </w:p>
        </w:tc>
        <w:tc>
          <w:tcPr>
            <w:tcW w:w="9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231F20"/>
          <w:sz w:val="20"/>
        </w:rPr>
        <w:t xml:space="preserve">Total net sales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$10.7 million</w:t>
      </w:r>
      <w:r>
        <w:rPr>
          <w:rFonts w:ascii="Times New Roman;serif" w:hAnsi="Times New Roman;serif"/>
          <w:b w:val="false"/>
          <w:color w:val="231F20"/>
          <w:sz w:val="20"/>
        </w:rPr>
        <w:t xml:space="preserve">, or </w:t>
      </w:r>
      <w:r>
        <w:rPr>
          <w:rFonts w:ascii="Times New Roman;serif" w:hAnsi="Times New Roman;serif"/>
          <w:b w:val="false"/>
          <w:color w:val="000000"/>
          <w:sz w:val="20"/>
        </w:rPr>
        <w:t>7.3%</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2025. Delivery Systems net sales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$5.8 million</w:t>
      </w:r>
      <w:r>
        <w:rPr>
          <w:rFonts w:ascii="Times New Roman;serif" w:hAnsi="Times New Roman;serif"/>
          <w:b w:val="false"/>
          <w:color w:val="231F20"/>
          <w:sz w:val="20"/>
        </w:rPr>
        <w:t xml:space="preserve">, or </w:t>
      </w:r>
      <w:r>
        <w:rPr>
          <w:rFonts w:ascii="Times New Roman;serif" w:hAnsi="Times New Roman;serif"/>
          <w:b w:val="false"/>
          <w:color w:val="000000"/>
          <w:sz w:val="20"/>
        </w:rPr>
        <w:t>13.6%</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June 30, 2025, with decreases across all regions. Delivery Systems net sales were negatively impacted globally by unfavorable macroeconomic and credit conditions.</w:t>
      </w:r>
    </w:p>
    <w:p>
      <w:pPr>
        <w:pStyle w:val="TextBody"/>
        <w:bidi w:val="0"/>
        <w:spacing w:lineRule="auto" w:line="288" w:before="240" w:after="283"/>
        <w:jc w:val="left"/>
        <w:rPr/>
      </w:pPr>
      <w:r>
        <w:rPr>
          <w:rFonts w:ascii="Times New Roman;serif" w:hAnsi="Times New Roman;serif"/>
          <w:b w:val="false"/>
          <w:color w:val="231F20"/>
          <w:sz w:val="20"/>
        </w:rPr>
        <w:t xml:space="preserve">Consumables net sales for the </w:t>
      </w:r>
      <w:r>
        <w:rPr>
          <w:rFonts w:ascii="Times New Roman;serif" w:hAnsi="Times New Roman;serif"/>
          <w:b w:val="false"/>
          <w:color w:val="000000"/>
          <w:sz w:val="20"/>
        </w:rPr>
        <w:t xml:space="preserve">six months ended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$5.0 million</w:t>
      </w:r>
      <w:r>
        <w:rPr>
          <w:rFonts w:ascii="Times New Roman;serif" w:hAnsi="Times New Roman;serif"/>
          <w:b w:val="false"/>
          <w:color w:val="231F20"/>
          <w:sz w:val="20"/>
        </w:rPr>
        <w:t xml:space="preserve">, or </w:t>
      </w:r>
      <w:r>
        <w:rPr>
          <w:rFonts w:ascii="Times New Roman;serif" w:hAnsi="Times New Roman;serif"/>
          <w:b w:val="false"/>
          <w:color w:val="000000"/>
          <w:sz w:val="20"/>
        </w:rPr>
        <w:t>4.7%</w:t>
      </w:r>
      <w:r>
        <w:rPr>
          <w:rFonts w:ascii="Times New Roman;serif" w:hAnsi="Times New Roman;serif"/>
          <w:b w:val="false"/>
          <w:color w:val="231F20"/>
          <w:sz w:val="20"/>
        </w:rPr>
        <w:t xml:space="preserve">, compared to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June 30, 2025, with decreases across all regions, impacted by pressure on treatment volume and the transition to a distributor model in China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 Gross Profit, and Gross Margin</w:t>
      </w:r>
    </w:p>
    <w:tbl>
      <w:tblPr>
        <w:tblW w:w="5746" w:type="dxa"/>
        <w:jc w:val="left"/>
        <w:tblInd w:w="0" w:type="dxa"/>
        <w:tblLayout w:type="fixed"/>
        <w:tblCellMar>
          <w:top w:w="28" w:type="dxa"/>
          <w:left w:w="28" w:type="dxa"/>
          <w:bottom w:w="28" w:type="dxa"/>
          <w:right w:w="28" w:type="dxa"/>
        </w:tblCellMar>
      </w:tblPr>
      <w:tblGrid>
        <w:gridCol w:w="429"/>
        <w:gridCol w:w="377"/>
        <w:gridCol w:w="378"/>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Cost of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50.1 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(13.6)%</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(4.0)%</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Gross margin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231F20"/>
          <w:sz w:val="20"/>
        </w:rPr>
        <w:t xml:space="preserve">Cost of sales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2026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 xml:space="preserve">$6.8 million, compared to the six months ended June 30, 2025, primarily due to lower net sales in 2026 and higher product costs related to the sell through associated with Delivery Systems received back as part of the Company’s previous trade-in program and higher inventory related charges in 2025. </w:t>
      </w:r>
      <w:r>
        <w:rPr>
          <w:rFonts w:ascii="Times New Roman;serif" w:hAnsi="Times New Roman;serif"/>
          <w:b w:val="false"/>
          <w:color w:val="231F20"/>
          <w:sz w:val="20"/>
        </w:rPr>
        <w:t xml:space="preserve">Gross margin </w:t>
      </w:r>
      <w:r>
        <w:rPr>
          <w:rFonts w:ascii="Times New Roman;serif" w:hAnsi="Times New Roman;serif"/>
          <w:b w:val="false"/>
          <w:color w:val="000000"/>
          <w:sz w:val="20"/>
        </w:rPr>
        <w:t>increased</w:t>
      </w:r>
      <w:r>
        <w:rPr>
          <w:color w:val="231F20"/>
        </w:rPr>
        <w:t xml:space="preserve"> </w:t>
      </w:r>
      <w:r>
        <w:rPr>
          <w:rFonts w:ascii="Times New Roman;serif" w:hAnsi="Times New Roman;serif"/>
          <w:b w:val="false"/>
          <w:color w:val="231F20"/>
          <w:sz w:val="20"/>
        </w:rPr>
        <w:t xml:space="preserve">to </w:t>
      </w:r>
      <w:r>
        <w:rPr>
          <w:rFonts w:ascii="Times New Roman;serif" w:hAnsi="Times New Roman;serif"/>
          <w:b w:val="false"/>
          <w:color w:val="000000"/>
          <w:sz w:val="20"/>
        </w:rPr>
        <w:t>68.4%</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2026 from </w:t>
      </w:r>
      <w:r>
        <w:rPr>
          <w:rFonts w:ascii="Times New Roman;serif" w:hAnsi="Times New Roman;serif"/>
          <w:b w:val="false"/>
          <w:color w:val="000000"/>
          <w:sz w:val="20"/>
        </w:rPr>
        <w:t>66.1%</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000000"/>
          <w:sz w:val="20"/>
        </w:rPr>
        <w:t>June 30, 2025</w:t>
      </w:r>
      <w:r>
        <w:rPr>
          <w:color w:val="231F20"/>
        </w:rPr>
        <w:t xml:space="preserve"> </w:t>
      </w:r>
      <w:r>
        <w:rPr>
          <w:rFonts w:ascii="Times New Roman;serif" w:hAnsi="Times New Roman;serif"/>
          <w:b w:val="false"/>
          <w:color w:val="231F20"/>
          <w:sz w:val="20"/>
        </w:rPr>
        <w:t>primarily due to higher product costs related to the sell through associated with Delivery Systems received back as part of the Company’s previous trade-in program and higher inventory related charges in 2025.</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erif" w:hAnsi="Times New Roman;serif"/>
          <w:b/>
          <w:i/>
          <w:color w:val="231F20"/>
          <w:sz w:val="20"/>
        </w:rPr>
      </w:pPr>
      <w:r>
        <w:rPr>
          <w:rFonts w:ascii="Times New Roman;serif" w:hAnsi="Times New Roman;serif"/>
          <w:b/>
          <w:i/>
          <w:color w:val="231F20"/>
          <w:sz w:val="20"/>
        </w:rPr>
        <w:t>Selling and Marketing</w:t>
      </w:r>
    </w:p>
    <w:tbl>
      <w:tblPr>
        <w:tblW w:w="7054" w:type="dxa"/>
        <w:jc w:val="left"/>
        <w:tblInd w:w="0" w:type="dxa"/>
        <w:tblLayout w:type="fixed"/>
        <w:tblCellMar>
          <w:top w:w="28" w:type="dxa"/>
          <w:left w:w="28" w:type="dxa"/>
          <w:bottom w:w="28" w:type="dxa"/>
          <w:right w:w="28" w:type="dxa"/>
        </w:tblCellMar>
      </w:tblPr>
      <w:tblGrid>
        <w:gridCol w:w="864"/>
        <w:gridCol w:w="759"/>
        <w:gridCol w:w="761"/>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Selling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As a percentage of 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 for the six months ended June 30, 2026 decreased $4.9 million, or 10.0%, compared to the six months ended June 30, 2025. The decrease is primarily driven by lower personnel-related expenses, including severance, share-based compensation expense and sales commission expense, and depreciation expense.</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Research and Development</w:t>
      </w:r>
    </w:p>
    <w:tbl>
      <w:tblPr>
        <w:tblW w:w="6739" w:type="dxa"/>
        <w:jc w:val="left"/>
        <w:tblInd w:w="0" w:type="dxa"/>
        <w:tblLayout w:type="fixed"/>
        <w:tblCellMar>
          <w:top w:w="28" w:type="dxa"/>
          <w:left w:w="28" w:type="dxa"/>
          <w:bottom w:w="28" w:type="dxa"/>
          <w:right w:w="28" w:type="dxa"/>
        </w:tblCellMar>
      </w:tblPr>
      <w:tblGrid>
        <w:gridCol w:w="879"/>
        <w:gridCol w:w="772"/>
        <w:gridCol w:w="778"/>
        <w:gridCol w:w="211"/>
        <w:gridCol w:w="406"/>
        <w:gridCol w:w="271"/>
        <w:gridCol w:w="109"/>
        <w:gridCol w:w="109"/>
        <w:gridCol w:w="109"/>
        <w:gridCol w:w="211"/>
        <w:gridCol w:w="406"/>
        <w:gridCol w:w="271"/>
        <w:gridCol w:w="109"/>
        <w:gridCol w:w="109"/>
        <w:gridCol w:w="109"/>
        <w:gridCol w:w="211"/>
        <w:gridCol w:w="406"/>
        <w:gridCol w:w="109"/>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six months ended June 30, 2026 increased $0.3 million, or 11.6%, compared to the six months ended June 30, 2025, reflecting increased investment in future product development.</w:t>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General and Administrative</w:t>
      </w:r>
    </w:p>
    <w:tbl>
      <w:tblPr>
        <w:tblW w:w="7205" w:type="dxa"/>
        <w:jc w:val="left"/>
        <w:tblInd w:w="0" w:type="dxa"/>
        <w:tblLayout w:type="fixed"/>
        <w:tblCellMar>
          <w:top w:w="28" w:type="dxa"/>
          <w:left w:w="28" w:type="dxa"/>
          <w:bottom w:w="28" w:type="dxa"/>
          <w:right w:w="28" w:type="dxa"/>
        </w:tblCellMar>
      </w:tblPr>
      <w:tblGrid>
        <w:gridCol w:w="879"/>
        <w:gridCol w:w="772"/>
        <w:gridCol w:w="779"/>
        <w:gridCol w:w="211"/>
        <w:gridCol w:w="511"/>
        <w:gridCol w:w="271"/>
        <w:gridCol w:w="109"/>
        <w:gridCol w:w="109"/>
        <w:gridCol w:w="109"/>
        <w:gridCol w:w="211"/>
        <w:gridCol w:w="511"/>
        <w:gridCol w:w="271"/>
        <w:gridCol w:w="109"/>
        <w:gridCol w:w="109"/>
        <w:gridCol w:w="109"/>
        <w:gridCol w:w="211"/>
        <w:gridCol w:w="586"/>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231F20"/>
                <w:sz w:val="20"/>
              </w:rPr>
            </w:pPr>
            <w:r>
              <w:rPr>
                <w:rFonts w:ascii="Times New Roman;serif" w:hAnsi="Times New Roman;serif"/>
                <w:b w:val="false"/>
                <w:i/>
                <w:color w:val="231F20"/>
                <w:sz w:val="20"/>
              </w:rPr>
              <w:t xml:space="preserve">As a percentage of net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41.3 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231F20"/>
          <w:sz w:val="20"/>
        </w:rPr>
        <w:t xml:space="preserve">General and administrative expense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decreased </w:t>
      </w:r>
      <w:r>
        <w:rPr>
          <w:rFonts w:ascii="Times New Roman;serif" w:hAnsi="Times New Roman;serif"/>
          <w:b w:val="false"/>
          <w:color w:val="000000"/>
          <w:sz w:val="20"/>
        </w:rPr>
        <w:t>$15.7 million, or 25.8%, compared</w:t>
      </w:r>
      <w:r>
        <w:rPr>
          <w:color w:val="231F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231F20"/>
          <w:sz w:val="20"/>
        </w:rPr>
        <w:t xml:space="preserve">June 30, 2025. The decrease is primarily driven by lower legal fees, personnel-related expenses, including share-based compensation expense and severance, professional fees, and depreciation and amortization expense, </w:t>
      </w:r>
      <w:r>
        <w:rPr>
          <w:rFonts w:ascii="Times New Roman;serif" w:hAnsi="Times New Roman;serif"/>
          <w:b w:val="false"/>
          <w:color w:val="000000"/>
          <w:sz w:val="20"/>
        </w:rPr>
        <w:t>partially offset by the costs associated with the proposed settlement the Company has reached with the plaintiffs in the Securities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i/>
          <w:color w:val="231F20"/>
          <w:sz w:val="20"/>
        </w:rPr>
      </w:pPr>
      <w:r>
        <w:rPr>
          <w:rFonts w:ascii="Times New Roman;serif" w:hAnsi="Times New Roman;serif"/>
          <w:b/>
          <w:i/>
          <w:color w:val="231F20"/>
          <w:sz w:val="20"/>
        </w:rPr>
        <w:t>Interest Expense, Interest Income, and Other Income, Net</w:t>
      </w:r>
    </w:p>
    <w:tbl>
      <w:tblPr>
        <w:tblW w:w="6372" w:type="dxa"/>
        <w:jc w:val="left"/>
        <w:tblInd w:w="0" w:type="dxa"/>
        <w:tblLayout w:type="fixed"/>
        <w:tblCellMar>
          <w:top w:w="28" w:type="dxa"/>
          <w:left w:w="28" w:type="dxa"/>
          <w:bottom w:w="28" w:type="dxa"/>
          <w:right w:w="28" w:type="dxa"/>
        </w:tblCellMar>
      </w:tblPr>
      <w:tblGrid>
        <w:gridCol w:w="696"/>
        <w:gridCol w:w="611"/>
        <w:gridCol w:w="613"/>
        <w:gridCol w:w="211"/>
        <w:gridCol w:w="512"/>
        <w:gridCol w:w="109"/>
        <w:gridCol w:w="109"/>
        <w:gridCol w:w="109"/>
        <w:gridCol w:w="109"/>
        <w:gridCol w:w="211"/>
        <w:gridCol w:w="587"/>
        <w:gridCol w:w="109"/>
        <w:gridCol w:w="109"/>
        <w:gridCol w:w="109"/>
        <w:gridCol w:w="109"/>
        <w:gridCol w:w="211"/>
        <w:gridCol w:w="511"/>
        <w:gridCol w:w="109"/>
        <w:gridCol w:w="109"/>
        <w:gridCol w:w="109"/>
        <w:gridCol w:w="109"/>
        <w:gridCol w:w="291"/>
        <w:gridCol w:w="294"/>
        <w:gridCol w:w="31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Change</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(in millions)</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erif" w:hAnsi="Times New Roman;serif"/>
                <w:b w:val="false"/>
                <w:color w:val="231F20"/>
                <w:sz w:val="20"/>
              </w:rPr>
            </w:pPr>
            <w:r>
              <w:rPr>
                <w:rFonts w:ascii="Times New Roman;serif" w:hAnsi="Times New Roman;serif"/>
                <w:b w:val="false"/>
                <w:color w:val="231F2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N/M - Not meaningful</w:t>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increased $6.0 million compared to the six months ended June 30, 2025, primarily due to interest and amortization of debt issuance costs related to the 2028 Notes, partially offset by lower outstanding balances related to the 2026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Interest income for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000000"/>
          <w:sz w:val="20"/>
        </w:rPr>
        <w:t>decreased</w:t>
      </w:r>
      <w:r>
        <w:rPr>
          <w:color w:val="231F20"/>
        </w:rPr>
        <w:t xml:space="preserve"> </w:t>
      </w:r>
      <w:r>
        <w:rPr>
          <w:rFonts w:ascii="Times New Roman;serif" w:hAnsi="Times New Roman;serif"/>
          <w:b w:val="false"/>
          <w:color w:val="000000"/>
          <w:sz w:val="20"/>
        </w:rPr>
        <w:t>$3.4 million</w:t>
      </w:r>
      <w:r>
        <w:rPr>
          <w:color w:val="231F20"/>
        </w:rPr>
        <w:t xml:space="preserve"> </w:t>
      </w:r>
      <w:r>
        <w:rPr>
          <w:rFonts w:ascii="Times New Roman;serif" w:hAnsi="Times New Roman;serif"/>
          <w:b w:val="false"/>
          <w:color w:val="231F20"/>
          <w:sz w:val="20"/>
        </w:rPr>
        <w:t xml:space="preserve">compared to the </w:t>
      </w:r>
      <w:r>
        <w:rPr>
          <w:rFonts w:ascii="Times New Roman;serif" w:hAnsi="Times New Roman;serif"/>
          <w:b w:val="false"/>
          <w:color w:val="000000"/>
          <w:sz w:val="20"/>
        </w:rPr>
        <w:t>six months ended</w:t>
      </w:r>
      <w:r>
        <w:rPr>
          <w:color w:val="231F20"/>
        </w:rPr>
        <w:t xml:space="preserve"> </w:t>
      </w:r>
      <w:r>
        <w:rPr>
          <w:rFonts w:ascii="Times New Roman;serif" w:hAnsi="Times New Roman;serif"/>
          <w:b w:val="false"/>
          <w:color w:val="000000"/>
          <w:sz w:val="20"/>
        </w:rPr>
        <w:t>June 30, 2025</w:t>
      </w:r>
      <w:r>
        <w:rPr>
          <w:color w:val="231F20"/>
        </w:rPr>
        <w:t xml:space="preserve"> </w:t>
      </w:r>
      <w:r>
        <w:rPr>
          <w:rFonts w:ascii="Times New Roman;serif" w:hAnsi="Times New Roman;serif"/>
          <w:b w:val="false"/>
          <w:color w:val="231F20"/>
          <w:sz w:val="20"/>
        </w:rPr>
        <w:t xml:space="preserve">primarily due to lower average invested balances and interest rates during the </w:t>
      </w:r>
      <w:r>
        <w:rPr>
          <w:rFonts w:ascii="Times New Roman;serif" w:hAnsi="Times New Roman;serif"/>
          <w:b w:val="false"/>
          <w:color w:val="000000"/>
          <w:sz w:val="20"/>
        </w:rPr>
        <w:t>six months</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June 30, 2026 included $1.0 million net gain related to the repurchase of the 2026 Notes. Other income, net for the six months ended June 30, 2025 included $18.1 million net gain related to the exchange and repurchases of the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primary sources of capital are (i) cash flow from operating activities, (ii) net proceeds received from the consummation of the Business Combination, and (iii) net proceeds received from the Notes. As of June 30, 2026, we had cash, cash equivalents, and restricted cash of $206.1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Secured Notes - 2028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privately negotiated exchange agreements (the “Exchange Agreements”) with certain holders (the “Exchanging Holders”) of the 2026 Notes. Pursuant to the Exchange Agreements, the Company exchanged and repurchased $413.2 million aggregate principal amount of the 2026 Notes. Of the $413.2 million aggregate principal amount of the 2026 Notes, $263.2 million principal amount were exchanged at a weighted-average price equal to 95% for $250.0 million principal amount of new 2028 Notes, and $150.1 million principal amount were repurchased at a weighted-average price equal to 95% for $142.6 million. The exchange and repurchase resulted in a net gain of $16.6 million, which includes $3.1 million of unamortized debt issuance costs and $0.9 million of other related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27, 2025, the Company issued the 2028 Notes to the Exchanging Holders. The 2028 Notes were issued pursuant to, and are governed by, an indenture, dated as of May 27, 2025, between the Company, the guarantors party thereto, and U.S. Bank Trust Company, National Association, as trustee and collateral agent.</w:t>
      </w:r>
    </w:p>
    <w:p>
      <w:pPr>
        <w:pStyle w:val="TextBody"/>
        <w:bidi w:val="0"/>
        <w:spacing w:before="0" w:after="0"/>
        <w:jc w:val="left"/>
        <w:rPr/>
      </w:pPr>
      <w:r>
        <w:rPr/>
      </w:r>
    </w:p>
    <w:p>
      <w:pPr>
        <w:pStyle w:val="TextBody"/>
        <w:bidi w:val="0"/>
        <w:spacing w:lineRule="auto" w:line="288" w:before="0" w:after="12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2021, the Company issued an aggregate of $750.0 million in principal amount of its 2026 Notes pursuant to, and governed by, an indenture dated as of September 14, 2021, between the Company and U.S. Bank National Association, as trustee. Pursuant to the purchase agreement between the Company and the initial purchasers of the 2026 Notes, the Company granted the initial purchasers an option to purchase, for settlement within a period of 13 days from, and including, the date the 2026 Notes were first issued, up to an additional $100.0 million principal amount of 2026 Notes. The 2026 Notes issued on September 14, 2021 include the $100.0 million principal amount of 2026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were no repurchases related to the 2026 Notes. During the six months ended June 30, 2026, the Company repurchased $21.3 million principal amount of its 2026 Notes at a weighted-average price equal to 94.875% for $20.2 million and recognized a net gain of $1.0 million, which includes $0.1 million of unamortized debt issuance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Company repurchased $20.0 million principal amount of the 2026 Notes for $18.4 million and recognized a net gain of $1.5 million, which includes $0.1 million of unamortized debt issuance costs related to the repurchase. Since inception through December 31, 2025, the Company exchanged and repurchased in total $625.5 million principal amount of its 2026 Notes. For more information, see Part I, Item 1 “Financial Statements — Note 5 - “Long-term Debt” in this Quarterly Report on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Known Trends or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continue to face macroeconomic challenges such as the possibility of recession or financial market instability, and the impact of any governmental actions on the economy, such as tariffs and/or trade restrictions. Furthermore, the geopolitical landscape poses inherent risks that could significantly impact the operations and financial performance of the Company. In the event of a military conflict, supply chain disruptions, geopolitical uncertainties, and economic repercussions may adversely affect the Company’s ability to develop, test and manufacture products, and distribute them globally. This could lead to delays in product development, interruptions in the supply of critical materials, thereby impeding the Company’s commercialization plans. These factors may adversely impact consumers, business, and government spending as well as our customers' ability to pay for our products and services on an ongoing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economic and social conditions or the degree of uncertainty or volatility worsen, or the adverse conditions previously described are further prolonged, our revenues could be adversely affected. Furthermore, the impact of a conflict on global financial markets may result in increased volatility and uncertainty in the capital markets, thereby affecting the valuation of the Company’s Class A Common Stock. Investor confidence, market sentiment, and access to capital could all be negatively influenced. Such geopolitical risks are outside the control of the Company, and the actual effects on the Company’s business, financial condition and results of operations may differ from current estimates. Macroeconomic challenges and credit conditions have negatively impacted our revenues in 2026.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continues to evaluate options to address its 2026 Notes maturity based on our cash needs and market conditions; however, the Company currently intends to repay its 2026 Notes maturity with cash on hand at the end of the third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from our statements of cash flows. Amounts may not foot due to rounding.</w:t>
      </w:r>
    </w:p>
    <w:tbl>
      <w:tblPr>
        <w:tblW w:w="7658" w:type="dxa"/>
        <w:jc w:val="left"/>
        <w:tblInd w:w="0" w:type="dxa"/>
        <w:tblLayout w:type="fixed"/>
        <w:tblCellMar>
          <w:top w:w="28" w:type="dxa"/>
          <w:left w:w="28" w:type="dxa"/>
          <w:bottom w:w="28" w:type="dxa"/>
          <w:right w:w="28" w:type="dxa"/>
        </w:tblCellMar>
      </w:tblPr>
      <w:tblGrid>
        <w:gridCol w:w="1957"/>
        <w:gridCol w:w="1725"/>
        <w:gridCol w:w="1732"/>
        <w:gridCol w:w="211"/>
        <w:gridCol w:w="616"/>
        <w:gridCol w:w="109"/>
        <w:gridCol w:w="109"/>
        <w:gridCol w:w="109"/>
        <w:gridCol w:w="109"/>
        <w:gridCol w:w="211"/>
        <w:gridCol w:w="61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Six Months Ended June 30,</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31F20"/>
                <w:sz w:val="16"/>
              </w:rPr>
            </w:pPr>
            <w:r>
              <w:rPr>
                <w:rFonts w:ascii="Times New Roman;serif" w:hAnsi="Times New Roman;serif"/>
                <w:b/>
                <w:color w:val="231F2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16"/>
              </w:rPr>
            </w:pPr>
            <w:r>
              <w:rPr>
                <w:rFonts w:ascii="Times New Roman;serif" w:hAnsi="Times New Roman;serif"/>
                <w:b/>
                <w:color w:val="231F20"/>
                <w:sz w:val="16"/>
              </w:rPr>
              <w:t>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(loss)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Non-cash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Changes in 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Net change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Effect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31F20"/>
                <w:sz w:val="20"/>
              </w:rPr>
            </w:pPr>
            <w:r>
              <w:rPr>
                <w:rFonts w:ascii="Times New Roman;serif" w:hAnsi="Times New Roman;serif"/>
                <w:b w:val="false"/>
                <w:color w:val="231F2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for operating activities for the six months ended June 30, 2026 was $2.9 million, as compared to net cash provided by operating activities of $12.6 million for the six months ended June 30, 2025. The change in cash used for operating activities was primarily related to changes in working capital, net loss, and non-cash adjustments. The prior year net income and non-cash adjustments include $18.1 million of net gain, as compared to $1.0 million of net gain in the current year related to the 2026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2026 was $2.9 million, as compared to $2.7 million for the six months ended June 30, 2025. The change in cash used for investing activities was due to higher capital expenditures during the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six months ended June 30, 2026 was $21.1 million, as compared to $173.6 million for the six months ended June 30, 2025. The cash used for financing activities for the six months ended June 30, 2026 was primarily related to the repurchase of the Company’s 2026 Notes. The cash used for financing activities for the six months ended June 30, 2025 was primarily related to the exchange and repurchases of the Company’s 2026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since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Part I, Item 1 "Financial Statements—Note 15 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the Company’s disclosure controls and procedures were effective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such term is defined in the Exchange Act) that occurred during the three months ended June 30, 2026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lawsuits, claims, and other legal proceedings that arise from time to time in the ordinary course of business, including but not limited to commercial disputes, product liability, and employment related matters. In addition, the Company may bring claims or initiate lawsuits from time to time against various third parties with respect to matters arising out of the ordinary course of the Company’s business, including but not limited to commercial and intellectual property related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disclosed below, we believe that none of our pending lawsuits, claims, and other proceedings are expected to have a material adverse effect on the Company’s business, consolidated financial position, results of operations, or cash flows. However, management’s judgment may prove materially inaccurate, and such judgment is made subject to the known uncertainties of litigation.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14, 2020, Hydrafacial LLC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8, 2024, Hydrafacial filed an appeal in the Federal Circuit Court of Appeals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parties exchanged their opening briefs on March 12, 2025 and June 20, 2025. Hydrafacial expects the hearing for this appeal to be scheduled in late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asserted that Cartessa and Eunsung infringe Hydrafacial’s U.S. Patent No. 11,865,287, which relates to hydrodermabrasion systems but was not asserted in the Cartessa Case. Eunsung consented to an exclusion order during the term of the Hydrafacial patent-in-suit. In the ITC Cartessa Matter, the parties concluded the evidentiary hearing on April 9-15, 2025. The parties filed post-hearing briefs in May 2025 and the judge issued an initial determination on August 26, 2025, finding that the patent is valid and infringed by Cartessa’s products. The initial determination recommended an exclusion order and cease and desist order against Cartessa that would prevent importation or sale of Cartessa’s hydrodermabrasion systems within the United States. The Commission issued its final determination on March 23, 2026, confirming infringement by Cartessa’s products and validity of Hydrafacial’s patent. On March 26, 2026, Cartessa filed a petition for review by the Federal Circuit Court of Appeals. On June 1, 2026, Cartessa filed a motion to dismiss the appeal and vacate the final determination because the ’287 Patent expired. Hydrafacial expects this appeal to be dismissed by the end of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Cartessa Aesthetics, LLC - Second Complaint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any pending appeals to the Federal Circuit. When the pending appeal in the ITC Cartessa Matter is dismissed or otherwise concluded, Hydrafacial plans to file a motion to reopen the Second Cartessa Case to vigorously pursue its claims against Cartessa and seek monetary damages.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Eunsung Global Corp (and Sinclair Pharma Ltd. and Aesthetic Management Partners, Inc.) - IPRs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30, 2024, Eunsung filed a Petition for inter partes review (“IPR”), IPR2024-01491, challenging the validity of Hydrafacial’s U.S. Patent No. 11,865, 287 (the “’287 Patent”). On November 25, 2024, Sinclair Pharma Ltd and Aesthetic Management Partners, Inc. (“AMP”) filed a similar IPR Petition, IPR2025-00145, challenging the same patent and relying on the same arguments. On January 10, 2025, Eunsung filed an IPR Petition, IPR2025-00445, challenging the validity of Hydrafacial’s U.S. Patent No. 9,550,052 (the “’052 Patent”). On January 13, 2025, Eunsung filed an IPR Petition, IPR2025-00452, challenging the validity of Hydrafacial’s U.S. Patent No. 12,053,607. On January 14, 2025, Eunsung filed an IPR Petition, IPR2025-00453, challenging the validity of Hydrafacial’s U.S. Patent No. 11,446,477 (the “’477 Patent”). On April 11, 2025, the U.S.P.T.O. Board denied institution of the first IPR challenging the ’287 Patent (IPR2024-01491). On June 2, 2025, the U.S.P.T.O. Board granted institution of the second IPR challenging the ’287 Patent (IPR2025-00145). In July 2025, Sinclair and AMP filed copycat IPR Petitions challenging the ’052 Patent and ’477 Patent (IPR2025-01169 and IPR2025-01217, respectively) based on the same arguments as Eunsung’s corresponding IPR Petitions. In July 2025, Eunsung terminated each of its IPR proceedings against Hydrafacial.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12, 2026, the director of the U.S.P.T.O. de-instituted and denied the second IPR challenging the ’287 Patent (IPR2025-00145). On April 20, 2026, the director denied Sinclair’s request for rehearing of that de-institution decision. The only IPR proceedings still pending against Hydrafacial are the two copycat IPRs from Sinclair and AMP (IPR2025-01169 and IPR2025-01217, respectively), which have been stayed by the director in view of the pending Director Review of the institution decision in IPR2025-00145. Hydrafacial expects these two remaining copycat IPRs challenging the ’052 Patent and ’477 Patent to also be de-instituted given that they were stayed pending the decision on the ’287 Patent, which has now been issued. Hydrafacial plans to continue vigorously defending its patents against each of these challenges.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On May 13, 2025, Hydrafacial filed a Motion for Preliminary Injunction that was denied in October 2025. This case continued against Medicreations until the parties achieved a settlement on March 19, 2026, wherein Medicreations agreed to pay Hydrafacial $225,000 in past damages and a royalty of 35% of sales Medicreations made in February and March 2026. As a result, the Medicreations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an ITC investigation against Sinclair. The ITC investigation was terminated in February 2025, and the district court judge lifted the stay for a short time before staying discovery again in view of the IPRs that were instituted and stayed. Hydrafacial expects for this stay to be lifted once the remaining IPRs are de-instituted. Hydrafacial plans to seek monetary damages and vigorously pursue its claims against Sinclair and Viora.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a corresponding ITC investigation. The ITC investigation was terminated in February 2025, and the judge lifted the stay.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13, 2025, Hydrafacial filed a motion for preliminary injunction for which the judge held a hearing on July 25, 2025, but the judge has not yet issued an order. On June 23, 2025, AMP filed a partial motion to dismiss which only addresses a small portion of Hydrafacial’s claims and remedies in this case, but a hearing has not been scheduled for this motion yet. The judge held a claim construction hearing on February 27, 2026. Discovery is proceeding as the parties await the judge’s orders on the pending motions and claim construction. Hydrafacial will continue to seek monetary damages, and plans to vigorously pursue its claims against AMP.</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reached a settlement agreement and ultimately agreed that Medical Purchasing Resource will stop using Hydrafacial’s trademarks and any marks that are confusingly similar to those marks. Medical Purchasing Resource also agreed to stop the other activities identified by Hydrafacial in its complaint, including selling products to known Hydrafacial customers. Medical Purchasing Resource also agreed to take additional measures to ensure that customers are aware that Medical Purchasing Resource and its products have no relation or affiliation with Hydrafacial. Medical Purchasing Resource also agreed to pay Hydrafacial a total of $105,000 for past damages which will be paid to Hydrafacial in four quarterly payments of $26,250 starting in July 2025, and the parties filed a consent judgment with the court to end the lawsuit. As a result, the MPR Case has been dismissed.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was stayed due to the corresponding ITC Luvo Matter, but pursuant to the ITC settlement agreement, the parties filed a consent judgment in the Luvo Case that terminated the case as to Luvo and Healthcare Markets. This case continued against Eunsung until the parties achieved a settlement in July 2025, wherein Eunsung agreed to a consent judgment as well. As a result, the Luvo Case has been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and issued default judgment against the remaining respondents.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eMIRAmed USA,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 On March 21, 2025, the court granted default judgment against MIRAmedtech but denied default judgment against eMIRAmed due to its bankruptcy filing. As a result, the eMIRAmed Case has been closed.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Med Spa Essentials,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Before filing any response to the complaint, MS Essentials agreed to shut down its business and stop all unlawful acts alleged in the complaint. The parties entered into a settlement agreement and filed a consent judgment, dismissing this case in July 2025.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Candela Corp.</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Hydrafacial reached a settlement with Candela in April 2026 and will dismiss the case as to Candela by the end of May 2026. Hydrafacial has not reached a settlement with Termosalud, and as a result, Hydrafacial plans to vigorously pursue its claims against Termosalud, including monetary damages.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BQ Aesthetix &amp; Co.,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24, 2025, Hydrafacial filed a complaint against BQ Aesthetix &amp; Co., LLC d/b/a Bellatrix USA (“Bellatrix”) in the United States District Court for the Southern District of Florida, Case No. 0:25-cv-61262-AHS (the “Bellatrix Case”), for patent infringement arising from Bellatrix’s sale of hydrodermabrasion systems that Hydrafacial alleged to have infringed seven of Hydrafacial’s patents on its device. On June 26, 2026, Bellatrix filed notice of Chapter 7 bankruptcy. On June 29, 2026, the court stayed the case until resolution of the bankruptcy proceedings. Hydrafacial expects this case to be dismissed by the end of 2026.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asserted claims for violation of Section 10(b) of the Securities Exchange Act of 1934, as amended (the “Exchange Act”) and Rule 10b-5 promulgated thereunder against all defendants (the “First Claim”), and violation of Section 20(a) of the Exchange Act against the individual defendants (the “Second Claim”). The complaint alleged that, between May 10, 2022 and November 13, 2023, defendants materially misled the investing public by publicly issuing false and/or misleading statements and/or omissions relating to Hydrafacial LLC's business, operations, and prospects, specifically with respect to the performance of and demand for the Syndeo 1.0 and 2.0 devices. The relief sought in the complaint included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January 16, 2024, putative class members Jeff and Kevin Brown (the “Browns”), Priscilla and Martijn Dijkgraaf (the “Dijkgraafs”), and Joseph Jou filed three competing motions for appointment as lead plaintiff under the Private Securities Litigation Reform Act,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but dropping Mr. Monahan as a defendant. The Securities Class Action case was assigned to U.S. District Judge Sherilyn Peace Garnett. On September 30, 2024, defendants filed a motion to dismiss the consolidated amended class action complaint in its entirety. Plaintiffs filed their opposition brief on November 22, 2024, and defendants filed their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could complete a private mediation before Greg Danilow of Phillips ADR Enterprises, P.C. The parties conducted the private mediation on March 27, 2025. The parties were unable to reach a settlement at the mediation. On May 5, 2025, the plaintiffs filed a second amended complaint (the “SAC”), pursuant to the parties’ stipulation, which was so-ordered by the Court on April 16, 2025. On July 11, 2025, defendants filed a motion to dismiss the SAC in its entirety. The Court scheduled a hearing on defendants’ motion for September 17, 2025. On September 15, 2025, the Court vacated the hearing </w:t>
      </w:r>
      <w:r>
        <w:rPr>
          <w:rFonts w:ascii="Times New Roman;serif" w:hAnsi="Times New Roman;serif"/>
          <w:b w:val="false"/>
          <w:i/>
          <w:color w:val="000000"/>
          <w:sz w:val="20"/>
        </w:rPr>
        <w:t>sua sponte</w:t>
      </w:r>
      <w:r>
        <w:rPr>
          <w:rFonts w:ascii="Times New Roman;serif" w:hAnsi="Times New Roman;serif"/>
          <w:b w:val="false"/>
          <w:color w:val="000000"/>
          <w:sz w:val="20"/>
        </w:rPr>
        <w:t xml:space="preserve">. On September 25, 2025, the Court denied defendants’ motion to dismiss. On November 24, 2025, each Defendant filed an answer to the SAC. On November 26, 2025, the parties filed a Fed. R. Civ. P. 26(f) joint report and proposed stipulated pretrial schedule. On December 15, 2025, the Court so-ordered the parties’ stipulated pretrial schedule, set the final pretrial conference for November 17, 2027, and set trial for December 7, 2027. On the same day, the Court referred the parties to a private mediation before a private mediator of their choice, to be completed by October 13, 2027. On March 24, 2026, the parties entered into a stipulation to extend the case schedule by approximately three months to allow them to focus on mediation efforts. On March 25, 2026, the Court issued an order granting the joint stipulation, resulting in a three-month extension of the case schedule and discovery deadlines. On May 20, 2026, the parties participated in a second private mediation, which took place in person, with Mr. Danilow of Phillips ADR Enterprises, P.C. After extensive negotiations, the parties reached a settlement in principle. On May 26, 2026, lead plaintiffs filed a notice of settlement, notifying the Court that the parties had agreed to a tentative settlement to resolve the entire action against all defendants, including Andrew Stanleick and Liyuan Woo. In that notice of settlement, the parties also notified the Court that they intended to file a comprehensive written settlement agreement and related documents, as part of their motion for preliminary approval. On June 17, 2026, lead plaintiffs filed their motion for preliminary approval of the proposed class action settlement, certification of the settlement class, approval of notice to the settlement class, and scheduling of the fairness hearing (the “Preliminary Approval Motion”). On July 2, 2026, lead plaintiffs filed a notice of absence of objection to the Preliminary Approval Motion, noting that no opposition or objection to the Preliminary Approval Motion had been filed to date. The proposed settlement remains subject to Court approval. However, if the Court does approve the proposed settlement, the Company will cause to be paid a total cash settlement payment of $18,000,000 (the “Cash Payment”), of which, the Company will be responsible to pay only $3,000,000 of the Cash Payment from its own funds, while the remaining $15,000,000 of the Cash Payment will come from certain of the Company’s insurers.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denies and continues to deny the allegations in the Securities Class Action and all charges of wrongdoing or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Class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(the “Complaint”) against Hydrafacial LLC d/b/a The Hydrafacial Company (“Hydrafacial”) and The Beauty Health Company (“BHC” and collectively with Hydrafacial, the “Class Action Defendants”) for alleged violations of New York consumer fraud statutes, breach of contract, and common law breach of implied warranties (the “Customer Class Action”). Following motion practice and two amended complaints (as further described below), the case is now captioned Sol Tan Tanning &amp; Spa LLC, et al., on behalf of themselves and all others similarly situated v. Hydrafacial LLC dba The Hydrafacial Company, Case No. 24-cv-8073 (S.D.N.Y.) (Caproni, J.). The Complaint alleged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purported to bring claims on behalf of themselves, and all other similarly situated purchasers within the United States as well as a New York subclass. The Complaint asserted five causes of action: (1) violations of N.Y. G.B.L., § 349, the state consumer protection statute; (2) violations of N.Y. G.B.L., § 350, the state’s false advertising statute; (3) breach of contract; (4) breach of the implied warranty of merchantability; and (5) breach of the implied warranty of fitness. The relief sought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2024, the Class Action Defendants filed a motion to dismiss the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Customer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Sol Tan to file an amended complaint no later than June 2, 2025, and scheduled an initial pretrial conference for July 18,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June 2, 2025, plaintiff Sol Tan and fifteen other alleged purchasers of the Syndeo machines (“Plaintiffs”) filed an amended complaint (the “Amended Complaint”) asserting: (1) violations of N.Y. G.B.L., § 349 (“Count IV”), the state consumer protection statute; (2) violations of N.Y. G.B.L., § 350 (“Count V”), the state’s false advertising statute; (3) breach of the implied warranty of merchantability (“Count I”); (4) breach of express and implied contract and class-wide rescission (“Count II”); and (5) breach of express warranty (“Count III”). The relief sought in the Amended Complaint included monetary damages allegedly suffered by Class Action Plaintiffs and other members of the putative class as a result of Class Action Defendants’ alleged violations and breaches, including a trebling of any money damages award for alleged violations of N.Y. G.B.L., § 349 and § 350. For Counts IV (violations of N.Y. G.B.L., § 349) and V (violations of N.Y. G.B.L., § 350), plaintiff Jennifer Skuratov d/b/a Spa Thirsty, Inc. (“Spa Thirsty”), sought certification of an alternative subclass of New York purchasers of Syndeo devices (the “Putative New York Subclass”). On June 23, 2025, Class Action Defendants moved to (i) dismiss Counts I, II, IV, and V in full; (ii) partially dismiss Count III to the extent it alleges design defects; (iii) dismiss all claims brought by plaintiff Spa Thirsty in full; (iv) dismiss all claims against BHC in full; and (v) dismiss Plaintiffs’ claim for injunctive relief. On December 22, 2025, the Court granted Class Action Defendants’ motion to dismiss in its entirety, except it denied Class Action Defendants’ request that the claims brought by plaintiff Spa Thirsty be dismissed with prejudice. Specifically, the Court dismissed (i) all of Plaintiffs’ claims against BHC; (ii) Plaintiffs’ Count I, Count II, Count IV, Count V, and their request for injunctive relief; and (iii) the Class Action Plaintiffs’ Count III to the extent it arises out of alleged defects affirmatively identified as “design defects” in the Amended Complaint. In addition, the Court denied the Class Action Plaintiffs’ request for leave to amend as to all of the dismissed causes of action except for plaintiff Spa Thirsty’s claims pursuant to N.Y. G.B.L. §§ 349 and 350. The Court gave plaintiff Spa Thirsty until January 9, 2026 to move for leave to file a second amended complaint that addresses the deficiencies with plaintiff Spa Thirsty’s §§ 349 and 350 claims.</w:t>
      </w:r>
      <w:r>
        <w:rPr>
          <w:color w:val="000000"/>
        </w:rPr>
        <w:t xml:space="preserve"> </w:t>
      </w:r>
      <w:r>
        <w:rPr>
          <w:rFonts w:ascii="Times New Roman;serif" w:hAnsi="Times New Roman;serif"/>
          <w:b w:val="false"/>
          <w:color w:val="000000"/>
          <w:sz w:val="20"/>
        </w:rPr>
        <w:t>Those deficiencies included plaintiff Spa Thirsty’s failure to allege that it “was aware of any of [d]efendants’ purportedly deceptive statements ‘before [it] purchased or came into possession’ of the Syndeo.”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January 9, 2026, Class Action Plaintiffs filed a letter motion for leave to file a second amended complaint and for reconsideration of the Court’s dismissal of Plaintiffs’ Count II. Class Action Plaintiffs appended a proposed second amended complaint (the “Second Amended Complaint”) to their letter motion. The Second Amended Complaint alleged that plaintiff Spa Thirsty purchased a Syndeo in reliance on representations made by Hydrafacial to plaintiff Spa Thirsty at an aesthetic conference in New York, including that Syndeo was “top of the line,” “hands free,” “had superior cleanliness,” “superior,” “a major upgrade,” “works great,” and “yielded ‘more than 15 uses per bottle of solution serum.” The Second Amended Complaint alleged that those representations were deceptive in violation of N.Y. G.B.L. §§ 349 and 350 because the Syndeo allegedly lacked attributes Hydrafacial had represented to plaintiff Spa Thirsty and did not yield the promised treatments per bottle of solution serum. On January 23, 2026, Hydrafacial filed its opposition to Class Action Plaintiffs’ letter motion. Hydrafacial argued that the Second Amended Complaint was futile because all of its alleged representations about the Syndeo were inactionable puffery, except for, arguably, the representation regarding the number of treatments per bottle of solution serum.</w:t>
      </w:r>
      <w:r>
        <w:rPr>
          <w:color w:val="000000"/>
        </w:rPr>
        <w:t xml:space="preserve"> </w:t>
      </w:r>
      <w:r>
        <w:rPr>
          <w:rFonts w:ascii="Times New Roman;serif" w:hAnsi="Times New Roman;serif"/>
          <w:b w:val="false"/>
          <w:color w:val="000000"/>
          <w:sz w:val="20"/>
        </w:rPr>
        <w:t>For that representation, Hydrafacial argued that plaintiff Spa Thirsty did not allege that its Syndeo yielded fewer than 15 treatments per bottle and failed to allege other facts required to state §§ 349 and 350 claims.</w:t>
      </w:r>
      <w:r>
        <w:rPr>
          <w:color w:val="000000"/>
        </w:rPr>
        <w:t xml:space="preserve"> </w:t>
      </w:r>
      <w:r>
        <w:rPr>
          <w:rFonts w:ascii="Times New Roman;serif" w:hAnsi="Times New Roman;serif"/>
          <w:b w:val="false"/>
          <w:color w:val="000000"/>
          <w:sz w:val="20"/>
        </w:rPr>
        <w:t>Hydrafacial also argued that Class Action Plaintiffs’ request for reconsideration of the dismissal of Count II should be denied as untimely.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27, 2026, the Court issued an order granting Class Action Plaintiffs’ motion for leave to file the Second Amended Complaint but denied their request that the Court reconsider its order dismissing the claim for breach of contract in Count II of the Amended Complaint. Although the Court agreed with Hydrafacial that “many of the claims attributed to HydraFacial in the Second Amended Complaint are non-actionable puffery, the claim that the Syndeo ‘yielded more than 15 uses per bottle of serum’ is a verifiable statement of fact,” and the Court could “infer that plaintiff Spa Thirsty’s machine failed to yield the promised number of uses per bottle of serum …. From plaintiff Spa Thirsty’s allegation that its ‘machines run through serums faster than Defendant states it should.’” The Court denied reconsideration because Class Action Plaintiffs’ request was both untimely and “would fail on the merits,” as Class Action Plaintiffs “failed to allege the specific provisions of the contract upon which liability was predicated.” Pursuant to the Court’s order, Class Action Plaintiffs filed the Second Amended Complaint on January 29, 2026. As a result of the Court’s ruling, the only claims still pending before the Court in the Customer Class Action are (i) the Class Action Plaintiffs’ claim against Hydrafacial for breach of its express warranty against defects in materials and workmanship; and (ii) plaintiff Spa Thirsty’s claim, asserted on behalf of itself and the Putative New York Subclass against Hydrafacial, for alleged violations of N.Y. G.B.L., § 349 and § 350.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the parties jointly notified the Court that a settlement-in-principle had been reached and requested that all deadlines be stayed for sixty (60) days. On March 2, 2026, the Court ordered Class Action Plaintiffs to file the necessary motion papers for preliminary approval of the settlement on or before May 29, 2026, and canceled all other deadlines in the case. On May 29, 2026, Class Action Plaintiffs filed a motion for preliminary approval of the settlement. On June 10, 2026, the Court issued an order denying the motion without prejudice, and requested that Class Action Plaintiffs file a supplemental letter addressing certain questions from the Court regarding distribution of proceeds and payment of attorneys’ fees and requesting amended versions of the proposed forms of notice. On June 15, 2026, Class Action Plaintiffs filed their supplemental letter and revised proposed forms of notice. On June 25, 2026, the Court issued an order granting preliminary approval of the class action settlement and set a final approval hearing for December 4, 2026 at 10:00 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claims asserted in the Customer Class Action have no merit and it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a derivative complaint was filed in the Delaware Court of Chancery against the Company’s former President and Chief Executive Officer, Andrew Stanleick; its former Chief Financial Officer, Liyuan Woo, and the then-current members of the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was filed on June 3, 2025. The parties held a mediation on November 4, 2025 and reached agreement on terms of a mutually agreeable resolution. On February 9, 2026, the parties entered into a Stipulation of Settlement, which is subject to court approval. On February 20, 2026, the Delaware Court of Chancery entered a Scheduling Order with respect to Notice and Settlement Hearing, requiring the Company to file a copy of the Notice of Pendency and Proposed Settlement of Derivative Action as an exhibit to a Current Report on Form 8-K, which the Company filed on March 6, 2026. The Court conducted a settlement hearing on May 13, 2026</w:t>
      </w:r>
      <w:r>
        <w:rPr>
          <w:rFonts w:ascii="Times New Roman;serif" w:hAnsi="Times New Roman;serif"/>
          <w:b w:val="false"/>
          <w:color w:val="008080"/>
          <w:sz w:val="20"/>
        </w:rPr>
        <w:t xml:space="preserve">. </w:t>
      </w:r>
      <w:r>
        <w:rPr>
          <w:rFonts w:ascii="Times New Roman;serif" w:hAnsi="Times New Roman;serif"/>
          <w:b w:val="false"/>
          <w:color w:val="000000"/>
          <w:sz w:val="20"/>
        </w:rPr>
        <w:t>The Delaware Court of Chancery took the matter under advisement, and the parties are awaiting the Court’s decision on approval of the Stipulation of Settlement.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11, 2024, the Company was informed that the SEC is conducting a formal investigation of the Company related to, among other things, the allegations brought against the Company in the Securities Class Action lawsuit. The Company has subsequently received subpoenas from the SEC for the production of documents and witness testimony related to its investigation. The Company is in the process of responding to the subpoenas and intends to continue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 other than as set forth below, which should be read in conjunction with the risks described in our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rebranding involves costs and may not be favorably received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we changed our name from “The Beauty Health Company” to “SkinHealth Systems Inc.” We have incurred costs as a result of the rebranding and the SkinHealth Systems brand name may not achieve or maintain the brand name recognition or status of our former BeautyHealth brand. Our corporate structure and how we report on our financial results remains unchanged. Developing and maintaining awareness of our brand is important to retain and attract customers. The success of our new brand is integral to our growth strategy and the importance of brand recognition will increase as competition in our market increases. Successful promotion of our brand will depend on the effectiveness of our marketing efforts, our ability to provide a reliable and useful platform to meet the needs of our customers at competitive prices, our ability to maintain our customers’ trust, our ability to continue to develop new functionality and solutions, and our ability to successfully differentiate our platform. Additionally, our partners’ performance may affect our brand and reputation if customers do not have a positive experience. We rely on free and paid search engine marketing efforts to help drive traffic to our products, which efforts could be adversely affected by the rebranding initiative in the short and/or long term. Specifically, the rebranding could adversely affect the placement and ranking of our website within free and paid search results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pricing of paid search results), any or all of which could increase marketing costs (particularly if free traffic is replaced with paid traffic) and adversely affect the effectiveness of our marketing efforts overall. Even if our brand recognition and loyalty increases, this may not generate customer awareness or yield increased revenue and profitability. Even if they do, any increased revenue may not offset the expenses we incurred in building our brand. For these reasons, our rebranding may not produce the benefits expected, could adversely affect our ability to retain and attract customers, and may have a material adverse effect on our results of operations, cash flows and financial condition.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Our failure to meet Nasdaq’s continued listing requirements could result in a delisting of our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8, 2026, the Company received a notification letter (the “Notice”) from the Listing Qualifications Department of The Nasdaq Stock Market LLC (“Nasdaq”) notifying the Company that the listing of its Class A common stock, par value $0.0001 per share (the “Class A Common Stock”), was not in compliance with Nasdaq Listing Rule 5550(a)(2) for continued listing on The Nasdaq Capital Market, as the closing bid price of the Class A Common Stock was less than $1.00 per share for 30 consecutive business days from March 26, 2026 through May 7, 2026 (the “Minimum Bid Price Requirement”). If the Company does not regain compliance within the applicable compliance period(s), including any additional compliance period that may be granted, Nasdaq will provide notice that the Class A Common Stock will be subject to delisting. At that time, the Company may appeal the delisting determination to a Nasdaq Hearings Panel.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 July 31, 2026, the Company filed a preliminary proxy statement seeking approval by its stockholders to effect a reverse stock split of the Company’s outstanding Class A Common Stock at a ratio ranging from no less than 1-for-5 and not more than 1-for-20 (the “Reverse Stock Split Proposal”). If approved by stockholders, this Reverse Stock Split Proposal would permit, but not require, the Company’s Board of Directors to effect a reverse stock split of the Company’s Class A Common Stock at any time in the next year following stockholder approval, by a ratio of not less than 1-for-5 and not more than 1-for-20, inclusive. The Company’s Board of Directors’ primary objective in proposing the Reverse Stock Split is to raise the per share trading price of the Company’s Class A Common Stock. The Company’s Board of Directors believes that the Reverse Stock Split Proposal will result in a higher per share trading price, which is intended to enable the Company to maintain the listing of its Class A Common Stock on The Nasdaq Global Market and generate greater investor interest in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actively monitor the closing bid price of its Class A Common Stock and will consider available options to resolve the deficiency and regain compliance with the Minimum Bid Price Requirement. However, there can be no assurance that the Company will be able to regain compliance with the Minimum Bid Price Requirement or will otherwise be in compliance with any other Nasdaq listing requirement.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and its affiliated purchasers did not make any purchases of the Company’s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178"/>
        <w:gridCol w:w="155"/>
        <w:gridCol w:w="158"/>
        <w:gridCol w:w="109"/>
        <w:gridCol w:w="109"/>
        <w:gridCol w:w="109"/>
        <w:gridCol w:w="1416"/>
        <w:gridCol w:w="1149"/>
        <w:gridCol w:w="1153"/>
        <w:gridCol w:w="109"/>
        <w:gridCol w:w="109"/>
        <w:gridCol w:w="109"/>
        <w:gridCol w:w="196"/>
        <w:gridCol w:w="196"/>
        <w:gridCol w:w="197"/>
        <w:gridCol w:w="109"/>
        <w:gridCol w:w="109"/>
        <w:gridCol w:w="109"/>
        <w:gridCol w:w="262"/>
        <w:gridCol w:w="242"/>
        <w:gridCol w:w="166"/>
        <w:gridCol w:w="109"/>
        <w:gridCol w:w="109"/>
        <w:gridCol w:w="109"/>
        <w:gridCol w:w="246"/>
        <w:gridCol w:w="246"/>
        <w:gridCol w:w="247"/>
        <w:gridCol w:w="109"/>
        <w:gridCol w:w="109"/>
        <w:gridCol w:w="109"/>
        <w:gridCol w:w="413"/>
        <w:gridCol w:w="373"/>
        <w:gridCol w:w="257"/>
        <w:gridCol w:w="109"/>
        <w:gridCol w:w="109"/>
        <w:gridCol w:w="109"/>
        <w:gridCol w:w="287"/>
        <w:gridCol w:w="287"/>
        <w:gridCol w:w="419"/>
      </w:tblGrid>
      <w:tr>
        <w:trPr/>
        <w:tc>
          <w:tcPr>
            <w:tcW w:w="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Third Certificate of Amendment to the Second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w:t>
              </w:r>
            </w:hyperlink>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20"/>
                  <w:u w:val="single"/>
                </w:rPr>
                <w:t>Restated Certificate of Incorporation of SkinHealth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w:t>
              </w:r>
            </w:hyperlink>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erif" w:hAnsi="Times New Roman;serif"/>
                  <w:b w:val="false"/>
                  <w:color w:val="0000FF"/>
                  <w:sz w:val="20"/>
                  <w:u w:val="single"/>
                </w:rPr>
                <w:t>Second Amended and Restated Bylaws of SkinHealth Systems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September 14, 2021, between The Beauty Health Company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Indenture, dated May 27, 2025, between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Note representing the 7.95% Convertible Senior Secured Notes due 2028 (included as Exhibit A to Exhibit 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Supplemental Indenture No. 1, dated September 4, 2025, among The Beauty Health Company, the guarantors party thereto and U.S. Bank Trust Company,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4.7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Severance and General Release Agreement, entered into May 15, 2026, by and among Hydrafacial LLC, SkinHealth Systems Inc., and Ronald Menezes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6q210q.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6q210q.htm">
              <w:r>
                <w:rPr>
                  <w:rStyle w:val="InternetLink"/>
                  <w:rFonts w:ascii="Times New Roman;serif" w:hAnsi="Times New Roman;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6q210q.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6q210q.htm">
              <w:r>
                <w:rPr>
                  <w:rStyle w:val="InternetLink"/>
                  <w:rFonts w:ascii="Times New Roman;serif" w:hAnsi="Times New Roman;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6q210q.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6q2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6q210q.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6q2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11"/>
        <w:gridCol w:w="215"/>
        <w:gridCol w:w="109"/>
        <w:gridCol w:w="109"/>
        <w:gridCol w:w="109"/>
        <w:gridCol w:w="1259"/>
        <w:gridCol w:w="1240"/>
        <w:gridCol w:w="1244"/>
        <w:gridCol w:w="109"/>
        <w:gridCol w:w="109"/>
        <w:gridCol w:w="109"/>
        <w:gridCol w:w="200"/>
        <w:gridCol w:w="200"/>
        <w:gridCol w:w="201"/>
        <w:gridCol w:w="109"/>
        <w:gridCol w:w="109"/>
        <w:gridCol w:w="109"/>
        <w:gridCol w:w="184"/>
        <w:gridCol w:w="184"/>
        <w:gridCol w:w="185"/>
        <w:gridCol w:w="109"/>
        <w:gridCol w:w="109"/>
        <w:gridCol w:w="109"/>
        <w:gridCol w:w="250"/>
        <w:gridCol w:w="250"/>
        <w:gridCol w:w="251"/>
        <w:gridCol w:w="109"/>
        <w:gridCol w:w="109"/>
        <w:gridCol w:w="109"/>
        <w:gridCol w:w="256"/>
        <w:gridCol w:w="256"/>
        <w:gridCol w:w="258"/>
        <w:gridCol w:w="109"/>
        <w:gridCol w:w="109"/>
        <w:gridCol w:w="109"/>
        <w:gridCol w:w="322"/>
        <w:gridCol w:w="322"/>
        <w:gridCol w:w="467"/>
      </w:tblGrid>
      <w:tr>
        <w:trPr/>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INDEX </w:t>
            </w:r>
          </w:p>
        </w:tc>
      </w:tr>
      <w:tr>
        <w:trPr/>
        <w:tc>
          <w:tcPr>
            <w:tcW w:w="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attachments)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59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42"/>
        <w:gridCol w:w="442"/>
        <w:gridCol w:w="442"/>
        <w:gridCol w:w="1278"/>
        <w:gridCol w:w="1278"/>
        <w:gridCol w:w="18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Pedro Malha,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SkinHealth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0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SkinHealth Systems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SkinHealth Systems Inc. (the “Company”) on Form 10-Q for the quarterly period ended June 30, 2026, as filed with the Securities and Exchange Commission (the “Report”), I, Pedro Malha,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0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Pedro Malha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SkinHealth Systems Inc. (the “Company”) on Form 10-Q for the quarterly period ended June 30, 2026,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62828026026555/ex31-certificateofamendmen.htm" TargetMode="External"/><Relationship Id="rId5" Type="http://schemas.openxmlformats.org/officeDocument/2006/relationships/hyperlink" Target="https://www.sec.gov/Archives/edgar/data/1818093/000162828026026555/ex31-certificateofamendmen.htm" TargetMode="External"/><Relationship Id="rId6" Type="http://schemas.openxmlformats.org/officeDocument/2006/relationships/hyperlink" Target="https://www.sec.gov/Archives/edgar/data/1818093/000162828026026555/ex32-restatedcertificateof.htm" TargetMode="External"/><Relationship Id="rId7" Type="http://schemas.openxmlformats.org/officeDocument/2006/relationships/hyperlink" Target="https://www.sec.gov/Archives/edgar/data/1818093/000162828026026555/ex32-restatedcertificateof.htm" TargetMode="External"/><Relationship Id="rId8" Type="http://schemas.openxmlformats.org/officeDocument/2006/relationships/hyperlink" Target="https://www.sec.gov/Archives/edgar/data/1818093/000162828026026555/ex33-secondamendedandresta.htm" TargetMode="External"/><Relationship Id="rId9" Type="http://schemas.openxmlformats.org/officeDocument/2006/relationships/hyperlink" Target="https://www.sec.gov/Archives/edgar/data/1818093/000162828026026555/ex33-secondamendedandresta.htm" TargetMode="External"/><Relationship Id="rId10" Type="http://schemas.openxmlformats.org/officeDocument/2006/relationships/hyperlink" Target="https://www.sec.gov/Archives/edgar/data/1818093/000181809321000062/exhibit41-convdebtclosing.htm" TargetMode="External"/><Relationship Id="rId11" Type="http://schemas.openxmlformats.org/officeDocument/2006/relationships/hyperlink" Target="https://www.sec.gov/Archives/edgar/data/1818093/000181809321000062/exhibit41-convdebtclosing.htm" TargetMode="External"/><Relationship Id="rId12" Type="http://schemas.openxmlformats.org/officeDocument/2006/relationships/hyperlink" Target="https://www.sec.gov/Archives/edgar/data/1818093/000181809321000062/exhibit41-convdebtclosing.htm" TargetMode="External"/><Relationship Id="rId13" Type="http://schemas.openxmlformats.org/officeDocument/2006/relationships/hyperlink" Target="https://www.sec.gov/Archives/edgar/data/1818093/000181809321000062/exhibit41-convdebtclosing.htm" TargetMode="External"/><Relationship Id="rId14" Type="http://schemas.openxmlformats.org/officeDocument/2006/relationships/hyperlink" Target="https://www.sec.gov/Archives/edgar/data/1818093/000121390020030149/ea127784ex4-1_vesper.htm" TargetMode="External"/><Relationship Id="rId15" Type="http://schemas.openxmlformats.org/officeDocument/2006/relationships/hyperlink" Target="https://www.sec.gov/Archives/edgar/data/1818093/000121390020030149/ea127784ex4-1_vesper.htm" TargetMode="External"/><Relationship Id="rId16" Type="http://schemas.openxmlformats.org/officeDocument/2006/relationships/hyperlink" Target="https://www.sec.gov/Archives/edgar/data/1818093/000162828025038993/beautyhealth-indenturedate.htm" TargetMode="External"/><Relationship Id="rId17" Type="http://schemas.openxmlformats.org/officeDocument/2006/relationships/hyperlink" Target="https://www.sec.gov/Archives/edgar/data/1818093/000162828025038993/beautyhealth-indenturedate.htm" TargetMode="External"/><Relationship Id="rId18" Type="http://schemas.openxmlformats.org/officeDocument/2006/relationships/hyperlink" Target="https://www.sec.gov/Archives/edgar/data/1818093/000162828025038993/beautyhealth-indenturedate.htm" TargetMode="External"/><Relationship Id="rId19" Type="http://schemas.openxmlformats.org/officeDocument/2006/relationships/hyperlink" Target="https://www.sec.gov/Archives/edgar/data/1818093/000162828025038993/beautyhealth-indenturedate.htm" TargetMode="External"/><Relationship Id="rId20" Type="http://schemas.openxmlformats.org/officeDocument/2006/relationships/hyperlink" Target="https://www.sec.gov/Archives/edgar/data/1818093/000168316825006690/skin_ex0401.htm" TargetMode="External"/><Relationship Id="rId21" Type="http://schemas.openxmlformats.org/officeDocument/2006/relationships/hyperlink" Target="https://www.sec.gov/Archives/edgar/data/1818093/000168316825006690/skin_ex0401.htm" TargetMode="External"/><Relationship Id="rId22" Type="http://schemas.openxmlformats.org/officeDocument/2006/relationships/hyperlink" Target="https://www.sec.gov/Archives/edgar/data/1818093/000162828025012407/exhibit44-descriptionofsec.htm" TargetMode="External"/><Relationship Id="rId23" Type="http://schemas.openxmlformats.org/officeDocument/2006/relationships/hyperlink" Target="https://www.sec.gov/Archives/edgar/data/1818093/000162828025012407/exhibit44-descriptionofsec.htm" TargetMode="External"/><Relationship Id="rId24" Type="http://schemas.openxmlformats.org/officeDocument/2006/relationships/hyperlink" Target="https://www.sec.gov/Archives/edgar/data/1818093/000162828026037340/ex101-separationagreementx.htm" TargetMode="External"/><Relationship Id="rId25" Type="http://schemas.openxmlformats.org/officeDocument/2006/relationships/hyperlink" Target="https://www.sec.gov/Archives/edgar/data/1818093/000162828026037340/ex101-separationagreementx.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26827</Words>
  <Characters>148023</Characters>
  <CharactersWithSpaces>173333</CharactersWithSpaces>
  <Paragraphs>2372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