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817880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231F20"/>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142240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31F2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32385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6" w:lineRule="exact"/>
        <w:rPr>
          <w:sz w:val="24"/>
          <w:szCs w:val="24"/>
          <w:color w:val="auto"/>
        </w:rPr>
      </w:pPr>
    </w:p>
    <w:p>
      <w:pPr>
        <w:ind w:left="3840" w:right="1400" w:hanging="2441"/>
        <w:spacing w:after="0" w:line="287" w:lineRule="auto"/>
        <w:tabs>
          <w:tab w:leader="none" w:pos="1624" w:val="left"/>
        </w:tabs>
        <w:numPr>
          <w:ilvl w:val="1"/>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2023</w:t>
      </w:r>
    </w:p>
    <w:p>
      <w:pPr>
        <w:spacing w:after="0" w:line="33" w:lineRule="exact"/>
        <w:rPr>
          <w:rFonts w:ascii="MS PGothic" w:cs="MS PGothic" w:eastAsia="MS PGothic" w:hAnsi="MS PGothic"/>
          <w:sz w:val="20"/>
          <w:szCs w:val="20"/>
          <w:color w:val="auto"/>
        </w:rPr>
      </w:pPr>
    </w:p>
    <w:p>
      <w:pPr>
        <w:jc w:val="center"/>
        <w:ind w:left="3620" w:right="1420" w:hanging="2234"/>
        <w:spacing w:after="0" w:line="316" w:lineRule="auto"/>
        <w:tabs>
          <w:tab w:leader="none" w:pos="1577"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6"/>
          <w:szCs w:val="16"/>
          <w:color w:val="auto"/>
        </w:rPr>
      </w:pPr>
    </w:p>
    <w:p>
      <w:pPr>
        <w:ind w:left="432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149225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Beauty Health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90170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61" w:lineRule="exact"/>
        <w:rPr>
          <w:sz w:val="24"/>
          <w:szCs w:val="24"/>
          <w:color w:val="auto"/>
        </w:rPr>
      </w:pPr>
    </w:p>
    <w:tbl>
      <w:tblPr>
        <w:tblLayout w:type="fixed"/>
        <w:tblInd w:w="580" w:type="dxa"/>
        <w:tblCellMar>
          <w:top w:w="0" w:type="dxa"/>
          <w:left w:w="0" w:type="dxa"/>
          <w:bottom w:w="0" w:type="dxa"/>
          <w:right w:w="0" w:type="dxa"/>
        </w:tblCellMar>
      </w:tblPr>
      <w:tr>
        <w:trPr>
          <w:trHeight w:val="233"/>
        </w:trPr>
        <w:tc>
          <w:tcPr>
            <w:tcW w:w="5360" w:type="dxa"/>
            <w:vAlign w:val="bottom"/>
          </w:tcPr>
          <w:p>
            <w:pPr>
              <w:ind w:left="1680"/>
              <w:spacing w:after="0"/>
              <w:rPr>
                <w:sz w:val="20"/>
                <w:szCs w:val="20"/>
                <w:color w:val="auto"/>
              </w:rPr>
            </w:pPr>
            <w:r>
              <w:rPr>
                <w:rFonts w:ascii="Arial" w:cs="Arial" w:eastAsia="Arial" w:hAnsi="Arial"/>
                <w:sz w:val="18"/>
                <w:szCs w:val="18"/>
                <w:b w:val="1"/>
                <w:bCs w:val="1"/>
                <w:color w:val="auto"/>
              </w:rPr>
              <w:t>Delaware</w:t>
            </w:r>
          </w:p>
        </w:tc>
        <w:tc>
          <w:tcPr>
            <w:tcW w:w="4760" w:type="dxa"/>
            <w:vAlign w:val="bottom"/>
          </w:tcPr>
          <w:p>
            <w:pPr>
              <w:jc w:val="right"/>
              <w:ind w:right="1330"/>
              <w:spacing w:after="0"/>
              <w:rPr>
                <w:sz w:val="20"/>
                <w:szCs w:val="20"/>
                <w:color w:val="auto"/>
              </w:rPr>
            </w:pPr>
            <w:r>
              <w:rPr>
                <w:rFonts w:ascii="Arial" w:cs="Arial" w:eastAsia="Arial" w:hAnsi="Arial"/>
                <w:sz w:val="18"/>
                <w:szCs w:val="18"/>
                <w:b w:val="1"/>
                <w:bCs w:val="1"/>
                <w:color w:val="auto"/>
              </w:rPr>
              <w:t>85-1908962</w:t>
            </w:r>
          </w:p>
        </w:tc>
      </w:tr>
      <w:tr>
        <w:trPr>
          <w:trHeight w:val="176"/>
        </w:trPr>
        <w:tc>
          <w:tcPr>
            <w:tcW w:w="5360" w:type="dxa"/>
            <w:vAlign w:val="bottom"/>
          </w:tcPr>
          <w:p>
            <w:pPr>
              <w:ind w:left="960"/>
              <w:spacing w:after="0" w:line="176" w:lineRule="exact"/>
              <w:rPr>
                <w:sz w:val="20"/>
                <w:szCs w:val="20"/>
                <w:color w:val="auto"/>
              </w:rPr>
            </w:pPr>
            <w:r>
              <w:rPr>
                <w:rFonts w:ascii="Arial" w:cs="Arial" w:eastAsia="Arial" w:hAnsi="Arial"/>
                <w:sz w:val="18"/>
                <w:szCs w:val="18"/>
                <w:color w:val="auto"/>
              </w:rPr>
              <w:t>(State or other jurisdiction of</w:t>
            </w:r>
          </w:p>
        </w:tc>
        <w:tc>
          <w:tcPr>
            <w:tcW w:w="4760" w:type="dxa"/>
            <w:vAlign w:val="bottom"/>
          </w:tcPr>
          <w:p>
            <w:pPr>
              <w:jc w:val="center"/>
              <w:ind w:left="950"/>
              <w:spacing w:after="0" w:line="176"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5360" w:type="dxa"/>
            <w:vAlign w:val="bottom"/>
          </w:tcPr>
          <w:p>
            <w:pPr>
              <w:ind w:left="960"/>
              <w:spacing w:after="0"/>
              <w:rPr>
                <w:sz w:val="20"/>
                <w:szCs w:val="20"/>
                <w:color w:val="auto"/>
              </w:rPr>
            </w:pPr>
            <w:r>
              <w:rPr>
                <w:rFonts w:ascii="Arial" w:cs="Arial" w:eastAsia="Arial" w:hAnsi="Arial"/>
                <w:sz w:val="18"/>
                <w:szCs w:val="18"/>
                <w:color w:val="auto"/>
              </w:rPr>
              <w:t>incorporation or organization)</w:t>
            </w:r>
          </w:p>
        </w:tc>
        <w:tc>
          <w:tcPr>
            <w:tcW w:w="4760" w:type="dxa"/>
            <w:vAlign w:val="bottom"/>
          </w:tcPr>
          <w:p>
            <w:pPr>
              <w:spacing w:after="0"/>
              <w:rPr>
                <w:sz w:val="20"/>
                <w:szCs w:val="20"/>
                <w:color w:val="auto"/>
              </w:rPr>
            </w:pPr>
          </w:p>
        </w:tc>
      </w:tr>
      <w:tr>
        <w:trPr>
          <w:trHeight w:val="310"/>
        </w:trPr>
        <w:tc>
          <w:tcPr>
            <w:tcW w:w="5360" w:type="dxa"/>
            <w:vAlign w:val="bottom"/>
          </w:tcPr>
          <w:p>
            <w:pPr>
              <w:jc w:val="center"/>
              <w:ind w:right="1010"/>
              <w:spacing w:after="0"/>
              <w:rPr>
                <w:sz w:val="20"/>
                <w:szCs w:val="20"/>
                <w:color w:val="auto"/>
              </w:rPr>
            </w:pPr>
            <w:r>
              <w:rPr>
                <w:rFonts w:ascii="Arial" w:cs="Arial" w:eastAsia="Arial" w:hAnsi="Arial"/>
                <w:sz w:val="18"/>
                <w:szCs w:val="18"/>
                <w:b w:val="1"/>
                <w:bCs w:val="1"/>
                <w:color w:val="231F20"/>
                <w:w w:val="89"/>
              </w:rPr>
              <w:t>2165 Spring Street</w:t>
            </w:r>
          </w:p>
        </w:tc>
        <w:tc>
          <w:tcPr>
            <w:tcW w:w="4760" w:type="dxa"/>
            <w:vAlign w:val="bottom"/>
          </w:tcPr>
          <w:p>
            <w:pPr>
              <w:spacing w:after="0"/>
              <w:rPr>
                <w:sz w:val="24"/>
                <w:szCs w:val="24"/>
                <w:color w:val="auto"/>
              </w:rPr>
            </w:pPr>
          </w:p>
        </w:tc>
      </w:tr>
      <w:tr>
        <w:trPr>
          <w:trHeight w:val="242"/>
        </w:trPr>
        <w:tc>
          <w:tcPr>
            <w:tcW w:w="5360" w:type="dxa"/>
            <w:vAlign w:val="bottom"/>
          </w:tcPr>
          <w:p>
            <w:pPr>
              <w:jc w:val="center"/>
              <w:ind w:right="990"/>
              <w:spacing w:after="0"/>
              <w:rPr>
                <w:sz w:val="20"/>
                <w:szCs w:val="20"/>
                <w:color w:val="auto"/>
              </w:rPr>
            </w:pPr>
            <w:r>
              <w:rPr>
                <w:rFonts w:ascii="Arial" w:cs="Arial" w:eastAsia="Arial" w:hAnsi="Arial"/>
                <w:sz w:val="18"/>
                <w:szCs w:val="18"/>
                <w:b w:val="1"/>
                <w:bCs w:val="1"/>
                <w:color w:val="231F20"/>
                <w:w w:val="90"/>
              </w:rPr>
              <w:t>Long Beach, CA 90806</w:t>
            </w:r>
          </w:p>
        </w:tc>
        <w:tc>
          <w:tcPr>
            <w:tcW w:w="4760" w:type="dxa"/>
            <w:vAlign w:val="bottom"/>
          </w:tcPr>
          <w:p>
            <w:pPr>
              <w:jc w:val="right"/>
              <w:ind w:right="1190"/>
              <w:spacing w:after="0"/>
              <w:rPr>
                <w:sz w:val="20"/>
                <w:szCs w:val="20"/>
                <w:color w:val="auto"/>
              </w:rPr>
            </w:pPr>
            <w:r>
              <w:rPr>
                <w:rFonts w:ascii="Arial" w:cs="Arial" w:eastAsia="Arial" w:hAnsi="Arial"/>
                <w:sz w:val="18"/>
                <w:szCs w:val="18"/>
                <w:b w:val="1"/>
                <w:bCs w:val="1"/>
                <w:color w:val="231F20"/>
              </w:rPr>
              <w:t>(800) 603-4996</w:t>
            </w:r>
          </w:p>
        </w:tc>
      </w:tr>
      <w:tr>
        <w:trPr>
          <w:trHeight w:val="230"/>
        </w:trPr>
        <w:tc>
          <w:tcPr>
            <w:tcW w:w="5360" w:type="dxa"/>
            <w:vAlign w:val="bottom"/>
          </w:tcPr>
          <w:p>
            <w:pPr>
              <w:jc w:val="center"/>
              <w:ind w:right="990"/>
              <w:spacing w:after="0"/>
              <w:rPr>
                <w:sz w:val="20"/>
                <w:szCs w:val="20"/>
                <w:color w:val="auto"/>
              </w:rPr>
            </w:pPr>
            <w:r>
              <w:rPr>
                <w:rFonts w:ascii="Arial" w:cs="Arial" w:eastAsia="Arial" w:hAnsi="Arial"/>
                <w:sz w:val="18"/>
                <w:szCs w:val="18"/>
                <w:color w:val="231F20"/>
                <w:w w:val="92"/>
              </w:rPr>
              <w:t>(Address of principal executive offices, including zip code)</w:t>
            </w:r>
          </w:p>
        </w:tc>
        <w:tc>
          <w:tcPr>
            <w:tcW w:w="4760" w:type="dxa"/>
            <w:vAlign w:val="bottom"/>
          </w:tcPr>
          <w:p>
            <w:pPr>
              <w:jc w:val="center"/>
              <w:ind w:left="990"/>
              <w:spacing w:after="0"/>
              <w:rPr>
                <w:sz w:val="20"/>
                <w:szCs w:val="20"/>
                <w:color w:val="auto"/>
              </w:rPr>
            </w:pPr>
            <w:r>
              <w:rPr>
                <w:rFonts w:ascii="Arial" w:cs="Arial" w:eastAsia="Arial" w:hAnsi="Arial"/>
                <w:sz w:val="18"/>
                <w:szCs w:val="18"/>
                <w:color w:val="231F20"/>
                <w:w w:val="89"/>
              </w:rPr>
              <w:t>Registrant's telephone number, including area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91440</wp:posOffset>
            </wp:positionV>
            <wp:extent cx="2091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Securities registered pursuant to Section 12(b) of the Act:</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5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5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8"/>
        </w:trPr>
        <w:tc>
          <w:tcPr>
            <w:tcW w:w="5320" w:type="dxa"/>
            <w:vAlign w:val="bottom"/>
          </w:tcPr>
          <w:p>
            <w:pPr>
              <w:jc w:val="center"/>
              <w:spacing w:after="0"/>
              <w:rPr>
                <w:sz w:val="20"/>
                <w:szCs w:val="20"/>
                <w:color w:val="auto"/>
              </w:rPr>
            </w:pPr>
            <w:r>
              <w:rPr>
                <w:rFonts w:ascii="Arial" w:cs="Arial" w:eastAsia="Arial" w:hAnsi="Arial"/>
                <w:sz w:val="18"/>
                <w:szCs w:val="18"/>
                <w:b w:val="1"/>
                <w:bCs w:val="1"/>
                <w:color w:val="auto"/>
                <w:w w:val="90"/>
              </w:rPr>
              <w:t>Class A Common Stock, par value $0.0001 per share</w:t>
            </w:r>
          </w:p>
        </w:tc>
        <w:tc>
          <w:tcPr>
            <w:tcW w:w="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SKIN</w:t>
            </w:r>
          </w:p>
        </w:tc>
        <w:tc>
          <w:tcPr>
            <w:tcW w:w="10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Capital Market</w:t>
            </w:r>
          </w:p>
        </w:tc>
      </w:tr>
    </w:tbl>
    <w:p>
      <w:pPr>
        <w:spacing w:after="0" w:line="143"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21" w:lineRule="exact"/>
        <w:rPr>
          <w:sz w:val="24"/>
          <w:szCs w:val="24"/>
          <w:color w:val="auto"/>
        </w:rPr>
      </w:pPr>
    </w:p>
    <w:p>
      <w:pPr>
        <w:ind w:right="120"/>
        <w:spacing w:after="0" w:line="209" w:lineRule="exact"/>
        <w:rPr>
          <w:sz w:val="20"/>
          <w:szCs w:val="20"/>
          <w:color w:val="auto"/>
        </w:rPr>
      </w:pPr>
      <w:r>
        <w:rPr>
          <w:rFonts w:ascii="Arial" w:cs="Arial" w:eastAsia="Arial" w:hAnsi="Arial"/>
          <w:sz w:val="18"/>
          <w:szCs w:val="18"/>
          <w:color w:val="auto"/>
        </w:rPr>
        <w:t xml:space="preserve">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4" w:lineRule="exact"/>
        <w:rPr>
          <w:sz w:val="24"/>
          <w:szCs w:val="24"/>
          <w:color w:val="auto"/>
        </w:rPr>
      </w:pPr>
    </w:p>
    <w:p>
      <w:pPr>
        <w:ind w:right="100"/>
        <w:spacing w:after="0" w:line="23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line="203" w:lineRule="exact"/>
              <w:rPr>
                <w:sz w:val="20"/>
                <w:szCs w:val="20"/>
                <w:color w:val="auto"/>
              </w:rPr>
            </w:pPr>
            <w:r>
              <w:rPr>
                <w:rFonts w:ascii="Arial" w:cs="Arial" w:eastAsia="Arial" w:hAnsi="Arial"/>
                <w:sz w:val="18"/>
                <w:szCs w:val="18"/>
                <w:color w:val="auto"/>
              </w:rPr>
              <w:t>Large accelerated filer</w:t>
            </w:r>
          </w:p>
        </w:tc>
        <w:tc>
          <w:tcPr>
            <w:tcW w:w="2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00"/>
              <w:spacing w:after="0" w:line="203" w:lineRule="exact"/>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4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3" w:lineRule="exact"/>
        <w:rPr>
          <w:sz w:val="24"/>
          <w:szCs w:val="24"/>
          <w:color w:val="auto"/>
        </w:rPr>
      </w:pPr>
    </w:p>
    <w:p>
      <w:pPr>
        <w:ind w:right="16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13, 2023, there were 131,266,839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20" w:type="dxa"/>
            <w:vAlign w:val="bottom"/>
            <w:shd w:val="clear" w:color="auto" w:fill="CCEEFF"/>
          </w:tcPr>
          <w:p>
            <w:pPr>
              <w:spacing w:after="0"/>
              <w:rPr>
                <w:sz w:val="17"/>
                <w:szCs w:val="17"/>
                <w:color w:val="auto"/>
              </w:rPr>
            </w:pPr>
          </w:p>
        </w:tc>
        <w:tc>
          <w:tcPr>
            <w:tcW w:w="1058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PART I—FINANCIAL INFORMATION</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1.</w:t>
            </w:r>
          </w:p>
        </w:tc>
        <w:tc>
          <w:tcPr>
            <w:tcW w:w="9400" w:type="dxa"/>
            <w:vAlign w:val="bottom"/>
            <w:gridSpan w:val="17"/>
          </w:tcPr>
          <w:p>
            <w:pPr>
              <w:ind w:left="60"/>
              <w:spacing w:after="0" w:line="189" w:lineRule="exact"/>
              <w:rPr>
                <w:sz w:val="20"/>
                <w:szCs w:val="20"/>
                <w:color w:val="auto"/>
              </w:rPr>
            </w:pPr>
            <w:r>
              <w:rPr>
                <w:rFonts w:ascii="Arial" w:cs="Arial" w:eastAsia="Arial" w:hAnsi="Arial"/>
                <w:sz w:val="18"/>
                <w:szCs w:val="18"/>
                <w:color w:val="0000FF"/>
              </w:rPr>
              <w:t>Financial Statements</w:t>
            </w:r>
          </w:p>
        </w:tc>
        <w:tc>
          <w:tcPr>
            <w:tcW w:w="420" w:type="dxa"/>
            <w:vAlign w:val="bottom"/>
            <w:gridSpan w:val="4"/>
          </w:tcPr>
          <w:p>
            <w:pPr>
              <w:jc w:val="center"/>
              <w:ind w:left="130"/>
              <w:spacing w:after="0" w:line="189" w:lineRule="exact"/>
              <w:rPr>
                <w:sz w:val="20"/>
                <w:szCs w:val="20"/>
                <w:color w:val="auto"/>
              </w:rPr>
            </w:pPr>
            <w:r>
              <w:rPr>
                <w:rFonts w:ascii="Arial" w:cs="Arial" w:eastAsia="Arial" w:hAnsi="Arial"/>
                <w:sz w:val="18"/>
                <w:szCs w:val="18"/>
                <w:color w:val="0000FF"/>
                <w:w w:val="79"/>
              </w:rPr>
              <w:t>3</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0" w:type="dxa"/>
            <w:vAlign w:val="bottom"/>
            <w:gridSpan w:val="17"/>
            <w:shd w:val="clear" w:color="auto" w:fill="CCEEFF"/>
          </w:tcPr>
          <w:p>
            <w:pPr>
              <w:ind w:left="60"/>
              <w:spacing w:after="0" w:line="189" w:lineRule="exact"/>
              <w:rPr>
                <w:sz w:val="20"/>
                <w:szCs w:val="20"/>
                <w:color w:val="auto"/>
              </w:rPr>
            </w:pPr>
            <w:r>
              <w:rPr>
                <w:rFonts w:ascii="Arial" w:cs="Arial" w:eastAsia="Arial" w:hAnsi="Arial"/>
                <w:sz w:val="18"/>
                <w:szCs w:val="18"/>
                <w:color w:val="0000FF"/>
              </w:rPr>
              <w:t>Condensed Consolidated Balance Sheets (Unaudited)</w:t>
            </w:r>
          </w:p>
        </w:tc>
        <w:tc>
          <w:tcPr>
            <w:tcW w:w="420" w:type="dxa"/>
            <w:vAlign w:val="bottom"/>
            <w:gridSpan w:val="4"/>
            <w:shd w:val="clear" w:color="auto" w:fill="CCEEFF"/>
          </w:tcPr>
          <w:p>
            <w:pPr>
              <w:jc w:val="center"/>
              <w:ind w:left="130"/>
              <w:spacing w:after="0" w:line="189" w:lineRule="exact"/>
              <w:rPr>
                <w:sz w:val="20"/>
                <w:szCs w:val="20"/>
                <w:color w:val="auto"/>
              </w:rPr>
            </w:pPr>
            <w:r>
              <w:rPr>
                <w:rFonts w:ascii="Arial" w:cs="Arial" w:eastAsia="Arial" w:hAnsi="Arial"/>
                <w:sz w:val="18"/>
                <w:szCs w:val="18"/>
                <w:color w:val="0000FF"/>
                <w:w w:val="79"/>
              </w:rPr>
              <w:t>3</w:t>
            </w: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0" w:type="dxa"/>
            <w:vAlign w:val="bottom"/>
            <w:gridSpan w:val="17"/>
          </w:tcPr>
          <w:p>
            <w:pPr>
              <w:ind w:left="60"/>
              <w:spacing w:after="0" w:line="189" w:lineRule="exact"/>
              <w:rPr>
                <w:sz w:val="20"/>
                <w:szCs w:val="20"/>
                <w:color w:val="auto"/>
              </w:rPr>
            </w:pPr>
            <w:r>
              <w:rPr>
                <w:rFonts w:ascii="Arial" w:cs="Arial" w:eastAsia="Arial" w:hAnsi="Arial"/>
                <w:sz w:val="18"/>
                <w:szCs w:val="18"/>
                <w:color w:val="0000FF"/>
              </w:rPr>
              <w:t>Condensed Consolidated Statements of Comprehensive Income (Loss) (Unaudited)</w:t>
            </w:r>
          </w:p>
        </w:tc>
        <w:tc>
          <w:tcPr>
            <w:tcW w:w="420" w:type="dxa"/>
            <w:vAlign w:val="bottom"/>
            <w:gridSpan w:val="4"/>
          </w:tcPr>
          <w:p>
            <w:pPr>
              <w:jc w:val="center"/>
              <w:ind w:left="130"/>
              <w:spacing w:after="0" w:line="189" w:lineRule="exact"/>
              <w:rPr>
                <w:sz w:val="20"/>
                <w:szCs w:val="20"/>
                <w:color w:val="auto"/>
              </w:rPr>
            </w:pPr>
            <w:r>
              <w:rPr>
                <w:rFonts w:ascii="Arial" w:cs="Arial" w:eastAsia="Arial" w:hAnsi="Arial"/>
                <w:sz w:val="18"/>
                <w:szCs w:val="18"/>
                <w:color w:val="0000FF"/>
                <w:w w:val="79"/>
              </w:rPr>
              <w:t>4</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0" w:type="dxa"/>
            <w:vAlign w:val="bottom"/>
            <w:gridSpan w:val="17"/>
            <w:shd w:val="clear" w:color="auto" w:fill="CCEEFF"/>
          </w:tcPr>
          <w:p>
            <w:pPr>
              <w:ind w:left="60"/>
              <w:spacing w:after="0" w:line="189" w:lineRule="exact"/>
              <w:rPr>
                <w:sz w:val="20"/>
                <w:szCs w:val="20"/>
                <w:color w:val="auto"/>
              </w:rPr>
            </w:pPr>
            <w:r>
              <w:rPr>
                <w:rFonts w:ascii="Arial" w:cs="Arial" w:eastAsia="Arial" w:hAnsi="Arial"/>
                <w:sz w:val="18"/>
                <w:szCs w:val="18"/>
                <w:color w:val="0000FF"/>
              </w:rPr>
              <w:t>Condensed Consolidated Statements of Stockholders’ Equity (Deficit) (Unaudited)</w:t>
            </w:r>
          </w:p>
        </w:tc>
        <w:tc>
          <w:tcPr>
            <w:tcW w:w="420" w:type="dxa"/>
            <w:vAlign w:val="bottom"/>
            <w:gridSpan w:val="4"/>
            <w:shd w:val="clear" w:color="auto" w:fill="CCEEFF"/>
          </w:tcPr>
          <w:p>
            <w:pPr>
              <w:jc w:val="center"/>
              <w:ind w:left="130"/>
              <w:spacing w:after="0" w:line="189" w:lineRule="exact"/>
              <w:rPr>
                <w:sz w:val="20"/>
                <w:szCs w:val="20"/>
                <w:color w:val="auto"/>
              </w:rPr>
            </w:pPr>
            <w:r>
              <w:rPr>
                <w:rFonts w:ascii="Arial" w:cs="Arial" w:eastAsia="Arial" w:hAnsi="Arial"/>
                <w:sz w:val="18"/>
                <w:szCs w:val="18"/>
                <w:color w:val="0000FF"/>
                <w:w w:val="79"/>
              </w:rPr>
              <w:t>5</w:t>
            </w:r>
          </w:p>
        </w:tc>
        <w:tc>
          <w:tcPr>
            <w:tcW w:w="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0" w:type="dxa"/>
            <w:vAlign w:val="bottom"/>
            <w:gridSpan w:val="17"/>
          </w:tcPr>
          <w:p>
            <w:pPr>
              <w:ind w:left="60"/>
              <w:spacing w:after="0" w:line="189" w:lineRule="exact"/>
              <w:rPr>
                <w:sz w:val="20"/>
                <w:szCs w:val="20"/>
                <w:color w:val="auto"/>
              </w:rPr>
            </w:pPr>
            <w:r>
              <w:rPr>
                <w:rFonts w:ascii="Arial" w:cs="Arial" w:eastAsia="Arial" w:hAnsi="Arial"/>
                <w:sz w:val="18"/>
                <w:szCs w:val="18"/>
                <w:color w:val="0000FF"/>
              </w:rPr>
              <w:t>Condensed Consolidated Statements of Cash Flows (Unaudited)</w:t>
            </w:r>
          </w:p>
        </w:tc>
        <w:tc>
          <w:tcPr>
            <w:tcW w:w="420" w:type="dxa"/>
            <w:vAlign w:val="bottom"/>
            <w:gridSpan w:val="4"/>
          </w:tcPr>
          <w:p>
            <w:pPr>
              <w:jc w:val="center"/>
              <w:ind w:left="130"/>
              <w:spacing w:after="0" w:line="189" w:lineRule="exact"/>
              <w:rPr>
                <w:sz w:val="20"/>
                <w:szCs w:val="20"/>
                <w:color w:val="auto"/>
              </w:rPr>
            </w:pPr>
            <w:r>
              <w:rPr>
                <w:rFonts w:ascii="Arial" w:cs="Arial" w:eastAsia="Arial" w:hAnsi="Arial"/>
                <w:sz w:val="18"/>
                <w:szCs w:val="18"/>
                <w:color w:val="0000FF"/>
                <w:w w:val="79"/>
              </w:rPr>
              <w:t>7</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0" w:type="dxa"/>
            <w:vAlign w:val="bottom"/>
            <w:gridSpan w:val="17"/>
            <w:shd w:val="clear" w:color="auto" w:fill="CCEEFF"/>
          </w:tcPr>
          <w:p>
            <w:pPr>
              <w:ind w:left="60"/>
              <w:spacing w:after="0" w:line="189" w:lineRule="exact"/>
              <w:rPr>
                <w:sz w:val="20"/>
                <w:szCs w:val="20"/>
                <w:color w:val="auto"/>
              </w:rPr>
            </w:pPr>
            <w:r>
              <w:rPr>
                <w:rFonts w:ascii="Arial" w:cs="Arial" w:eastAsia="Arial" w:hAnsi="Arial"/>
                <w:sz w:val="18"/>
                <w:szCs w:val="18"/>
                <w:color w:val="0000FF"/>
              </w:rPr>
              <w:t>Notes to Condensed Consolidated Financial Statements (Unaudited)</w:t>
            </w:r>
          </w:p>
        </w:tc>
        <w:tc>
          <w:tcPr>
            <w:tcW w:w="420" w:type="dxa"/>
            <w:vAlign w:val="bottom"/>
            <w:gridSpan w:val="4"/>
            <w:shd w:val="clear" w:color="auto" w:fill="CCEEFF"/>
          </w:tcPr>
          <w:p>
            <w:pPr>
              <w:jc w:val="center"/>
              <w:ind w:left="130"/>
              <w:spacing w:after="0" w:line="189" w:lineRule="exact"/>
              <w:rPr>
                <w:sz w:val="20"/>
                <w:szCs w:val="20"/>
                <w:color w:val="auto"/>
              </w:rPr>
            </w:pPr>
            <w:r>
              <w:rPr>
                <w:rFonts w:ascii="Arial" w:cs="Arial" w:eastAsia="Arial" w:hAnsi="Arial"/>
                <w:sz w:val="18"/>
                <w:szCs w:val="18"/>
                <w:color w:val="0000FF"/>
                <w:w w:val="79"/>
              </w:rPr>
              <w:t>8</w:t>
            </w:r>
          </w:p>
        </w:tc>
        <w:tc>
          <w:tcPr>
            <w:tcW w:w="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2.</w:t>
            </w:r>
          </w:p>
        </w:tc>
        <w:tc>
          <w:tcPr>
            <w:tcW w:w="9400" w:type="dxa"/>
            <w:vAlign w:val="bottom"/>
            <w:gridSpan w:val="17"/>
          </w:tcPr>
          <w:p>
            <w:pPr>
              <w:ind w:left="6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20" w:type="dxa"/>
            <w:vAlign w:val="bottom"/>
            <w:gridSpan w:val="4"/>
          </w:tcPr>
          <w:p>
            <w:pPr>
              <w:jc w:val="center"/>
              <w:ind w:left="150"/>
              <w:spacing w:after="0" w:line="189" w:lineRule="exact"/>
              <w:rPr>
                <w:sz w:val="20"/>
                <w:szCs w:val="20"/>
                <w:color w:val="auto"/>
              </w:rPr>
            </w:pPr>
            <w:r>
              <w:rPr>
                <w:rFonts w:ascii="Arial" w:cs="Arial" w:eastAsia="Arial" w:hAnsi="Arial"/>
                <w:sz w:val="18"/>
                <w:szCs w:val="18"/>
                <w:color w:val="0000FF"/>
                <w:w w:val="89"/>
              </w:rPr>
              <w:t>22</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3.</w:t>
            </w:r>
          </w:p>
        </w:tc>
        <w:tc>
          <w:tcPr>
            <w:tcW w:w="9400" w:type="dxa"/>
            <w:vAlign w:val="bottom"/>
            <w:gridSpan w:val="17"/>
            <w:shd w:val="clear" w:color="auto" w:fill="CCEEFF"/>
          </w:tcPr>
          <w:p>
            <w:pPr>
              <w:ind w:left="60"/>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420" w:type="dxa"/>
            <w:vAlign w:val="bottom"/>
            <w:gridSpan w:val="4"/>
            <w:shd w:val="clear" w:color="auto" w:fill="CCEEFF"/>
          </w:tcPr>
          <w:p>
            <w:pPr>
              <w:jc w:val="center"/>
              <w:ind w:left="150"/>
              <w:spacing w:after="0" w:line="189" w:lineRule="exact"/>
              <w:rPr>
                <w:sz w:val="20"/>
                <w:szCs w:val="20"/>
                <w:color w:val="auto"/>
              </w:rPr>
            </w:pPr>
            <w:r>
              <w:rPr>
                <w:rFonts w:ascii="Arial" w:cs="Arial" w:eastAsia="Arial" w:hAnsi="Arial"/>
                <w:sz w:val="18"/>
                <w:szCs w:val="18"/>
                <w:color w:val="0000FF"/>
                <w:w w:val="89"/>
              </w:rPr>
              <w:t>33</w:t>
            </w: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4.</w:t>
            </w:r>
          </w:p>
        </w:tc>
        <w:tc>
          <w:tcPr>
            <w:tcW w:w="9400" w:type="dxa"/>
            <w:vAlign w:val="bottom"/>
            <w:gridSpan w:val="17"/>
          </w:tcPr>
          <w:p>
            <w:pPr>
              <w:ind w:left="60"/>
              <w:spacing w:after="0" w:line="189" w:lineRule="exact"/>
              <w:rPr>
                <w:sz w:val="20"/>
                <w:szCs w:val="20"/>
                <w:color w:val="auto"/>
              </w:rPr>
            </w:pPr>
            <w:r>
              <w:rPr>
                <w:rFonts w:ascii="Arial" w:cs="Arial" w:eastAsia="Arial" w:hAnsi="Arial"/>
                <w:sz w:val="18"/>
                <w:szCs w:val="18"/>
                <w:color w:val="0000FF"/>
              </w:rPr>
              <w:t>Controls and Procedures</w:t>
            </w:r>
          </w:p>
        </w:tc>
        <w:tc>
          <w:tcPr>
            <w:tcW w:w="420" w:type="dxa"/>
            <w:vAlign w:val="bottom"/>
            <w:gridSpan w:val="4"/>
          </w:tcPr>
          <w:p>
            <w:pPr>
              <w:jc w:val="center"/>
              <w:ind w:left="150"/>
              <w:spacing w:after="0" w:line="189" w:lineRule="exact"/>
              <w:rPr>
                <w:sz w:val="20"/>
                <w:szCs w:val="20"/>
                <w:color w:val="auto"/>
              </w:rPr>
            </w:pPr>
            <w:r>
              <w:rPr>
                <w:rFonts w:ascii="Arial" w:cs="Arial" w:eastAsia="Arial" w:hAnsi="Arial"/>
                <w:sz w:val="18"/>
                <w:szCs w:val="18"/>
                <w:color w:val="0000FF"/>
                <w:w w:val="89"/>
              </w:rPr>
              <w:t>34</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580" w:type="dxa"/>
            <w:vAlign w:val="bottom"/>
            <w:gridSpan w:val="19"/>
            <w:shd w:val="clear" w:color="auto" w:fill="CCEEFF"/>
          </w:tcPr>
          <w:p>
            <w:pPr>
              <w:spacing w:after="0"/>
              <w:rPr>
                <w:sz w:val="20"/>
                <w:szCs w:val="20"/>
                <w:color w:val="auto"/>
              </w:rPr>
            </w:pPr>
            <w:r>
              <w:rPr>
                <w:rFonts w:ascii="Arial" w:cs="Arial" w:eastAsia="Arial" w:hAnsi="Arial"/>
                <w:sz w:val="16"/>
                <w:szCs w:val="16"/>
                <w:color w:val="auto"/>
              </w:rPr>
              <w:t>PART II—OTHER INFORMATION</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1.</w:t>
            </w:r>
          </w:p>
        </w:tc>
        <w:tc>
          <w:tcPr>
            <w:tcW w:w="9400" w:type="dxa"/>
            <w:vAlign w:val="bottom"/>
            <w:gridSpan w:val="17"/>
          </w:tcPr>
          <w:p>
            <w:pPr>
              <w:ind w:left="60"/>
              <w:spacing w:after="0" w:line="189" w:lineRule="exact"/>
              <w:rPr>
                <w:sz w:val="20"/>
                <w:szCs w:val="20"/>
                <w:color w:val="auto"/>
              </w:rPr>
            </w:pPr>
            <w:r>
              <w:rPr>
                <w:rFonts w:ascii="Arial" w:cs="Arial" w:eastAsia="Arial" w:hAnsi="Arial"/>
                <w:sz w:val="18"/>
                <w:szCs w:val="18"/>
                <w:color w:val="0000FF"/>
              </w:rPr>
              <w:t>Legal Proceedings</w:t>
            </w:r>
          </w:p>
        </w:tc>
        <w:tc>
          <w:tcPr>
            <w:tcW w:w="420" w:type="dxa"/>
            <w:vAlign w:val="bottom"/>
            <w:gridSpan w:val="4"/>
          </w:tcPr>
          <w:p>
            <w:pPr>
              <w:jc w:val="center"/>
              <w:ind w:left="150"/>
              <w:spacing w:after="0" w:line="189" w:lineRule="exact"/>
              <w:rPr>
                <w:sz w:val="20"/>
                <w:szCs w:val="20"/>
                <w:color w:val="auto"/>
              </w:rPr>
            </w:pPr>
            <w:r>
              <w:rPr>
                <w:rFonts w:ascii="Arial" w:cs="Arial" w:eastAsia="Arial" w:hAnsi="Arial"/>
                <w:sz w:val="18"/>
                <w:szCs w:val="18"/>
                <w:color w:val="0000FF"/>
                <w:w w:val="89"/>
              </w:rPr>
              <w:t>35</w:t>
            </w:r>
          </w:p>
        </w:tc>
        <w:tc>
          <w:tcPr>
            <w:tcW w:w="2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1A.</w:t>
            </w:r>
          </w:p>
        </w:tc>
        <w:tc>
          <w:tcPr>
            <w:tcW w:w="9400" w:type="dxa"/>
            <w:vAlign w:val="bottom"/>
            <w:gridSpan w:val="17"/>
            <w:shd w:val="clear" w:color="auto" w:fill="CCEEFF"/>
          </w:tcPr>
          <w:p>
            <w:pPr>
              <w:ind w:left="60"/>
              <w:spacing w:after="0" w:line="189" w:lineRule="exact"/>
              <w:rPr>
                <w:sz w:val="20"/>
                <w:szCs w:val="20"/>
                <w:color w:val="auto"/>
              </w:rPr>
            </w:pPr>
            <w:r>
              <w:rPr>
                <w:rFonts w:ascii="Arial" w:cs="Arial" w:eastAsia="Arial" w:hAnsi="Arial"/>
                <w:sz w:val="18"/>
                <w:szCs w:val="18"/>
                <w:color w:val="0000FF"/>
              </w:rPr>
              <w:t>Risk Factors</w:t>
            </w:r>
          </w:p>
        </w:tc>
        <w:tc>
          <w:tcPr>
            <w:tcW w:w="420" w:type="dxa"/>
            <w:vAlign w:val="bottom"/>
            <w:gridSpan w:val="4"/>
            <w:shd w:val="clear" w:color="auto" w:fill="CCEEFF"/>
          </w:tcPr>
          <w:p>
            <w:pPr>
              <w:jc w:val="center"/>
              <w:ind w:left="150"/>
              <w:spacing w:after="0" w:line="189" w:lineRule="exact"/>
              <w:rPr>
                <w:sz w:val="20"/>
                <w:szCs w:val="20"/>
                <w:color w:val="auto"/>
              </w:rPr>
            </w:pPr>
            <w:r>
              <w:rPr>
                <w:rFonts w:ascii="Arial" w:cs="Arial" w:eastAsia="Arial" w:hAnsi="Arial"/>
                <w:sz w:val="18"/>
                <w:szCs w:val="18"/>
                <w:color w:val="0000FF"/>
                <w:w w:val="89"/>
              </w:rPr>
              <w:t>35</w:t>
            </w:r>
          </w:p>
        </w:tc>
        <w:tc>
          <w:tcPr>
            <w:tcW w:w="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2.</w:t>
            </w:r>
          </w:p>
        </w:tc>
        <w:tc>
          <w:tcPr>
            <w:tcW w:w="9400" w:type="dxa"/>
            <w:vAlign w:val="bottom"/>
            <w:gridSpan w:val="17"/>
          </w:tcPr>
          <w:p>
            <w:pPr>
              <w:ind w:left="60"/>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420" w:type="dxa"/>
            <w:vAlign w:val="bottom"/>
            <w:gridSpan w:val="4"/>
          </w:tcPr>
          <w:p>
            <w:pPr>
              <w:jc w:val="center"/>
              <w:ind w:left="150"/>
              <w:spacing w:after="0" w:line="189" w:lineRule="exact"/>
              <w:rPr>
                <w:sz w:val="20"/>
                <w:szCs w:val="20"/>
                <w:color w:val="auto"/>
              </w:rPr>
            </w:pPr>
            <w:r>
              <w:rPr>
                <w:rFonts w:ascii="Arial" w:cs="Arial" w:eastAsia="Arial" w:hAnsi="Arial"/>
                <w:sz w:val="18"/>
                <w:szCs w:val="18"/>
                <w:color w:val="0000FF"/>
                <w:w w:val="89"/>
              </w:rPr>
              <w:t>36</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3.</w:t>
            </w:r>
          </w:p>
        </w:tc>
        <w:tc>
          <w:tcPr>
            <w:tcW w:w="9400" w:type="dxa"/>
            <w:vAlign w:val="bottom"/>
            <w:gridSpan w:val="17"/>
            <w:shd w:val="clear" w:color="auto" w:fill="CCEEFF"/>
          </w:tcPr>
          <w:p>
            <w:pPr>
              <w:ind w:left="60"/>
              <w:spacing w:after="0" w:line="189" w:lineRule="exact"/>
              <w:rPr>
                <w:sz w:val="20"/>
                <w:szCs w:val="20"/>
                <w:color w:val="auto"/>
              </w:rPr>
            </w:pPr>
            <w:r>
              <w:rPr>
                <w:rFonts w:ascii="Arial" w:cs="Arial" w:eastAsia="Arial" w:hAnsi="Arial"/>
                <w:sz w:val="18"/>
                <w:szCs w:val="18"/>
                <w:color w:val="0000FF"/>
              </w:rPr>
              <w:t>Defaults Upon Senior Securities</w:t>
            </w:r>
          </w:p>
        </w:tc>
        <w:tc>
          <w:tcPr>
            <w:tcW w:w="420" w:type="dxa"/>
            <w:vAlign w:val="bottom"/>
            <w:gridSpan w:val="4"/>
            <w:shd w:val="clear" w:color="auto" w:fill="CCEEFF"/>
          </w:tcPr>
          <w:p>
            <w:pPr>
              <w:jc w:val="center"/>
              <w:ind w:left="150"/>
              <w:spacing w:after="0" w:line="189" w:lineRule="exact"/>
              <w:rPr>
                <w:sz w:val="20"/>
                <w:szCs w:val="20"/>
                <w:color w:val="auto"/>
              </w:rPr>
            </w:pPr>
            <w:r>
              <w:rPr>
                <w:rFonts w:ascii="Arial" w:cs="Arial" w:eastAsia="Arial" w:hAnsi="Arial"/>
                <w:sz w:val="18"/>
                <w:szCs w:val="18"/>
                <w:color w:val="0000FF"/>
                <w:w w:val="89"/>
              </w:rPr>
              <w:t>36</w:t>
            </w:r>
          </w:p>
        </w:tc>
        <w:tc>
          <w:tcPr>
            <w:tcW w:w="2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4.</w:t>
            </w:r>
          </w:p>
        </w:tc>
        <w:tc>
          <w:tcPr>
            <w:tcW w:w="9400" w:type="dxa"/>
            <w:vAlign w:val="bottom"/>
            <w:gridSpan w:val="17"/>
          </w:tcPr>
          <w:p>
            <w:pPr>
              <w:ind w:left="60"/>
              <w:spacing w:after="0" w:line="189" w:lineRule="exact"/>
              <w:rPr>
                <w:sz w:val="20"/>
                <w:szCs w:val="20"/>
                <w:color w:val="auto"/>
              </w:rPr>
            </w:pPr>
            <w:r>
              <w:rPr>
                <w:rFonts w:ascii="Arial" w:cs="Arial" w:eastAsia="Arial" w:hAnsi="Arial"/>
                <w:sz w:val="18"/>
                <w:szCs w:val="18"/>
                <w:color w:val="0000FF"/>
              </w:rPr>
              <w:t>Mine Safety Disclosures</w:t>
            </w:r>
          </w:p>
        </w:tc>
        <w:tc>
          <w:tcPr>
            <w:tcW w:w="420" w:type="dxa"/>
            <w:vAlign w:val="bottom"/>
            <w:gridSpan w:val="4"/>
          </w:tcPr>
          <w:p>
            <w:pPr>
              <w:jc w:val="center"/>
              <w:ind w:left="150"/>
              <w:spacing w:after="0" w:line="189" w:lineRule="exact"/>
              <w:rPr>
                <w:sz w:val="20"/>
                <w:szCs w:val="20"/>
                <w:color w:val="auto"/>
              </w:rPr>
            </w:pPr>
            <w:r>
              <w:rPr>
                <w:rFonts w:ascii="Arial" w:cs="Arial" w:eastAsia="Arial" w:hAnsi="Arial"/>
                <w:sz w:val="18"/>
                <w:szCs w:val="18"/>
                <w:color w:val="0000FF"/>
                <w:w w:val="89"/>
              </w:rPr>
              <w:t>36</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5.</w:t>
            </w:r>
          </w:p>
        </w:tc>
        <w:tc>
          <w:tcPr>
            <w:tcW w:w="9400" w:type="dxa"/>
            <w:vAlign w:val="bottom"/>
            <w:gridSpan w:val="17"/>
            <w:shd w:val="clear" w:color="auto" w:fill="CCEEFF"/>
          </w:tcPr>
          <w:p>
            <w:pPr>
              <w:ind w:left="60"/>
              <w:spacing w:after="0" w:line="189" w:lineRule="exact"/>
              <w:rPr>
                <w:sz w:val="20"/>
                <w:szCs w:val="20"/>
                <w:color w:val="auto"/>
              </w:rPr>
            </w:pPr>
            <w:r>
              <w:rPr>
                <w:rFonts w:ascii="Arial" w:cs="Arial" w:eastAsia="Arial" w:hAnsi="Arial"/>
                <w:sz w:val="18"/>
                <w:szCs w:val="18"/>
                <w:color w:val="0000FF"/>
              </w:rPr>
              <w:t>Other Information</w:t>
            </w:r>
          </w:p>
        </w:tc>
        <w:tc>
          <w:tcPr>
            <w:tcW w:w="420" w:type="dxa"/>
            <w:vAlign w:val="bottom"/>
            <w:gridSpan w:val="4"/>
            <w:shd w:val="clear" w:color="auto" w:fill="CCEEFF"/>
          </w:tcPr>
          <w:p>
            <w:pPr>
              <w:jc w:val="center"/>
              <w:ind w:left="150"/>
              <w:spacing w:after="0" w:line="189" w:lineRule="exact"/>
              <w:rPr>
                <w:sz w:val="20"/>
                <w:szCs w:val="20"/>
                <w:color w:val="auto"/>
              </w:rPr>
            </w:pPr>
            <w:r>
              <w:rPr>
                <w:rFonts w:ascii="Arial" w:cs="Arial" w:eastAsia="Arial" w:hAnsi="Arial"/>
                <w:sz w:val="18"/>
                <w:szCs w:val="18"/>
                <w:color w:val="0000FF"/>
                <w:w w:val="89"/>
              </w:rPr>
              <w:t>37</w:t>
            </w:r>
          </w:p>
        </w:tc>
        <w:tc>
          <w:tcPr>
            <w:tcW w:w="2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6.</w:t>
            </w:r>
          </w:p>
        </w:tc>
        <w:tc>
          <w:tcPr>
            <w:tcW w:w="9400" w:type="dxa"/>
            <w:vAlign w:val="bottom"/>
            <w:gridSpan w:val="17"/>
          </w:tcPr>
          <w:p>
            <w:pPr>
              <w:ind w:left="60"/>
              <w:spacing w:after="0" w:line="189" w:lineRule="exact"/>
              <w:rPr>
                <w:sz w:val="20"/>
                <w:szCs w:val="20"/>
                <w:color w:val="auto"/>
              </w:rPr>
            </w:pPr>
            <w:r>
              <w:rPr>
                <w:rFonts w:ascii="Arial" w:cs="Arial" w:eastAsia="Arial" w:hAnsi="Arial"/>
                <w:sz w:val="18"/>
                <w:szCs w:val="18"/>
                <w:color w:val="0000FF"/>
              </w:rPr>
              <w:t>Exhibits</w:t>
            </w:r>
          </w:p>
        </w:tc>
        <w:tc>
          <w:tcPr>
            <w:tcW w:w="420" w:type="dxa"/>
            <w:vAlign w:val="bottom"/>
            <w:gridSpan w:val="4"/>
          </w:tcPr>
          <w:p>
            <w:pPr>
              <w:jc w:val="center"/>
              <w:ind w:left="150"/>
              <w:spacing w:after="0" w:line="189" w:lineRule="exact"/>
              <w:rPr>
                <w:sz w:val="20"/>
                <w:szCs w:val="20"/>
                <w:color w:val="auto"/>
              </w:rPr>
            </w:pPr>
            <w:r>
              <w:rPr>
                <w:rFonts w:ascii="Arial" w:cs="Arial" w:eastAsia="Arial" w:hAnsi="Arial"/>
                <w:sz w:val="18"/>
                <w:szCs w:val="18"/>
                <w:color w:val="0000FF"/>
                <w:w w:val="89"/>
              </w:rPr>
              <w:t>37</w:t>
            </w:r>
          </w:p>
        </w:tc>
        <w:tc>
          <w:tcPr>
            <w:tcW w:w="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99"/>
              </w:rPr>
              <w:t>SIGNATURES</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905"/>
        </w:trPr>
        <w:tc>
          <w:tcPr>
            <w:tcW w:w="20" w:type="dxa"/>
            <w:vAlign w:val="bottom"/>
            <w:tcBorders>
              <w:top w:val="single" w:sz="8" w:color="CCEE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680" w:type="dxa"/>
            <w:vAlign w:val="bottom"/>
            <w:tcBorders>
              <w:top w:val="single" w:sz="8" w:color="CCEEFF"/>
            </w:tcBorders>
            <w:gridSpan w:val="12"/>
          </w:tcPr>
          <w:p>
            <w:pPr>
              <w:ind w:left="4380"/>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8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Pr>
          <w:p>
            <w:pPr>
              <w:spacing w:after="0"/>
              <w:rPr>
                <w:sz w:val="18"/>
                <w:szCs w:val="18"/>
                <w:color w:val="auto"/>
              </w:rPr>
            </w:pPr>
          </w:p>
        </w:tc>
        <w:tc>
          <w:tcPr>
            <w:tcW w:w="1720" w:type="dxa"/>
            <w:vAlign w:val="bottom"/>
          </w:tcPr>
          <w:p>
            <w:pPr>
              <w:jc w:val="right"/>
              <w:ind w:right="230"/>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172"/>
        </w:trPr>
        <w:tc>
          <w:tcPr>
            <w:tcW w:w="7260" w:type="dxa"/>
            <w:vAlign w:val="bottom"/>
            <w:tcBorders>
              <w:top w:val="single" w:sz="8" w:color="CCEEFF"/>
            </w:tcBorders>
            <w:gridSpan w:val="4"/>
            <w:shd w:val="clear" w:color="auto" w:fill="CCEEFF"/>
          </w:tcPr>
          <w:p>
            <w:pPr>
              <w:ind w:left="80"/>
              <w:spacing w:after="0" w:line="172" w:lineRule="exact"/>
              <w:rPr>
                <w:sz w:val="20"/>
                <w:szCs w:val="20"/>
                <w:color w:val="auto"/>
              </w:rPr>
            </w:pPr>
            <w:r>
              <w:rPr>
                <w:rFonts w:ascii="Arial" w:cs="Arial" w:eastAsia="Arial" w:hAnsi="Arial"/>
                <w:sz w:val="18"/>
                <w:szCs w:val="18"/>
                <w:b w:val="1"/>
                <w:bCs w:val="1"/>
                <w:color w:val="231F20"/>
              </w:rPr>
              <w:t>ASSETS</w:t>
            </w:r>
          </w:p>
        </w:tc>
        <w:tc>
          <w:tcPr>
            <w:tcW w:w="20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231F20"/>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Current assets:</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559,444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31F20"/>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568,197</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7180" w:type="dxa"/>
            <w:vAlign w:val="bottom"/>
            <w:gridSpan w:val="3"/>
          </w:tcPr>
          <w:p>
            <w:pPr>
              <w:ind w:left="280"/>
              <w:spacing w:after="0" w:line="189" w:lineRule="exact"/>
              <w:rPr>
                <w:sz w:val="20"/>
                <w:szCs w:val="20"/>
                <w:color w:val="auto"/>
              </w:rPr>
            </w:pPr>
            <w:r>
              <w:rPr>
                <w:rFonts w:ascii="Arial" w:cs="Arial" w:eastAsia="Arial" w:hAnsi="Arial"/>
                <w:sz w:val="18"/>
                <w:szCs w:val="18"/>
                <w:color w:val="231F20"/>
                <w:w w:val="95"/>
              </w:rPr>
              <w:t>Accounts receivable, net of allowances for estimated credit losses of $4,752 and $2,929 at</w:t>
            </w: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September 30, 2023 and December 31, 2022, respectively</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66,809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76,494</w:t>
            </w: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Inventories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74,878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109,656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Income tax receivable</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989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1,280</w:t>
            </w: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35,891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27,648</w:t>
            </w:r>
          </w:p>
        </w:tc>
        <w:tc>
          <w:tcPr>
            <w:tcW w:w="0" w:type="dxa"/>
            <w:vAlign w:val="bottom"/>
          </w:tcPr>
          <w:p>
            <w:pPr>
              <w:spacing w:after="0"/>
              <w:rPr>
                <w:sz w:val="1"/>
                <w:szCs w:val="1"/>
                <w:color w:val="auto"/>
              </w:rPr>
            </w:pPr>
          </w:p>
        </w:tc>
      </w:tr>
      <w:tr>
        <w:trPr>
          <w:trHeight w:val="223"/>
        </w:trPr>
        <w:tc>
          <w:tcPr>
            <w:tcW w:w="80" w:type="dxa"/>
            <w:vAlign w:val="bottom"/>
            <w:tcBorders>
              <w:bottom w:val="single" w:sz="8" w:color="CCEEFF"/>
            </w:tcBorders>
          </w:tcPr>
          <w:p>
            <w:pPr>
              <w:spacing w:after="0"/>
              <w:rPr>
                <w:sz w:val="19"/>
                <w:szCs w:val="19"/>
                <w:color w:val="auto"/>
              </w:rPr>
            </w:pPr>
          </w:p>
        </w:tc>
        <w:tc>
          <w:tcPr>
            <w:tcW w:w="718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231F20"/>
              </w:rPr>
              <w:t>Total current assets</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738,011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783,275</w:t>
            </w:r>
          </w:p>
        </w:tc>
        <w:tc>
          <w:tcPr>
            <w:tcW w:w="0" w:type="dxa"/>
            <w:vAlign w:val="bottom"/>
          </w:tcPr>
          <w:p>
            <w:pPr>
              <w:spacing w:after="0"/>
              <w:rPr>
                <w:sz w:val="1"/>
                <w:szCs w:val="1"/>
                <w:color w:val="auto"/>
              </w:rPr>
            </w:pPr>
          </w:p>
        </w:tc>
      </w:tr>
      <w:tr>
        <w:trPr>
          <w:trHeight w:val="223"/>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Property and equipment, net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16,062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18,184</w:t>
            </w:r>
          </w:p>
        </w:tc>
        <w:tc>
          <w:tcPr>
            <w:tcW w:w="0" w:type="dxa"/>
            <w:vAlign w:val="bottom"/>
          </w:tcPr>
          <w:p>
            <w:pPr>
              <w:spacing w:after="0"/>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Right-of-use assets, net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13,343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15,637</w:t>
            </w:r>
          </w:p>
        </w:tc>
        <w:tc>
          <w:tcPr>
            <w:tcW w:w="0" w:type="dxa"/>
            <w:vAlign w:val="bottom"/>
          </w:tcPr>
          <w:p>
            <w:pPr>
              <w:spacing w:after="0"/>
              <w:rPr>
                <w:sz w:val="1"/>
                <w:szCs w:val="1"/>
                <w:color w:val="auto"/>
              </w:rPr>
            </w:pPr>
          </w:p>
        </w:tc>
      </w:tr>
      <w:tr>
        <w:trPr>
          <w:trHeight w:val="229"/>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Intangible assets, net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64,642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46,386</w:t>
            </w:r>
          </w:p>
        </w:tc>
        <w:tc>
          <w:tcPr>
            <w:tcW w:w="0" w:type="dxa"/>
            <w:vAlign w:val="bottom"/>
          </w:tcPr>
          <w:p>
            <w:pPr>
              <w:spacing w:after="0"/>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Goodwill</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124,679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124,593</w:t>
            </w:r>
          </w:p>
        </w:tc>
        <w:tc>
          <w:tcPr>
            <w:tcW w:w="0" w:type="dxa"/>
            <w:vAlign w:val="bottom"/>
          </w:tcPr>
          <w:p>
            <w:pPr>
              <w:spacing w:after="0"/>
              <w:rPr>
                <w:sz w:val="1"/>
                <w:szCs w:val="1"/>
                <w:color w:val="auto"/>
              </w:rPr>
            </w:pPr>
          </w:p>
        </w:tc>
      </w:tr>
      <w:tr>
        <w:trPr>
          <w:trHeight w:val="229"/>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Deferred income tax assets, net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815</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gridSpan w:val="4"/>
          </w:tcPr>
          <w:p>
            <w:pPr>
              <w:ind w:left="80"/>
              <w:spacing w:after="0"/>
              <w:rPr>
                <w:sz w:val="20"/>
                <w:szCs w:val="20"/>
                <w:color w:val="auto"/>
              </w:rPr>
            </w:pPr>
            <w:r>
              <w:rPr>
                <w:rFonts w:ascii="Arial" w:cs="Arial" w:eastAsia="Arial" w:hAnsi="Arial"/>
                <w:sz w:val="18"/>
                <w:szCs w:val="18"/>
                <w:color w:val="231F20"/>
              </w:rPr>
              <w:t>Other assets</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15,539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14,193</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b w:val="1"/>
                <w:bCs w:val="1"/>
                <w:color w:val="231F20"/>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973,074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1,003,083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4"/>
            <w:vMerge w:val="restart"/>
          </w:tcPr>
          <w:p>
            <w:pPr>
              <w:ind w:left="80"/>
              <w:spacing w:after="0" w:line="189" w:lineRule="exact"/>
              <w:rPr>
                <w:sz w:val="20"/>
                <w:szCs w:val="20"/>
                <w:color w:val="auto"/>
              </w:rPr>
            </w:pPr>
            <w:r>
              <w:rPr>
                <w:rFonts w:ascii="Arial" w:cs="Arial" w:eastAsia="Arial" w:hAnsi="Arial"/>
                <w:sz w:val="18"/>
                <w:szCs w:val="18"/>
                <w:b w:val="1"/>
                <w:bCs w:val="1"/>
                <w:color w:val="231F20"/>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6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660" w:type="dxa"/>
            <w:vAlign w:val="bottom"/>
            <w:tcBorders>
              <w:top w:val="single" w:sz="8" w:color="231F20"/>
            </w:tcBorders>
          </w:tcPr>
          <w:p>
            <w:pPr>
              <w:spacing w:after="0"/>
              <w:rPr>
                <w:sz w:val="2"/>
                <w:szCs w:val="2"/>
                <w:color w:val="auto"/>
              </w:rPr>
            </w:pPr>
          </w:p>
        </w:tc>
        <w:tc>
          <w:tcPr>
            <w:tcW w:w="3240" w:type="dxa"/>
            <w:vAlign w:val="bottom"/>
            <w:tcBorders>
              <w:top w:val="single" w:sz="8" w:color="231F20"/>
            </w:tcBorders>
          </w:tcPr>
          <w:p>
            <w:pPr>
              <w:spacing w:after="0"/>
              <w:rPr>
                <w:sz w:val="2"/>
                <w:szCs w:val="2"/>
                <w:color w:val="auto"/>
              </w:rPr>
            </w:pPr>
          </w:p>
        </w:tc>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231F20"/>
              </w:rPr>
              <w:t>Current liabilities: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231F20"/>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231F20"/>
              </w:rPr>
              <w:t>35,883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231F20"/>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231F20"/>
              </w:rPr>
              <w:t>28,467</w:t>
            </w: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Accrued payroll-related expenses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20,752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21,677</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Syndeo Program reserves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32,052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Lease liabilities, current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4,711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4,958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Income tax payable</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1,990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1,429</w:t>
            </w: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30,491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15,183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180" w:type="dxa"/>
            <w:vAlign w:val="bottom"/>
            <w:gridSpan w:val="3"/>
          </w:tcPr>
          <w:p>
            <w:pPr>
              <w:ind w:left="480"/>
              <w:spacing w:after="0"/>
              <w:rPr>
                <w:sz w:val="20"/>
                <w:szCs w:val="20"/>
                <w:color w:val="auto"/>
              </w:rPr>
            </w:pPr>
            <w:r>
              <w:rPr>
                <w:rFonts w:ascii="Arial" w:cs="Arial" w:eastAsia="Arial" w:hAnsi="Arial"/>
                <w:sz w:val="18"/>
                <w:szCs w:val="18"/>
                <w:color w:val="231F20"/>
              </w:rPr>
              <w:t>Total current liabilities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125,879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71,714</w:t>
            </w:r>
          </w:p>
        </w:tc>
        <w:tc>
          <w:tcPr>
            <w:tcW w:w="0" w:type="dxa"/>
            <w:vAlign w:val="bottom"/>
          </w:tcPr>
          <w:p>
            <w:pPr>
              <w:spacing w:after="0"/>
              <w:rPr>
                <w:sz w:val="1"/>
                <w:szCs w:val="1"/>
                <w:color w:val="auto"/>
              </w:rPr>
            </w:pPr>
          </w:p>
        </w:tc>
      </w:tr>
      <w:tr>
        <w:trPr>
          <w:trHeight w:val="229"/>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Lease liabilities, non-current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10,105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12,689</w:t>
            </w:r>
          </w:p>
        </w:tc>
        <w:tc>
          <w:tcPr>
            <w:tcW w:w="0" w:type="dxa"/>
            <w:vAlign w:val="bottom"/>
          </w:tcPr>
          <w:p>
            <w:pPr>
              <w:spacing w:after="0"/>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Deferred income tax liabilities, net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2,299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2,011</w:t>
            </w:r>
          </w:p>
        </w:tc>
        <w:tc>
          <w:tcPr>
            <w:tcW w:w="0" w:type="dxa"/>
            <w:vAlign w:val="bottom"/>
          </w:tcPr>
          <w:p>
            <w:pPr>
              <w:spacing w:after="0"/>
              <w:rPr>
                <w:sz w:val="1"/>
                <w:szCs w:val="1"/>
                <w:color w:val="auto"/>
              </w:rPr>
            </w:pPr>
          </w:p>
        </w:tc>
      </w:tr>
      <w:tr>
        <w:trPr>
          <w:trHeight w:val="230"/>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Warrant liabilities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15,473</w:t>
            </w:r>
          </w:p>
        </w:tc>
        <w:tc>
          <w:tcPr>
            <w:tcW w:w="0" w:type="dxa"/>
            <w:vAlign w:val="bottom"/>
          </w:tcPr>
          <w:p>
            <w:pPr>
              <w:spacing w:after="0"/>
              <w:rPr>
                <w:sz w:val="1"/>
                <w:szCs w:val="1"/>
                <w:color w:val="auto"/>
              </w:rPr>
            </w:pPr>
          </w:p>
        </w:tc>
      </w:tr>
      <w:tr>
        <w:trPr>
          <w:trHeight w:val="230"/>
        </w:trPr>
        <w:tc>
          <w:tcPr>
            <w:tcW w:w="7260" w:type="dxa"/>
            <w:vAlign w:val="bottom"/>
            <w:gridSpan w:val="4"/>
          </w:tcPr>
          <w:p>
            <w:pPr>
              <w:ind w:left="80"/>
              <w:spacing w:after="0"/>
              <w:rPr>
                <w:sz w:val="20"/>
                <w:szCs w:val="20"/>
                <w:color w:val="auto"/>
              </w:rPr>
            </w:pPr>
            <w:r>
              <w:rPr>
                <w:rFonts w:ascii="Arial" w:cs="Arial" w:eastAsia="Arial" w:hAnsi="Arial"/>
                <w:sz w:val="18"/>
                <w:szCs w:val="18"/>
                <w:color w:val="231F20"/>
              </w:rPr>
              <w:t>Convertible senior notes, net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737,315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734,143</w:t>
            </w:r>
          </w:p>
        </w:tc>
        <w:tc>
          <w:tcPr>
            <w:tcW w:w="0" w:type="dxa"/>
            <w:vAlign w:val="bottom"/>
          </w:tcPr>
          <w:p>
            <w:pPr>
              <w:spacing w:after="0"/>
              <w:rPr>
                <w:sz w:val="1"/>
                <w:szCs w:val="1"/>
                <w:color w:val="auto"/>
              </w:rPr>
            </w:pPr>
          </w:p>
        </w:tc>
      </w:tr>
      <w:tr>
        <w:trPr>
          <w:trHeight w:val="229"/>
        </w:trPr>
        <w:tc>
          <w:tcPr>
            <w:tcW w:w="72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231F20"/>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23"/>
        </w:trPr>
        <w:tc>
          <w:tcPr>
            <w:tcW w:w="80" w:type="dxa"/>
            <w:vAlign w:val="bottom"/>
            <w:tcBorders>
              <w:bottom w:val="single" w:sz="8" w:color="CCEEFF"/>
            </w:tcBorders>
          </w:tcPr>
          <w:p>
            <w:pPr>
              <w:spacing w:after="0"/>
              <w:rPr>
                <w:sz w:val="19"/>
                <w:szCs w:val="19"/>
                <w:color w:val="auto"/>
              </w:rPr>
            </w:pPr>
          </w:p>
        </w:tc>
        <w:tc>
          <w:tcPr>
            <w:tcW w:w="718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231F20"/>
              </w:rPr>
              <w:t>Total liabilities</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883,117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836,030</w:t>
            </w:r>
          </w:p>
        </w:tc>
        <w:tc>
          <w:tcPr>
            <w:tcW w:w="0" w:type="dxa"/>
            <w:vAlign w:val="bottom"/>
          </w:tcPr>
          <w:p>
            <w:pPr>
              <w:spacing w:after="0"/>
              <w:rPr>
                <w:sz w:val="1"/>
                <w:szCs w:val="1"/>
                <w:color w:val="auto"/>
              </w:rPr>
            </w:pPr>
          </w:p>
        </w:tc>
      </w:tr>
      <w:tr>
        <w:trPr>
          <w:trHeight w:val="210"/>
        </w:trPr>
        <w:tc>
          <w:tcPr>
            <w:tcW w:w="72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231F20"/>
              </w:rPr>
              <w:t>Commitments (Note 10)</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gridSpan w:val="4"/>
          </w:tcPr>
          <w:p>
            <w:pPr>
              <w:ind w:left="20"/>
              <w:spacing w:after="0"/>
              <w:rPr>
                <w:sz w:val="20"/>
                <w:szCs w:val="20"/>
                <w:color w:val="auto"/>
              </w:rPr>
            </w:pPr>
            <w:r>
              <w:rPr>
                <w:rFonts w:ascii="Arial" w:cs="Arial" w:eastAsia="Arial" w:hAnsi="Arial"/>
                <w:sz w:val="18"/>
                <w:szCs w:val="18"/>
                <w:color w:val="231F20"/>
              </w:rPr>
              <w:t>Stockholders’ equity</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0" w:type="dxa"/>
            <w:vAlign w:val="bottom"/>
            <w:shd w:val="clear" w:color="auto" w:fill="CCEEFF"/>
          </w:tcPr>
          <w:p>
            <w:pPr>
              <w:spacing w:after="0"/>
              <w:rPr>
                <w:sz w:val="16"/>
                <w:szCs w:val="16"/>
                <w:color w:val="auto"/>
              </w:rPr>
            </w:pPr>
          </w:p>
        </w:tc>
        <w:tc>
          <w:tcPr>
            <w:tcW w:w="7180" w:type="dxa"/>
            <w:vAlign w:val="bottom"/>
            <w:gridSpan w:val="3"/>
            <w:shd w:val="clear" w:color="auto" w:fill="CCEEFF"/>
          </w:tcPr>
          <w:p>
            <w:pPr>
              <w:ind w:left="280"/>
              <w:spacing w:after="0" w:line="189" w:lineRule="exact"/>
              <w:rPr>
                <w:sz w:val="20"/>
                <w:szCs w:val="20"/>
                <w:color w:val="auto"/>
              </w:rPr>
            </w:pPr>
            <w:r>
              <w:rPr>
                <w:rFonts w:ascii="Arial" w:cs="Arial" w:eastAsia="Arial" w:hAnsi="Arial"/>
                <w:sz w:val="18"/>
                <w:szCs w:val="18"/>
                <w:color w:val="231F20"/>
                <w:w w:val="92"/>
              </w:rPr>
              <w:t>Class A Common Stock, $0.0001 par value; 320,000,000 shares authorized; 132,569,193 and</w:t>
            </w:r>
          </w:p>
        </w:tc>
        <w:tc>
          <w:tcPr>
            <w:tcW w:w="2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7180" w:type="dxa"/>
            <w:vAlign w:val="bottom"/>
            <w:gridSpan w:val="3"/>
            <w:shd w:val="clear" w:color="auto" w:fill="CCEEFF"/>
          </w:tcPr>
          <w:p>
            <w:pPr>
              <w:ind w:left="280"/>
              <w:spacing w:after="0" w:line="176" w:lineRule="exact"/>
              <w:rPr>
                <w:sz w:val="20"/>
                <w:szCs w:val="20"/>
                <w:color w:val="auto"/>
              </w:rPr>
            </w:pPr>
            <w:r>
              <w:rPr>
                <w:rFonts w:ascii="Arial" w:cs="Arial" w:eastAsia="Arial" w:hAnsi="Arial"/>
                <w:sz w:val="18"/>
                <w:szCs w:val="18"/>
                <w:color w:val="231F20"/>
                <w:w w:val="92"/>
              </w:rPr>
              <w:t>132,214,695 shares issued and outstanding at September 30, 2023 and December 31, 2022,</w:t>
            </w:r>
          </w:p>
        </w:tc>
        <w:tc>
          <w:tcPr>
            <w:tcW w:w="20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14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231F20"/>
              </w:rPr>
              <w:t>14</w:t>
            </w: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respectively</w:t>
            </w:r>
          </w:p>
        </w:tc>
        <w:tc>
          <w:tcPr>
            <w:tcW w:w="20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180" w:type="dxa"/>
            <w:vAlign w:val="bottom"/>
            <w:gridSpan w:val="3"/>
          </w:tcPr>
          <w:p>
            <w:pPr>
              <w:ind w:left="280"/>
              <w:spacing w:after="0"/>
              <w:rPr>
                <w:sz w:val="20"/>
                <w:szCs w:val="20"/>
                <w:color w:val="auto"/>
              </w:rPr>
            </w:pPr>
            <w:r>
              <w:rPr>
                <w:rFonts w:ascii="Arial" w:cs="Arial" w:eastAsia="Arial" w:hAnsi="Arial"/>
                <w:sz w:val="18"/>
                <w:szCs w:val="18"/>
                <w:color w:val="231F20"/>
              </w:rPr>
              <w:t>Additional paid-in capital</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231F20"/>
              </w:rPr>
              <w:t>564,509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231F20"/>
              </w:rPr>
              <w:t>550,320</w:t>
            </w:r>
          </w:p>
        </w:tc>
        <w:tc>
          <w:tcPr>
            <w:tcW w:w="0" w:type="dxa"/>
            <w:vAlign w:val="bottom"/>
          </w:tcPr>
          <w:p>
            <w:pPr>
              <w:spacing w:after="0"/>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7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231F20"/>
              </w:rPr>
              <w:t>Accumulated other comprehensive loss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(4,530)</w:t>
            </w:r>
          </w:p>
        </w:tc>
        <w:tc>
          <w:tcPr>
            <w:tcW w:w="0" w:type="dxa"/>
            <w:vAlign w:val="bottom"/>
          </w:tcPr>
          <w:p>
            <w:pPr>
              <w:spacing w:after="0"/>
              <w:rPr>
                <w:sz w:val="1"/>
                <w:szCs w:val="1"/>
                <w:color w:val="auto"/>
              </w:rPr>
            </w:pPr>
          </w:p>
        </w:tc>
      </w:tr>
      <w:tr>
        <w:trPr>
          <w:trHeight w:val="230"/>
        </w:trPr>
        <w:tc>
          <w:tcPr>
            <w:tcW w:w="80" w:type="dxa"/>
            <w:vAlign w:val="bottom"/>
            <w:tcBorders>
              <w:bottom w:val="single" w:sz="8" w:color="CCEEFF"/>
            </w:tcBorders>
          </w:tcPr>
          <w:p>
            <w:pPr>
              <w:spacing w:after="0"/>
              <w:rPr>
                <w:sz w:val="19"/>
                <w:szCs w:val="19"/>
                <w:color w:val="auto"/>
              </w:rPr>
            </w:pPr>
          </w:p>
        </w:tc>
        <w:tc>
          <w:tcPr>
            <w:tcW w:w="718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231F20"/>
              </w:rPr>
              <w:t>Accumulated deficit</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(469,464)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(378,751)</w:t>
            </w:r>
          </w:p>
        </w:tc>
        <w:tc>
          <w:tcPr>
            <w:tcW w:w="0" w:type="dxa"/>
            <w:vAlign w:val="bottom"/>
          </w:tcPr>
          <w:p>
            <w:pPr>
              <w:spacing w:after="0"/>
              <w:rPr>
                <w:sz w:val="1"/>
                <w:szCs w:val="1"/>
                <w:color w:val="auto"/>
              </w:rPr>
            </w:pPr>
          </w:p>
        </w:tc>
      </w:tr>
      <w:tr>
        <w:trPr>
          <w:trHeight w:val="248"/>
        </w:trPr>
        <w:tc>
          <w:tcPr>
            <w:tcW w:w="8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color w:val="231F20"/>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89,957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167,053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4"/>
            <w:vMerge w:val="restart"/>
          </w:tcPr>
          <w:p>
            <w:pPr>
              <w:ind w:left="80"/>
              <w:spacing w:after="0"/>
              <w:rPr>
                <w:sz w:val="20"/>
                <w:szCs w:val="20"/>
                <w:color w:val="auto"/>
              </w:rPr>
            </w:pPr>
            <w:r>
              <w:rPr>
                <w:rFonts w:ascii="Arial" w:cs="Arial" w:eastAsia="Arial" w:hAnsi="Arial"/>
                <w:sz w:val="18"/>
                <w:szCs w:val="18"/>
                <w:b w:val="1"/>
                <w:bCs w:val="1"/>
                <w:color w:val="231F20"/>
              </w:rPr>
              <w:t>TOTAL 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260" w:type="dxa"/>
            <w:vAlign w:val="bottom"/>
            <w:gridSpan w:val="4"/>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231F20"/>
                <w:w w:val="79"/>
              </w:rPr>
              <w:t>$</w:t>
            </w: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973,074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231F20"/>
                <w:w w:val="99"/>
              </w:rPr>
              <w:t>$</w:t>
            </w: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1,003,083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60"/>
              <w:spacing w:after="0"/>
              <w:rPr>
                <w:sz w:val="20"/>
                <w:szCs w:val="20"/>
                <w:color w:val="auto"/>
              </w:rPr>
            </w:pPr>
            <w:r>
              <w:rPr>
                <w:rFonts w:ascii="Arial" w:cs="Arial" w:eastAsia="Arial" w:hAnsi="Arial"/>
                <w:sz w:val="14"/>
                <w:szCs w:val="14"/>
                <w:b w:val="1"/>
                <w:bCs w:val="1"/>
                <w:color w:val="231F20"/>
              </w:rPr>
              <w:t>Three Months Ended September 30,</w:t>
            </w:r>
          </w:p>
        </w:tc>
        <w:tc>
          <w:tcPr>
            <w:tcW w:w="320" w:type="dxa"/>
            <w:vAlign w:val="bottom"/>
          </w:tcPr>
          <w:p>
            <w:pPr>
              <w:spacing w:after="0"/>
              <w:rPr>
                <w:sz w:val="16"/>
                <w:szCs w:val="16"/>
                <w:color w:val="auto"/>
              </w:rPr>
            </w:pPr>
          </w:p>
        </w:tc>
        <w:tc>
          <w:tcPr>
            <w:tcW w:w="29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231F20"/>
              </w:rPr>
              <w:t>Nine Months Ended September 30,</w:t>
            </w:r>
          </w:p>
        </w:tc>
      </w:tr>
      <w:tr>
        <w:trPr>
          <w:trHeight w:val="39"/>
        </w:trPr>
        <w:tc>
          <w:tcPr>
            <w:tcW w:w="47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9"/>
        </w:trPr>
        <w:tc>
          <w:tcPr>
            <w:tcW w:w="47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231F20"/>
              </w:rPr>
              <w:t>2022</w:t>
            </w:r>
          </w:p>
        </w:tc>
      </w:tr>
      <w:tr>
        <w:trPr>
          <w:trHeight w:val="23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231F20"/>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97,413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301,170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267,743</w:t>
            </w:r>
          </w:p>
        </w:tc>
      </w:tr>
      <w:tr>
        <w:trPr>
          <w:trHeight w:val="229"/>
        </w:trPr>
        <w:tc>
          <w:tcPr>
            <w:tcW w:w="47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Cost of sales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109,966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191,743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85,455</w:t>
            </w:r>
          </w:p>
        </w:tc>
      </w:tr>
      <w:tr>
        <w:trPr>
          <w:trHeight w:val="223"/>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231F20"/>
              </w:rPr>
              <w:t>Gross (loss) profit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(12,553)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109,427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182,288</w:t>
            </w:r>
          </w:p>
        </w:tc>
      </w:tr>
      <w:tr>
        <w:trPr>
          <w:trHeight w:val="209"/>
        </w:trPr>
        <w:tc>
          <w:tcPr>
            <w:tcW w:w="4760" w:type="dxa"/>
            <w:vAlign w:val="bottom"/>
          </w:tcPr>
          <w:p>
            <w:pPr>
              <w:ind w:left="80"/>
              <w:spacing w:after="0"/>
              <w:rPr>
                <w:sz w:val="20"/>
                <w:szCs w:val="20"/>
                <w:color w:val="auto"/>
              </w:rPr>
            </w:pPr>
            <w:r>
              <w:rPr>
                <w:rFonts w:ascii="Arial" w:cs="Arial" w:eastAsia="Arial" w:hAnsi="Arial"/>
                <w:sz w:val="18"/>
                <w:szCs w:val="18"/>
                <w:color w:val="231F20"/>
              </w:rPr>
              <w:t>Operating expenses: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Selling and marketing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30,731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112,471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121,055</w:t>
            </w:r>
          </w:p>
        </w:tc>
      </w:tr>
      <w:tr>
        <w:trPr>
          <w:trHeight w:val="230"/>
        </w:trPr>
        <w:tc>
          <w:tcPr>
            <w:tcW w:w="4760" w:type="dxa"/>
            <w:vAlign w:val="bottom"/>
          </w:tcPr>
          <w:p>
            <w:pPr>
              <w:ind w:left="440"/>
              <w:spacing w:after="0"/>
              <w:rPr>
                <w:sz w:val="20"/>
                <w:szCs w:val="20"/>
                <w:color w:val="auto"/>
              </w:rPr>
            </w:pPr>
            <w:r>
              <w:rPr>
                <w:rFonts w:ascii="Arial" w:cs="Arial" w:eastAsia="Arial" w:hAnsi="Arial"/>
                <w:sz w:val="18"/>
                <w:szCs w:val="18"/>
                <w:color w:val="231F20"/>
              </w:rPr>
              <w:t>Research and development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1,839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7,056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6,998</w:t>
            </w:r>
          </w:p>
        </w:tc>
      </w:tr>
      <w:tr>
        <w:trPr>
          <w:trHeight w:val="229"/>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36,978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102,457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77,628</w:t>
            </w:r>
          </w:p>
        </w:tc>
      </w:tr>
      <w:tr>
        <w:trPr>
          <w:trHeight w:val="223"/>
        </w:trPr>
        <w:tc>
          <w:tcPr>
            <w:tcW w:w="476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231F20"/>
              </w:rPr>
              <w:t>Total operating expenses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69,548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221,984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205,681</w:t>
            </w:r>
          </w:p>
        </w:tc>
      </w:tr>
      <w:tr>
        <w:trPr>
          <w:trHeight w:val="25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231F20"/>
              </w:rPr>
              <w:t>Loss from operations</w:t>
            </w: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(82,101)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(112,557)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(23,393)</w:t>
            </w:r>
          </w:p>
        </w:tc>
      </w:tr>
      <w:tr>
        <w:trPr>
          <w:trHeight w:val="223"/>
        </w:trPr>
        <w:tc>
          <w:tcPr>
            <w:tcW w:w="4760" w:type="dxa"/>
            <w:vAlign w:val="bottom"/>
          </w:tcPr>
          <w:p>
            <w:pPr>
              <w:ind w:left="440"/>
              <w:spacing w:after="0"/>
              <w:rPr>
                <w:sz w:val="20"/>
                <w:szCs w:val="20"/>
                <w:color w:val="auto"/>
              </w:rPr>
            </w:pPr>
            <w:r>
              <w:rPr>
                <w:rFonts w:ascii="Arial" w:cs="Arial" w:eastAsia="Arial" w:hAnsi="Arial"/>
                <w:sz w:val="18"/>
                <w:szCs w:val="18"/>
                <w:color w:val="231F20"/>
              </w:rPr>
              <w:t>Interest expense,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3,445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10,291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9,997</w:t>
            </w:r>
          </w:p>
        </w:tc>
      </w:tr>
      <w:tr>
        <w:trPr>
          <w:trHeight w:val="230"/>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Interest income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(16,782)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r>
      <w:tr>
        <w:trPr>
          <w:trHeight w:val="229"/>
        </w:trPr>
        <w:tc>
          <w:tcPr>
            <w:tcW w:w="4760" w:type="dxa"/>
            <w:vAlign w:val="bottom"/>
          </w:tcPr>
          <w:p>
            <w:pPr>
              <w:ind w:left="440"/>
              <w:spacing w:after="0"/>
              <w:rPr>
                <w:sz w:val="20"/>
                <w:szCs w:val="20"/>
                <w:color w:val="auto"/>
              </w:rPr>
            </w:pPr>
            <w:r>
              <w:rPr>
                <w:rFonts w:ascii="Arial" w:cs="Arial" w:eastAsia="Arial" w:hAnsi="Arial"/>
                <w:sz w:val="18"/>
                <w:szCs w:val="18"/>
                <w:color w:val="231F20"/>
              </w:rPr>
              <w:t>Other (income) expense,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(4,872)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(5,337)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231F20"/>
              </w:rPr>
              <w:t>Change in fair value of warrant liabilities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(8,364)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(71,521)</w:t>
            </w:r>
          </w:p>
        </w:tc>
      </w:tr>
      <w:tr>
        <w:trPr>
          <w:trHeight w:val="230"/>
        </w:trPr>
        <w:tc>
          <w:tcPr>
            <w:tcW w:w="47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231F20"/>
              </w:rPr>
              <w:t>Foreign currency transaction loss (gain), net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r>
      <w:tr>
        <w:trPr>
          <w:trHeight w:val="237"/>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231F20"/>
              </w:rPr>
              <w:t>(Loss) income before provision for income taxes</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(70,339)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(93,089)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39,561</w:t>
            </w:r>
          </w:p>
        </w:tc>
      </w:tr>
      <w:tr>
        <w:trPr>
          <w:trHeight w:val="229"/>
        </w:trPr>
        <w:tc>
          <w:tcPr>
            <w:tcW w:w="47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231F20"/>
              </w:rPr>
              <w:t>Income tax expense (benefit)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3,479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(2,376)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r>
      <w:tr>
        <w:trPr>
          <w:trHeight w:val="250"/>
        </w:trPr>
        <w:tc>
          <w:tcPr>
            <w:tcW w:w="476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Net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(73,818)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(90,713)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37,691</w:t>
            </w:r>
          </w:p>
        </w:tc>
      </w:tr>
      <w:tr>
        <w:trPr>
          <w:trHeight w:val="210"/>
        </w:trPr>
        <w:tc>
          <w:tcPr>
            <w:tcW w:w="4760" w:type="dxa"/>
            <w:vAlign w:val="bottom"/>
          </w:tcPr>
          <w:p>
            <w:pPr>
              <w:ind w:left="20"/>
              <w:spacing w:after="0"/>
              <w:rPr>
                <w:sz w:val="20"/>
                <w:szCs w:val="20"/>
                <w:color w:val="auto"/>
              </w:rPr>
            </w:pPr>
            <w:r>
              <w:rPr>
                <w:rFonts w:ascii="Arial" w:cs="Arial" w:eastAsia="Arial" w:hAnsi="Arial"/>
                <w:sz w:val="18"/>
                <w:szCs w:val="18"/>
                <w:b w:val="1"/>
                <w:bCs w:val="1"/>
                <w:color w:val="231F20"/>
              </w:rPr>
              <w:t>Comprehensive (loss) income, net of tax:</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(1,093)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r>
      <w:tr>
        <w:trPr>
          <w:trHeight w:val="223"/>
        </w:trPr>
        <w:tc>
          <w:tcPr>
            <w:tcW w:w="4760" w:type="dxa"/>
            <w:vAlign w:val="bottom"/>
          </w:tcPr>
          <w:p>
            <w:pPr>
              <w:ind w:left="80"/>
              <w:spacing w:after="0"/>
              <w:rPr>
                <w:sz w:val="20"/>
                <w:szCs w:val="20"/>
                <w:color w:val="auto"/>
              </w:rPr>
            </w:pPr>
            <w:r>
              <w:rPr>
                <w:rFonts w:ascii="Arial" w:cs="Arial" w:eastAsia="Arial" w:hAnsi="Arial"/>
                <w:sz w:val="18"/>
                <w:szCs w:val="18"/>
                <w:b w:val="1"/>
                <w:bCs w:val="1"/>
                <w:color w:val="231F20"/>
              </w:rPr>
              <w:t>Comprehensive (loss)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231F20"/>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(74,911)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(91,285)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32,223</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3"/>
        </w:trPr>
        <w:tc>
          <w:tcPr>
            <w:tcW w:w="476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231F20"/>
              </w:rPr>
              <w:t>Net (loss) income per share</w:t>
            </w:r>
          </w:p>
        </w:tc>
        <w:tc>
          <w:tcPr>
            <w:tcW w:w="2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56"/>
        </w:trPr>
        <w:tc>
          <w:tcPr>
            <w:tcW w:w="4760" w:type="dxa"/>
            <w:vAlign w:val="bottom"/>
          </w:tcPr>
          <w:p>
            <w:pPr>
              <w:ind w:left="460"/>
              <w:spacing w:after="0"/>
              <w:rPr>
                <w:sz w:val="20"/>
                <w:szCs w:val="20"/>
                <w:color w:val="auto"/>
              </w:rPr>
            </w:pPr>
            <w:r>
              <w:rPr>
                <w:rFonts w:ascii="Arial" w:cs="Arial" w:eastAsia="Arial" w:hAnsi="Arial"/>
                <w:sz w:val="18"/>
                <w:szCs w:val="18"/>
                <w:color w:val="231F20"/>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(0.56)</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0.00</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231F20"/>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231F20"/>
              </w:rPr>
              <w:t>(0.68)</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0.25</w:t>
            </w:r>
          </w:p>
        </w:tc>
      </w:tr>
      <w:tr>
        <w:trPr>
          <w:trHeight w:val="257"/>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231F20"/>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(0.56)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(0.68)</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(0.22)</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231F20"/>
              </w:rPr>
              <w:t>Weighted average common shares outstanding</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231F20"/>
              </w:rPr>
              <w:t>Basic</w:t>
            </w: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132,896,626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150,788,695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132,679,547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150,706,795</w:t>
            </w:r>
          </w:p>
        </w:tc>
      </w:tr>
      <w:tr>
        <w:trPr>
          <w:trHeight w:val="257"/>
        </w:trPr>
        <w:tc>
          <w:tcPr>
            <w:tcW w:w="4760" w:type="dxa"/>
            <w:vAlign w:val="bottom"/>
          </w:tcPr>
          <w:p>
            <w:pPr>
              <w:ind w:left="460"/>
              <w:spacing w:after="0"/>
              <w:rPr>
                <w:sz w:val="20"/>
                <w:szCs w:val="20"/>
                <w:color w:val="auto"/>
              </w:rPr>
            </w:pPr>
            <w:r>
              <w:rPr>
                <w:rFonts w:ascii="Arial" w:cs="Arial" w:eastAsia="Arial" w:hAnsi="Arial"/>
                <w:sz w:val="18"/>
                <w:szCs w:val="18"/>
                <w:color w:val="231F20"/>
              </w:rPr>
              <w:t>Diluted</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132,896,626</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151,417,710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231F20"/>
              </w:rPr>
              <w:t>132,679,547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152,018,246</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960" w:type="dxa"/>
            <w:vAlign w:val="bottom"/>
            <w:gridSpan w:val="4"/>
            <w:vMerge w:val="restart"/>
          </w:tcPr>
          <w:p>
            <w:pPr>
              <w:ind w:left="44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Other</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500" w:type="dxa"/>
            <w:vAlign w:val="bottom"/>
          </w:tcPr>
          <w:p>
            <w:pPr>
              <w:spacing w:after="0"/>
              <w:rPr>
                <w:sz w:val="12"/>
                <w:szCs w:val="12"/>
                <w:color w:val="auto"/>
              </w:rPr>
            </w:pPr>
          </w:p>
        </w:tc>
        <w:tc>
          <w:tcPr>
            <w:tcW w:w="196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99"/>
              <w:spacing w:after="0" w:line="142" w:lineRule="exact"/>
              <w:rPr>
                <w:sz w:val="20"/>
                <w:szCs w:val="20"/>
                <w:color w:val="auto"/>
              </w:rPr>
            </w:pPr>
            <w:r>
              <w:rPr>
                <w:rFonts w:ascii="Arial" w:cs="Arial" w:eastAsia="Arial" w:hAnsi="Arial"/>
                <w:sz w:val="16"/>
                <w:szCs w:val="16"/>
                <w:b w:val="1"/>
                <w:bCs w:val="1"/>
                <w:color w:val="auto"/>
              </w:rPr>
              <w:t>Paid-in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2"/>
                <w:szCs w:val="12"/>
                <w:color w:val="auto"/>
              </w:rPr>
            </w:pPr>
          </w:p>
        </w:tc>
        <w:tc>
          <w:tcPr>
            <w:tcW w:w="12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Accumulated</w:t>
            </w:r>
          </w:p>
        </w:tc>
        <w:tc>
          <w:tcPr>
            <w:tcW w:w="1480" w:type="dxa"/>
            <w:vAlign w:val="bottom"/>
            <w:gridSpan w:val="2"/>
          </w:tcPr>
          <w:p>
            <w:pPr>
              <w:ind w:left="40"/>
              <w:spacing w:after="0" w:line="142" w:lineRule="exact"/>
              <w:rPr>
                <w:sz w:val="20"/>
                <w:szCs w:val="20"/>
                <w:color w:val="auto"/>
              </w:rPr>
            </w:pPr>
            <w:r>
              <w:rPr>
                <w:rFonts w:ascii="Arial" w:cs="Arial" w:eastAsia="Arial" w:hAnsi="Arial"/>
                <w:sz w:val="16"/>
                <w:szCs w:val="16"/>
                <w:b w:val="1"/>
                <w:bCs w:val="1"/>
                <w:color w:val="auto"/>
                <w:w w:val="91"/>
              </w:rPr>
              <w:t>Stockholders’Equity</w:t>
            </w:r>
          </w:p>
        </w:tc>
        <w:tc>
          <w:tcPr>
            <w:tcW w:w="0" w:type="dxa"/>
            <w:vAlign w:val="bottom"/>
          </w:tcPr>
          <w:p>
            <w:pPr>
              <w:spacing w:after="0"/>
              <w:rPr>
                <w:sz w:val="1"/>
                <w:szCs w:val="1"/>
                <w:color w:val="auto"/>
              </w:rPr>
            </w:pPr>
          </w:p>
        </w:tc>
      </w:tr>
      <w:tr>
        <w:trPr>
          <w:trHeight w:val="207"/>
        </w:trPr>
        <w:tc>
          <w:tcPr>
            <w:tcW w:w="35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Capital</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Income (Loss)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150,598,047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722,250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298,034</w:t>
            </w: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31,455</w:t>
            </w: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7,049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BALANCE, March 31, 2022</w:t>
            </w:r>
          </w:p>
        </w:tc>
        <w:tc>
          <w:tcPr>
            <w:tcW w:w="1100" w:type="dxa"/>
            <w:vAlign w:val="bottom"/>
          </w:tcPr>
          <w:p>
            <w:pPr>
              <w:jc w:val="right"/>
              <w:spacing w:after="0"/>
              <w:rPr>
                <w:sz w:val="20"/>
                <w:szCs w:val="20"/>
                <w:color w:val="auto"/>
              </w:rPr>
            </w:pPr>
            <w:r>
              <w:rPr>
                <w:rFonts w:ascii="Arial" w:cs="Arial" w:eastAsia="Arial" w:hAnsi="Arial"/>
                <w:sz w:val="16"/>
                <w:szCs w:val="16"/>
                <w:color w:val="auto"/>
              </w:rPr>
              <w:t>150,603,231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ind w:left="4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729,299</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(1,402)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(391,520)</w:t>
            </w: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336,393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w:t>
            </w:r>
          </w:p>
        </w:tc>
        <w:tc>
          <w:tcPr>
            <w:tcW w:w="0" w:type="dxa"/>
            <w:vAlign w:val="bottom"/>
          </w:tcPr>
          <w:p>
            <w:pPr>
              <w:spacing w:after="0"/>
              <w:rPr>
                <w:sz w:val="1"/>
                <w:szCs w:val="1"/>
                <w:color w:val="auto"/>
              </w:rPr>
            </w:pPr>
          </w:p>
        </w:tc>
      </w:tr>
      <w:tr>
        <w:trPr>
          <w:trHeight w:val="166"/>
        </w:trPr>
        <w:tc>
          <w:tcPr>
            <w:tcW w:w="3500" w:type="dxa"/>
            <w:vAlign w:val="bottom"/>
          </w:tcPr>
          <w:p>
            <w:pPr>
              <w:ind w:left="180"/>
              <w:spacing w:after="0" w:line="166" w:lineRule="exact"/>
              <w:rPr>
                <w:sz w:val="20"/>
                <w:szCs w:val="20"/>
                <w:color w:val="auto"/>
              </w:rPr>
            </w:pPr>
            <w:r>
              <w:rPr>
                <w:rFonts w:ascii="Arial" w:cs="Arial" w:eastAsia="Arial" w:hAnsi="Arial"/>
                <w:sz w:val="16"/>
                <w:szCs w:val="16"/>
                <w:color w:val="auto"/>
                <w:w w:val="93"/>
              </w:rPr>
              <w:t>Issuance of Class A Common Stock in connection</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28,733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9"/>
        </w:trPr>
        <w:tc>
          <w:tcPr>
            <w:tcW w:w="3500" w:type="dxa"/>
            <w:vAlign w:val="bottom"/>
          </w:tcPr>
          <w:p>
            <w:pPr>
              <w:ind w:left="360"/>
              <w:spacing w:after="0"/>
              <w:rPr>
                <w:sz w:val="20"/>
                <w:szCs w:val="20"/>
                <w:color w:val="auto"/>
              </w:rPr>
            </w:pPr>
            <w:r>
              <w:rPr>
                <w:rFonts w:ascii="Arial" w:cs="Arial" w:eastAsia="Arial" w:hAnsi="Arial"/>
                <w:sz w:val="16"/>
                <w:szCs w:val="16"/>
                <w:color w:val="auto"/>
              </w:rPr>
              <w:t>with acquisitions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252,536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6,378</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6,378</w:t>
            </w: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Shares withheld for tax withholdings on vested</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awards</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(3,687)</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150,855,025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735,682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345,406</w:t>
            </w:r>
          </w:p>
        </w:tc>
        <w:tc>
          <w:tcPr>
            <w:tcW w:w="0" w:type="dxa"/>
            <w:vAlign w:val="bottom"/>
          </w:tcPr>
          <w:p>
            <w:pPr>
              <w:spacing w:after="0"/>
              <w:rPr>
                <w:sz w:val="1"/>
                <w:szCs w:val="1"/>
                <w:color w:val="auto"/>
              </w:rPr>
            </w:pPr>
          </w:p>
        </w:tc>
      </w:tr>
      <w:tr>
        <w:trPr>
          <w:trHeight w:val="213"/>
        </w:trPr>
        <w:tc>
          <w:tcPr>
            <w:tcW w:w="35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69"/>
        </w:trPr>
        <w:tc>
          <w:tcPr>
            <w:tcW w:w="350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64,775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00" w:type="dxa"/>
            <w:vAlign w:val="bottom"/>
          </w:tcPr>
          <w:p>
            <w:pPr>
              <w:ind w:left="180"/>
              <w:spacing w:after="0" w:line="166" w:lineRule="exact"/>
              <w:rPr>
                <w:sz w:val="20"/>
                <w:szCs w:val="20"/>
                <w:color w:val="auto"/>
              </w:rPr>
            </w:pPr>
            <w:r>
              <w:rPr>
                <w:rFonts w:ascii="Arial" w:cs="Arial" w:eastAsia="Arial" w:hAnsi="Arial"/>
                <w:sz w:val="16"/>
                <w:szCs w:val="16"/>
                <w:color w:val="auto"/>
              </w:rPr>
              <w:t>Shares withheld for tax withholdings on vested</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(26,451)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9"/>
        </w:trPr>
        <w:tc>
          <w:tcPr>
            <w:tcW w:w="3500" w:type="dxa"/>
            <w:vAlign w:val="bottom"/>
          </w:tcPr>
          <w:p>
            <w:pPr>
              <w:ind w:left="360"/>
              <w:spacing w:after="0"/>
              <w:rPr>
                <w:sz w:val="20"/>
                <w:szCs w:val="20"/>
                <w:color w:val="auto"/>
              </w:rPr>
            </w:pPr>
            <w:r>
              <w:rPr>
                <w:rFonts w:ascii="Arial" w:cs="Arial" w:eastAsia="Arial" w:hAnsi="Arial"/>
                <w:sz w:val="16"/>
                <w:szCs w:val="16"/>
                <w:color w:val="auto"/>
              </w:rPr>
              <w:t>stock awards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 and retirement of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(7,692,308)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(79,999)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166"/>
        </w:trPr>
        <w:tc>
          <w:tcPr>
            <w:tcW w:w="3500" w:type="dxa"/>
            <w:vAlign w:val="bottom"/>
          </w:tcPr>
          <w:p>
            <w:pPr>
              <w:ind w:left="180"/>
              <w:spacing w:after="0" w:line="166" w:lineRule="exact"/>
              <w:rPr>
                <w:sz w:val="20"/>
                <w:szCs w:val="20"/>
                <w:color w:val="auto"/>
              </w:rPr>
            </w:pPr>
            <w:r>
              <w:rPr>
                <w:rFonts w:ascii="Arial" w:cs="Arial" w:eastAsia="Arial" w:hAnsi="Arial"/>
                <w:sz w:val="16"/>
                <w:szCs w:val="16"/>
                <w:color w:val="auto"/>
                <w:w w:val="94"/>
              </w:rPr>
              <w:t>Purchase of equity forward contract in connection</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(20,000)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ind w:left="10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09"/>
        </w:trPr>
        <w:tc>
          <w:tcPr>
            <w:tcW w:w="3500" w:type="dxa"/>
            <w:vAlign w:val="bottom"/>
          </w:tcPr>
          <w:p>
            <w:pPr>
              <w:ind w:left="360"/>
              <w:spacing w:after="0"/>
              <w:rPr>
                <w:sz w:val="20"/>
                <w:szCs w:val="20"/>
                <w:color w:val="auto"/>
              </w:rPr>
            </w:pPr>
            <w:r>
              <w:rPr>
                <w:rFonts w:ascii="Arial" w:cs="Arial" w:eastAsia="Arial" w:hAnsi="Arial"/>
                <w:sz w:val="16"/>
                <w:szCs w:val="16"/>
                <w:color w:val="auto"/>
              </w:rPr>
              <w:t>with accelerated share repurchase</w:t>
            </w: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3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September 30, 2022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143,201,041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642,762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(385,284)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250,768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45"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080" w:type="dxa"/>
            <w:vAlign w:val="bottom"/>
            <w:gridSpan w:val="5"/>
            <w:vMerge w:val="restart"/>
          </w:tcPr>
          <w:p>
            <w:pPr>
              <w:ind w:left="46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6"/>
                <w:szCs w:val="16"/>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Accumulated other</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w w:val="91"/>
              </w:rPr>
              <w:t>Stockholders’Equity</w:t>
            </w: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Accumulated</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35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line="20" w:lineRule="exact"/>
              <w:rPr>
                <w:sz w:val="1"/>
                <w:szCs w:val="1"/>
                <w:color w:val="auto"/>
              </w:rPr>
            </w:pPr>
          </w:p>
        </w:tc>
        <w:tc>
          <w:tcPr>
            <w:tcW w:w="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5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132,214,695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550,320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(378,751)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167,053</w:t>
            </w:r>
          </w:p>
        </w:tc>
        <w:tc>
          <w:tcPr>
            <w:tcW w:w="0" w:type="dxa"/>
            <w:vAlign w:val="bottom"/>
          </w:tcPr>
          <w:p>
            <w:pPr>
              <w:spacing w:after="0"/>
              <w:rPr>
                <w:sz w:val="1"/>
                <w:szCs w:val="1"/>
                <w:color w:val="auto"/>
              </w:rPr>
            </w:pPr>
          </w:p>
        </w:tc>
      </w:tr>
      <w:tr>
        <w:trPr>
          <w:trHeight w:val="213"/>
        </w:trPr>
        <w:tc>
          <w:tcPr>
            <w:tcW w:w="3560" w:type="dxa"/>
            <w:vAlign w:val="bottom"/>
          </w:tcPr>
          <w:p>
            <w:pPr>
              <w:ind w:left="16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(20,259)</w:t>
            </w: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473,049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plan</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160"/>
              <w:spacing w:after="0" w:line="166" w:lineRule="exact"/>
              <w:rPr>
                <w:sz w:val="20"/>
                <w:szCs w:val="20"/>
                <w:color w:val="auto"/>
              </w:rPr>
            </w:pPr>
            <w:r>
              <w:rPr>
                <w:rFonts w:ascii="Arial" w:cs="Arial" w:eastAsia="Arial" w:hAnsi="Arial"/>
                <w:sz w:val="16"/>
                <w:szCs w:val="16"/>
                <w:color w:val="auto"/>
              </w:rPr>
              <w:t>Shares withheld for tax withholdings on vested</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(170,415)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209"/>
        </w:trPr>
        <w:tc>
          <w:tcPr>
            <w:tcW w:w="3560" w:type="dxa"/>
            <w:vAlign w:val="bottom"/>
          </w:tcPr>
          <w:p>
            <w:pPr>
              <w:ind w:left="340"/>
              <w:spacing w:after="0"/>
              <w:rPr>
                <w:sz w:val="20"/>
                <w:szCs w:val="20"/>
                <w:color w:val="auto"/>
              </w:rPr>
            </w:pPr>
            <w:r>
              <w:rPr>
                <w:rFonts w:ascii="Arial" w:cs="Arial" w:eastAsia="Arial" w:hAnsi="Arial"/>
                <w:sz w:val="16"/>
                <w:szCs w:val="16"/>
                <w:color w:val="auto"/>
              </w:rPr>
              <w:t>stock awards</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w w:val="98"/>
              </w:rPr>
              <w:t>Issuance of Common Stock relating to employee</w:t>
            </w: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 purchase plan</w:t>
            </w:r>
          </w:p>
        </w:tc>
        <w:tc>
          <w:tcPr>
            <w:tcW w:w="12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160"/>
              <w:spacing w:after="0"/>
              <w:rPr>
                <w:sz w:val="20"/>
                <w:szCs w:val="20"/>
                <w:color w:val="auto"/>
              </w:rPr>
            </w:pPr>
            <w:r>
              <w:rPr>
                <w:rFonts w:ascii="Arial" w:cs="Arial" w:eastAsia="Arial" w:hAnsi="Arial"/>
                <w:sz w:val="16"/>
                <w:szCs w:val="16"/>
                <w:color w:val="auto"/>
              </w:rPr>
              <w:t>Share-based compensation</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Stock relating to asset acquisition</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109,625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3"/>
        </w:trPr>
        <w:tc>
          <w:tcPr>
            <w:tcW w:w="356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888</w:t>
            </w:r>
          </w:p>
        </w:tc>
        <w:tc>
          <w:tcPr>
            <w:tcW w:w="0" w:type="dxa"/>
            <w:vAlign w:val="bottom"/>
          </w:tcPr>
          <w:p>
            <w:pPr>
              <w:spacing w:after="0"/>
              <w:rPr>
                <w:sz w:val="1"/>
                <w:szCs w:val="1"/>
                <w:color w:val="auto"/>
              </w:rPr>
            </w:pPr>
          </w:p>
        </w:tc>
      </w:tr>
      <w:tr>
        <w:trPr>
          <w:trHeight w:val="234"/>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132,626,954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555,046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152,408</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6"/>
                <w:szCs w:val="16"/>
                <w:color w:val="auto"/>
              </w:rPr>
              <w:t>Net income</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60" w:type="dxa"/>
            <w:vAlign w:val="bottom"/>
            <w:vMerge w:val="continue"/>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254,742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plan</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160"/>
              <w:spacing w:after="0" w:line="166" w:lineRule="exact"/>
              <w:rPr>
                <w:sz w:val="20"/>
                <w:szCs w:val="20"/>
                <w:color w:val="auto"/>
              </w:rPr>
            </w:pPr>
            <w:r>
              <w:rPr>
                <w:rFonts w:ascii="Arial" w:cs="Arial" w:eastAsia="Arial" w:hAnsi="Arial"/>
                <w:sz w:val="16"/>
                <w:szCs w:val="16"/>
                <w:color w:val="auto"/>
              </w:rPr>
              <w:t>Shares withheld for tax withholdings on vested</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(83,234)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9"/>
        </w:trPr>
        <w:tc>
          <w:tcPr>
            <w:tcW w:w="3560" w:type="dxa"/>
            <w:vAlign w:val="bottom"/>
          </w:tcPr>
          <w:p>
            <w:pPr>
              <w:ind w:left="340"/>
              <w:spacing w:after="0"/>
              <w:rPr>
                <w:sz w:val="20"/>
                <w:szCs w:val="20"/>
                <w:color w:val="auto"/>
              </w:rPr>
            </w:pPr>
            <w:r>
              <w:rPr>
                <w:rFonts w:ascii="Arial" w:cs="Arial" w:eastAsia="Arial" w:hAnsi="Arial"/>
                <w:sz w:val="16"/>
                <w:szCs w:val="16"/>
                <w:color w:val="auto"/>
              </w:rPr>
              <w:t>stock awards</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w w:val="98"/>
              </w:rPr>
              <w:t>Issuance of Common Stock relating to employee</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82,955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 purchase plan</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160"/>
              <w:spacing w:after="0"/>
              <w:rPr>
                <w:sz w:val="20"/>
                <w:szCs w:val="20"/>
                <w:color w:val="auto"/>
              </w:rPr>
            </w:pPr>
            <w:r>
              <w:rPr>
                <w:rFonts w:ascii="Arial" w:cs="Arial" w:eastAsia="Arial" w:hAnsi="Arial"/>
                <w:sz w:val="16"/>
                <w:szCs w:val="16"/>
                <w:color w:val="auto"/>
              </w:rPr>
              <w:t>Share-based 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8,524</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Accelerated share repurchase payment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213"/>
        </w:trPr>
        <w:tc>
          <w:tcPr>
            <w:tcW w:w="356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34"/>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132,881,417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561,483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161,842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6"/>
                <w:szCs w:val="16"/>
                <w:color w:val="auto"/>
              </w:rPr>
              <w:t>Net loss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60" w:type="dxa"/>
            <w:vAlign w:val="bottom"/>
            <w:vMerge w:val="continue"/>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(73,818)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(73,818)</w:t>
            </w:r>
          </w:p>
        </w:tc>
        <w:tc>
          <w:tcPr>
            <w:tcW w:w="0" w:type="dxa"/>
            <w:vAlign w:val="bottom"/>
          </w:tcPr>
          <w:p>
            <w:pPr>
              <w:spacing w:after="0"/>
              <w:rPr>
                <w:sz w:val="1"/>
                <w:szCs w:val="1"/>
                <w:color w:val="auto"/>
              </w:rPr>
            </w:pPr>
          </w:p>
        </w:tc>
      </w:tr>
      <w:tr>
        <w:trPr>
          <w:trHeight w:val="169"/>
        </w:trPr>
        <w:tc>
          <w:tcPr>
            <w:tcW w:w="356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rPr>
              <w:t>Issuance of Common Stock pursuant to equity</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157,749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compensation plan</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60" w:type="dxa"/>
            <w:vAlign w:val="bottom"/>
          </w:tcPr>
          <w:p>
            <w:pPr>
              <w:ind w:left="160"/>
              <w:spacing w:after="0" w:line="166" w:lineRule="exact"/>
              <w:rPr>
                <w:sz w:val="20"/>
                <w:szCs w:val="20"/>
                <w:color w:val="auto"/>
              </w:rPr>
            </w:pPr>
            <w:r>
              <w:rPr>
                <w:rFonts w:ascii="Arial" w:cs="Arial" w:eastAsia="Arial" w:hAnsi="Arial"/>
                <w:sz w:val="16"/>
                <w:szCs w:val="16"/>
                <w:color w:val="auto"/>
              </w:rPr>
              <w:t>Shares withheld for tax withholdings on vested</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(50,731)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09"/>
        </w:trPr>
        <w:tc>
          <w:tcPr>
            <w:tcW w:w="3560" w:type="dxa"/>
            <w:vAlign w:val="bottom"/>
          </w:tcPr>
          <w:p>
            <w:pPr>
              <w:ind w:left="340"/>
              <w:spacing w:after="0"/>
              <w:rPr>
                <w:sz w:val="20"/>
                <w:szCs w:val="20"/>
                <w:color w:val="auto"/>
              </w:rPr>
            </w:pPr>
            <w:r>
              <w:rPr>
                <w:rFonts w:ascii="Arial" w:cs="Arial" w:eastAsia="Arial" w:hAnsi="Arial"/>
                <w:sz w:val="16"/>
                <w:szCs w:val="16"/>
                <w:color w:val="auto"/>
              </w:rPr>
              <w:t>stock awards</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and retirement of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(419,242)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0" w:type="dxa"/>
            <w:vAlign w:val="bottom"/>
          </w:tcPr>
          <w:p>
            <w:pPr>
              <w:spacing w:after="0"/>
              <w:rPr>
                <w:sz w:val="1"/>
                <w:szCs w:val="1"/>
                <w:color w:val="auto"/>
              </w:rPr>
            </w:pPr>
          </w:p>
        </w:tc>
      </w:tr>
      <w:tr>
        <w:trPr>
          <w:trHeight w:val="213"/>
        </w:trPr>
        <w:tc>
          <w:tcPr>
            <w:tcW w:w="3560" w:type="dxa"/>
            <w:vAlign w:val="bottom"/>
          </w:tcPr>
          <w:p>
            <w:pPr>
              <w:ind w:left="160"/>
              <w:spacing w:after="0"/>
              <w:rPr>
                <w:sz w:val="20"/>
                <w:szCs w:val="20"/>
                <w:color w:val="auto"/>
              </w:rPr>
            </w:pPr>
            <w:r>
              <w:rPr>
                <w:rFonts w:ascii="Arial" w:cs="Arial" w:eastAsia="Arial" w:hAnsi="Arial"/>
                <w:sz w:val="16"/>
                <w:szCs w:val="16"/>
                <w:color w:val="auto"/>
              </w:rPr>
              <w:t>Share-based compensation</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8,185</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06"/>
        </w:trPr>
        <w:tc>
          <w:tcPr>
            <w:tcW w:w="3560" w:type="dxa"/>
            <w:vAlign w:val="bottom"/>
          </w:tcPr>
          <w:p>
            <w:pPr>
              <w:spacing w:after="0"/>
              <w:rPr>
                <w:sz w:val="20"/>
                <w:szCs w:val="20"/>
                <w:color w:val="auto"/>
              </w:rPr>
            </w:pPr>
            <w:r>
              <w:rPr>
                <w:rFonts w:ascii="Arial" w:cs="Arial" w:eastAsia="Arial" w:hAnsi="Arial"/>
                <w:sz w:val="16"/>
                <w:szCs w:val="16"/>
                <w:color w:val="auto"/>
              </w:rPr>
              <w:t>BALANCE, September 30, 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132,569,193</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564,509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(469,464)</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89,957</w:t>
            </w:r>
          </w:p>
        </w:tc>
        <w:tc>
          <w:tcPr>
            <w:tcW w:w="0" w:type="dxa"/>
            <w:vAlign w:val="bottom"/>
          </w:tcPr>
          <w:p>
            <w:pPr>
              <w:spacing w:after="0"/>
              <w:rPr>
                <w:sz w:val="1"/>
                <w:szCs w:val="1"/>
                <w:color w:val="auto"/>
              </w:rPr>
            </w:pPr>
          </w:p>
        </w:tc>
      </w:tr>
      <w:tr>
        <w:trPr>
          <w:trHeight w:val="24"/>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955" w:right="399" w:bottom="1440" w:gutter="0" w:footer="0" w:header="0"/>
        </w:sectPr>
      </w:pPr>
    </w:p>
    <w:bookmarkStart w:id="6" w:name="page7"/>
    <w:bookmarkEnd w:id="6"/>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231F20"/>
                <w:w w:val="94"/>
              </w:rPr>
              <w:t>Nine Months Ended September 30,</w:t>
            </w:r>
          </w:p>
        </w:tc>
      </w:tr>
      <w:tr>
        <w:trPr>
          <w:trHeight w:val="210"/>
        </w:trPr>
        <w:tc>
          <w:tcPr>
            <w:tcW w:w="8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231F20"/>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231F20"/>
              </w:rPr>
              <w:t>2022</w:t>
            </w:r>
          </w:p>
        </w:tc>
      </w:tr>
      <w:tr>
        <w:trPr>
          <w:trHeight w:val="37"/>
        </w:trPr>
        <w:tc>
          <w:tcPr>
            <w:tcW w:w="8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231F20"/>
              </w:rPr>
              <w:t>Cash flows from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231F20"/>
              </w:rPr>
              <w:t>Net (loss)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(90,713)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37,691</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231F20"/>
              </w:rPr>
              <w:t>Adjustments to reconcile net (loss) income to net cash from operating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060" w:type="dxa"/>
            <w:vAlign w:val="bottom"/>
          </w:tcPr>
          <w:p>
            <w:pPr>
              <w:ind w:left="440"/>
              <w:spacing w:after="0"/>
              <w:rPr>
                <w:sz w:val="20"/>
                <w:szCs w:val="20"/>
                <w:color w:val="auto"/>
              </w:rPr>
            </w:pPr>
            <w:r>
              <w:rPr>
                <w:rFonts w:ascii="Arial" w:cs="Arial" w:eastAsia="Arial" w:hAnsi="Arial"/>
                <w:sz w:val="16"/>
                <w:szCs w:val="16"/>
                <w:color w:val="231F20"/>
              </w:rPr>
              <w:t>Share-based compensation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20,876</w:t>
            </w:r>
          </w:p>
        </w:tc>
      </w:tr>
      <w:tr>
        <w:trPr>
          <w:trHeight w:val="21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Amortization of intangible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11,063</w:t>
            </w:r>
          </w:p>
        </w:tc>
      </w:tr>
      <w:tr>
        <w:trPr>
          <w:trHeight w:val="213"/>
        </w:trPr>
        <w:tc>
          <w:tcPr>
            <w:tcW w:w="8060" w:type="dxa"/>
            <w:vAlign w:val="bottom"/>
          </w:tcPr>
          <w:p>
            <w:pPr>
              <w:ind w:left="440"/>
              <w:spacing w:after="0"/>
              <w:rPr>
                <w:sz w:val="20"/>
                <w:szCs w:val="20"/>
                <w:color w:val="auto"/>
              </w:rPr>
            </w:pPr>
            <w:r>
              <w:rPr>
                <w:rFonts w:ascii="Arial" w:cs="Arial" w:eastAsia="Arial" w:hAnsi="Arial"/>
                <w:sz w:val="16"/>
                <w:szCs w:val="16"/>
                <w:color w:val="231F20"/>
              </w:rPr>
              <w:t>Depreciation of property and equipment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5,269</w:t>
            </w:r>
          </w:p>
        </w:tc>
      </w:tr>
      <w:tr>
        <w:trPr>
          <w:trHeight w:val="21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Amortization of other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13"/>
        </w:trPr>
        <w:tc>
          <w:tcPr>
            <w:tcW w:w="8060" w:type="dxa"/>
            <w:vAlign w:val="bottom"/>
          </w:tcPr>
          <w:p>
            <w:pPr>
              <w:ind w:left="440"/>
              <w:spacing w:after="0"/>
              <w:rPr>
                <w:sz w:val="20"/>
                <w:szCs w:val="20"/>
                <w:color w:val="auto"/>
              </w:rPr>
            </w:pPr>
            <w:r>
              <w:rPr>
                <w:rFonts w:ascii="Arial" w:cs="Arial" w:eastAsia="Arial" w:hAnsi="Arial"/>
                <w:sz w:val="16"/>
                <w:szCs w:val="16"/>
                <w:color w:val="231F20"/>
              </w:rPr>
              <w:t>Amortization of debt issuance costs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3,172</w:t>
            </w:r>
          </w:p>
        </w:tc>
      </w:tr>
      <w:tr>
        <w:trPr>
          <w:trHeight w:val="21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Syndeo inventory write-down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Pr>
          <w:p>
            <w:pPr>
              <w:ind w:left="440"/>
              <w:spacing w:after="0"/>
              <w:rPr>
                <w:sz w:val="20"/>
                <w:szCs w:val="20"/>
                <w:color w:val="auto"/>
              </w:rPr>
            </w:pPr>
            <w:r>
              <w:rPr>
                <w:rFonts w:ascii="Arial" w:cs="Arial" w:eastAsia="Arial" w:hAnsi="Arial"/>
                <w:sz w:val="16"/>
                <w:szCs w:val="16"/>
                <w:color w:val="231F20"/>
              </w:rPr>
              <w:t>Inventory write-down</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5,667</w:t>
            </w:r>
          </w:p>
        </w:tc>
      </w:tr>
      <w:tr>
        <w:trPr>
          <w:trHeight w:val="21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Provision for estimated credit losses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r>
      <w:tr>
        <w:trPr>
          <w:trHeight w:val="213"/>
        </w:trPr>
        <w:tc>
          <w:tcPr>
            <w:tcW w:w="8060" w:type="dxa"/>
            <w:vAlign w:val="bottom"/>
          </w:tcPr>
          <w:p>
            <w:pPr>
              <w:ind w:left="440"/>
              <w:spacing w:after="0"/>
              <w:rPr>
                <w:sz w:val="20"/>
                <w:szCs w:val="20"/>
                <w:color w:val="auto"/>
              </w:rPr>
            </w:pPr>
            <w:r>
              <w:rPr>
                <w:rFonts w:ascii="Arial" w:cs="Arial" w:eastAsia="Arial" w:hAnsi="Arial"/>
                <w:sz w:val="16"/>
                <w:szCs w:val="16"/>
                <w:color w:val="231F20"/>
              </w:rPr>
              <w:t>Change in fair value adjustment of warrant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(71,521)</w:t>
            </w:r>
          </w:p>
        </w:tc>
      </w:tr>
      <w:tr>
        <w:trPr>
          <w:trHeight w:val="21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Other,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10,076</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231F20"/>
              </w:rPr>
              <w:t>Changes in operating assets and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Accounts receivable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(40,630)</w:t>
            </w:r>
          </w:p>
        </w:tc>
      </w:tr>
      <w:tr>
        <w:trPr>
          <w:trHeight w:val="213"/>
        </w:trPr>
        <w:tc>
          <w:tcPr>
            <w:tcW w:w="8060" w:type="dxa"/>
            <w:vAlign w:val="bottom"/>
          </w:tcPr>
          <w:p>
            <w:pPr>
              <w:ind w:left="440"/>
              <w:spacing w:after="0"/>
              <w:rPr>
                <w:sz w:val="20"/>
                <w:szCs w:val="20"/>
                <w:color w:val="auto"/>
              </w:rPr>
            </w:pPr>
            <w:r>
              <w:rPr>
                <w:rFonts w:ascii="Arial" w:cs="Arial" w:eastAsia="Arial" w:hAnsi="Arial"/>
                <w:sz w:val="16"/>
                <w:szCs w:val="16"/>
                <w:color w:val="231F20"/>
              </w:rPr>
              <w:t>Inventories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(72,129)</w:t>
            </w:r>
          </w:p>
        </w:tc>
      </w:tr>
      <w:tr>
        <w:trPr>
          <w:trHeight w:val="21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Prepaid expenses, other current assets, and income tax receivable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(6,723)</w:t>
            </w:r>
          </w:p>
        </w:tc>
      </w:tr>
      <w:tr>
        <w:trPr>
          <w:trHeight w:val="213"/>
        </w:trPr>
        <w:tc>
          <w:tcPr>
            <w:tcW w:w="8060" w:type="dxa"/>
            <w:vAlign w:val="bottom"/>
          </w:tcPr>
          <w:p>
            <w:pPr>
              <w:ind w:left="440"/>
              <w:spacing w:after="0"/>
              <w:rPr>
                <w:sz w:val="20"/>
                <w:szCs w:val="20"/>
                <w:color w:val="auto"/>
              </w:rPr>
            </w:pPr>
            <w:r>
              <w:rPr>
                <w:rFonts w:ascii="Arial" w:cs="Arial" w:eastAsia="Arial" w:hAnsi="Arial"/>
                <w:sz w:val="16"/>
                <w:szCs w:val="16"/>
                <w:color w:val="231F20"/>
              </w:rPr>
              <w:t>Accounts payable, other accrued expenses, and income tax payable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2,012</w:t>
            </w:r>
          </w:p>
        </w:tc>
      </w:tr>
      <w:tr>
        <w:trPr>
          <w:trHeight w:val="219"/>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231F20"/>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(7,887)</w:t>
            </w:r>
          </w:p>
        </w:tc>
        <w:tc>
          <w:tcPr>
            <w:tcW w:w="100" w:type="dxa"/>
            <w:vAlign w:val="bottom"/>
            <w:tcBorders>
              <w:bottom w:val="single" w:sz="8" w:color="231F20"/>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(8,225)</w:t>
            </w:r>
          </w:p>
        </w:tc>
      </w:tr>
      <w:tr>
        <w:trPr>
          <w:trHeight w:val="207"/>
        </w:trPr>
        <w:tc>
          <w:tcPr>
            <w:tcW w:w="806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231F20"/>
              </w:rPr>
              <w:t>Net cash provided by (used for) operating activities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(101,207)</w:t>
            </w:r>
          </w:p>
        </w:tc>
      </w:tr>
      <w:tr>
        <w:trPr>
          <w:trHeight w:val="206"/>
        </w:trPr>
        <w:tc>
          <w:tcPr>
            <w:tcW w:w="8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b w:val="1"/>
                <w:bCs w:val="1"/>
                <w:color w:val="231F20"/>
              </w:rPr>
              <w:t>Cash flows from investing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231F20"/>
              </w:rPr>
              <w:t>Cash paid for intangible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(4,690)</w:t>
            </w: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231F20"/>
              </w:rPr>
              <w:t>Cash paid for property and equipment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w:t>
            </w:r>
          </w:p>
        </w:tc>
      </w:tr>
      <w:tr>
        <w:trPr>
          <w:trHeight w:val="213"/>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231F20"/>
              </w:rPr>
              <w:t>Cash paid for asset acquisitions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w:t>
            </w:r>
          </w:p>
        </w:tc>
      </w:tr>
      <w:tr>
        <w:trPr>
          <w:trHeight w:val="213"/>
        </w:trPr>
        <w:tc>
          <w:tcPr>
            <w:tcW w:w="8060" w:type="dxa"/>
            <w:vAlign w:val="bottom"/>
            <w:shd w:val="clear" w:color="auto" w:fill="CCEEFF"/>
          </w:tcPr>
          <w:p>
            <w:pPr>
              <w:ind w:left="860"/>
              <w:spacing w:after="0"/>
              <w:rPr>
                <w:sz w:val="20"/>
                <w:szCs w:val="20"/>
                <w:color w:val="auto"/>
              </w:rPr>
            </w:pPr>
            <w:r>
              <w:rPr>
                <w:rFonts w:ascii="Arial" w:cs="Arial" w:eastAsia="Arial" w:hAnsi="Arial"/>
                <w:sz w:val="16"/>
                <w:szCs w:val="16"/>
                <w:color w:val="231F20"/>
              </w:rPr>
              <w:t>Net cash used for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(16,045)</w:t>
            </w:r>
          </w:p>
        </w:tc>
      </w:tr>
      <w:tr>
        <w:trPr>
          <w:trHeight w:val="193"/>
        </w:trPr>
        <w:tc>
          <w:tcPr>
            <w:tcW w:w="8060" w:type="dxa"/>
            <w:vAlign w:val="bottom"/>
          </w:tcPr>
          <w:p>
            <w:pPr>
              <w:ind w:left="60"/>
              <w:spacing w:after="0"/>
              <w:rPr>
                <w:sz w:val="20"/>
                <w:szCs w:val="20"/>
                <w:color w:val="auto"/>
              </w:rPr>
            </w:pPr>
            <w:r>
              <w:rPr>
                <w:rFonts w:ascii="Arial" w:cs="Arial" w:eastAsia="Arial" w:hAnsi="Arial"/>
                <w:sz w:val="16"/>
                <w:szCs w:val="16"/>
                <w:b w:val="1"/>
                <w:bCs w:val="1"/>
                <w:color w:val="231F20"/>
              </w:rPr>
              <w:t>Cash flows from financing activities: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231F20"/>
              </w:rPr>
              <w:t>Repurchases of Class A Common Shares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231F20"/>
              </w:rPr>
              <w:t>Payment of equity forward contract in connection with accelerated share repurchase</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231F20"/>
              </w:rPr>
              <w:t>Payment of accelerated share repurchases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231F20"/>
              </w:rPr>
              <w:t>Payment of tax withholdings on vested stock awards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231F20"/>
              </w:rPr>
              <w:t>Payment of contingent consideration related to acquisitions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w:t>
            </w:r>
          </w:p>
        </w:tc>
      </w:tr>
      <w:tr>
        <w:trPr>
          <w:trHeight w:val="213"/>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231F20"/>
              </w:rPr>
              <w:t>Other, net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shd w:val="clear" w:color="auto" w:fill="CCEEFF"/>
          </w:tcPr>
          <w:p>
            <w:pPr>
              <w:ind w:left="860"/>
              <w:spacing w:after="0"/>
              <w:rPr>
                <w:sz w:val="20"/>
                <w:szCs w:val="20"/>
                <w:color w:val="auto"/>
              </w:rPr>
            </w:pPr>
            <w:r>
              <w:rPr>
                <w:rFonts w:ascii="Arial" w:cs="Arial" w:eastAsia="Arial" w:hAnsi="Arial"/>
                <w:sz w:val="16"/>
                <w:szCs w:val="16"/>
                <w:color w:val="231F20"/>
              </w:rPr>
              <w:t>Net cash used for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(102,763)</w:t>
            </w:r>
          </w:p>
        </w:tc>
      </w:tr>
      <w:tr>
        <w:trPr>
          <w:trHeight w:val="206"/>
        </w:trPr>
        <w:tc>
          <w:tcPr>
            <w:tcW w:w="8060" w:type="dxa"/>
            <w:vAlign w:val="bottom"/>
          </w:tcPr>
          <w:p>
            <w:pPr>
              <w:ind w:left="60"/>
              <w:spacing w:after="0"/>
              <w:rPr>
                <w:sz w:val="20"/>
                <w:szCs w:val="20"/>
                <w:color w:val="auto"/>
              </w:rPr>
            </w:pPr>
            <w:r>
              <w:rPr>
                <w:rFonts w:ascii="Arial" w:cs="Arial" w:eastAsia="Arial" w:hAnsi="Arial"/>
                <w:sz w:val="16"/>
                <w:szCs w:val="16"/>
                <w:color w:val="231F20"/>
              </w:rPr>
              <w:t>Net decrease in cash and cash equivalents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(220,015)</w:t>
            </w:r>
          </w:p>
        </w:tc>
      </w:tr>
      <w:tr>
        <w:trPr>
          <w:trHeight w:val="219"/>
        </w:trPr>
        <w:tc>
          <w:tcPr>
            <w:tcW w:w="8060" w:type="dxa"/>
            <w:vAlign w:val="bottom"/>
            <w:shd w:val="clear" w:color="auto" w:fill="CCEEFF"/>
          </w:tcPr>
          <w:p>
            <w:pPr>
              <w:ind w:left="60"/>
              <w:spacing w:after="0"/>
              <w:rPr>
                <w:sz w:val="20"/>
                <w:szCs w:val="20"/>
                <w:color w:val="auto"/>
              </w:rPr>
            </w:pPr>
            <w:r>
              <w:rPr>
                <w:rFonts w:ascii="Arial" w:cs="Arial" w:eastAsia="Arial" w:hAnsi="Arial"/>
                <w:sz w:val="16"/>
                <w:szCs w:val="16"/>
                <w:color w:val="231F20"/>
              </w:rPr>
              <w:t>Effect of foreign currency translation on cash</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r>
      <w:tr>
        <w:trPr>
          <w:trHeight w:val="213"/>
        </w:trPr>
        <w:tc>
          <w:tcPr>
            <w:tcW w:w="806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231F20"/>
              </w:rPr>
              <w:t>Cash and cash equivalents, beginning of period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901,886</w:t>
            </w:r>
          </w:p>
        </w:tc>
      </w:tr>
      <w:tr>
        <w:trPr>
          <w:trHeight w:val="237"/>
        </w:trPr>
        <w:tc>
          <w:tcPr>
            <w:tcW w:w="8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231F20"/>
              </w:rPr>
              <w:t>Cash and cash equivalents,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559,444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684,208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7" w:name="page8"/>
    <w:bookmarkEnd w:id="7"/>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THE BEAUTY HEALTH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The Beauty Health Company (the “Company”) is a global category-creating company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community of estheticians, partners and consumers, the Company is personalizing skin health for all ages, genders, skin tones, and skin types.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Information</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(f.k.a. Vesper Healthcare Acquisition Corp.) was incorporated in the State of Delaware on July 8, 2020. On May 4, 2021, we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These interim financial statements should be read in conjunction with the audited consolidated financial statements and notes thereto included in, or presented as exhibits to, the Company’s Annual Report on Form 10-K for the year ended December 31, 2022.</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Subsequent to the issuance of the Company’s Annual Report on Form 10-K for the fiscal year ended December 31, 2022, during the six months ended June 30, 2023, the Company identified prior period misstatements related to the elimination of intercompany balances and right of return assets. Although the Company concluded that these misstatements were not material, either individually or in the aggregate, the Company elected to revise its previously issued consolidated financial statements to</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correct for these misstatements. These misstatements impacted the fiscal years 2020 to 2022 and the three months ended March 31, 2023.</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revision of the previously issued consolidated financial statements is presented in the accompanying unaudited consolidated financial statements and related disclosures. For further detail, refer to Note 16 - Revision for Immaterial Misstatements.</w:t>
      </w:r>
    </w:p>
    <w:p>
      <w:pPr>
        <w:spacing w:after="0" w:line="19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prior period amounts have been reclassified to conform to the current period presentation, including previously reported inventories in the condensed consolidated statement of cash flows which was disclosed net of a $5.7 million inventory write-down. We reclassified the inventory write-down in the prior period to conform to the current period presentation of inventory write-down as an adjustment to reconcile net income to net cash from operating activities. This reclassification had no effect on the previously reported net cash used for operating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5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231F20"/>
        </w:rPr>
        <w:t>The Company generates revenue primarily through manufacturing and selling Hydrafacial Delivery Systems (“Delivery Systems”) that cleanses, extracts, and hydrates the skin and the related serums, solutions, tips, and consumables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We use independent financing institutions to offer customers financing for the purchase of our products on a non-recourse basis. Under certain limited arrangements, which are not material, the customer’s receivable balance is with recourse whereby we are responsible for repaying the financing company should the customer default.</w:t>
      </w:r>
    </w:p>
    <w:p>
      <w:pPr>
        <w:spacing w:after="0" w:line="19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31F20"/>
        </w:rPr>
        <w:t>The Company manages its business on the basis of one operating segment and one reportable segment. As a result, the chief operating decision maker, who is the Chief Executive Officer, reviews financial information presented on a consolidated basis for purposes of making operating decisions, allocating resources and evaluating financial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31F20"/>
        </w:rPr>
        <w:t>The Company’s revenue disaggregated by major product line consists of the following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231F20"/>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5"/>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231F20"/>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60"/>
              <w:spacing w:after="0"/>
              <w:rPr>
                <w:sz w:val="20"/>
                <w:szCs w:val="20"/>
                <w:color w:val="auto"/>
              </w:rPr>
            </w:pPr>
            <w:r>
              <w:rPr>
                <w:rFonts w:ascii="Arial" w:cs="Arial" w:eastAsia="Arial" w:hAnsi="Arial"/>
                <w:sz w:val="18"/>
                <w:szCs w:val="18"/>
                <w:color w:val="231F20"/>
              </w:rPr>
              <w:t>Delivery Systems</w:t>
            </w:r>
          </w:p>
        </w:tc>
        <w:tc>
          <w:tcPr>
            <w:tcW w:w="240" w:type="dxa"/>
            <w:vAlign w:val="bottom"/>
          </w:tcPr>
          <w:p>
            <w:pPr>
              <w:jc w:val="right"/>
              <w:ind w:right="30"/>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51,043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231F20"/>
              </w:rPr>
              <w:t>49,094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231F20"/>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231F20"/>
              </w:rPr>
              <w:t>161,986</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155,524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231F20"/>
              </w:rPr>
              <w:t>Consumables</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46,370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39,698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139,184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112,219</w:t>
            </w:r>
          </w:p>
        </w:tc>
        <w:tc>
          <w:tcPr>
            <w:tcW w:w="0" w:type="dxa"/>
            <w:vAlign w:val="bottom"/>
          </w:tcPr>
          <w:p>
            <w:pPr>
              <w:spacing w:after="0"/>
              <w:rPr>
                <w:sz w:val="1"/>
                <w:szCs w:val="1"/>
                <w:color w:val="auto"/>
              </w:rPr>
            </w:pP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color w:val="231F20"/>
              </w:rPr>
              <w:t>Total net sales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231F20"/>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97,413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231F20"/>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88,792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231F20"/>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301,170</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267,743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231F20"/>
        </w:rPr>
        <w:t>Net sales by geographic region were as follows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231F20"/>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231F20"/>
                <w:w w:val="98"/>
              </w:rPr>
              <w:t>Nine Months Ended September 30,</w:t>
            </w:r>
          </w:p>
        </w:tc>
        <w:tc>
          <w:tcPr>
            <w:tcW w:w="0" w:type="dxa"/>
            <w:vAlign w:val="bottom"/>
          </w:tcPr>
          <w:p>
            <w:pPr>
              <w:spacing w:after="0"/>
              <w:rPr>
                <w:sz w:val="1"/>
                <w:szCs w:val="1"/>
                <w:color w:val="auto"/>
              </w:rPr>
            </w:pPr>
          </w:p>
        </w:tc>
      </w:tr>
      <w:tr>
        <w:trPr>
          <w:trHeight w:val="25"/>
        </w:trPr>
        <w:tc>
          <w:tcPr>
            <w:tcW w:w="524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231F20"/>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231F20"/>
              </w:rPr>
              <w:t>2022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Americas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58,370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231F20"/>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168,325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178,330</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231F20"/>
              </w:rPr>
              <w:t>Asia-Pacific (“APAC”)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24,657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231F20"/>
              </w:rPr>
              <w:t>15,110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231F20"/>
              </w:rPr>
              <w:t>63,525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38,397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Europe, the Middle East and Africa (“EMEA”)</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21,053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15,312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69,320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51,016</w:t>
            </w:r>
          </w:p>
        </w:tc>
        <w:tc>
          <w:tcPr>
            <w:tcW w:w="0" w:type="dxa"/>
            <w:vAlign w:val="bottom"/>
          </w:tcPr>
          <w:p>
            <w:pPr>
              <w:spacing w:after="0"/>
              <w:rPr>
                <w:sz w:val="1"/>
                <w:szCs w:val="1"/>
                <w:color w:val="auto"/>
              </w:rPr>
            </w:pPr>
          </w:p>
        </w:tc>
      </w:tr>
      <w:tr>
        <w:trPr>
          <w:trHeight w:val="223"/>
        </w:trPr>
        <w:tc>
          <w:tcPr>
            <w:tcW w:w="5240" w:type="dxa"/>
            <w:vAlign w:val="bottom"/>
          </w:tcPr>
          <w:p>
            <w:pPr>
              <w:ind w:left="80"/>
              <w:spacing w:after="0"/>
              <w:rPr>
                <w:sz w:val="20"/>
                <w:szCs w:val="20"/>
                <w:color w:val="auto"/>
              </w:rPr>
            </w:pPr>
            <w:r>
              <w:rPr>
                <w:rFonts w:ascii="Arial" w:cs="Arial" w:eastAsia="Arial" w:hAnsi="Arial"/>
                <w:sz w:val="18"/>
                <w:szCs w:val="18"/>
                <w:color w:val="231F20"/>
              </w:rPr>
              <w:t>Total net sales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97,413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88,792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301,170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267,743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63" w:lineRule="auto"/>
        <w:rPr>
          <w:sz w:val="20"/>
          <w:szCs w:val="20"/>
          <w:color w:val="auto"/>
        </w:rPr>
      </w:pPr>
      <w:r>
        <w:rPr>
          <w:rFonts w:ascii="Arial" w:cs="Arial" w:eastAsia="Arial" w:hAnsi="Arial"/>
          <w:sz w:val="18"/>
          <w:szCs w:val="18"/>
          <w:color w:val="231F20"/>
        </w:rPr>
        <w:t>Delivery Systems net sales in the current and prior year were impacted regionally by the timing of the region’s respective Syndeo launch. Prior year net sales of delivery Systems in the Americas include the impact of the prior year launch of Syndeo, while the international Syndeo launch was during the three months ended June 30,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31F20"/>
        </w:rPr>
        <w:t>Inventories consist of the following as of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231F20"/>
              </w:rPr>
              <w:t>September 30, 2023</w:t>
            </w:r>
          </w:p>
        </w:tc>
        <w:tc>
          <w:tcPr>
            <w:tcW w:w="180" w:type="dxa"/>
            <w:vAlign w:val="bottom"/>
          </w:tcPr>
          <w:p>
            <w:pPr>
              <w:spacing w:after="0"/>
              <w:rPr>
                <w:sz w:val="16"/>
                <w:szCs w:val="16"/>
                <w:color w:val="auto"/>
              </w:rPr>
            </w:pPr>
          </w:p>
        </w:tc>
        <w:tc>
          <w:tcPr>
            <w:tcW w:w="1500" w:type="dxa"/>
            <w:vAlign w:val="bottom"/>
          </w:tcPr>
          <w:p>
            <w:pPr>
              <w:jc w:val="right"/>
              <w:ind w:right="175"/>
              <w:spacing w:after="0"/>
              <w:rPr>
                <w:sz w:val="20"/>
                <w:szCs w:val="20"/>
                <w:color w:val="auto"/>
              </w:rPr>
            </w:pPr>
            <w:r>
              <w:rPr>
                <w:rFonts w:ascii="Arial" w:cs="Arial" w:eastAsia="Arial" w:hAnsi="Arial"/>
                <w:sz w:val="14"/>
                <w:szCs w:val="14"/>
                <w:b w:val="1"/>
                <w:bCs w:val="1"/>
                <w:color w:val="231F20"/>
                <w:w w:val="96"/>
              </w:rPr>
              <w:t>December 31, 2022</w:t>
            </w:r>
          </w:p>
        </w:tc>
      </w:tr>
      <w:tr>
        <w:trPr>
          <w:trHeight w:val="26"/>
        </w:trPr>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23,793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38,373</w:t>
            </w:r>
          </w:p>
        </w:tc>
      </w:tr>
      <w:tr>
        <w:trPr>
          <w:trHeight w:val="230"/>
        </w:trPr>
        <w:tc>
          <w:tcPr>
            <w:tcW w:w="78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Finished goods</w:t>
            </w: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51,085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71,283</w:t>
            </w:r>
          </w:p>
        </w:tc>
      </w:tr>
      <w:tr>
        <w:trPr>
          <w:trHeight w:val="248"/>
        </w:trPr>
        <w:tc>
          <w:tcPr>
            <w:tcW w:w="7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Total inventories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74,878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109,656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a result of the Company’s decision, with respect to Syndeo devices, to market and sell Syndeo 3.0 devices exclusively, the Company has designated all Syndeo 1.0 and 2.0 builds on-hand as obsolete, resulting in an inventory write-off of $18.8 million during the three months ended September 30, 2023. Refer to Note 15 – Restructuring Charges for further detail. The Company also identified $11.9 million in discontinued, excess, or obsolete inventory during the nine months ended September 30,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231F20"/>
        </w:rPr>
        <w:t>Accrued payroll-related expenses include the following as of the periods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commissions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benefits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payroll taxes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payroll-related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231F20"/>
              </w:rPr>
              <w:t>Other accrued expenses include the following as of the periods indicated: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780" w:type="dxa"/>
            <w:vAlign w:val="bottom"/>
          </w:tcPr>
          <w:p>
            <w:pPr>
              <w:ind w:left="80"/>
              <w:spacing w:after="0"/>
              <w:rPr>
                <w:sz w:val="20"/>
                <w:szCs w:val="20"/>
                <w:color w:val="auto"/>
              </w:rPr>
            </w:pPr>
            <w:r>
              <w:rPr>
                <w:rFonts w:ascii="Arial" w:cs="Arial" w:eastAsia="Arial" w:hAnsi="Arial"/>
                <w:sz w:val="14"/>
                <w:szCs w:val="14"/>
                <w:b w:val="1"/>
                <w:bCs w:val="1"/>
                <w:color w:val="231F20"/>
              </w:rPr>
              <w:t>(in thousands)</w:t>
            </w:r>
          </w:p>
        </w:tc>
        <w:tc>
          <w:tcPr>
            <w:tcW w:w="16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231F20"/>
              </w:rPr>
              <w:t>September 30, 2023</w:t>
            </w:r>
          </w:p>
        </w:tc>
        <w:tc>
          <w:tcPr>
            <w:tcW w:w="180" w:type="dxa"/>
            <w:vAlign w:val="bottom"/>
          </w:tcPr>
          <w:p>
            <w:pPr>
              <w:spacing w:after="0"/>
              <w:rPr>
                <w:sz w:val="24"/>
                <w:szCs w:val="24"/>
                <w:color w:val="auto"/>
              </w:rPr>
            </w:pPr>
          </w:p>
        </w:tc>
        <w:tc>
          <w:tcPr>
            <w:tcW w:w="1500" w:type="dxa"/>
            <w:vAlign w:val="bottom"/>
          </w:tcPr>
          <w:p>
            <w:pPr>
              <w:jc w:val="right"/>
              <w:ind w:right="153"/>
              <w:spacing w:after="0"/>
              <w:rPr>
                <w:sz w:val="20"/>
                <w:szCs w:val="20"/>
                <w:color w:val="auto"/>
              </w:rPr>
            </w:pPr>
            <w:r>
              <w:rPr>
                <w:rFonts w:ascii="Arial" w:cs="Arial" w:eastAsia="Arial" w:hAnsi="Arial"/>
                <w:sz w:val="14"/>
                <w:szCs w:val="14"/>
                <w:b w:val="1"/>
                <w:bCs w:val="1"/>
                <w:color w:val="231F20"/>
                <w:w w:val="98"/>
              </w:rPr>
              <w:t>December 31,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Sales and VAT tax payables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80"/>
              <w:spacing w:after="0"/>
              <w:rPr>
                <w:sz w:val="20"/>
                <w:szCs w:val="20"/>
                <w:color w:val="auto"/>
              </w:rPr>
            </w:pPr>
            <w:r>
              <w:rPr>
                <w:rFonts w:ascii="Arial" w:cs="Arial" w:eastAsia="Arial" w:hAnsi="Arial"/>
                <w:sz w:val="18"/>
                <w:szCs w:val="18"/>
                <w:color w:val="231F20"/>
              </w:rPr>
              <w:t>Share repurchase</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4,828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Accrued interest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2,344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80"/>
              <w:spacing w:after="0"/>
              <w:rPr>
                <w:sz w:val="20"/>
                <w:szCs w:val="20"/>
                <w:color w:val="auto"/>
              </w:rPr>
            </w:pPr>
            <w:r>
              <w:rPr>
                <w:rFonts w:ascii="Arial" w:cs="Arial" w:eastAsia="Arial" w:hAnsi="Arial"/>
                <w:sz w:val="18"/>
                <w:szCs w:val="18"/>
                <w:color w:val="231F20"/>
              </w:rPr>
              <w:t>Royalty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4,186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231F20"/>
              </w:rPr>
              <w:t>2,348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Note payable due seller</w:t>
            </w: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Other</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9,593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3,768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Total other accrued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15,183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6"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that are measured at fair value on a recurring basis as of September 30, 2023 and December 31, 2022, and indicate the fair value hierarchy of the valuation inputs the Company utilized to determine such fair value.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39" w:lineRule="exact"/>
        <w:rPr>
          <w:sz w:val="20"/>
          <w:szCs w:val="20"/>
          <w:color w:val="auto"/>
        </w:rPr>
      </w:pPr>
    </w:p>
    <w:p>
      <w:pPr>
        <w:ind w:left="660" w:right="880"/>
        <w:spacing w:after="0" w:line="342" w:lineRule="auto"/>
        <w:rPr>
          <w:sz w:val="20"/>
          <w:szCs w:val="20"/>
          <w:color w:val="auto"/>
        </w:rPr>
      </w:pPr>
      <w:r>
        <w:rPr>
          <w:rFonts w:ascii="Arial" w:cs="Arial" w:eastAsia="Arial" w:hAnsi="Arial"/>
          <w:sz w:val="16"/>
          <w:szCs w:val="16"/>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51"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5"/>
          </w:tcPr>
          <w:p>
            <w:pPr>
              <w:ind w:left="500"/>
              <w:spacing w:after="0"/>
              <w:rPr>
                <w:sz w:val="20"/>
                <w:szCs w:val="20"/>
                <w:color w:val="auto"/>
              </w:rPr>
            </w:pPr>
            <w:r>
              <w:rPr>
                <w:rFonts w:ascii="Arial" w:cs="Arial" w:eastAsia="Arial" w:hAnsi="Arial"/>
                <w:sz w:val="14"/>
                <w:szCs w:val="14"/>
                <w:b w:val="1"/>
                <w:bCs w:val="1"/>
                <w:color w:val="231F20"/>
              </w:rPr>
              <w:t>As of September 30, 2023</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4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231F20"/>
              </w:rPr>
              <w:t>Level 1</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231F20"/>
              </w:rPr>
              <w:t>Level 2</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231F20"/>
              </w:rPr>
              <w:t>Level 3</w:t>
            </w: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231F20"/>
              </w:rPr>
              <w:t>Total</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231F20"/>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80"/>
              <w:spacing w:after="0"/>
              <w:rPr>
                <w:sz w:val="20"/>
                <w:szCs w:val="20"/>
                <w:color w:val="auto"/>
              </w:rPr>
            </w:pPr>
            <w:r>
              <w:rPr>
                <w:rFonts w:ascii="Arial" w:cs="Arial" w:eastAsia="Arial" w:hAnsi="Arial"/>
                <w:sz w:val="18"/>
                <w:szCs w:val="18"/>
                <w:color w:val="231F20"/>
              </w:rPr>
              <w:t>Cash and cash equivalents: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Money market funds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495,300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495,300</w:t>
            </w:r>
          </w:p>
        </w:tc>
        <w:tc>
          <w:tcPr>
            <w:tcW w:w="0" w:type="dxa"/>
            <w:vAlign w:val="bottom"/>
          </w:tcPr>
          <w:p>
            <w:pPr>
              <w:spacing w:after="0"/>
              <w:rPr>
                <w:sz w:val="1"/>
                <w:szCs w:val="1"/>
                <w:color w:val="auto"/>
              </w:rPr>
            </w:pPr>
          </w:p>
        </w:tc>
      </w:tr>
      <w:tr>
        <w:trPr>
          <w:trHeight w:val="230"/>
        </w:trPr>
        <w:tc>
          <w:tcPr>
            <w:tcW w:w="4840" w:type="dxa"/>
            <w:vAlign w:val="bottom"/>
          </w:tcPr>
          <w:p>
            <w:pPr>
              <w:ind w:left="80"/>
              <w:spacing w:after="0"/>
              <w:rPr>
                <w:sz w:val="20"/>
                <w:szCs w:val="20"/>
                <w:color w:val="auto"/>
              </w:rPr>
            </w:pPr>
            <w:r>
              <w:rPr>
                <w:rFonts w:ascii="Arial" w:cs="Arial" w:eastAsia="Arial" w:hAnsi="Arial"/>
                <w:sz w:val="18"/>
                <w:szCs w:val="18"/>
                <w:b w:val="1"/>
                <w:bCs w:val="1"/>
                <w:color w:val="231F20"/>
              </w:rPr>
              <w:t>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Warrant liability — Private Placement Warrants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7,109</w:t>
            </w:r>
          </w:p>
        </w:tc>
        <w:tc>
          <w:tcPr>
            <w:tcW w:w="0" w:type="dxa"/>
            <w:vAlign w:val="bottom"/>
          </w:tcPr>
          <w:p>
            <w:pPr>
              <w:spacing w:after="0"/>
              <w:rPr>
                <w:sz w:val="1"/>
                <w:szCs w:val="1"/>
                <w:color w:val="auto"/>
              </w:rPr>
            </w:pPr>
          </w:p>
        </w:tc>
      </w:tr>
      <w:tr>
        <w:trPr>
          <w:trHeight w:val="541"/>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5"/>
          </w:tcPr>
          <w:p>
            <w:pPr>
              <w:ind w:left="520"/>
              <w:spacing w:after="0"/>
              <w:rPr>
                <w:sz w:val="20"/>
                <w:szCs w:val="20"/>
                <w:color w:val="auto"/>
              </w:rPr>
            </w:pPr>
            <w:r>
              <w:rPr>
                <w:rFonts w:ascii="Arial" w:cs="Arial" w:eastAsia="Arial" w:hAnsi="Arial"/>
                <w:sz w:val="14"/>
                <w:szCs w:val="14"/>
                <w:b w:val="1"/>
                <w:bCs w:val="1"/>
                <w:color w:val="231F20"/>
              </w:rPr>
              <w:t>As of December 31, 2022</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84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w:t>
            </w: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231F20"/>
              </w:rPr>
              <w:t>Level 1</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231F20"/>
              </w:rPr>
              <w:t>Level 2</w:t>
            </w:r>
          </w:p>
        </w:tc>
        <w:tc>
          <w:tcPr>
            <w:tcW w:w="32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231F20"/>
              </w:rPr>
              <w:t>Level 3</w:t>
            </w: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Arial" w:cs="Arial" w:eastAsia="Arial" w:hAnsi="Arial"/>
                <w:sz w:val="14"/>
                <w:szCs w:val="14"/>
                <w:b w:val="1"/>
                <w:bCs w:val="1"/>
                <w:color w:val="231F20"/>
              </w:rPr>
              <w:t>Total</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231F20"/>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80"/>
              <w:spacing w:after="0"/>
              <w:rPr>
                <w:sz w:val="20"/>
                <w:szCs w:val="20"/>
                <w:color w:val="auto"/>
              </w:rPr>
            </w:pPr>
            <w:r>
              <w:rPr>
                <w:rFonts w:ascii="Arial" w:cs="Arial" w:eastAsia="Arial" w:hAnsi="Arial"/>
                <w:sz w:val="18"/>
                <w:szCs w:val="18"/>
                <w:color w:val="231F20"/>
              </w:rPr>
              <w:t>Cash and cash equivalents: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Money market funds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513,009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513,009</w:t>
            </w:r>
          </w:p>
        </w:tc>
        <w:tc>
          <w:tcPr>
            <w:tcW w:w="0" w:type="dxa"/>
            <w:vAlign w:val="bottom"/>
          </w:tcPr>
          <w:p>
            <w:pPr>
              <w:spacing w:after="0"/>
              <w:rPr>
                <w:sz w:val="1"/>
                <w:szCs w:val="1"/>
                <w:color w:val="auto"/>
              </w:rPr>
            </w:pPr>
          </w:p>
        </w:tc>
      </w:tr>
      <w:tr>
        <w:trPr>
          <w:trHeight w:val="229"/>
        </w:trPr>
        <w:tc>
          <w:tcPr>
            <w:tcW w:w="4840" w:type="dxa"/>
            <w:vAlign w:val="bottom"/>
          </w:tcPr>
          <w:p>
            <w:pPr>
              <w:ind w:left="80"/>
              <w:spacing w:after="0"/>
              <w:rPr>
                <w:sz w:val="20"/>
                <w:szCs w:val="20"/>
                <w:color w:val="auto"/>
              </w:rPr>
            </w:pPr>
            <w:r>
              <w:rPr>
                <w:rFonts w:ascii="Arial" w:cs="Arial" w:eastAsia="Arial" w:hAnsi="Arial"/>
                <w:sz w:val="18"/>
                <w:szCs w:val="18"/>
                <w:b w:val="1"/>
                <w:bCs w:val="1"/>
                <w:color w:val="231F20"/>
              </w:rPr>
              <w:t>Liabilities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Warrant liability — Private Placement Warrants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99"/>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231F20"/>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231F20"/>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15,473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October 2020, in connection with the consummation of Vesper Healthcare’s initial public offering, the Company issued 9,333,333 warrants to purchase shares of the Company’s Class A Common Stock at $11.50 per share (the “Private Placement Warrants”), to BLS Investor Group LLC. As of September 30, 2023 and December 31, 2022, the Company had approximately 7 million Private Placement Warrants outstanding. As of September 30, 2023 and December 31, 2022, the fair value of the Private Placement Warrants was determined using a Monte Carlo simulation.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as of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w:t>
            </w:r>
          </w:p>
        </w:tc>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Useful life</w:t>
            </w:r>
          </w:p>
        </w:tc>
        <w:tc>
          <w:tcPr>
            <w:tcW w:w="180" w:type="dxa"/>
            <w:vAlign w:val="bottom"/>
          </w:tcPr>
          <w:p>
            <w:pPr>
              <w:spacing w:after="0"/>
              <w:rPr>
                <w:sz w:val="14"/>
                <w:szCs w:val="14"/>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231F20"/>
              </w:rPr>
              <w:t>September 30, 2023</w:t>
            </w:r>
          </w:p>
        </w:tc>
        <w:tc>
          <w:tcPr>
            <w:tcW w:w="160" w:type="dxa"/>
            <w:vAlign w:val="bottom"/>
          </w:tcPr>
          <w:p>
            <w:pPr>
              <w:spacing w:after="0"/>
              <w:rPr>
                <w:sz w:val="14"/>
                <w:szCs w:val="14"/>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231F20"/>
                <w:w w:val="95"/>
              </w:rPr>
              <w:t>December 31, 2022</w:t>
            </w:r>
          </w:p>
        </w:tc>
        <w:tc>
          <w:tcPr>
            <w:tcW w:w="0" w:type="dxa"/>
            <w:vAlign w:val="bottom"/>
          </w:tcPr>
          <w:p>
            <w:pPr>
              <w:spacing w:after="0"/>
              <w:rPr>
                <w:sz w:val="1"/>
                <w:szCs w:val="1"/>
                <w:color w:val="auto"/>
              </w:rPr>
            </w:pPr>
          </w:p>
        </w:tc>
      </w:tr>
      <w:tr>
        <w:trPr>
          <w:trHeight w:val="192"/>
        </w:trPr>
        <w:tc>
          <w:tcPr>
            <w:tcW w:w="4740" w:type="dxa"/>
            <w:vAlign w:val="bottom"/>
            <w:vMerge w:val="continue"/>
          </w:tcPr>
          <w:p>
            <w:pPr>
              <w:spacing w:after="0"/>
              <w:rPr>
                <w:sz w:val="16"/>
                <w:szCs w:val="16"/>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231F20"/>
                <w:w w:val="91"/>
              </w:rPr>
              <w:t>(years)</w:t>
            </w:r>
          </w:p>
        </w:tc>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Furniture and fixtures</w:t>
            </w:r>
          </w:p>
        </w:tc>
        <w:tc>
          <w:tcPr>
            <w:tcW w:w="3000" w:type="dxa"/>
            <w:vAlign w:val="bottom"/>
            <w:tcBorders>
              <w:top w:val="single" w:sz="8" w:color="231F20"/>
            </w:tcBorders>
            <w:shd w:val="clear" w:color="auto" w:fill="CCEEFF"/>
          </w:tcPr>
          <w:p>
            <w:pPr>
              <w:jc w:val="center"/>
              <w:spacing w:after="0"/>
              <w:rPr>
                <w:sz w:val="20"/>
                <w:szCs w:val="20"/>
                <w:color w:val="auto"/>
              </w:rPr>
            </w:pPr>
            <w:r>
              <w:rPr>
                <w:rFonts w:ascii="Arial" w:cs="Arial" w:eastAsia="Arial" w:hAnsi="Arial"/>
                <w:sz w:val="18"/>
                <w:szCs w:val="18"/>
                <w:color w:val="231F20"/>
                <w:w w:val="92"/>
              </w:rPr>
              <w:t>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4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6,405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20" w:type="dxa"/>
            <w:vAlign w:val="bottom"/>
            <w:tcBorders>
              <w:top w:val="single" w:sz="8" w:color="231F20"/>
            </w:tcBorders>
            <w:shd w:val="clear" w:color="auto" w:fill="CCEEFF"/>
          </w:tcPr>
          <w:p>
            <w:pPr>
              <w:jc w:val="right"/>
              <w:spacing w:after="0"/>
              <w:rPr>
                <w:sz w:val="20"/>
                <w:szCs w:val="20"/>
                <w:color w:val="auto"/>
              </w:rPr>
            </w:pPr>
            <w:r>
              <w:rPr>
                <w:rFonts w:ascii="Arial" w:cs="Arial" w:eastAsia="Arial" w:hAnsi="Arial"/>
                <w:sz w:val="18"/>
                <w:szCs w:val="18"/>
                <w:color w:val="231F20"/>
              </w:rPr>
              <w:t>5,364</w:t>
            </w:r>
          </w:p>
        </w:tc>
        <w:tc>
          <w:tcPr>
            <w:tcW w:w="0" w:type="dxa"/>
            <w:vAlign w:val="bottom"/>
          </w:tcPr>
          <w:p>
            <w:pPr>
              <w:spacing w:after="0"/>
              <w:rPr>
                <w:sz w:val="1"/>
                <w:szCs w:val="1"/>
                <w:color w:val="auto"/>
              </w:rPr>
            </w:pPr>
          </w:p>
        </w:tc>
      </w:tr>
      <w:tr>
        <w:trPr>
          <w:trHeight w:val="237"/>
        </w:trPr>
        <w:tc>
          <w:tcPr>
            <w:tcW w:w="4740" w:type="dxa"/>
            <w:vAlign w:val="bottom"/>
          </w:tcPr>
          <w:p>
            <w:pPr>
              <w:ind w:left="80"/>
              <w:spacing w:after="0"/>
              <w:rPr>
                <w:sz w:val="20"/>
                <w:szCs w:val="20"/>
                <w:color w:val="auto"/>
              </w:rPr>
            </w:pPr>
            <w:r>
              <w:rPr>
                <w:rFonts w:ascii="Arial" w:cs="Arial" w:eastAsia="Arial" w:hAnsi="Arial"/>
                <w:sz w:val="18"/>
                <w:szCs w:val="18"/>
                <w:color w:val="231F20"/>
              </w:rPr>
              <w:t>Computers and equipment</w:t>
            </w:r>
          </w:p>
        </w:tc>
        <w:tc>
          <w:tcPr>
            <w:tcW w:w="3000" w:type="dxa"/>
            <w:vAlign w:val="bottom"/>
          </w:tcPr>
          <w:p>
            <w:pPr>
              <w:jc w:val="center"/>
              <w:spacing w:after="0"/>
              <w:rPr>
                <w:sz w:val="20"/>
                <w:szCs w:val="20"/>
                <w:color w:val="auto"/>
              </w:rPr>
            </w:pPr>
            <w:r>
              <w:rPr>
                <w:rFonts w:ascii="Arial" w:cs="Arial" w:eastAsia="Arial" w:hAnsi="Arial"/>
                <w:sz w:val="18"/>
                <w:szCs w:val="18"/>
                <w:color w:val="231F20"/>
                <w:w w:val="92"/>
              </w:rPr>
              <w:t>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231F20"/>
              </w:rPr>
              <w:t>5,452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4,901</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Machinery and equipment</w:t>
            </w: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8,913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6,427</w:t>
            </w:r>
          </w:p>
        </w:tc>
        <w:tc>
          <w:tcPr>
            <w:tcW w:w="0" w:type="dxa"/>
            <w:vAlign w:val="bottom"/>
          </w:tcPr>
          <w:p>
            <w:pPr>
              <w:spacing w:after="0"/>
              <w:rPr>
                <w:sz w:val="1"/>
                <w:szCs w:val="1"/>
                <w:color w:val="auto"/>
              </w:rPr>
            </w:pPr>
          </w:p>
        </w:tc>
      </w:tr>
      <w:tr>
        <w:trPr>
          <w:trHeight w:val="230"/>
        </w:trPr>
        <w:tc>
          <w:tcPr>
            <w:tcW w:w="4740" w:type="dxa"/>
            <w:vAlign w:val="bottom"/>
          </w:tcPr>
          <w:p>
            <w:pPr>
              <w:ind w:left="80"/>
              <w:spacing w:after="0"/>
              <w:rPr>
                <w:sz w:val="20"/>
                <w:szCs w:val="20"/>
                <w:color w:val="auto"/>
              </w:rPr>
            </w:pPr>
            <w:r>
              <w:rPr>
                <w:rFonts w:ascii="Arial" w:cs="Arial" w:eastAsia="Arial" w:hAnsi="Arial"/>
                <w:sz w:val="18"/>
                <w:szCs w:val="18"/>
                <w:color w:val="231F20"/>
              </w:rPr>
              <w:t>Autos and trucks</w:t>
            </w:r>
          </w:p>
        </w:tc>
        <w:tc>
          <w:tcPr>
            <w:tcW w:w="3000" w:type="dxa"/>
            <w:vAlign w:val="bottom"/>
          </w:tcPr>
          <w:p>
            <w:pPr>
              <w:jc w:val="center"/>
              <w:spacing w:after="0"/>
              <w:rPr>
                <w:sz w:val="20"/>
                <w:szCs w:val="20"/>
                <w:color w:val="auto"/>
              </w:rPr>
            </w:pPr>
            <w:r>
              <w:rPr>
                <w:rFonts w:ascii="Arial" w:cs="Arial" w:eastAsia="Arial" w:hAnsi="Arial"/>
                <w:sz w:val="18"/>
                <w:szCs w:val="18"/>
                <w:color w:val="231F20"/>
                <w:w w:val="79"/>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231F20"/>
              </w:rPr>
              <w:t>234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161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Tooling</w:t>
            </w: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79"/>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638</w:t>
            </w:r>
          </w:p>
        </w:tc>
        <w:tc>
          <w:tcPr>
            <w:tcW w:w="0" w:type="dxa"/>
            <w:vAlign w:val="bottom"/>
          </w:tcPr>
          <w:p>
            <w:pPr>
              <w:spacing w:after="0"/>
              <w:rPr>
                <w:sz w:val="1"/>
                <w:szCs w:val="1"/>
                <w:color w:val="auto"/>
              </w:rPr>
            </w:pPr>
          </w:p>
        </w:tc>
      </w:tr>
      <w:tr>
        <w:trPr>
          <w:trHeight w:val="188"/>
        </w:trPr>
        <w:tc>
          <w:tcPr>
            <w:tcW w:w="4740" w:type="dxa"/>
            <w:vAlign w:val="bottom"/>
          </w:tcPr>
          <w:p>
            <w:pPr>
              <w:ind w:left="80"/>
              <w:spacing w:after="0" w:line="189" w:lineRule="exact"/>
              <w:rPr>
                <w:sz w:val="20"/>
                <w:szCs w:val="20"/>
                <w:color w:val="auto"/>
              </w:rPr>
            </w:pPr>
            <w:r>
              <w:rPr>
                <w:rFonts w:ascii="Arial" w:cs="Arial" w:eastAsia="Arial" w:hAnsi="Arial"/>
                <w:sz w:val="18"/>
                <w:szCs w:val="18"/>
                <w:color w:val="231F20"/>
              </w:rPr>
              <w:t>Leasehold improvements</w:t>
            </w:r>
          </w:p>
        </w:tc>
        <w:tc>
          <w:tcPr>
            <w:tcW w:w="31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231F20"/>
                <w:w w:val="90"/>
              </w:rPr>
              <w:t>Shorter of remaining lease</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231F20"/>
                <w:w w:val="92"/>
              </w:rPr>
              <w:t>term or estimated useful life</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12,171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11,812</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Total property and equipment</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33,890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29,303</w:t>
            </w:r>
          </w:p>
        </w:tc>
        <w:tc>
          <w:tcPr>
            <w:tcW w:w="0" w:type="dxa"/>
            <w:vAlign w:val="bottom"/>
          </w:tcPr>
          <w:p>
            <w:pPr>
              <w:spacing w:after="0"/>
              <w:rPr>
                <w:sz w:val="1"/>
                <w:szCs w:val="1"/>
                <w:color w:val="auto"/>
              </w:rPr>
            </w:pP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231F20"/>
              </w:rPr>
              <w:t>Less: accumulated depreciation and amortization</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231F20"/>
              </w:rPr>
              <w:t>(18,339)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231F20"/>
              </w:rPr>
              <w:t>(12,494)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Construction in progress</w:t>
            </w:r>
          </w:p>
        </w:tc>
        <w:tc>
          <w:tcPr>
            <w:tcW w:w="3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1,375</w:t>
            </w:r>
          </w:p>
        </w:tc>
        <w:tc>
          <w:tcPr>
            <w:tcW w:w="0" w:type="dxa"/>
            <w:vAlign w:val="bottom"/>
          </w:tcPr>
          <w:p>
            <w:pPr>
              <w:spacing w:after="0"/>
              <w:rPr>
                <w:sz w:val="1"/>
                <w:szCs w:val="1"/>
                <w:color w:val="auto"/>
              </w:rPr>
            </w:pP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231F20"/>
              </w:rPr>
              <w:t>Property and equipment, net</w:t>
            </w:r>
          </w:p>
        </w:tc>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16,062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18,184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31F20"/>
        </w:rPr>
        <w:t>The gross carrying amount and accumulated amortization of the Company’s intangible assets as of September 30, 2023 were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231F20"/>
              </w:rPr>
              <w:t>Accumulated</w:t>
            </w:r>
          </w:p>
        </w:tc>
        <w:tc>
          <w:tcPr>
            <w:tcW w:w="200" w:type="dxa"/>
            <w:vAlign w:val="bottom"/>
          </w:tcPr>
          <w:p>
            <w:pPr>
              <w:spacing w:after="0"/>
              <w:rPr>
                <w:sz w:val="14"/>
                <w:szCs w:val="14"/>
                <w:color w:val="auto"/>
              </w:rPr>
            </w:pPr>
          </w:p>
        </w:tc>
        <w:tc>
          <w:tcPr>
            <w:tcW w:w="1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231F20"/>
              </w:rPr>
              <w:t>Net Carrying</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31F20"/>
                <w:w w:val="92"/>
              </w:rPr>
              <w:t>Estimated</w:t>
            </w:r>
          </w:p>
        </w:tc>
        <w:tc>
          <w:tcPr>
            <w:tcW w:w="0" w:type="dxa"/>
            <w:vAlign w:val="bottom"/>
          </w:tcPr>
          <w:p>
            <w:pPr>
              <w:spacing w:after="0"/>
              <w:rPr>
                <w:sz w:val="1"/>
                <w:szCs w:val="1"/>
                <w:color w:val="auto"/>
              </w:rPr>
            </w:pPr>
          </w:p>
        </w:tc>
      </w:tr>
      <w:tr>
        <w:trPr>
          <w:trHeight w:val="144"/>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231F20"/>
                <w:w w:val="94"/>
              </w:rPr>
              <w:t>Useful Life</w:t>
            </w: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231F20"/>
              </w:rPr>
              <w:t>Amortization</w:t>
            </w:r>
          </w:p>
        </w:tc>
        <w:tc>
          <w:tcPr>
            <w:tcW w:w="200" w:type="dxa"/>
            <w:vAlign w:val="bottom"/>
          </w:tcPr>
          <w:p>
            <w:pPr>
              <w:spacing w:after="0"/>
              <w:rPr>
                <w:sz w:val="17"/>
                <w:szCs w:val="17"/>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231F20"/>
              </w:rPr>
              <w:t>Value</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91,629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(61,694)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29,935</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88"/>
              </w:rPr>
              <w:t>3-10</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231F20"/>
              </w:rPr>
              <w:t>Customer relationships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18,230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(10,147)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8,083</w:t>
            </w:r>
          </w:p>
        </w:tc>
        <w:tc>
          <w:tcPr>
            <w:tcW w:w="1520" w:type="dxa"/>
            <w:vAlign w:val="bottom"/>
            <w:gridSpan w:val="2"/>
          </w:tcPr>
          <w:p>
            <w:pPr>
              <w:jc w:val="center"/>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Trademarks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11,510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(5,157)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6,353</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231F20"/>
                <w:w w:val="89"/>
              </w:rPr>
              <w:t>15</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231F20"/>
              </w:rPr>
              <w:t>Capitalized software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16,532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(3,368)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13,164</w:t>
            </w:r>
          </w:p>
        </w:tc>
        <w:tc>
          <w:tcPr>
            <w:tcW w:w="1520" w:type="dxa"/>
            <w:vAlign w:val="bottom"/>
            <w:gridSpan w:val="2"/>
          </w:tcPr>
          <w:p>
            <w:pPr>
              <w:jc w:val="center"/>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Non-compete agreement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5,844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4,662</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79"/>
              </w:rPr>
              <w:t>3</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Patents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2,929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(484)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2,445</w:t>
            </w:r>
          </w:p>
        </w:tc>
        <w:tc>
          <w:tcPr>
            <w:tcW w:w="15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231F20"/>
                <w:w w:val="88"/>
              </w:rPr>
              <w:t>3-19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146,674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(82,032)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64,642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231F20"/>
        </w:rPr>
        <w:t>The gross carrying amount and accumulated amortization of the Company’s intangible assets as of December 31, 2022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231F20"/>
              </w:rPr>
              <w:t>Accumulated</w:t>
            </w:r>
          </w:p>
        </w:tc>
        <w:tc>
          <w:tcPr>
            <w:tcW w:w="200" w:type="dxa"/>
            <w:vAlign w:val="bottom"/>
          </w:tcPr>
          <w:p>
            <w:pPr>
              <w:spacing w:after="0"/>
              <w:rPr>
                <w:sz w:val="14"/>
                <w:szCs w:val="14"/>
                <w:color w:val="auto"/>
              </w:rPr>
            </w:pPr>
          </w:p>
        </w:tc>
        <w:tc>
          <w:tcPr>
            <w:tcW w:w="12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231F20"/>
              </w:rPr>
              <w:t>Net Carrying</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31F20"/>
                <w:w w:val="92"/>
              </w:rPr>
              <w:t>Estimated</w:t>
            </w:r>
          </w:p>
        </w:tc>
        <w:tc>
          <w:tcPr>
            <w:tcW w:w="0" w:type="dxa"/>
            <w:vAlign w:val="bottom"/>
          </w:tcPr>
          <w:p>
            <w:pPr>
              <w:spacing w:after="0"/>
              <w:rPr>
                <w:sz w:val="1"/>
                <w:szCs w:val="1"/>
                <w:color w:val="auto"/>
              </w:rPr>
            </w:pPr>
          </w:p>
        </w:tc>
      </w:tr>
      <w:tr>
        <w:trPr>
          <w:trHeight w:val="148"/>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thousands)</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4"/>
              </w:rPr>
              <w:t>Useful Life</w:t>
            </w:r>
          </w:p>
        </w:tc>
        <w:tc>
          <w:tcPr>
            <w:tcW w:w="0" w:type="dxa"/>
            <w:vAlign w:val="bottom"/>
          </w:tcPr>
          <w:p>
            <w:pPr>
              <w:spacing w:after="0"/>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231F20"/>
              </w:rPr>
              <w:t>Amortization</w:t>
            </w:r>
          </w:p>
        </w:tc>
        <w:tc>
          <w:tcPr>
            <w:tcW w:w="200" w:type="dxa"/>
            <w:vAlign w:val="bottom"/>
          </w:tcPr>
          <w:p>
            <w:pPr>
              <w:spacing w:after="0"/>
              <w:rPr>
                <w:sz w:val="17"/>
                <w:szCs w:val="17"/>
                <w:color w:val="auto"/>
              </w:rPr>
            </w:pPr>
          </w:p>
        </w:tc>
        <w:tc>
          <w:tcPr>
            <w:tcW w:w="1240" w:type="dxa"/>
            <w:vAlign w:val="bottom"/>
          </w:tcPr>
          <w:p>
            <w:pPr>
              <w:jc w:val="right"/>
              <w:ind w:right="454"/>
              <w:spacing w:after="0"/>
              <w:rPr>
                <w:sz w:val="20"/>
                <w:szCs w:val="20"/>
                <w:color w:val="auto"/>
              </w:rPr>
            </w:pPr>
            <w:r>
              <w:rPr>
                <w:rFonts w:ascii="Arial" w:cs="Arial" w:eastAsia="Arial" w:hAnsi="Arial"/>
                <w:sz w:val="14"/>
                <w:szCs w:val="14"/>
                <w:b w:val="1"/>
                <w:bCs w:val="1"/>
                <w:color w:val="231F20"/>
              </w:rPr>
              <w:t>Value</w:t>
            </w: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231F20"/>
                <w:w w:val="92"/>
              </w:rPr>
              <w:t>(Years)</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73,188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(54,422)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18,766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92"/>
              </w:rPr>
              <w:t>3-8</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231F20"/>
              </w:rPr>
              <w:t>Customer relationships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18,089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(7,602)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10,487</w:t>
            </w:r>
          </w:p>
        </w:tc>
        <w:tc>
          <w:tcPr>
            <w:tcW w:w="1520" w:type="dxa"/>
            <w:vAlign w:val="bottom"/>
            <w:gridSpan w:val="2"/>
          </w:tcPr>
          <w:p>
            <w:pPr>
              <w:jc w:val="center"/>
              <w:spacing w:after="0"/>
              <w:rPr>
                <w:sz w:val="20"/>
                <w:szCs w:val="20"/>
                <w:color w:val="auto"/>
              </w:rPr>
            </w:pPr>
            <w:r>
              <w:rPr>
                <w:rFonts w:ascii="Arial" w:cs="Arial" w:eastAsia="Arial" w:hAnsi="Arial"/>
                <w:sz w:val="18"/>
                <w:szCs w:val="18"/>
                <w:color w:val="231F20"/>
                <w:w w:val="88"/>
              </w:rPr>
              <w:t>5-10</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Trademarks</w:t>
            </w: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6,788</w:t>
            </w:r>
          </w:p>
        </w:tc>
        <w:tc>
          <w:tcPr>
            <w:tcW w:w="15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231F20"/>
                <w:w w:val="89"/>
              </w:rPr>
              <w:t>15</w:t>
            </w:r>
          </w:p>
        </w:tc>
        <w:tc>
          <w:tcPr>
            <w:tcW w:w="0" w:type="dxa"/>
            <w:vAlign w:val="bottom"/>
          </w:tcPr>
          <w:p>
            <w:pPr>
              <w:spacing w:after="0"/>
              <w:rPr>
                <w:sz w:val="1"/>
                <w:szCs w:val="1"/>
                <w:color w:val="auto"/>
              </w:rPr>
            </w:pPr>
          </w:p>
        </w:tc>
      </w:tr>
      <w:tr>
        <w:trPr>
          <w:trHeight w:val="230"/>
        </w:trPr>
        <w:tc>
          <w:tcPr>
            <w:tcW w:w="5240" w:type="dxa"/>
            <w:vAlign w:val="bottom"/>
          </w:tcPr>
          <w:p>
            <w:pPr>
              <w:ind w:left="80"/>
              <w:spacing w:after="0"/>
              <w:rPr>
                <w:sz w:val="20"/>
                <w:szCs w:val="20"/>
                <w:color w:val="auto"/>
              </w:rPr>
            </w:pPr>
            <w:r>
              <w:rPr>
                <w:rFonts w:ascii="Arial" w:cs="Arial" w:eastAsia="Arial" w:hAnsi="Arial"/>
                <w:sz w:val="18"/>
                <w:szCs w:val="18"/>
                <w:color w:val="231F20"/>
              </w:rPr>
              <w:t>Capitalized software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231F20"/>
              </w:rPr>
              <w:t>9,620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231F20"/>
              </w:rPr>
              <w:t>(1,507)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8,113</w:t>
            </w:r>
          </w:p>
        </w:tc>
        <w:tc>
          <w:tcPr>
            <w:tcW w:w="1520" w:type="dxa"/>
            <w:vAlign w:val="bottom"/>
            <w:gridSpan w:val="2"/>
          </w:tcPr>
          <w:p>
            <w:pPr>
              <w:jc w:val="center"/>
              <w:spacing w:after="0"/>
              <w:rPr>
                <w:sz w:val="20"/>
                <w:szCs w:val="20"/>
                <w:color w:val="auto"/>
              </w:rPr>
            </w:pPr>
            <w:r>
              <w:rPr>
                <w:rFonts w:ascii="Arial" w:cs="Arial" w:eastAsia="Arial" w:hAnsi="Arial"/>
                <w:sz w:val="18"/>
                <w:szCs w:val="18"/>
                <w:color w:val="231F20"/>
                <w:w w:val="92"/>
              </w:rPr>
              <w:t>3-5</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Non-compete agreement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381</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79"/>
              </w:rPr>
              <w:t>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Patents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2,226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1,851</w:t>
            </w:r>
          </w:p>
        </w:tc>
        <w:tc>
          <w:tcPr>
            <w:tcW w:w="15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231F20"/>
                <w:w w:val="88"/>
              </w:rPr>
              <w:t>3-19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Total intangible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114,806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231F20"/>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(68,420)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46,386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231F20"/>
        </w:rPr>
        <w:t>The change in the carrying value of goodwill for the nine months ended September 30, 2023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ind w:left="80"/>
              <w:spacing w:after="0"/>
              <w:rPr>
                <w:sz w:val="20"/>
                <w:szCs w:val="20"/>
                <w:color w:val="auto"/>
              </w:rPr>
            </w:pPr>
            <w:r>
              <w:rPr>
                <w:rFonts w:ascii="Arial" w:cs="Arial" w:eastAsia="Arial" w:hAnsi="Arial"/>
                <w:sz w:val="14"/>
                <w:szCs w:val="14"/>
                <w:b w:val="1"/>
                <w:bCs w:val="1"/>
                <w:color w:val="231F20"/>
              </w:rPr>
              <w:t>(in thousands)</w:t>
            </w:r>
          </w:p>
        </w:tc>
        <w:tc>
          <w:tcPr>
            <w:tcW w:w="14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
        </w:trPr>
        <w:tc>
          <w:tcPr>
            <w:tcW w:w="77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46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231F20"/>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124,593</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impact</w:t>
            </w:r>
          </w:p>
        </w:tc>
        <w:tc>
          <w:tcPr>
            <w:tcW w:w="14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86</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46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231F20"/>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124,679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the Company acquired all of the outstanding shares of Esthetic Medical, Inc. (“EMI”) in exchange for (i) a cash payment of</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$11.8 million and (ii) 109,625 shares of Class A Common Stock of the Company ($1.3 million). In addition, Dr. Lawrence Groop (the “Seller”) is entitled to receive up to an additional $3.2 million in contingent consideration based upon the achievement of certain conditions defined in the purchase agreement, of which $1.9 million was considered probable as of the acquisition date. Applicable tax guidance was used to apply the simultaneous equation method to incrementally assign $4.6 million to the book value of the intangible asset in excess of the purchase price. The Company accounted for this transaction as an asset acquisition and allocated substantially all of the purchase price and the tax basis difference totaling $19.9 million to intangible assets, primarily related to developed technology.</w:t>
      </w:r>
    </w:p>
    <w:p>
      <w:pPr>
        <w:spacing w:after="0" w:line="2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July 2023, EMI obtained clearance from the U.S. Food and Drug Administration that the SkinStylus Sterilock MicroSystem is cleared for use as a treatment to improve the appearance of facial acne scars in Fitzpatrick skin types I, II, and III in adults aged 22 years and older (the “Facial Indication Approval”). Obtaining the Facial Indication Approval triggered a $1.3 million contingent payment made in July 2023 by the Company to the Seller, which was previously not considered probable of payment.</w:t>
      </w: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in March 2023, the Company acquired assets from Anacapa Aesthetics LLC and recognized approximately $5 million of intangible assets, primarily related to non-compete agreements.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7 – Long-term Debt</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Amended and Restated Credit Facility</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On November 14, 2022, the Company, as successor by assumption to Hydrafacial (formerly known as Edge Systems LLC), a California limited liability company, entered into an Amended and Restated Credit Agreement (as it may be further amended, restated, supplemented or modified from time to time, the “Credit Agreement”) with JPMorgan Chase Bank, N.A. (the “Administrative Agent”). The Credit Agreement provides for a $50.0 million revolving credit facility with a maturity date of November 14, 2027. In addition, the Company has the ability from time to time to increase the revolving commitments or enter into one or more tranches of term loans up to an additional aggregate amount not to exceed $50.0 million, subject to receipt of lender commitments and certain conditions precedent. As of </w:t>
      </w:r>
      <w:r>
        <w:rPr>
          <w:rFonts w:ascii="Arial" w:cs="Arial" w:eastAsia="Arial" w:hAnsi="Arial"/>
          <w:sz w:val="18"/>
          <w:szCs w:val="18"/>
          <w:color w:val="231F20"/>
        </w:rPr>
        <w:t>September 30, 2023,</w:t>
      </w:r>
      <w:r>
        <w:rPr>
          <w:rFonts w:ascii="Arial" w:cs="Arial" w:eastAsia="Arial" w:hAnsi="Arial"/>
          <w:sz w:val="18"/>
          <w:szCs w:val="18"/>
          <w:color w:val="auto"/>
        </w:rPr>
        <w:t xml:space="preserve"> the Credit Agreement remains undrawn and there is no outstanding balance under the revolving credit facility.</w:t>
      </w:r>
    </w:p>
    <w:p>
      <w:pPr>
        <w:spacing w:after="0" w:line="222" w:lineRule="exact"/>
        <w:rPr>
          <w:sz w:val="20"/>
          <w:szCs w:val="20"/>
          <w:color w:val="auto"/>
        </w:rPr>
      </w:pPr>
    </w:p>
    <w:p>
      <w:pPr>
        <w:ind w:right="120" w:firstLine="162"/>
        <w:spacing w:after="0" w:line="255" w:lineRule="auto"/>
        <w:rPr>
          <w:sz w:val="20"/>
          <w:szCs w:val="20"/>
          <w:color w:val="auto"/>
        </w:rPr>
      </w:pPr>
      <w:r>
        <w:rPr>
          <w:rFonts w:ascii="Arial" w:cs="Arial" w:eastAsia="Arial" w:hAnsi="Arial"/>
          <w:sz w:val="18"/>
          <w:szCs w:val="18"/>
          <w:color w:val="auto"/>
        </w:rPr>
        <w:t xml:space="preserve">The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certain financial covenants, including maintaining a leverage ratio of no greater than 3.00 to 1.00 and maintaining a fixed charge coverage ratio of not less than 1.15 to 1.00. As of </w:t>
      </w:r>
      <w:r>
        <w:rPr>
          <w:rFonts w:ascii="Arial" w:cs="Arial" w:eastAsia="Arial" w:hAnsi="Arial"/>
          <w:sz w:val="18"/>
          <w:szCs w:val="18"/>
          <w:color w:val="231F20"/>
        </w:rPr>
        <w:t>September 30, 2023</w:t>
      </w:r>
      <w:r>
        <w:rPr>
          <w:rFonts w:ascii="Arial" w:cs="Arial" w:eastAsia="Arial" w:hAnsi="Arial"/>
          <w:sz w:val="18"/>
          <w:szCs w:val="18"/>
          <w:color w:val="auto"/>
        </w:rPr>
        <w:t>, the Company was in compliance with all restrictive and financial covenants of the Credit Agreement.</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Senior Notes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September 14, 2021, the Company issued an aggregate of $750.0 million in principal amount of its 1.25% Convertible Senior Notes due 2026 (the “Notes”). The Notes were issued pursuant to, and are governed by, an indenture dated as of September 14, 2021,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$100.0 million principal amount of Notes. The Notes issued on September 14, 2021 include the $100.0 million principal amount of Notes issued pursuant to the full exercise by the initial purchasers of such option.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is a summary of the Company’s Notes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ind w:left="20"/>
              <w:spacing w:after="0"/>
              <w:rPr>
                <w:sz w:val="20"/>
                <w:szCs w:val="20"/>
                <w:color w:val="auto"/>
              </w:rPr>
            </w:pPr>
            <w:r>
              <w:rPr>
                <w:rFonts w:ascii="Arial" w:cs="Arial" w:eastAsia="Arial" w:hAnsi="Arial"/>
                <w:sz w:val="14"/>
                <w:szCs w:val="14"/>
                <w:b w:val="1"/>
                <w:bCs w:val="1"/>
                <w:color w:val="231F20"/>
              </w:rPr>
              <w:t>(in thousands)</w:t>
            </w: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231F20"/>
              </w:rPr>
              <w:t>September 30, 2023</w:t>
            </w:r>
          </w:p>
        </w:tc>
        <w:tc>
          <w:tcPr>
            <w:tcW w:w="14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4"/>
                <w:szCs w:val="14"/>
                <w:b w:val="1"/>
                <w:bCs w:val="1"/>
                <w:color w:val="231F20"/>
              </w:rPr>
              <w:t>December 31, 2022</w:t>
            </w:r>
          </w:p>
        </w:tc>
      </w:tr>
      <w:tr>
        <w:trPr>
          <w:trHeight w:val="25"/>
        </w:trPr>
        <w:tc>
          <w:tcPr>
            <w:tcW w:w="8280" w:type="dxa"/>
            <w:vAlign w:val="bottom"/>
            <w:tcBorders>
              <w:bottom w:val="single" w:sz="8" w:color="CCEEFF"/>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1300" w:type="dxa"/>
            <w:vAlign w:val="bottom"/>
            <w:tcBorders>
              <w:bottom w:val="single" w:sz="8" w:color="231F20"/>
            </w:tcBorders>
          </w:tcPr>
          <w:p>
            <w:pPr>
              <w:spacing w:after="0"/>
              <w:rPr>
                <w:sz w:val="2"/>
                <w:szCs w:val="2"/>
                <w:color w:val="auto"/>
              </w:rPr>
            </w:pPr>
          </w:p>
        </w:tc>
      </w:tr>
      <w:tr>
        <w:trPr>
          <w:trHeight w:val="223"/>
        </w:trPr>
        <w:tc>
          <w:tcPr>
            <w:tcW w:w="82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1.25% Convertible Notes due 2026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231F20"/>
                <w:w w:val="98"/>
              </w:rPr>
              <w:t>750,000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00" w:type="dxa"/>
            <w:vAlign w:val="bottom"/>
            <w:shd w:val="clear" w:color="auto" w:fill="CCEEFF"/>
          </w:tcPr>
          <w:p>
            <w:pPr>
              <w:ind w:left="640"/>
              <w:spacing w:after="0"/>
              <w:rPr>
                <w:sz w:val="20"/>
                <w:szCs w:val="20"/>
                <w:color w:val="auto"/>
              </w:rPr>
            </w:pPr>
            <w:r>
              <w:rPr>
                <w:rFonts w:ascii="Arial" w:cs="Arial" w:eastAsia="Arial" w:hAnsi="Arial"/>
                <w:sz w:val="18"/>
                <w:szCs w:val="18"/>
                <w:color w:val="231F20"/>
                <w:w w:val="98"/>
              </w:rPr>
              <w:t>750,000</w:t>
            </w:r>
          </w:p>
        </w:tc>
      </w:tr>
      <w:tr>
        <w:trPr>
          <w:trHeight w:val="230"/>
        </w:trPr>
        <w:tc>
          <w:tcPr>
            <w:tcW w:w="8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Unamortized Issuance Costs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231F20"/>
                <w:w w:val="95"/>
              </w:rPr>
              <w:t>(12,685)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231F20"/>
                <w:w w:val="95"/>
              </w:rPr>
              <w:t>(15,857)</w:t>
            </w:r>
          </w:p>
        </w:tc>
      </w:tr>
      <w:tr>
        <w:trPr>
          <w:trHeight w:val="248"/>
        </w:trPr>
        <w:tc>
          <w:tcPr>
            <w:tcW w:w="8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231F20"/>
                <w:w w:val="98"/>
              </w:rPr>
              <w:t>737,315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3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231F20"/>
                <w:w w:val="98"/>
              </w:rPr>
              <w:t>734,143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231F20"/>
        </w:rPr>
        <w:t>As of September 30, 2023 and December 31, 2022, the estimated fair value of the Notes was approximately $585 million and $567 million, respectively. The estimated fair value of the Notes was determined based on the actual bid price of the Notes on September 30, 2023 and December 31, 2022 and are classified as Level 2 within the fair value hierarchy.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ind w:left="180"/>
        <w:spacing w:after="0"/>
        <w:rPr>
          <w:sz w:val="20"/>
          <w:szCs w:val="20"/>
          <w:color w:val="auto"/>
        </w:rPr>
      </w:pPr>
      <w:r>
        <w:rPr>
          <w:rFonts w:ascii="Arial" w:cs="Arial" w:eastAsia="Arial" w:hAnsi="Arial"/>
          <w:sz w:val="18"/>
          <w:szCs w:val="18"/>
          <w:i w:val="1"/>
          <w:iCs w:val="1"/>
          <w:color w:val="auto"/>
        </w:rPr>
        <w:t>Capped Call Transactions</w:t>
      </w:r>
    </w:p>
    <w:p>
      <w:pPr>
        <w:spacing w:after="0" w:line="25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September 9, 2021, in connection with the pricing of the offering of Notes, the Company entered into privately negotiated capped call transactions (the “Base Capped Call Transactions”).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tax provisions for the three and nine months ended September 30, 2023 and 2022 were computed using the estimated effective tax rates projected for domestic and international taxable jurisdictions for the full year as adjusted for discrete items arising during each quarter.</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Income tax benefit for the nine months ended September 30, 2023 was $2.4 million. Income tax expense for the nine months ended September 30, 2022 was $1.9 million.</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tax expense for the three months ended September 30, 2023 was $3.5 million. Income tax benefit for the three months ended September 30, 2022 was $0.8 million.</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effective tax rate for the three and nine months ended September 30, 2023 is (4.9)% and 2.6%. The effective tax rate for the three and nine months ended September 30, 2022 was 91.0% and 4.7%. The effective tax rate differs from the federal statutory rate due primarily to a full valuation allowance against the Company’s U.S. deferred tax assets, foreign jurisdictions that are taxed at different rates, state taxes, and the impact of discrete items that may occur in any given year but which are not consistent from year to year.</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established a valuation allowance in the U.S. and Singapore against a portion of its remaining deferred tax assets because it is more likely than not that certain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spacing w:after="0" w:line="21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Additionally, the Company applies ASC 740, the accounting standard addressing the accounting for uncertainty in income taxes that prescribes rules for recognition, measurement and classification in the financial statements of tax positions taken or expected to be taken in a tax return. The Company has gross unrecognized tax benefits of $0.4 million and $0.1 million for the nine months ended September 30, 2023 and September 30, 2022, respectively.</w:t>
      </w:r>
    </w:p>
    <w:p>
      <w:pPr>
        <w:spacing w:after="0" w:line="1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Inflation Reduction Act, signed into law on August 16, 2022, provides tax incentives for certain industries and imposes a 15% minimum tax on the book income of certain large corporations and a 1% excise tax on stock buybacks. The Company may be subject to the new excise tax on certain stock buybacks that occur after December 31, 2022. The Company does not anticipate a material impact from the Inflation Reduction Act on its condensed consolidated financial statements.</w:t>
      </w:r>
    </w:p>
    <w:p>
      <w:pPr>
        <w:spacing w:after="0" w:line="2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July 2023, the Company received $5.4 million for the Employee Retention Credit under the Coronavirus Aid, Relief, and Economic Security Act, of which $4.9 million was recorded in other (income) expense, net and $0.5 million was recorded in interest income on the Company’s condensed consolidated statements of comprehensive income (loss).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9 – Share-Based Payments</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has various stock compensation plans, which are more fully described in Part II, Item 8 "Financial Statements and Supplementary Data— Note 13 to the Consolidated Financial Statements—Equity-Based Compensation" in the Company’s 2022 Annual Report on Form 10-K. Under the Beauty Health Company 2021 Incentive Award Plan, the Company may grant stock options, stock appreciation rights, restricted stock, restricted stock units, dividend equivalents, other stock or cash-based awards to eligible service providers. Additionally, the Company maintains the Employee Stock Purchase Plan for employees located in the United States, whereby eligible employees can have up to 10% of their earnings withheld, subject to certain maximums, to be used to purchase shares of the Company’s Class A Common Stock at certain purchase dates.</w:t>
      </w:r>
    </w:p>
    <w:p>
      <w:pPr>
        <w:spacing w:after="0" w:line="2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Share-based compensation expense, which is primarily recorded within selling and marketing and general and administrative expenses, was as follows for the periods indicated: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231F20"/>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231F20"/>
                <w:w w:val="98"/>
              </w:rPr>
              <w:t>Nine Months Ended September 30,</w:t>
            </w:r>
          </w:p>
        </w:tc>
        <w:tc>
          <w:tcPr>
            <w:tcW w:w="0" w:type="dxa"/>
            <w:vAlign w:val="bottom"/>
          </w:tcPr>
          <w:p>
            <w:pPr>
              <w:spacing w:after="0"/>
              <w:rPr>
                <w:sz w:val="1"/>
                <w:szCs w:val="1"/>
                <w:color w:val="auto"/>
              </w:rPr>
            </w:pPr>
          </w:p>
        </w:tc>
      </w:tr>
      <w:tr>
        <w:trPr>
          <w:trHeight w:val="26"/>
        </w:trPr>
        <w:tc>
          <w:tcPr>
            <w:tcW w:w="524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231F20"/>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231F20"/>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231F20"/>
              </w:rPr>
              <w:t>2022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Stock options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w:t>
            </w:r>
          </w:p>
        </w:tc>
        <w:tc>
          <w:tcPr>
            <w:tcW w:w="0" w:type="dxa"/>
            <w:vAlign w:val="bottom"/>
          </w:tcPr>
          <w:p>
            <w:pPr>
              <w:spacing w:after="0"/>
              <w:rPr>
                <w:sz w:val="1"/>
                <w:szCs w:val="1"/>
                <w:color w:val="auto"/>
              </w:rPr>
            </w:pPr>
          </w:p>
        </w:tc>
      </w:tr>
      <w:tr>
        <w:trPr>
          <w:trHeight w:val="229"/>
        </w:trPr>
        <w:tc>
          <w:tcPr>
            <w:tcW w:w="5240" w:type="dxa"/>
            <w:vAlign w:val="bottom"/>
          </w:tcPr>
          <w:p>
            <w:pPr>
              <w:ind w:left="80"/>
              <w:spacing w:after="0"/>
              <w:rPr>
                <w:sz w:val="20"/>
                <w:szCs w:val="20"/>
                <w:color w:val="auto"/>
              </w:rPr>
            </w:pPr>
            <w:r>
              <w:rPr>
                <w:rFonts w:ascii="Arial" w:cs="Arial" w:eastAsia="Arial" w:hAnsi="Arial"/>
                <w:sz w:val="18"/>
                <w:szCs w:val="18"/>
                <w:color w:val="231F20"/>
              </w:rPr>
              <w:t>Restricted stock units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Performance-based restricted stock units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Employee stock purchase plan</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7,449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231F20"/>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20,286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20,876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Performance-based restricted stock unit expense includes reversal of expense related to the forfeiture of unvested awards during the three and nine months September 30, 2023.</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As of September 30, 2023, total unrecognized compensation expense related to unvested share-based compensation totaled $64.2 million and is expected to be recognized over a weighted-average period of 2.0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Ageless</w:t>
      </w:r>
    </w:p>
    <w:p>
      <w:pPr>
        <w:spacing w:after="0" w:line="2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October 21, 2020, Hydrafacial filed a complaint (the “California Complaint”) against Ageless Serums LLC (“Ageless”) in the United States District Court for the Central District of California, Western Division, captioned Edge Systems LLC v. Ageless Serums LLC, Case No. 2:20-cv-09669-FMO-PVC (the “California Case”), for various claims, including contributory trademark infringement, false designation of origin, induced breach of contract, tortious interference with contractual relations, and unfair competition. In the California Complaint, Hydrafacial alleged that Ageless is selling its serums to Hydrafacial customers and intentionally encouraging those customers to market treatments performed by such customers as “Hydrafacial Treatments,” in violation of the customers’ license agreements with Hydrafacial and that Ageless is improperly marketing its products for use as part of the Hydrafacial treatment. Hydrafacial sought monetary damages and injunctive relief from Ageless in the California Case.</w:t>
      </w:r>
    </w:p>
    <w:p>
      <w:pPr>
        <w:spacing w:after="0" w:line="20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Additionally, on December 22, 2020, Hydrafacial filed a complaint (the “Texas Complaint”) against Ageless in the United States District Court for the Southern District of Texas, Houston Division, captioned Edge Systems LLC v. Ageless Serums LLC, Case No. 4:20-cv 04335 (the “Texas Case”), alleging infringement of six of Hydrafacial’s patents. Hydrafacial is seeking monetary damages and injunctive relief from Ageless in the Texas Case.</w:t>
      </w:r>
    </w:p>
    <w:p>
      <w:pPr>
        <w:spacing w:after="0" w:line="1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November 30, 2020, Ageless answered the California Complaint and asserted counterclaims for violation of antitrust, California statutory and common law unfair competition, false advertising, defamation, and tortious interference with prospective and actual economic advantage. On July 12, 2021, Ageless answered the Texas Complaint and asserted similar counterclaims as those in the California Case. On May 5, 2022, Ageless filed a Chapter 11 bankruptcy petition in the United States Bankruptcy Court for the Southern District of Texas, Houston Division (the “Houston Bankruptcy Court”), and the California Case and Texas Case were thus stayed under 11 U.S.C. Section 362(a)(1). On September 7, 2022, Hydrafacial filed a proof of claim, asserting general unsecured claim for damages arising from claims alleged in the California Case and Texas Case. On January 4, 2023, Hydrafacial filed an Objection to the Confirmation of Debtor’s Subchapter V Plan of Reorganization and Brief in Support. On March 8, 2023, Hydrafacial and Ageless engaged in mediation to settle the claims alleged in the California Case and Texas Case. Ultimately, Hydrafacial and Ageless reached a tentative settlement agreement of all claims alleged in the California Case and Texas Case.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ind w:right="100"/>
        <w:spacing w:after="0" w:line="273" w:lineRule="auto"/>
        <w:rPr>
          <w:sz w:val="20"/>
          <w:szCs w:val="20"/>
          <w:color w:val="auto"/>
        </w:rPr>
      </w:pPr>
      <w:r>
        <w:rPr>
          <w:rFonts w:ascii="Arial" w:cs="Arial" w:eastAsia="Arial" w:hAnsi="Arial"/>
          <w:sz w:val="17"/>
          <w:szCs w:val="17"/>
          <w:color w:val="auto"/>
        </w:rPr>
        <w:t>On September 18, 2023, Ageless filed the Debtor’s Third Amended Subchapter V Plan of Reorganization (the “Plan”). The Plan incorporated the material terms of the settlement that Hydrafacial and Ageless reached at the mediation. Under the Plan, Ageless is required to pay to Hydrafacial $0.1 million on or before October 15, 2023 and tender thirteen (13) subsequent quarterly payments, each consisting of $0.1 million, for a total of $1.4 million. Ageless also agreed to various sales and marketing conditions that restrict Ageless from selling to Hydrafacial’s customers. Ageless agreed to other covenants that are contained in Article VIII of the Plan. The Plan also includes mutual releases between Hydrafacial and Ageless. The Plan includes remedies for Hydrafacial’s benefit in the event that Ageless defaults on any of its material obligations under the Plan.</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Houston Bankruptcy Court considered confirmation of the Plan at a hearing held on September 22, 2023, and Hydrafacial expressed its support of the Plan at the hearing. The Houston Bankruptcy Court entered the Findings of Fact, Conclusions of Law, and Order Confirming Debtor’s Third Amended Plan of Reorganization on September 22, 2023. The Plan contains various conditions precedent to the effectiveness of the Plan that are contained in Article X of the Plan. The Plan requires Hydrafacial to dismiss the California Case and the Texas Case within ten (10) days of the occurrence of the effective date of the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On October 13, 2023, Ageless tendered its initial payment of $0.1 million to Hydrafacial pursuant to the terms and conditions of the Plan.</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Cartessa</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for patent infringement arising from Cartessa’s sale of Cartessa’s hydradermabrasion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As of the date of this report, Hydrafacial and Cartessa are awaiting the New York Court to set a trial date on Hydrafacial’s remaining three patents-in-suit in the Cartessa Complaint.</w:t>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Hydrafacial is seeking monetary damages and plans to vigorously pursue its claims against Cartessa. Hydrafacial also plans to appeal the New York Court’s grant of Cartessa’s Motion for Summary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Related-Party Transactions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Registration Rights Agreement</w:t>
      </w:r>
    </w:p>
    <w:p>
      <w:pPr>
        <w:spacing w:after="0" w:line="25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connection with the consummation of the Business Combination, on May 4, 2021, the Company entered into that certain Amended and Restated Registration Rights Agreement (the “Registration Rights Agreement”) with BLS Investor Group LLC (the “Sponsor”) and the Hydrafacial stockholders.</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2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Registration Rights Agreement provides that the Company will, within 60 days after the consummation of the Business Combination, file with the Securities and Exchange Commission (the “SEC”) a shelf registration statement registering the resale of the shares of common stock held by the Restricted Stockholders and will use its reasonable best efforts to have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6" w:name="page17"/>
    <w:bookmarkEnd w:id="16"/>
    <w:p>
      <w:pPr>
        <w:ind w:right="100"/>
        <w:spacing w:after="0" w:line="272" w:lineRule="auto"/>
        <w:rPr>
          <w:sz w:val="20"/>
          <w:szCs w:val="20"/>
          <w:color w:val="auto"/>
        </w:rPr>
      </w:pPr>
      <w:r>
        <w:rPr>
          <w:rFonts w:ascii="Arial" w:cs="Arial" w:eastAsia="Arial" w:hAnsi="Arial"/>
          <w:sz w:val="17"/>
          <w:szCs w:val="17"/>
          <w:color w:val="auto"/>
        </w:rPr>
        <w:t>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2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Registration Rights Agreement, the Sponsor agreed to restrictions on the transfer of securities issued to it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Investor Rights Agreement</w:t>
      </w: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the consummation of the Business Combination, on May 4, 2021, the Company and LCP Edge Holdco, LLC (“LCP”)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and corporate governance committee of the Company’s board of directors.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 Stockholders’ 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is authorized to issue 320,000,000 shares of Class A Common Stock, par value of $0.0001 per share. Holders of Class A Common Stock are entitled to one vote for each share. As of September 30, 2023 and December 31, 2022, there were 132,569,193 and 132,214,695, respectively, of Class A Common Stock issued and outstanding. The Company has not declared or paid any dividends with respect to its Class A Common Stock.</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September 12, 2023, the Company’s board of directors approved a share repurchase program authorizing the Company to repurchase up to</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$100.0 million of the Company’s Class A Common Stock. Under the share repurchase program, repurchases can be made from time to time using a variety of methods, which may include open market purchases, privately negotiated transactions, transactions structured through investment banking institutions, or a combination of the foregoing. Under this share repurchase program, the Company repurchased approximately 0.8 million shares for $4.8 million during the three months ended September 30, 2023, of which 0.4 million shares were received and retired, and all of which were recorded in other accrued expenses as of September 30, 2023.</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On September 26, 2022, the Company’s board of directors approved a share repurchase program authorizing the Company to repurchase up to</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$200.0 million of the Company’s Class A Common Stock. The Company entered into two accelerated share repurchase agreements on September 27, 2022 and November 9, 2022, respectively, with a financial institution to repurchase a total of $200.0 million of Class A Common Stock. Under the September 27, 2022 accelerated share repurchase agreement, the Company repurchased approximately 9.3 million shares for $100.0 million. Under the November 9, 2022 accelerated share repurchase agreement, the Company made a payment of $100.0 million and received initial deliveries of approximately 9.5 million shares, which represented 80% of the payment amount divided by the Company’s closing stock price on that date. During the three months ended June 30, 2023, the Company paid $2.2 million as the final settlement of the November 9, 2022 accelerated share repurchase agreement, which was based upon the average daily volume weighted average price of the Company’s Class A Common Stock during the repurchase period, less an agreed upon discount.</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is authorized to issue 1,000,000 shares of preferred stock with a par value of $0.0001 per share with such designations, voting and other rights and preferences as may be determined from time to time by the Company’s board of directors. As of September 30, 2023 and December 31, 2022, there were no shares of preferred stock issued or outstanding.</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13 – Net (loss) income to Common Stockholders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both basic and diluted net loss per share as follows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231F20"/>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231F20"/>
                <w:w w:val="96"/>
              </w:rPr>
              <w:t>Nine Months Ended September 30,</w:t>
            </w:r>
          </w:p>
        </w:tc>
        <w:tc>
          <w:tcPr>
            <w:tcW w:w="0" w:type="dxa"/>
            <w:vAlign w:val="bottom"/>
          </w:tcPr>
          <w:p>
            <w:pPr>
              <w:spacing w:after="0"/>
              <w:rPr>
                <w:sz w:val="1"/>
                <w:szCs w:val="1"/>
                <w:color w:val="auto"/>
              </w:rPr>
            </w:pPr>
          </w:p>
        </w:tc>
      </w:tr>
      <w:tr>
        <w:trPr>
          <w:trHeight w:val="26"/>
        </w:trPr>
        <w:tc>
          <w:tcPr>
            <w:tcW w:w="548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thousands, except share and per share amounts)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231F20"/>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231F20"/>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231F20"/>
              </w:rPr>
              <w:t>2022</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Net (loss) income available to common stockholders - 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(73,818)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(90,713)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37,691</w:t>
            </w:r>
          </w:p>
        </w:tc>
        <w:tc>
          <w:tcPr>
            <w:tcW w:w="0" w:type="dxa"/>
            <w:vAlign w:val="bottom"/>
          </w:tcPr>
          <w:p>
            <w:pPr>
              <w:spacing w:after="0"/>
              <w:rPr>
                <w:sz w:val="1"/>
                <w:szCs w:val="1"/>
                <w:color w:val="auto"/>
              </w:rPr>
            </w:pPr>
          </w:p>
        </w:tc>
      </w:tr>
      <w:tr>
        <w:trPr>
          <w:trHeight w:val="229"/>
        </w:trPr>
        <w:tc>
          <w:tcPr>
            <w:tcW w:w="5480" w:type="dxa"/>
            <w:vAlign w:val="bottom"/>
          </w:tcPr>
          <w:p>
            <w:pPr>
              <w:ind w:left="80"/>
              <w:spacing w:after="0"/>
              <w:rPr>
                <w:sz w:val="20"/>
                <w:szCs w:val="20"/>
                <w:color w:val="auto"/>
              </w:rPr>
            </w:pPr>
            <w:r>
              <w:rPr>
                <w:rFonts w:ascii="Arial" w:cs="Arial" w:eastAsia="Arial" w:hAnsi="Arial"/>
                <w:sz w:val="18"/>
                <w:szCs w:val="18"/>
                <w:color w:val="231F20"/>
              </w:rPr>
              <w:t>Less: Income on Private Placement Warrants</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(4,284)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231F20"/>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(71,521)</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Net loss available to common stockholders - diluted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(90,713)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(33,830)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Weighted average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132,896,626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150,788,695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132,679,547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150,706,795</w:t>
            </w:r>
          </w:p>
        </w:tc>
        <w:tc>
          <w:tcPr>
            <w:tcW w:w="0" w:type="dxa"/>
            <w:vAlign w:val="bottom"/>
          </w:tcPr>
          <w:p>
            <w:pPr>
              <w:spacing w:after="0"/>
              <w:rPr>
                <w:sz w:val="1"/>
                <w:szCs w:val="1"/>
                <w:color w:val="auto"/>
              </w:rPr>
            </w:pPr>
          </w:p>
        </w:tc>
      </w:tr>
      <w:tr>
        <w:trPr>
          <w:trHeight w:val="229"/>
        </w:trPr>
        <w:tc>
          <w:tcPr>
            <w:tcW w:w="5480" w:type="dxa"/>
            <w:vAlign w:val="bottom"/>
          </w:tcPr>
          <w:p>
            <w:pPr>
              <w:ind w:left="80"/>
              <w:spacing w:after="0"/>
              <w:rPr>
                <w:sz w:val="20"/>
                <w:szCs w:val="20"/>
                <w:color w:val="auto"/>
              </w:rPr>
            </w:pPr>
            <w:r>
              <w:rPr>
                <w:rFonts w:ascii="Arial" w:cs="Arial" w:eastAsia="Arial" w:hAnsi="Arial"/>
                <w:sz w:val="18"/>
                <w:szCs w:val="18"/>
                <w:color w:val="231F20"/>
              </w:rPr>
              <w:t>Effect of dilutive shares: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80"/>
              <w:spacing w:after="0"/>
              <w:rPr>
                <w:sz w:val="20"/>
                <w:szCs w:val="20"/>
                <w:color w:val="auto"/>
              </w:rPr>
            </w:pPr>
            <w:r>
              <w:rPr>
                <w:rFonts w:ascii="Arial" w:cs="Arial" w:eastAsia="Arial" w:hAnsi="Arial"/>
                <w:sz w:val="18"/>
                <w:szCs w:val="18"/>
                <w:color w:val="231F20"/>
              </w:rPr>
              <w:t>Private Placement Warrants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629,015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1,311,451</w:t>
            </w:r>
          </w:p>
        </w:tc>
        <w:tc>
          <w:tcPr>
            <w:tcW w:w="0" w:type="dxa"/>
            <w:vAlign w:val="bottom"/>
          </w:tcPr>
          <w:p>
            <w:pPr>
              <w:spacing w:after="0"/>
              <w:rPr>
                <w:sz w:val="1"/>
                <w:szCs w:val="1"/>
                <w:color w:val="auto"/>
              </w:rPr>
            </w:pPr>
          </w:p>
        </w:tc>
      </w:tr>
      <w:tr>
        <w:trPr>
          <w:trHeight w:val="223"/>
        </w:trPr>
        <w:tc>
          <w:tcPr>
            <w:tcW w:w="5480" w:type="dxa"/>
            <w:vAlign w:val="bottom"/>
          </w:tcPr>
          <w:p>
            <w:pPr>
              <w:ind w:left="80"/>
              <w:spacing w:after="0"/>
              <w:rPr>
                <w:sz w:val="20"/>
                <w:szCs w:val="20"/>
                <w:color w:val="auto"/>
              </w:rPr>
            </w:pPr>
            <w:r>
              <w:rPr>
                <w:rFonts w:ascii="Arial" w:cs="Arial" w:eastAsia="Arial" w:hAnsi="Arial"/>
                <w:sz w:val="18"/>
                <w:szCs w:val="18"/>
                <w:color w:val="231F20"/>
              </w:rPr>
              <w:t>Weighted average common shares outstanding - diluted</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132,896,626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151,417,710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rPr>
              <w:t>132,679,547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31F20"/>
                <w:w w:val="99"/>
              </w:rPr>
              <w:t>152,018,246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80"/>
              <w:spacing w:after="0"/>
              <w:rPr>
                <w:sz w:val="20"/>
                <w:szCs w:val="20"/>
                <w:color w:val="auto"/>
              </w:rPr>
            </w:pPr>
            <w:r>
              <w:rPr>
                <w:rFonts w:ascii="Arial" w:cs="Arial" w:eastAsia="Arial" w:hAnsi="Arial"/>
                <w:sz w:val="18"/>
                <w:szCs w:val="18"/>
                <w:color w:val="231F20"/>
              </w:rPr>
              <w:t>Basic net (loss) income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231F20"/>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231F20"/>
              </w:rPr>
              <w:t>(0.56)</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0.00</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231F20"/>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231F20"/>
              </w:rPr>
              <w:t>(0.68)</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0.25</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Dilutive net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(0.56)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31F20"/>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(0.22)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For the three and </w:t>
      </w:r>
      <w:r>
        <w:rPr>
          <w:rFonts w:ascii="Arial" w:cs="Arial" w:eastAsia="Arial" w:hAnsi="Arial"/>
          <w:sz w:val="18"/>
          <w:szCs w:val="18"/>
          <w:color w:val="231F20"/>
        </w:rPr>
        <w:t>nine months</w:t>
      </w:r>
      <w:r>
        <w:rPr>
          <w:rFonts w:ascii="Arial" w:cs="Arial" w:eastAsia="Arial" w:hAnsi="Arial"/>
          <w:sz w:val="18"/>
          <w:szCs w:val="18"/>
          <w:color w:val="auto"/>
        </w:rPr>
        <w:t xml:space="preserve"> ended September 30, 2023 and 2022, all outstanding shares related to share-based awards and convertible notes were excluded from the calculation of diluted net loss per common share because their effect would be antidilutive. For the three and </w:t>
      </w:r>
      <w:r>
        <w:rPr>
          <w:rFonts w:ascii="Arial" w:cs="Arial" w:eastAsia="Arial" w:hAnsi="Arial"/>
          <w:sz w:val="18"/>
          <w:szCs w:val="18"/>
          <w:color w:val="231F20"/>
        </w:rPr>
        <w:t>nine months</w:t>
      </w:r>
      <w:r>
        <w:rPr>
          <w:rFonts w:ascii="Arial" w:cs="Arial" w:eastAsia="Arial" w:hAnsi="Arial"/>
          <w:sz w:val="18"/>
          <w:szCs w:val="18"/>
          <w:color w:val="auto"/>
        </w:rPr>
        <w:t xml:space="preserve"> ended September 30, 2023, income and shares related to the Private Placement Warrants were excluded from the calculation of diluted net loss per common share because their effect would be antidilutive.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New Accounting Pronouncements</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Recent accounting pronouncements pending adoption not discussed in this Form 10-Q are either not applicable to the Company or are not expected to have a material impact on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Restructuring Charges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Syndeo Program</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launched Syndeo in March 2022, the first new Hydrafacial delivery system model in five years. Subsequent to launch, many customers with Syndeo 1.0 and Syndeo 2.0 builds began to experience frequent treatment interruptions and unacceptable device conditions. In addition to issues such as distractive noise and difficult bottle insertion, a significant issue was low flow and clogs in the system, due to recommended maintenance requiring overly rigorous levels to prevent serum build-up inside the system’s fluidics manifold. Throughout 2022 and the first half of 2023, the Company made several enhancements to each version of the Syndeo in an effort to address and remediate these issues, but despite these efforts, performance interruptions that negatively impacted customer productivity and satisfaction continued to persist.</w:t>
      </w:r>
    </w:p>
    <w:p>
      <w:pPr>
        <w:spacing w:after="0" w:line="20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July 2023 the Company developed Syndeo 3.0 and has noted a significant improvement in user experience and a substantial decline in initial return rates, primarily due to hardware and software enhancements that automate and force effective rinse cycles and manifold cleaning with an air blast procedure that reduce build-up and clogging as well as improvements in the connector to the handpiece to facilitate user cleaning. During the third quarter of 2023, the Company announced its Syndeo Enhancement Program to upgrade devices to Syndeo 3.0 build standards via field service.</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stand behind its commitment to its customers and protect the Company’s brand reputation, during October 2023, the Company’s management decided that, with respect to Syndeo devices, the Company will only market and sell Syndeo 3.0 devices. The Company will provide, at no cost to the customer, the option of (i) a technician upgrade to their Syndeo 1.0 or 2.0 devices to 3.0 standards in the field; or (ii) a replacement Syndeo 3.0 device for their existing device. Additionally, the Company will extend the customer’s warranty by one year for each system from the date it was either brought to the 3.0 standards or the customer received a Syndeo 3.0 device. The Company anticipates that the vast majority of its customers will elect to request a replacement Syndeo 3.0 device.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ind w:right="160"/>
        <w:spacing w:after="0" w:line="263" w:lineRule="auto"/>
        <w:rPr>
          <w:sz w:val="20"/>
          <w:szCs w:val="20"/>
          <w:color w:val="auto"/>
        </w:rPr>
      </w:pPr>
      <w:r>
        <w:rPr>
          <w:rFonts w:ascii="Arial" w:cs="Arial" w:eastAsia="Arial" w:hAnsi="Arial"/>
          <w:sz w:val="18"/>
          <w:szCs w:val="18"/>
          <w:color w:val="auto"/>
        </w:rPr>
        <w:t>With respect to Syndeo devices, as a result of the decision to market and sell Syndeo 3.0 devices exclusively, the Company has designated all Syndeo 1.0 and 2.0 builds on-hand as obsolete, resulting in an inventory write-down in cost of sales of $18.8 million during the three months ended 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Syndeo Program charges and usage for the three months ended September 30,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Pr>
          <w:p>
            <w:pPr>
              <w:jc w:val="center"/>
              <w:ind w:right="354"/>
              <w:spacing w:after="0"/>
              <w:rPr>
                <w:sz w:val="20"/>
                <w:szCs w:val="20"/>
                <w:color w:val="auto"/>
              </w:rPr>
            </w:pPr>
            <w:r>
              <w:rPr>
                <w:rFonts w:ascii="Arial" w:cs="Arial" w:eastAsia="Arial" w:hAnsi="Arial"/>
                <w:sz w:val="16"/>
                <w:szCs w:val="16"/>
                <w:b w:val="1"/>
                <w:bCs w:val="1"/>
                <w:color w:val="auto"/>
                <w:w w:val="90"/>
              </w:rPr>
              <w:t>Syndeo Program</w:t>
            </w:r>
          </w:p>
        </w:tc>
      </w:tr>
      <w:tr>
        <w:trPr>
          <w:trHeight w:val="219"/>
        </w:trPr>
        <w:tc>
          <w:tcPr>
            <w:tcW w:w="80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right="354"/>
              <w:spacing w:after="0"/>
              <w:rPr>
                <w:sz w:val="20"/>
                <w:szCs w:val="20"/>
                <w:color w:val="auto"/>
              </w:rPr>
            </w:pPr>
            <w:r>
              <w:rPr>
                <w:rFonts w:ascii="Arial" w:cs="Arial" w:eastAsia="Arial" w:hAnsi="Arial"/>
                <w:sz w:val="16"/>
                <w:szCs w:val="16"/>
                <w:color w:val="auto"/>
                <w:w w:val="90"/>
              </w:rPr>
              <w:t>(in thousands)</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 charges for the three months ended September 30, 2023</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320" w:type="dxa"/>
            <w:vAlign w:val="bottom"/>
            <w:shd w:val="clear" w:color="auto" w:fill="CCEEFF"/>
          </w:tcPr>
          <w:p>
            <w:pPr>
              <w:jc w:val="center"/>
              <w:ind w:left="1574"/>
              <w:spacing w:after="0"/>
              <w:rPr>
                <w:sz w:val="20"/>
                <w:szCs w:val="20"/>
                <w:color w:val="auto"/>
              </w:rPr>
            </w:pPr>
            <w:r>
              <w:rPr>
                <w:rFonts w:ascii="Arial" w:cs="Arial" w:eastAsia="Arial" w:hAnsi="Arial"/>
                <w:sz w:val="18"/>
                <w:szCs w:val="18"/>
                <w:color w:val="auto"/>
                <w:w w:val="90"/>
              </w:rPr>
              <w:t>44,306</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Program usage for the three months ended September 30, 2023</w:t>
            </w:r>
          </w:p>
        </w:tc>
        <w:tc>
          <w:tcPr>
            <w:tcW w:w="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left="1554"/>
              <w:spacing w:after="0"/>
              <w:rPr>
                <w:sz w:val="20"/>
                <w:szCs w:val="20"/>
                <w:color w:val="auto"/>
              </w:rPr>
            </w:pPr>
            <w:r>
              <w:rPr>
                <w:rFonts w:ascii="Arial" w:cs="Arial" w:eastAsia="Arial" w:hAnsi="Arial"/>
                <w:sz w:val="18"/>
                <w:szCs w:val="18"/>
                <w:color w:val="auto"/>
                <w:w w:val="89"/>
              </w:rPr>
              <w:t>(12,254)</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Reserves as of September 30, 2023</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shd w:val="clear" w:color="auto" w:fill="CCEEFF"/>
          </w:tcPr>
          <w:p>
            <w:pPr>
              <w:jc w:val="center"/>
              <w:ind w:left="1574"/>
              <w:spacing w:after="0"/>
              <w:rPr>
                <w:sz w:val="20"/>
                <w:szCs w:val="20"/>
                <w:color w:val="auto"/>
              </w:rPr>
            </w:pPr>
            <w:r>
              <w:rPr>
                <w:rFonts w:ascii="Arial" w:cs="Arial" w:eastAsia="Arial" w:hAnsi="Arial"/>
                <w:sz w:val="18"/>
                <w:szCs w:val="18"/>
                <w:color w:val="auto"/>
                <w:w w:val="90"/>
              </w:rPr>
              <w:t>32,052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Syndeo inventory write-down and program charges were recognized in cost of sales for the three months ended September 30,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Transformation Program</w:t>
      </w:r>
    </w:p>
    <w:p>
      <w:pPr>
        <w:spacing w:after="0" w:line="25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231F20"/>
        </w:rPr>
        <w:t>On September 12, 2023, the Company announced a business transformation restructuring program to drive profitable growth by reducing operating costs and streamlining operations. The business transformation plan is expected to be completed in two phases, with the first phase (“Phase 1”) expected to be substantially completed by March 31, 2024.</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 xml:space="preserve">The Company expects to incur expenses associated with Phase 1 of the transformation program, primarily resulting from planned reductions in workforce and consulting fees. </w:t>
      </w:r>
      <w:r>
        <w:rPr>
          <w:rFonts w:ascii="Arial" w:cs="Arial" w:eastAsia="Arial" w:hAnsi="Arial"/>
          <w:sz w:val="18"/>
          <w:szCs w:val="18"/>
          <w:color w:val="000000"/>
        </w:rPr>
        <w:t>We anticipate the total restructuring costs for Phase 1 of the transformation program to be in the range of $9 million to $11 million.</w:t>
      </w:r>
      <w:r>
        <w:rPr>
          <w:rFonts w:ascii="Arial" w:cs="Arial" w:eastAsia="Arial" w:hAnsi="Arial"/>
          <w:sz w:val="18"/>
          <w:szCs w:val="18"/>
          <w:color w:val="231F20"/>
        </w:rPr>
        <w:t xml:space="preserve"> </w:t>
      </w:r>
      <w:r>
        <w:rPr>
          <w:rFonts w:ascii="Arial" w:cs="Arial" w:eastAsia="Arial" w:hAnsi="Arial"/>
          <w:sz w:val="18"/>
          <w:szCs w:val="18"/>
          <w:color w:val="000000"/>
        </w:rPr>
        <w:t>The Company has recognized restructuring charges of $0.6 million primarily related to consulting and other miscellaneous expenses for the three months ended September 30, 2023.</w:t>
      </w:r>
    </w:p>
    <w:p>
      <w:pPr>
        <w:spacing w:after="0" w:line="21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the second phase (“Phase 2”), the Company expects cost savings to be primarily driven by optimizing manufacturing operations. As of the date of the issuance of these financial statements, Phase 2 of the restructuring program is not finalized and we are unable to forecast the magnitude of the total estimated amount for each major type of cost.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Revision for Immaterial Misstatements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disclosed in Note 1 – Description of Business, subsequent to the issuance of the Company’s Annual Report on Form 10-K for the fiscal year ended December 31, 2022, during the six months ended June 30, 2023, the Company identified misstatements related to the elimination of intercompany balances and right of return assets. Although the Company concluded that these misstatements were not material, either individually or in the aggregate, the Company elected to revise its previously issued consolidated financial statements to correct for these misstatements. The revision to the accompanying unaudited condensed consolidated balance sheets, condensed consolidated statements of comprehensive income (loss), and condensed consolidated statements of cash flows and related disclosures in Note 3 – Balance Sheet Components and Note 13 – Net (Loss) Income to Common Stockholders are detailed in the tables below.</w:t>
      </w:r>
    </w:p>
    <w:p>
      <w:pPr>
        <w:spacing w:after="0" w:line="22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As of December 31, 2021 and June 30, 2022, accumulated deficit was understated by $4.3 million and $6.9 million, and as such, previously reported stockholders’ equity of $302.3 million and $352.3 million was revised to $298.0 million and $345.4 million, respectively. For the fiscal year ended December 31, 2022, net income was overstated $0.2 million. As of March 31, 2023, accumulated deficit was overstated $4.7 million, and as such, previously reported stockholders’ equity of $147.7 million was revised to $152.4 million. There were no other changes to the consolidated statements of stockholders’ equity that have not otherwise been reflected in the condensed consolidated balance sheets and condensed consolidated statements of comprehensive income (loss) as detailed in the tables below.</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1"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231F20"/>
                <w:w w:val="90"/>
              </w:rPr>
              <w:t>As of December 31, 2022</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231F20"/>
              </w:rPr>
              <w:t>Condensed Consolidated Balance Sheet (in thousands)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tcPr>
          <w:p>
            <w:pPr>
              <w:ind w:left="20"/>
              <w:spacing w:after="0"/>
              <w:rPr>
                <w:sz w:val="20"/>
                <w:szCs w:val="20"/>
                <w:color w:val="auto"/>
              </w:rPr>
            </w:pPr>
            <w:r>
              <w:rPr>
                <w:rFonts w:ascii="Arial" w:cs="Arial" w:eastAsia="Arial" w:hAnsi="Arial"/>
                <w:sz w:val="14"/>
                <w:szCs w:val="14"/>
                <w:b w:val="1"/>
                <w:bCs w:val="1"/>
                <w:color w:val="231F20"/>
              </w:rPr>
              <w:t>As Previously Reported</w:t>
            </w:r>
          </w:p>
        </w:tc>
        <w:tc>
          <w:tcPr>
            <w:tcW w:w="300" w:type="dxa"/>
            <w:vAlign w:val="bottom"/>
          </w:tcPr>
          <w:p>
            <w:pPr>
              <w:spacing w:after="0"/>
              <w:rPr>
                <w:sz w:val="16"/>
                <w:szCs w:val="16"/>
                <w:color w:val="auto"/>
              </w:rPr>
            </w:pP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231F20"/>
              </w:rPr>
              <w:t>Adjustment</w:t>
            </w:r>
          </w:p>
        </w:tc>
        <w:tc>
          <w:tcPr>
            <w:tcW w:w="340" w:type="dxa"/>
            <w:vAlign w:val="bottom"/>
          </w:tcPr>
          <w:p>
            <w:pPr>
              <w:spacing w:after="0"/>
              <w:rPr>
                <w:sz w:val="16"/>
                <w:szCs w:val="16"/>
                <w:color w:val="auto"/>
              </w:rPr>
            </w:pP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6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116,430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(6,774)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109,656</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26,698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950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27,648</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789,099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783,275</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1,008,907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(5,824)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1,003,083</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30,335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28,467</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Income tax payable</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962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1,429</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73,115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71,714</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837,431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(1,401)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836,030</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(374,328)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(378,751)</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171,476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(4,423)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167,053</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1,008,907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(5,824)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1,003,083</w:t>
            </w:r>
          </w:p>
        </w:tc>
        <w:tc>
          <w:tcPr>
            <w:tcW w:w="0" w:type="dxa"/>
            <w:vAlign w:val="bottom"/>
          </w:tcPr>
          <w:p>
            <w:pPr>
              <w:spacing w:after="0"/>
              <w:rPr>
                <w:sz w:val="1"/>
                <w:szCs w:val="1"/>
                <w:color w:val="auto"/>
              </w:rPr>
            </w:pPr>
          </w:p>
        </w:tc>
      </w:tr>
      <w:tr>
        <w:trPr>
          <w:trHeight w:val="1027"/>
        </w:trPr>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9"/>
          </w:tcPr>
          <w:p>
            <w:pPr>
              <w:jc w:val="center"/>
              <w:ind w:left="1014"/>
              <w:spacing w:after="0"/>
              <w:rPr>
                <w:sz w:val="20"/>
                <w:szCs w:val="20"/>
                <w:color w:val="auto"/>
              </w:rPr>
            </w:pPr>
            <w:r>
              <w:rPr>
                <w:rFonts w:ascii="Arial" w:cs="Arial" w:eastAsia="Arial" w:hAnsi="Arial"/>
                <w:sz w:val="14"/>
                <w:szCs w:val="14"/>
                <w:b w:val="1"/>
                <w:bCs w:val="1"/>
                <w:color w:val="231F20"/>
                <w:w w:val="93"/>
              </w:rPr>
              <w:t>Three Months Ended September 30, 2022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231F20"/>
                <w:w w:val="92"/>
              </w:rPr>
              <w:t>Condensed Consolidated Statement of Comprehensive Income (Loss) (in thousands)</w:t>
            </w: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231F20"/>
              </w:rPr>
              <w:t>As Previously Reported</w:t>
            </w:r>
          </w:p>
        </w:tc>
        <w:tc>
          <w:tcPr>
            <w:tcW w:w="300" w:type="dxa"/>
            <w:vAlign w:val="bottom"/>
          </w:tcPr>
          <w:p>
            <w:pPr>
              <w:spacing w:after="0"/>
              <w:rPr>
                <w:sz w:val="16"/>
                <w:szCs w:val="16"/>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231F20"/>
              </w:rPr>
              <w:t>Adjustment</w:t>
            </w:r>
          </w:p>
        </w:tc>
        <w:tc>
          <w:tcPr>
            <w:tcW w:w="340" w:type="dxa"/>
            <w:vAlign w:val="bottom"/>
          </w:tcPr>
          <w:p>
            <w:pPr>
              <w:spacing w:after="0"/>
              <w:rPr>
                <w:sz w:val="16"/>
                <w:szCs w:val="16"/>
                <w:color w:val="auto"/>
              </w:rPr>
            </w:pP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27,217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212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27,429</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61,575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61,363</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(4,141)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(4,353)</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(690)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(902)</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(81)</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(1,505)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(212)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(1,717)</w:t>
            </w:r>
          </w:p>
        </w:tc>
        <w:tc>
          <w:tcPr>
            <w:tcW w:w="0" w:type="dxa"/>
            <w:vAlign w:val="bottom"/>
          </w:tcPr>
          <w:p>
            <w:pPr>
              <w:spacing w:after="0"/>
              <w:rPr>
                <w:sz w:val="1"/>
                <w:szCs w:val="1"/>
                <w:color w:val="auto"/>
              </w:rPr>
            </w:pPr>
          </w:p>
        </w:tc>
      </w:tr>
      <w:tr>
        <w:trPr>
          <w:trHeight w:val="527"/>
        </w:trPr>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9"/>
          </w:tcPr>
          <w:p>
            <w:pPr>
              <w:jc w:val="center"/>
              <w:ind w:left="1014"/>
              <w:spacing w:after="0"/>
              <w:rPr>
                <w:sz w:val="20"/>
                <w:szCs w:val="20"/>
                <w:color w:val="auto"/>
              </w:rPr>
            </w:pPr>
            <w:r>
              <w:rPr>
                <w:rFonts w:ascii="Arial" w:cs="Arial" w:eastAsia="Arial" w:hAnsi="Arial"/>
                <w:sz w:val="14"/>
                <w:szCs w:val="14"/>
                <w:b w:val="1"/>
                <w:bCs w:val="1"/>
                <w:color w:val="231F20"/>
                <w:w w:val="93"/>
              </w:rPr>
              <w:t>Nine Months Ended September 30, 2022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231F20"/>
                <w:w w:val="92"/>
              </w:rPr>
              <w:t>Condensed Consolidated Statement of Comprehensive Income (Loss) (in thousands,</w:t>
            </w: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020" w:type="dxa"/>
            <w:vAlign w:val="bottom"/>
            <w:gridSpan w:val="2"/>
          </w:tcPr>
          <w:p>
            <w:pPr>
              <w:ind w:left="20"/>
              <w:spacing w:after="0"/>
              <w:rPr>
                <w:sz w:val="20"/>
                <w:szCs w:val="20"/>
                <w:color w:val="auto"/>
              </w:rPr>
            </w:pPr>
            <w:r>
              <w:rPr>
                <w:rFonts w:ascii="Arial" w:cs="Arial" w:eastAsia="Arial" w:hAnsi="Arial"/>
                <w:sz w:val="16"/>
                <w:szCs w:val="16"/>
                <w:b w:val="1"/>
                <w:bCs w:val="1"/>
                <w:color w:val="231F20"/>
              </w:rPr>
              <w:t>except per share amounts)</w:t>
            </w:r>
          </w:p>
        </w:tc>
        <w:tc>
          <w:tcPr>
            <w:tcW w:w="12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231F20"/>
              </w:rPr>
              <w:t>As Previously Reported</w:t>
            </w:r>
          </w:p>
        </w:tc>
        <w:tc>
          <w:tcPr>
            <w:tcW w:w="30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231F20"/>
              </w:rPr>
              <w:t>Adjustment</w:t>
            </w:r>
          </w:p>
        </w:tc>
        <w:tc>
          <w:tcPr>
            <w:tcW w:w="34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82,577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85,455</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185,166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182,288</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(20,515)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(23,393)</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42,439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39,561</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40,569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37,691</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35,101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32,223</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0.25</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Net loss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231F20"/>
              </w:rPr>
              <w:t>(0.20)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231F20"/>
              </w:rPr>
              <w:t>(0.02)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231F20"/>
              </w:rPr>
              <w:t>(0.22)</w:t>
            </w:r>
          </w:p>
        </w:tc>
        <w:tc>
          <w:tcPr>
            <w:tcW w:w="0" w:type="dxa"/>
            <w:vAlign w:val="bottom"/>
          </w:tcPr>
          <w:p>
            <w:pPr>
              <w:spacing w:after="0"/>
              <w:rPr>
                <w:sz w:val="1"/>
                <w:szCs w:val="1"/>
                <w:color w:val="auto"/>
              </w:rPr>
            </w:pPr>
          </w:p>
        </w:tc>
      </w:tr>
      <w:tr>
        <w:trPr>
          <w:trHeight w:val="541"/>
        </w:trPr>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9"/>
          </w:tcPr>
          <w:p>
            <w:pPr>
              <w:jc w:val="center"/>
              <w:ind w:left="1014"/>
              <w:spacing w:after="0"/>
              <w:rPr>
                <w:sz w:val="20"/>
                <w:szCs w:val="20"/>
                <w:color w:val="auto"/>
              </w:rPr>
            </w:pPr>
            <w:r>
              <w:rPr>
                <w:rFonts w:ascii="Arial" w:cs="Arial" w:eastAsia="Arial" w:hAnsi="Arial"/>
                <w:sz w:val="14"/>
                <w:szCs w:val="14"/>
                <w:b w:val="1"/>
                <w:bCs w:val="1"/>
                <w:color w:val="231F20"/>
                <w:w w:val="93"/>
              </w:rPr>
              <w:t>Nine Months Ended September 30, 2022</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231F20"/>
              </w:rPr>
              <w:t>Condensed Consolidated Statement of Cash Flows (in thousands)</w:t>
            </w: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231F20"/>
              </w:rPr>
              <w:t>As Previously Reported</w:t>
            </w:r>
          </w:p>
        </w:tc>
        <w:tc>
          <w:tcPr>
            <w:tcW w:w="300" w:type="dxa"/>
            <w:vAlign w:val="bottom"/>
          </w:tcPr>
          <w:p>
            <w:pPr>
              <w:spacing w:after="0"/>
              <w:rPr>
                <w:sz w:val="16"/>
                <w:szCs w:val="16"/>
                <w:color w:val="auto"/>
              </w:rPr>
            </w:pPr>
          </w:p>
        </w:tc>
        <w:tc>
          <w:tcPr>
            <w:tcW w:w="1520" w:type="dxa"/>
            <w:vAlign w:val="bottom"/>
            <w:gridSpan w:val="3"/>
          </w:tcPr>
          <w:p>
            <w:pPr>
              <w:ind w:left="180"/>
              <w:spacing w:after="0"/>
              <w:rPr>
                <w:sz w:val="20"/>
                <w:szCs w:val="20"/>
                <w:color w:val="auto"/>
              </w:rPr>
            </w:pPr>
            <w:r>
              <w:rPr>
                <w:rFonts w:ascii="Arial" w:cs="Arial" w:eastAsia="Arial" w:hAnsi="Arial"/>
                <w:sz w:val="14"/>
                <w:szCs w:val="14"/>
                <w:b w:val="1"/>
                <w:bCs w:val="1"/>
                <w:color w:val="231F20"/>
              </w:rPr>
              <w:t>Adjustment</w:t>
            </w:r>
          </w:p>
        </w:tc>
        <w:tc>
          <w:tcPr>
            <w:tcW w:w="340" w:type="dxa"/>
            <w:vAlign w:val="bottom"/>
          </w:tcPr>
          <w:p>
            <w:pPr>
              <w:spacing w:after="0"/>
              <w:rPr>
                <w:sz w:val="16"/>
                <w:szCs w:val="16"/>
                <w:color w:val="auto"/>
              </w:rPr>
            </w:pPr>
          </w:p>
        </w:tc>
        <w:tc>
          <w:tcPr>
            <w:tcW w:w="1240" w:type="dxa"/>
            <w:vAlign w:val="bottom"/>
          </w:tcPr>
          <w:p>
            <w:pPr>
              <w:jc w:val="right"/>
              <w:ind w:right="372"/>
              <w:spacing w:after="0"/>
              <w:rPr>
                <w:sz w:val="20"/>
                <w:szCs w:val="20"/>
                <w:color w:val="auto"/>
              </w:rPr>
            </w:pPr>
            <w:r>
              <w:rPr>
                <w:rFonts w:ascii="Arial" w:cs="Arial" w:eastAsia="Arial" w:hAnsi="Arial"/>
                <w:sz w:val="14"/>
                <w:szCs w:val="14"/>
                <w:b w:val="1"/>
                <w:bCs w:val="1"/>
                <w:color w:val="231F20"/>
              </w:rPr>
              <w:t>As Revised</w:t>
            </w:r>
          </w:p>
        </w:tc>
        <w:tc>
          <w:tcPr>
            <w:tcW w:w="0" w:type="dxa"/>
            <w:vAlign w:val="bottom"/>
          </w:tcPr>
          <w:p>
            <w:pPr>
              <w:spacing w:after="0"/>
              <w:rPr>
                <w:sz w:val="1"/>
                <w:szCs w:val="1"/>
                <w:color w:val="auto"/>
              </w:rPr>
            </w:pPr>
          </w:p>
        </w:tc>
      </w:tr>
      <w:tr>
        <w:trPr>
          <w:trHeight w:val="226"/>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40,569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37,691</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(75,007)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231F20"/>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2,878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231F20"/>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(72,129)</w:t>
            </w:r>
          </w:p>
        </w:tc>
        <w:tc>
          <w:tcPr>
            <w:tcW w:w="0" w:type="dxa"/>
            <w:vAlign w:val="bottom"/>
          </w:tcPr>
          <w:p>
            <w:pPr>
              <w:spacing w:after="0"/>
              <w:rPr>
                <w:sz w:val="1"/>
                <w:szCs w:val="1"/>
                <w:color w:val="auto"/>
              </w:rPr>
            </w:pPr>
          </w:p>
        </w:tc>
      </w:tr>
      <w:tr>
        <w:trPr>
          <w:trHeight w:val="1148"/>
        </w:trPr>
        <w:tc>
          <w:tcPr>
            <w:tcW w:w="6000" w:type="dxa"/>
            <w:vAlign w:val="bottom"/>
          </w:tcPr>
          <w:p>
            <w:pPr>
              <w:ind w:left="55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This Quarterly Report on Form 10-Q for the three and nine months ended September 30, 2023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21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2022 filed with the Securities and Exchange Commission (the “SEC”) on March 1, 2023 (the “Annual Report on Form 10-K”).</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Important factors, among others, that may affect actual results or outcomes include the inability to recognize the anticipated benefits of the business combination consumated on May 4, 2021 pursuant to a certain Agreement and Plan of Merger entered into by and among the Company and other parties (the “Business Combination”); costs related to the Business Combination; the Company’s availability of cash for debt service and exposure to risk of default under debt obligations; the Company’s ability to manage growth; the Company’s ability to execute its business plan; potential litigation involving the Company; changes in applicable laws or regulations; the possibility that the Company may be adversely affected by other economic, business, and/or competitive factors; and the impact of a pandemic or any future pandemics, epidemics or infectious disease outbreaks on our business. The Company does not undertake any obligation to update or revise any forward-looking statements, whether as a result of new information, future events or otherwise, except as required by law.</w:t>
      </w:r>
    </w:p>
    <w:p>
      <w:pPr>
        <w:spacing w:after="0" w:line="21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 for the fiscal year ended December 31, 2022 filed with the SEC on March 1, 2023.</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Unless the context otherwise requires, references to the “Company”, “Hydrafacial”, “we”, “us”, and “our” in this section are intended to mean the business and operations of The Beauty Health Company and its consolidated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Beauty Health Company is a global category-creating company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community of estheticians, partners and consumers, the Company is personalizing skin health for all ages, genders, skin tones, and skin types.</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Business and Macroeconomic Conditions</w:t>
      </w:r>
    </w:p>
    <w:p>
      <w:pPr>
        <w:spacing w:after="0" w:line="25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231F20"/>
        </w:rPr>
        <w:t>During the three and nine months ended September 30, 2023, we continued to execute against our plan to expand our footprint by selling and placing Hydrafacial Delivery Systems (“Delivery Systems”) worldwide, drive Consumables, invest in our community of providers, partners, and consumers, drive brand awareness, and optimize our global infrastructure. “Consumables” include serums, solutions, tips, and other consumables. Although we believe we can be successful in our current operating environment, various factors during the three and nine months ended September 30, 2023 may impact our business in unpredictable ways such as:</w:t>
      </w:r>
    </w:p>
    <w:p>
      <w:pPr>
        <w:ind w:left="660" w:hanging="328"/>
        <w:spacing w:after="0" w:line="234" w:lineRule="auto"/>
        <w:tabs>
          <w:tab w:leader="none" w:pos="66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Disruptions in transportation and other supply chain related constraints, such as labor strife in the transportation industry;</w:t>
      </w:r>
    </w:p>
    <w:p>
      <w:pPr>
        <w:ind w:left="660" w:right="80" w:hanging="328"/>
        <w:spacing w:after="0" w:line="234" w:lineRule="auto"/>
        <w:tabs>
          <w:tab w:leader="none" w:pos="655"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Global economic conditions, including inflation, recession, changes in foreign currency exchange rates, higher interest rates, and other changes in economic conditions; and</w:t>
      </w:r>
    </w:p>
    <w:p>
      <w:pPr>
        <w:spacing w:after="0" w:line="1" w:lineRule="exact"/>
        <w:rPr>
          <w:rFonts w:ascii="Arial" w:cs="Arial" w:eastAsia="Arial" w:hAnsi="Arial"/>
          <w:sz w:val="18"/>
          <w:szCs w:val="18"/>
          <w:color w:val="231F20"/>
        </w:rPr>
      </w:pPr>
    </w:p>
    <w:p>
      <w:pPr>
        <w:ind w:left="660" w:hanging="328"/>
        <w:spacing w:after="0"/>
        <w:tabs>
          <w:tab w:leader="none" w:pos="660" w:val="left"/>
        </w:tabs>
        <w:numPr>
          <w:ilvl w:val="0"/>
          <w:numId w:val="2"/>
        </w:numPr>
        <w:rPr>
          <w:rFonts w:ascii="Arial" w:cs="Arial" w:eastAsia="Arial" w:hAnsi="Arial"/>
          <w:sz w:val="18"/>
          <w:szCs w:val="18"/>
          <w:color w:val="231F20"/>
        </w:rPr>
      </w:pPr>
      <w:r>
        <w:rPr>
          <w:rFonts w:ascii="Arial" w:cs="Arial" w:eastAsia="Arial" w:hAnsi="Arial"/>
          <w:sz w:val="18"/>
          <w:szCs w:val="18"/>
          <w:color w:val="231F20"/>
        </w:rPr>
        <w:t>Issues related to older models of Syndeo Delivery Systems and our actions to remediate such issues</w:t>
      </w:r>
    </w:p>
    <w:p>
      <w:pPr>
        <w:spacing w:after="0" w:line="236" w:lineRule="exact"/>
        <w:rPr>
          <w:sz w:val="20"/>
          <w:szCs w:val="20"/>
          <w:color w:val="auto"/>
        </w:rPr>
      </w:pPr>
    </w:p>
    <w:p>
      <w:pPr>
        <w:spacing w:after="0" w:line="301" w:lineRule="auto"/>
        <w:rPr>
          <w:sz w:val="20"/>
          <w:szCs w:val="20"/>
          <w:color w:val="auto"/>
        </w:rPr>
      </w:pPr>
      <w:r>
        <w:rPr>
          <w:rFonts w:ascii="Arial" w:cs="Arial" w:eastAsia="Arial" w:hAnsi="Arial"/>
          <w:sz w:val="16"/>
          <w:szCs w:val="16"/>
          <w:color w:val="231F20"/>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spacing w:after="0" w:line="18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231F20"/>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Syndeo Program</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launched Syndeo in March 2022, the first new Hydrafacial delivery system model in five years. Subsequent to launch, many customers with Syndeo 1.0 and Syndeo 2.0 builds began to experience frequent treatment interruptions and unacceptable device conditions. In addition to issues such as distractive noise and difficult bottle insertion, a significant issue was low flow and clogs in the system, due to recommended maintenance requiring overly rigorous levels to prevent serum build-up inside the system’s fluidics manifold. Throughout 2022 and the first half of 2023, the Company made several enhancements to each version of the Syndeo in an effort to address and remediate these issues, but despite these efforts, performance interruptions that negatively impacted customer productivity and satisfaction continued to persist.</w:t>
      </w:r>
    </w:p>
    <w:p>
      <w:pPr>
        <w:spacing w:after="0" w:line="20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July 2023 the Company developed Syndeo 3.0 and has noted a significant improvement in user experience and a substantial decline in initial return rates, primarily due to hardware and software enhancements that automate and force effective rinse cycles and manifold cleaning with an air blast procedure that reduce build-up and clogging as well as improvements in the connector to the handpiece to facilitate user cleaning. During the third quarter of 2023, the Company announced its Syndeo Enhancement Program to upgrade devices to Syndeo 3.0 build standards via field service.</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stand behind its commitment to its customers and protect the Company’s brand reputation, during October 2023, the Company’s management decided that, with respect to Syndeo devices, the Company will only market and sell Syndeo 3.0 devices. The Company will provide, at no cost to the customer, the option of (i) a technician upgrade to their Syndeo 1.0 or 2.0 devices to 3.0 standards in the field; or (ii) a replacement Syndeo 3.0 device for their existing device (the “Syndeo Program”). Additionally, the Company will extend the customer’s warranty by one year for each system from the date it was either brought to the 3.0 standards or the customer received a Syndeo 3.0 device. The Company anticipates that the vast majority of its customers will elect to request a replacement Syndeo 3.0 device.</w:t>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result of the decision to market and sell Syndeo 3.0 devices exclusively, the Company has designated all Syndeo 1.0 and 2.0 builds on-hand as obsolete, resulting in an inventory write-off of $18.8 million during the three months ended September 30, 2023. The Company incurred costs of $12.3 million during the three months ended September 30, 2023, associated with the cost to upgrade or replace Syndeo 1.0 or 2.0 devices during the quarter. As of September 30, 2023, the Company accrued additional costs of $32.1 million, primarily for the estimated cost to remediate, upgrade or exchange the remaining Syndeo 1.0 and 2.0 builds, which is expected to be completed during the first half of 2024. Any returning devices with a Syndeo 1.0 or 2.0 device build are expected to be responsibly destroyed.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Business Transformation Program</w:t>
      </w:r>
    </w:p>
    <w:p>
      <w:pPr>
        <w:spacing w:after="0" w:line="25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231F20"/>
        </w:rPr>
        <w:t>On September 12, 2023, the Company announced a business transformation restructuring program to drive profitable growth by reducing operating costs and streamlining operations. The business transformation plan is expected to be completed in two phases, with the first phase (“Phase 1”) expected to be substantially completed by March 31, 2024.</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 xml:space="preserve">The Company expects to incur expenses associated with Phase 1 of the transformation program, primarily resulting from planned reductions in workforce and consulting fees. </w:t>
      </w:r>
      <w:r>
        <w:rPr>
          <w:rFonts w:ascii="Arial" w:cs="Arial" w:eastAsia="Arial" w:hAnsi="Arial"/>
          <w:sz w:val="18"/>
          <w:szCs w:val="18"/>
          <w:color w:val="000000"/>
        </w:rPr>
        <w:t>We anticipate the total restructuring costs for Phase 1 of the transformation program to be in the range of $9 million to $11 million.</w:t>
      </w:r>
      <w:r>
        <w:rPr>
          <w:rFonts w:ascii="Arial" w:cs="Arial" w:eastAsia="Arial" w:hAnsi="Arial"/>
          <w:sz w:val="18"/>
          <w:szCs w:val="18"/>
          <w:color w:val="231F20"/>
        </w:rPr>
        <w:t xml:space="preserve"> </w:t>
      </w:r>
      <w:r>
        <w:rPr>
          <w:rFonts w:ascii="Arial" w:cs="Arial" w:eastAsia="Arial" w:hAnsi="Arial"/>
          <w:sz w:val="18"/>
          <w:szCs w:val="18"/>
          <w:color w:val="000000"/>
        </w:rPr>
        <w:t>The Company has recognized restructuring charges of $0.6 million primarily related to consulting and other miscellaneous expenses for the three months ended September 30, 2023.</w:t>
      </w:r>
    </w:p>
    <w:p>
      <w:pPr>
        <w:spacing w:after="0" w:line="21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second phase (“Phase 2”), the Company expects cost savings to be primarily driven by optimizing manufacturing operations. As of the date of the issuance of these financial statements, Phase 2 of the restructuring program is not finalized and we are unable to forecast the magnitude of the total estimated amount for each major type of cost.</w:t>
      </w:r>
    </w:p>
    <w:p>
      <w:pPr>
        <w:spacing w:after="0" w:line="21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231F20"/>
        </w:rPr>
        <w:t>Phase 1 of the transformation program is expected to realize annualized cost savings of over $20 million exiting the three months ended March 31, 2024, with Phase 2 expected to realize over $15 million in annualized cost savings exiting the three months ended June 30, 2024.</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51" w:right="4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Comparison of Three Months Ended September 30, 2023 to Three Months Ended September 30, 2022</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September 30, 2023 and September 30, 2022 have been derived from the condensed consolidated financial statements included elsewhere in this Quarterly Report on Form 10-Q. Amounts and percentages may not foot due to rounding.</w:t>
      </w:r>
    </w:p>
    <w:p>
      <w:pPr>
        <w:spacing w:after="0" w:line="1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231F20"/>
        </w:rPr>
        <w:t>The following discussion has been amended to reflect the Company’s revision of previously issued consolidated financial statements to correct for prior period misstatements, which the Company concluded were immaterial to the previously issued consolidated financial statements, and did not, either individually or in the aggregate, result in a material misstatement of its previously issued consolidated financial statements. Further information regarding the revision is included in Part I, Item 1 Note 16 to the condensed consolidated financial statements of this Quarterly Report on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gridSpan w:val="7"/>
          </w:tcPr>
          <w:p>
            <w:pPr>
              <w:ind w:left="180"/>
              <w:spacing w:after="0"/>
              <w:rPr>
                <w:sz w:val="20"/>
                <w:szCs w:val="20"/>
                <w:color w:val="auto"/>
              </w:rPr>
            </w:pPr>
            <w:r>
              <w:rPr>
                <w:rFonts w:ascii="Arial" w:cs="Arial" w:eastAsia="Arial" w:hAnsi="Arial"/>
                <w:sz w:val="14"/>
                <w:szCs w:val="14"/>
                <w:b w:val="1"/>
                <w:bCs w:val="1"/>
                <w:color w:val="231F20"/>
              </w:rPr>
              <w:t>Three Months Ended September 30,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6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millions)</w:t>
            </w: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452"/>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231F20"/>
              </w:rPr>
              <w:t>% of Net Sales</w:t>
            </w:r>
          </w:p>
        </w:tc>
        <w:tc>
          <w:tcPr>
            <w:tcW w:w="280" w:type="dxa"/>
            <w:vAlign w:val="bottom"/>
          </w:tcPr>
          <w:p>
            <w:pPr>
              <w:spacing w:after="0"/>
              <w:rPr>
                <w:sz w:val="16"/>
                <w:szCs w:val="16"/>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232"/>
              <w:spacing w:after="0"/>
              <w:rPr>
                <w:sz w:val="20"/>
                <w:szCs w:val="20"/>
                <w:color w:val="auto"/>
              </w:rPr>
            </w:pPr>
            <w:r>
              <w:rPr>
                <w:rFonts w:ascii="Arial" w:cs="Arial" w:eastAsia="Arial" w:hAnsi="Arial"/>
                <w:sz w:val="14"/>
                <w:szCs w:val="14"/>
                <w:b w:val="1"/>
                <w:bCs w:val="1"/>
                <w:color w:val="231F20"/>
                <w:w w:val="93"/>
              </w:rPr>
              <w:t>% of Net Sales</w:t>
            </w:r>
          </w:p>
        </w:tc>
        <w:tc>
          <w:tcPr>
            <w:tcW w:w="0" w:type="dxa"/>
            <w:vAlign w:val="bottom"/>
          </w:tcPr>
          <w:p>
            <w:pPr>
              <w:spacing w:after="0"/>
              <w:rPr>
                <w:sz w:val="1"/>
                <w:szCs w:val="1"/>
                <w:color w:val="auto"/>
              </w:rPr>
            </w:pPr>
          </w:p>
        </w:tc>
      </w:tr>
      <w:tr>
        <w:trPr>
          <w:trHeight w:val="229"/>
        </w:trPr>
        <w:tc>
          <w:tcPr>
            <w:tcW w:w="50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97.4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88.8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Cost of sales</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110.0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rPr>
              <w:t>112.9</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rPr>
              <w:t>30.9</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Gross (loss) profit</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(12.9)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69.1</w:t>
            </w:r>
          </w:p>
        </w:tc>
        <w:tc>
          <w:tcPr>
            <w:tcW w:w="0" w:type="dxa"/>
            <w:vAlign w:val="bottom"/>
          </w:tcPr>
          <w:p>
            <w:pPr>
              <w:spacing w:after="0"/>
              <w:rPr>
                <w:sz w:val="1"/>
                <w:szCs w:val="1"/>
                <w:color w:val="auto"/>
              </w:rPr>
            </w:pPr>
          </w:p>
        </w:tc>
      </w:tr>
      <w:tr>
        <w:trPr>
          <w:trHeight w:val="230"/>
        </w:trPr>
        <w:tc>
          <w:tcPr>
            <w:tcW w:w="5060" w:type="dxa"/>
            <w:vAlign w:val="bottom"/>
          </w:tcPr>
          <w:p>
            <w:pPr>
              <w:ind w:left="80"/>
              <w:spacing w:after="0"/>
              <w:rPr>
                <w:sz w:val="20"/>
                <w:szCs w:val="20"/>
                <w:color w:val="auto"/>
              </w:rPr>
            </w:pPr>
            <w:r>
              <w:rPr>
                <w:rFonts w:ascii="Arial" w:cs="Arial" w:eastAsia="Arial" w:hAnsi="Arial"/>
                <w:sz w:val="18"/>
                <w:szCs w:val="18"/>
                <w:color w:val="231F20"/>
              </w:rPr>
              <w:t>Operating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Selling and marketing</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31.5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44.8</w:t>
            </w:r>
          </w:p>
        </w:tc>
        <w:tc>
          <w:tcPr>
            <w:tcW w:w="0" w:type="dxa"/>
            <w:vAlign w:val="bottom"/>
          </w:tcPr>
          <w:p>
            <w:pPr>
              <w:spacing w:after="0"/>
              <w:rPr>
                <w:sz w:val="1"/>
                <w:szCs w:val="1"/>
                <w:color w:val="auto"/>
              </w:rPr>
            </w:pPr>
          </w:p>
        </w:tc>
      </w:tr>
      <w:tr>
        <w:trPr>
          <w:trHeight w:val="230"/>
        </w:trPr>
        <w:tc>
          <w:tcPr>
            <w:tcW w:w="5060" w:type="dxa"/>
            <w:vAlign w:val="bottom"/>
          </w:tcPr>
          <w:p>
            <w:pPr>
              <w:ind w:left="580"/>
              <w:spacing w:after="0"/>
              <w:rPr>
                <w:sz w:val="20"/>
                <w:szCs w:val="20"/>
                <w:color w:val="auto"/>
              </w:rPr>
            </w:pPr>
            <w:r>
              <w:rPr>
                <w:rFonts w:ascii="Arial" w:cs="Arial" w:eastAsia="Arial" w:hAnsi="Arial"/>
                <w:sz w:val="18"/>
                <w:szCs w:val="18"/>
                <w:color w:val="231F20"/>
              </w:rPr>
              <w:t>Research and development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231F20"/>
              </w:rPr>
              <w:t>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231F20"/>
              </w:rPr>
              <w:t>2.4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rPr>
              <w:t>38.0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rPr>
              <w:t>26.8</w:t>
            </w:r>
          </w:p>
        </w:tc>
        <w:tc>
          <w:tcPr>
            <w:tcW w:w="0" w:type="dxa"/>
            <w:vAlign w:val="bottom"/>
          </w:tcPr>
          <w:p>
            <w:pPr>
              <w:spacing w:after="0"/>
              <w:rPr>
                <w:sz w:val="1"/>
                <w:szCs w:val="1"/>
                <w:color w:val="auto"/>
              </w:rPr>
            </w:pPr>
          </w:p>
        </w:tc>
      </w:tr>
      <w:tr>
        <w:trPr>
          <w:trHeight w:val="223"/>
        </w:trPr>
        <w:tc>
          <w:tcPr>
            <w:tcW w:w="5060" w:type="dxa"/>
            <w:vAlign w:val="bottom"/>
          </w:tcPr>
          <w:p>
            <w:pPr>
              <w:ind w:left="900"/>
              <w:spacing w:after="0"/>
              <w:rPr>
                <w:sz w:val="20"/>
                <w:szCs w:val="20"/>
                <w:color w:val="auto"/>
              </w:rPr>
            </w:pPr>
            <w:r>
              <w:rPr>
                <w:rFonts w:ascii="Arial" w:cs="Arial" w:eastAsia="Arial" w:hAnsi="Arial"/>
                <w:sz w:val="18"/>
                <w:szCs w:val="18"/>
                <w:color w:val="231F20"/>
              </w:rPr>
              <w:t>Total operating expenses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69.5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231F20"/>
              </w:rPr>
              <w:t>71.4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231F20"/>
              </w:rPr>
              <w:t>74.0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Loss from operations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(84.3)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color w:val="231F20"/>
              </w:rPr>
              <w:t>(4.9)</w:t>
            </w:r>
          </w:p>
        </w:tc>
        <w:tc>
          <w:tcPr>
            <w:tcW w:w="0" w:type="dxa"/>
            <w:vAlign w:val="bottom"/>
          </w:tcPr>
          <w:p>
            <w:pPr>
              <w:spacing w:after="0"/>
              <w:rPr>
                <w:sz w:val="1"/>
                <w:szCs w:val="1"/>
                <w:color w:val="auto"/>
              </w:rPr>
            </w:pPr>
          </w:p>
        </w:tc>
      </w:tr>
      <w:tr>
        <w:trPr>
          <w:trHeight w:val="230"/>
        </w:trPr>
        <w:tc>
          <w:tcPr>
            <w:tcW w:w="5060" w:type="dxa"/>
            <w:vAlign w:val="bottom"/>
          </w:tcPr>
          <w:p>
            <w:pPr>
              <w:ind w:left="460"/>
              <w:spacing w:after="0"/>
              <w:rPr>
                <w:sz w:val="20"/>
                <w:szCs w:val="20"/>
                <w:color w:val="auto"/>
              </w:rPr>
            </w:pPr>
            <w:r>
              <w:rPr>
                <w:rFonts w:ascii="Arial" w:cs="Arial" w:eastAsia="Arial" w:hAnsi="Arial"/>
                <w:sz w:val="18"/>
                <w:szCs w:val="18"/>
                <w:color w:val="231F20"/>
              </w:rPr>
              <w:t>Interest expense, net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231F20"/>
              </w:rPr>
              <w:t>3.5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231F20"/>
              </w:rPr>
              <w:t>3.8</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231F20"/>
              </w:rPr>
              <w:t>Interest income</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rPr>
              <w:t>(6.9)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231F20"/>
              </w:rPr>
              <w:t>(3.2)</w:t>
            </w:r>
          </w:p>
        </w:tc>
        <w:tc>
          <w:tcPr>
            <w:tcW w:w="0" w:type="dxa"/>
            <w:vAlign w:val="bottom"/>
          </w:tcPr>
          <w:p>
            <w:pPr>
              <w:spacing w:after="0"/>
              <w:rPr>
                <w:sz w:val="1"/>
                <w:szCs w:val="1"/>
                <w:color w:val="auto"/>
              </w:rPr>
            </w:pPr>
          </w:p>
        </w:tc>
      </w:tr>
      <w:tr>
        <w:trPr>
          <w:trHeight w:val="230"/>
        </w:trPr>
        <w:tc>
          <w:tcPr>
            <w:tcW w:w="5060" w:type="dxa"/>
            <w:vAlign w:val="bottom"/>
          </w:tcPr>
          <w:p>
            <w:pPr>
              <w:ind w:left="460"/>
              <w:spacing w:after="0"/>
              <w:rPr>
                <w:sz w:val="20"/>
                <w:szCs w:val="20"/>
                <w:color w:val="auto"/>
              </w:rPr>
            </w:pPr>
            <w:r>
              <w:rPr>
                <w:rFonts w:ascii="Arial" w:cs="Arial" w:eastAsia="Arial" w:hAnsi="Arial"/>
                <w:sz w:val="18"/>
                <w:szCs w:val="18"/>
                <w:color w:val="231F20"/>
              </w:rPr>
              <w:t>Other (income) expense, net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231F20"/>
              </w:rPr>
              <w:t>(5.0)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231F20"/>
              </w:rPr>
              <w:t>0.4</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231F20"/>
              </w:rPr>
              <w:t>Change in fair value of warrant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rPr>
              <w:t>(6.0)</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231F20"/>
              </w:rPr>
              <w:t>(4.8)</w:t>
            </w:r>
          </w:p>
        </w:tc>
        <w:tc>
          <w:tcPr>
            <w:tcW w:w="0" w:type="dxa"/>
            <w:vAlign w:val="bottom"/>
          </w:tcPr>
          <w:p>
            <w:pPr>
              <w:spacing w:after="0"/>
              <w:rPr>
                <w:sz w:val="1"/>
                <w:szCs w:val="1"/>
                <w:color w:val="auto"/>
              </w:rPr>
            </w:pPr>
          </w:p>
        </w:tc>
      </w:tr>
      <w:tr>
        <w:trPr>
          <w:trHeight w:val="230"/>
        </w:trPr>
        <w:tc>
          <w:tcPr>
            <w:tcW w:w="5060" w:type="dxa"/>
            <w:vAlign w:val="bottom"/>
          </w:tcPr>
          <w:p>
            <w:pPr>
              <w:ind w:left="460"/>
              <w:spacing w:after="0"/>
              <w:rPr>
                <w:sz w:val="20"/>
                <w:szCs w:val="20"/>
                <w:color w:val="auto"/>
              </w:rPr>
            </w:pPr>
            <w:r>
              <w:rPr>
                <w:rFonts w:ascii="Arial" w:cs="Arial" w:eastAsia="Arial" w:hAnsi="Arial"/>
                <w:sz w:val="18"/>
                <w:szCs w:val="18"/>
                <w:color w:val="231F20"/>
              </w:rPr>
              <w:t>Foreign currency transaction loss (gain), net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231F20"/>
              </w:rPr>
              <w:t>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231F20"/>
              </w:rPr>
              <w:t>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231F20"/>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Loss before provision for income taxes</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(72.2)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color w:val="231F20"/>
              </w:rPr>
              <w:t>(1.0)</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Income tax expense (benefit)</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3.5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rPr>
              <w:t>3.6</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231F20"/>
              </w:rPr>
              <w:t>(0.9)</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231F20"/>
                <w:w w:val="94"/>
              </w:rPr>
              <w:t>(0.1)%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231F20"/>
              </w:rPr>
              <w:t>Net Sales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gridSpan w:val="8"/>
          </w:tcPr>
          <w:p>
            <w:pPr>
              <w:ind w:left="120"/>
              <w:spacing w:after="0"/>
              <w:rPr>
                <w:sz w:val="20"/>
                <w:szCs w:val="20"/>
                <w:color w:val="auto"/>
              </w:rPr>
            </w:pPr>
            <w:r>
              <w:rPr>
                <w:rFonts w:ascii="Arial" w:cs="Arial" w:eastAsia="Arial" w:hAnsi="Arial"/>
                <w:sz w:val="14"/>
                <w:szCs w:val="14"/>
                <w:b w:val="1"/>
                <w:bCs w:val="1"/>
                <w:color w:val="231F20"/>
              </w:rPr>
              <w:t>Three Months Ended September 30,</w:t>
            </w:r>
          </w:p>
        </w:tc>
        <w:tc>
          <w:tcPr>
            <w:tcW w:w="280" w:type="dxa"/>
            <w:vAlign w:val="bottom"/>
          </w:tcPr>
          <w:p>
            <w:pPr>
              <w:spacing w:after="0"/>
              <w:rPr>
                <w:sz w:val="17"/>
                <w:szCs w:val="17"/>
                <w:color w:val="auto"/>
              </w:rPr>
            </w:pPr>
          </w:p>
        </w:tc>
        <w:tc>
          <w:tcPr>
            <w:tcW w:w="1500" w:type="dxa"/>
            <w:vAlign w:val="bottom"/>
            <w:gridSpan w:val="3"/>
          </w:tcPr>
          <w:p>
            <w:pPr>
              <w:ind w:left="1000"/>
              <w:spacing w:after="0"/>
              <w:rPr>
                <w:sz w:val="20"/>
                <w:szCs w:val="20"/>
                <w:color w:val="auto"/>
              </w:rPr>
            </w:pPr>
            <w:r>
              <w:rPr>
                <w:rFonts w:ascii="Arial" w:cs="Arial" w:eastAsia="Arial" w:hAnsi="Arial"/>
                <w:sz w:val="14"/>
                <w:szCs w:val="14"/>
                <w:b w:val="1"/>
                <w:bCs w:val="1"/>
                <w:color w:val="231F20"/>
                <w:w w:val="93"/>
              </w:rPr>
              <w:t>Change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0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231F20"/>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612"/>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1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231F20"/>
              </w:rPr>
              <w:t>Delivery Systems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231F20"/>
              </w:rPr>
              <w:t>51.0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231F20"/>
              </w:rPr>
              <w:t>49.1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231F20"/>
              </w:rPr>
              <w:t>4.0 %</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Consumables</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231F20"/>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39.7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16.8 %</w:t>
            </w:r>
          </w:p>
        </w:tc>
        <w:tc>
          <w:tcPr>
            <w:tcW w:w="0" w:type="dxa"/>
            <w:vAlign w:val="bottom"/>
          </w:tcPr>
          <w:p>
            <w:pPr>
              <w:spacing w:after="0"/>
              <w:rPr>
                <w:sz w:val="1"/>
                <w:szCs w:val="1"/>
                <w:color w:val="auto"/>
              </w:rPr>
            </w:pPr>
          </w:p>
        </w:tc>
      </w:tr>
      <w:tr>
        <w:trPr>
          <w:trHeight w:val="237"/>
        </w:trPr>
        <w:tc>
          <w:tcPr>
            <w:tcW w:w="5060" w:type="dxa"/>
            <w:vAlign w:val="bottom"/>
          </w:tcPr>
          <w:p>
            <w:pPr>
              <w:ind w:left="380"/>
              <w:spacing w:after="0"/>
              <w:rPr>
                <w:sz w:val="20"/>
                <w:szCs w:val="20"/>
                <w:color w:val="auto"/>
              </w:rPr>
            </w:pPr>
            <w:r>
              <w:rPr>
                <w:rFonts w:ascii="Arial" w:cs="Arial" w:eastAsia="Arial" w:hAnsi="Arial"/>
                <w:sz w:val="18"/>
                <w:szCs w:val="18"/>
                <w:color w:val="231F20"/>
              </w:rPr>
              <w:t>Total net sales</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231F20"/>
                <w:w w:val="99"/>
              </w:rPr>
              <w:t>$</w:t>
            </w:r>
          </w:p>
        </w:tc>
        <w:tc>
          <w:tcPr>
            <w:tcW w:w="11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231F20"/>
              </w:rPr>
              <w:t>97.4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88.8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9.7 %</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Total net sales for the three months ended September 30, 2023 increased $8.6 million, or 9.7%, compared to the three months ended September 30, 2022. Total net sales for the three months ended September 30, 2023 increased primarily due to strength in Consumable sales in the Americas and Europe, the Middle East, and Africa (“EMEA”). Total net sales of Delivery Systems for the three months ended September 30, 2023 increased in Asia-Pacific (“APAC”) and EMEA, which was offset by decreases in the Americas, which was impacted by provider experience challenges with Syndeo creating lower than expected demand. The prior year net sales of Delivery Systems in the Americas included the impact of the launch of Hydrafacial’s Delivery System Syndeo (“Syndeo”), which included trade-up net sales. The increase in Consumables net sales was primarily attributable to increased placements of Delivery Systems and the adjoining consumption of Consumables during the three months ended September 30, 2023.</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Cost of Sales, Gross (Loss) Profit, and Gross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231F20"/>
              </w:rPr>
              <w:t>Three Months Ended September 30,</w:t>
            </w:r>
          </w:p>
        </w:tc>
        <w:tc>
          <w:tcPr>
            <w:tcW w:w="280" w:type="dxa"/>
            <w:vAlign w:val="bottom"/>
          </w:tcPr>
          <w:p>
            <w:pPr>
              <w:spacing w:after="0"/>
              <w:rPr>
                <w:sz w:val="16"/>
                <w:szCs w:val="16"/>
                <w:color w:val="auto"/>
              </w:rPr>
            </w:pPr>
          </w:p>
        </w:tc>
        <w:tc>
          <w:tcPr>
            <w:tcW w:w="1680" w:type="dxa"/>
            <w:vAlign w:val="bottom"/>
            <w:gridSpan w:val="3"/>
          </w:tcPr>
          <w:p>
            <w:pPr>
              <w:ind w:left="980"/>
              <w:spacing w:after="0"/>
              <w:rPr>
                <w:sz w:val="20"/>
                <w:szCs w:val="20"/>
                <w:color w:val="auto"/>
              </w:rPr>
            </w:pPr>
            <w:r>
              <w:rPr>
                <w:rFonts w:ascii="Arial" w:cs="Arial" w:eastAsia="Arial" w:hAnsi="Arial"/>
                <w:sz w:val="14"/>
                <w:szCs w:val="14"/>
                <w:b w:val="1"/>
                <w:bCs w:val="1"/>
                <w:color w:val="231F20"/>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ind w:left="340"/>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ind w:left="160"/>
              <w:spacing w:after="0"/>
              <w:rPr>
                <w:sz w:val="20"/>
                <w:szCs w:val="20"/>
                <w:color w:val="auto"/>
              </w:rPr>
            </w:pPr>
            <w:r>
              <w:rPr>
                <w:rFonts w:ascii="Arial" w:cs="Arial" w:eastAsia="Arial" w:hAnsi="Arial"/>
                <w:sz w:val="14"/>
                <w:szCs w:val="14"/>
                <w:b w:val="1"/>
                <w:bCs w:val="1"/>
                <w:color w:val="231F20"/>
              </w:rPr>
              <w:t>Amount</w:t>
            </w:r>
          </w:p>
        </w:tc>
        <w:tc>
          <w:tcPr>
            <w:tcW w:w="1040" w:type="dxa"/>
            <w:vAlign w:val="bottom"/>
          </w:tcPr>
          <w:p>
            <w:pPr>
              <w:jc w:val="right"/>
              <w:ind w:right="616"/>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5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Cost of sales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231F20"/>
                <w:w w:val="99"/>
              </w:rPr>
              <w:t>$</w:t>
            </w:r>
          </w:p>
        </w:tc>
        <w:tc>
          <w:tcPr>
            <w:tcW w:w="124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231F20"/>
              </w:rPr>
              <w:t>110.0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16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231F20"/>
              </w:rPr>
              <w:t>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231F20"/>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300.9 %</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231F20"/>
              </w:rPr>
              <w:t>Gross (loss) profit</w:t>
            </w:r>
          </w:p>
        </w:tc>
        <w:tc>
          <w:tcPr>
            <w:tcW w:w="280" w:type="dxa"/>
            <w:vAlign w:val="bottom"/>
          </w:tcPr>
          <w:p>
            <w:pPr>
              <w:jc w:val="right"/>
              <w:ind w:right="70"/>
              <w:spacing w:after="0"/>
              <w:rPr>
                <w:sz w:val="20"/>
                <w:szCs w:val="20"/>
                <w:color w:val="auto"/>
              </w:rPr>
            </w:pPr>
            <w:r>
              <w:rPr>
                <w:rFonts w:ascii="Arial" w:cs="Arial" w:eastAsia="Arial" w:hAnsi="Arial"/>
                <w:sz w:val="18"/>
                <w:szCs w:val="18"/>
                <w:color w:val="231F20"/>
                <w:w w:val="99"/>
              </w:rPr>
              <w:t>$</w:t>
            </w:r>
          </w:p>
        </w:tc>
        <w:tc>
          <w:tcPr>
            <w:tcW w:w="1240" w:type="dxa"/>
            <w:vAlign w:val="bottom"/>
          </w:tcPr>
          <w:p>
            <w:pPr>
              <w:ind w:left="640"/>
              <w:spacing w:after="0"/>
              <w:rPr>
                <w:sz w:val="20"/>
                <w:szCs w:val="20"/>
                <w:color w:val="auto"/>
              </w:rPr>
            </w:pPr>
            <w:r>
              <w:rPr>
                <w:rFonts w:ascii="Arial" w:cs="Arial" w:eastAsia="Arial" w:hAnsi="Arial"/>
                <w:sz w:val="18"/>
                <w:szCs w:val="18"/>
                <w:color w:val="231F20"/>
              </w:rPr>
              <w:t>(12.6)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160" w:type="dxa"/>
            <w:vAlign w:val="bottom"/>
          </w:tcPr>
          <w:p>
            <w:pPr>
              <w:ind w:left="640"/>
              <w:spacing w:after="0"/>
              <w:rPr>
                <w:sz w:val="20"/>
                <w:szCs w:val="20"/>
                <w:color w:val="auto"/>
              </w:rPr>
            </w:pPr>
            <w:r>
              <w:rPr>
                <w:rFonts w:ascii="Arial" w:cs="Arial" w:eastAsia="Arial" w:hAnsi="Arial"/>
                <w:sz w:val="18"/>
                <w:szCs w:val="18"/>
                <w:color w:val="231F20"/>
              </w:rPr>
              <w:t>61.4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231F20"/>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(73.9)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(120.5)%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Gross margin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ind w:left="640"/>
              <w:spacing w:after="0"/>
              <w:rPr>
                <w:sz w:val="20"/>
                <w:szCs w:val="20"/>
                <w:color w:val="auto"/>
              </w:rPr>
            </w:pPr>
            <w:r>
              <w:rPr>
                <w:rFonts w:ascii="Arial" w:cs="Arial" w:eastAsia="Arial" w:hAnsi="Arial"/>
                <w:sz w:val="18"/>
                <w:szCs w:val="18"/>
                <w:color w:val="231F20"/>
                <w:w w:val="91"/>
              </w:rPr>
              <w:t>(12.9)%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231F20"/>
                <w:w w:val="89"/>
              </w:rPr>
              <w:t>69.1 %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231F20"/>
        </w:rPr>
        <w:t xml:space="preserve">Cost of sales for the three months ended September 30, 2023 increased $82.5 million, or 300.9% compared to the three months ended September 30, 2022, primarily driven by inventory write-downs and charges of $63.1 million associated with the Syndeo Program, $7.5 million </w:t>
      </w:r>
      <w:r>
        <w:rPr>
          <w:rFonts w:ascii="Arial" w:cs="Arial" w:eastAsia="Arial" w:hAnsi="Arial"/>
          <w:sz w:val="17"/>
          <w:szCs w:val="17"/>
          <w:color w:val="000000"/>
        </w:rPr>
        <w:t>in charges for discontinued,</w:t>
      </w:r>
      <w:r>
        <w:rPr>
          <w:rFonts w:ascii="Arial" w:cs="Arial" w:eastAsia="Arial" w:hAnsi="Arial"/>
          <w:sz w:val="17"/>
          <w:szCs w:val="17"/>
          <w:color w:val="231F20"/>
        </w:rPr>
        <w:t xml:space="preserve"> </w:t>
      </w:r>
      <w:r>
        <w:rPr>
          <w:rFonts w:ascii="Arial" w:cs="Arial" w:eastAsia="Arial" w:hAnsi="Arial"/>
          <w:sz w:val="17"/>
          <w:szCs w:val="17"/>
          <w:color w:val="000000"/>
        </w:rPr>
        <w:t>excess, or obsolete inventory identified during the three months ended September 30, 2023, higher product costs, and lower average selling price of Delivery Systems</w:t>
      </w:r>
      <w:r>
        <w:rPr>
          <w:rFonts w:ascii="Arial" w:cs="Arial" w:eastAsia="Arial" w:hAnsi="Arial"/>
          <w:sz w:val="17"/>
          <w:szCs w:val="17"/>
          <w:color w:val="231F20"/>
        </w:rPr>
        <w:t>. Gross margin declined from 69.1% during the three months ended September 30, 2022 to (12.9)% during the three months ended</w:t>
      </w:r>
      <w:r>
        <w:rPr>
          <w:rFonts w:ascii="Arial" w:cs="Arial" w:eastAsia="Arial" w:hAnsi="Arial"/>
          <w:sz w:val="17"/>
          <w:szCs w:val="17"/>
          <w:color w:val="000000"/>
        </w:rPr>
        <w:t xml:space="preserve"> </w:t>
      </w:r>
      <w:r>
        <w:rPr>
          <w:rFonts w:ascii="Arial" w:cs="Arial" w:eastAsia="Arial" w:hAnsi="Arial"/>
          <w:sz w:val="17"/>
          <w:szCs w:val="17"/>
          <w:color w:val="231F20"/>
        </w:rPr>
        <w:t xml:space="preserve">September 30, 2023, primarily due to charges related to the Syndeo Program, higher charges related to other discontinued, excess, and obsolete products costs, higher product costs, and </w:t>
      </w:r>
      <w:r>
        <w:rPr>
          <w:rFonts w:ascii="Arial" w:cs="Arial" w:eastAsia="Arial" w:hAnsi="Arial"/>
          <w:sz w:val="17"/>
          <w:szCs w:val="17"/>
          <w:color w:val="000000"/>
        </w:rPr>
        <w:t>lower average selling price of Delivery Systems</w:t>
      </w:r>
      <w:r>
        <w:rPr>
          <w:rFonts w:ascii="Arial" w:cs="Arial" w:eastAsia="Arial" w:hAnsi="Arial"/>
          <w:sz w:val="17"/>
          <w:szCs w:val="17"/>
          <w:color w:val="231F20"/>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Selling and Marketing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231F20"/>
              </w:rPr>
              <w:t>Three Months Ended September 30,</w:t>
            </w:r>
          </w:p>
        </w:tc>
        <w:tc>
          <w:tcPr>
            <w:tcW w:w="34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579"/>
              <w:spacing w:after="0"/>
              <w:rPr>
                <w:sz w:val="20"/>
                <w:szCs w:val="20"/>
                <w:color w:val="auto"/>
              </w:rPr>
            </w:pPr>
            <w:r>
              <w:rPr>
                <w:rFonts w:ascii="Arial" w:cs="Arial" w:eastAsia="Arial" w:hAnsi="Arial"/>
                <w:sz w:val="14"/>
                <w:szCs w:val="14"/>
                <w:b w:val="1"/>
                <w:bCs w:val="1"/>
                <w:color w:val="231F20"/>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231F20"/>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ind w:left="24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73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39"/>
        </w:trPr>
        <w:tc>
          <w:tcPr>
            <w:tcW w:w="4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Selling and marketing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231F20"/>
                <w:w w:val="79"/>
              </w:rPr>
              <w:t>$</w:t>
            </w:r>
          </w:p>
        </w:tc>
        <w:tc>
          <w:tcPr>
            <w:tcW w:w="1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231F20"/>
              </w:rPr>
              <w:t>30.7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231F20"/>
              </w:rPr>
              <w:t>39.8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(9.0)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(22.7)%</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260" w:type="dxa"/>
            <w:vAlign w:val="bottom"/>
          </w:tcPr>
          <w:p>
            <w:pPr>
              <w:spacing w:after="0"/>
              <w:rPr>
                <w:sz w:val="20"/>
                <w:szCs w:val="20"/>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231F20"/>
                <w:w w:val="92"/>
              </w:rPr>
              <w:t>31.5 %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ind w:left="520"/>
              <w:spacing w:after="0"/>
              <w:rPr>
                <w:sz w:val="20"/>
                <w:szCs w:val="20"/>
                <w:color w:val="auto"/>
              </w:rPr>
            </w:pPr>
            <w:r>
              <w:rPr>
                <w:rFonts w:ascii="Arial" w:cs="Arial" w:eastAsia="Arial" w:hAnsi="Arial"/>
                <w:sz w:val="18"/>
                <w:szCs w:val="18"/>
                <w:color w:val="231F20"/>
                <w:w w:val="92"/>
              </w:rPr>
              <w:t>44.8 %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231F20"/>
        </w:rPr>
        <w:t xml:space="preserve">Selling and marketing expense for the three months ended September 30, 2023 decreased $9.0 million, or 22.7%, compared to the three months ended September 30, 2022. The decrease was primarily driven by lower marketing and advertising expense, sales commission expense, and personnel related compensation, including lower share-based compensation expense, </w:t>
      </w:r>
      <w:r>
        <w:rPr>
          <w:rFonts w:ascii="Arial" w:cs="Arial" w:eastAsia="Arial" w:hAnsi="Arial"/>
          <w:sz w:val="16"/>
          <w:szCs w:val="16"/>
          <w:color w:val="000000"/>
        </w:rPr>
        <w:t>partially offset by a reversal of cash incentive accruals in the prior year</w:t>
      </w:r>
      <w:r>
        <w:rPr>
          <w:rFonts w:ascii="Arial" w:cs="Arial" w:eastAsia="Arial" w:hAnsi="Arial"/>
          <w:sz w:val="16"/>
          <w:szCs w:val="16"/>
          <w:color w:val="231F20"/>
        </w:rPr>
        <w:t>.</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231F20"/>
              </w:rPr>
              <w:t>Three Months Ended September 30,</w:t>
            </w:r>
          </w:p>
        </w:tc>
        <w:tc>
          <w:tcPr>
            <w:tcW w:w="34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559"/>
              <w:spacing w:after="0"/>
              <w:rPr>
                <w:sz w:val="20"/>
                <w:szCs w:val="20"/>
                <w:color w:val="auto"/>
              </w:rPr>
            </w:pPr>
            <w:r>
              <w:rPr>
                <w:rFonts w:ascii="Arial" w:cs="Arial" w:eastAsia="Arial" w:hAnsi="Arial"/>
                <w:sz w:val="14"/>
                <w:szCs w:val="14"/>
                <w:b w:val="1"/>
                <w:bCs w:val="1"/>
                <w:color w:val="231F20"/>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231F20"/>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3"/>
          </w:tcPr>
          <w:p>
            <w:pPr>
              <w:ind w:left="24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73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Research and development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231F20"/>
                <w:w w:val="99"/>
              </w:rPr>
              <w:t>$</w:t>
            </w:r>
          </w:p>
        </w:tc>
        <w:tc>
          <w:tcPr>
            <w:tcW w:w="132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231F20"/>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06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231F20"/>
              </w:rPr>
              <w:t>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(15.1)%</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260" w:type="dxa"/>
            <w:vAlign w:val="bottom"/>
          </w:tcPr>
          <w:p>
            <w:pPr>
              <w:spacing w:after="0"/>
              <w:rPr>
                <w:sz w:val="20"/>
                <w:szCs w:val="20"/>
                <w:color w:val="auto"/>
              </w:rPr>
            </w:pPr>
          </w:p>
        </w:tc>
        <w:tc>
          <w:tcPr>
            <w:tcW w:w="1320" w:type="dxa"/>
            <w:vAlign w:val="bottom"/>
          </w:tcPr>
          <w:p>
            <w:pPr>
              <w:ind w:left="860"/>
              <w:spacing w:after="0"/>
              <w:rPr>
                <w:sz w:val="20"/>
                <w:szCs w:val="20"/>
                <w:color w:val="auto"/>
              </w:rPr>
            </w:pPr>
            <w:r>
              <w:rPr>
                <w:rFonts w:ascii="Arial" w:cs="Arial" w:eastAsia="Arial" w:hAnsi="Arial"/>
                <w:sz w:val="18"/>
                <w:szCs w:val="18"/>
                <w:color w:val="231F20"/>
                <w:w w:val="95"/>
              </w:rPr>
              <w:t>1.9 %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ind w:left="620"/>
              <w:spacing w:after="0"/>
              <w:rPr>
                <w:sz w:val="20"/>
                <w:szCs w:val="20"/>
                <w:color w:val="auto"/>
              </w:rPr>
            </w:pPr>
            <w:r>
              <w:rPr>
                <w:rFonts w:ascii="Arial" w:cs="Arial" w:eastAsia="Arial" w:hAnsi="Arial"/>
                <w:sz w:val="18"/>
                <w:szCs w:val="18"/>
                <w:color w:val="231F20"/>
                <w:w w:val="91"/>
              </w:rPr>
              <w:t>2.4 %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231F20"/>
        </w:rPr>
        <w:t>Research and development expense for the three months ended September 30, 2023 remained relatively flat as compared to the three months ended September 30, 2022.</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231F20"/>
              </w:rPr>
              <w:t>Three Months Ended September 30,</w:t>
            </w: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559"/>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73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General and administrative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231F20"/>
                <w:w w:val="99"/>
              </w:rPr>
              <w:t>$</w:t>
            </w:r>
          </w:p>
        </w:tc>
        <w:tc>
          <w:tcPr>
            <w:tcW w:w="1320" w:type="dxa"/>
            <w:vAlign w:val="bottom"/>
            <w:tcBorders>
              <w:top w:val="single" w:sz="8" w:color="auto"/>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231F20"/>
              </w:rPr>
              <w:t>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231F20"/>
              </w:rPr>
              <w:t>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3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231F20"/>
              </w:rPr>
              <w:t>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55.5 %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260" w:type="dxa"/>
            <w:vAlign w:val="bottom"/>
          </w:tcPr>
          <w:p>
            <w:pPr>
              <w:spacing w:after="0"/>
              <w:rPr>
                <w:sz w:val="20"/>
                <w:szCs w:val="20"/>
                <w:color w:val="auto"/>
              </w:rPr>
            </w:pPr>
          </w:p>
        </w:tc>
        <w:tc>
          <w:tcPr>
            <w:tcW w:w="1320" w:type="dxa"/>
            <w:vAlign w:val="bottom"/>
          </w:tcPr>
          <w:p>
            <w:pPr>
              <w:ind w:left="780"/>
              <w:spacing w:after="0"/>
              <w:rPr>
                <w:sz w:val="20"/>
                <w:szCs w:val="20"/>
                <w:color w:val="auto"/>
              </w:rPr>
            </w:pPr>
            <w:r>
              <w:rPr>
                <w:rFonts w:ascii="Arial" w:cs="Arial" w:eastAsia="Arial" w:hAnsi="Arial"/>
                <w:sz w:val="18"/>
                <w:szCs w:val="18"/>
                <w:color w:val="231F20"/>
                <w:w w:val="92"/>
              </w:rPr>
              <w:t>38.0 %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231F20"/>
                <w:w w:val="89"/>
              </w:rPr>
              <w:t>26.8 %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General and administrative expense for the three months ended September 30, 2023 increased $13.2 million, or 55.5%, compared to the three months ended September 30, 2022. The increase was primarily driven by higher personnel related compensation, including severance, and share-based compensation expense, higher software expense, and the reversal of cash incentive accruals in the prior year.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231F20"/>
        </w:rPr>
        <w:t>Interest Income, Change in Fair Value of Warrant Liabilities, Other (Income) Expense,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980" w:type="dxa"/>
            <w:vAlign w:val="bottom"/>
            <w:gridSpan w:val="6"/>
          </w:tcPr>
          <w:p>
            <w:pPr>
              <w:ind w:left="340"/>
              <w:spacing w:after="0"/>
              <w:rPr>
                <w:sz w:val="20"/>
                <w:szCs w:val="20"/>
                <w:color w:val="auto"/>
              </w:rPr>
            </w:pPr>
            <w:r>
              <w:rPr>
                <w:rFonts w:ascii="Arial" w:cs="Arial" w:eastAsia="Arial" w:hAnsi="Arial"/>
                <w:sz w:val="14"/>
                <w:szCs w:val="14"/>
                <w:b w:val="1"/>
                <w:bCs w:val="1"/>
                <w:color w:val="231F20"/>
              </w:rPr>
              <w:t>Three Months Ended September 30,</w:t>
            </w:r>
          </w:p>
        </w:tc>
        <w:tc>
          <w:tcPr>
            <w:tcW w:w="1220" w:type="dxa"/>
            <w:vAlign w:val="bottom"/>
          </w:tcPr>
          <w:p>
            <w:pPr>
              <w:spacing w:after="0"/>
              <w:rPr>
                <w:sz w:val="16"/>
                <w:szCs w:val="16"/>
                <w:color w:val="auto"/>
              </w:rPr>
            </w:pPr>
          </w:p>
        </w:tc>
        <w:tc>
          <w:tcPr>
            <w:tcW w:w="1060" w:type="dxa"/>
            <w:vAlign w:val="bottom"/>
            <w:gridSpan w:val="3"/>
          </w:tcPr>
          <w:p>
            <w:pPr>
              <w:ind w:left="300"/>
              <w:spacing w:after="0"/>
              <w:rPr>
                <w:sz w:val="20"/>
                <w:szCs w:val="20"/>
                <w:color w:val="auto"/>
              </w:rPr>
            </w:pPr>
            <w:r>
              <w:rPr>
                <w:rFonts w:ascii="Arial" w:cs="Arial" w:eastAsia="Arial" w:hAnsi="Arial"/>
                <w:sz w:val="14"/>
                <w:szCs w:val="14"/>
                <w:b w:val="1"/>
                <w:bCs w:val="1"/>
                <w:color w:val="231F20"/>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76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231F20"/>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231F20"/>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Interest income</w:t>
            </w:r>
          </w:p>
        </w:tc>
        <w:tc>
          <w:tcPr>
            <w:tcW w:w="102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231F20"/>
                <w:w w:val="79"/>
              </w:rPr>
              <w:t>$</w:t>
            </w:r>
          </w:p>
        </w:tc>
        <w:tc>
          <w:tcPr>
            <w:tcW w:w="980" w:type="dxa"/>
            <w:vAlign w:val="bottom"/>
            <w:tcBorders>
              <w:bottom w:val="single" w:sz="8" w:color="CCEEFF"/>
            </w:tcBorders>
            <w:shd w:val="clear" w:color="auto" w:fill="CCEEFF"/>
          </w:tcPr>
          <w:p>
            <w:pPr>
              <w:jc w:val="center"/>
              <w:ind w:left="515"/>
              <w:spacing w:after="0"/>
              <w:rPr>
                <w:sz w:val="20"/>
                <w:szCs w:val="20"/>
                <w:color w:val="auto"/>
              </w:rPr>
            </w:pPr>
            <w:r>
              <w:rPr>
                <w:rFonts w:ascii="Arial" w:cs="Arial" w:eastAsia="Arial" w:hAnsi="Arial"/>
                <w:sz w:val="18"/>
                <w:szCs w:val="18"/>
                <w:color w:val="231F20"/>
                <w:w w:val="91"/>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color w:val="231F20"/>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231F20"/>
              </w:rPr>
              <w:t>Change in fair value of warrant liabilities</w:t>
            </w:r>
          </w:p>
        </w:tc>
        <w:tc>
          <w:tcPr>
            <w:tcW w:w="1020" w:type="dxa"/>
            <w:vAlign w:val="bottom"/>
          </w:tcPr>
          <w:p>
            <w:pPr>
              <w:jc w:val="right"/>
              <w:ind w:right="837"/>
              <w:spacing w:after="0"/>
              <w:rPr>
                <w:sz w:val="20"/>
                <w:szCs w:val="20"/>
                <w:color w:val="auto"/>
              </w:rPr>
            </w:pPr>
            <w:r>
              <w:rPr>
                <w:rFonts w:ascii="Arial" w:cs="Arial" w:eastAsia="Arial" w:hAnsi="Arial"/>
                <w:sz w:val="18"/>
                <w:szCs w:val="18"/>
                <w:color w:val="231F20"/>
                <w:w w:val="79"/>
              </w:rPr>
              <w:t>$</w:t>
            </w:r>
          </w:p>
        </w:tc>
        <w:tc>
          <w:tcPr>
            <w:tcW w:w="480" w:type="dxa"/>
            <w:vAlign w:val="bottom"/>
          </w:tcPr>
          <w:p>
            <w:pPr>
              <w:jc w:val="right"/>
              <w:spacing w:after="0"/>
              <w:rPr>
                <w:sz w:val="20"/>
                <w:szCs w:val="20"/>
                <w:color w:val="auto"/>
              </w:rPr>
            </w:pPr>
            <w:r>
              <w:rPr>
                <w:rFonts w:ascii="Arial" w:cs="Arial" w:eastAsia="Arial" w:hAnsi="Arial"/>
                <w:sz w:val="18"/>
                <w:szCs w:val="18"/>
                <w:color w:val="231F20"/>
              </w:rPr>
              <w:t>(5.9)</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231F20"/>
                <w:w w:val="79"/>
              </w:rPr>
              <w:t>$</w:t>
            </w:r>
          </w:p>
        </w:tc>
        <w:tc>
          <w:tcPr>
            <w:tcW w:w="980" w:type="dxa"/>
            <w:vAlign w:val="bottom"/>
          </w:tcPr>
          <w:p>
            <w:pPr>
              <w:jc w:val="center"/>
              <w:ind w:left="515"/>
              <w:spacing w:after="0"/>
              <w:rPr>
                <w:sz w:val="20"/>
                <w:szCs w:val="20"/>
                <w:color w:val="auto"/>
              </w:rPr>
            </w:pPr>
            <w:r>
              <w:rPr>
                <w:rFonts w:ascii="Arial" w:cs="Arial" w:eastAsia="Arial" w:hAnsi="Arial"/>
                <w:sz w:val="18"/>
                <w:szCs w:val="18"/>
                <w:color w:val="231F20"/>
                <w:w w:val="91"/>
              </w:rPr>
              <w:t>(4.3)</w:t>
            </w:r>
          </w:p>
        </w:tc>
        <w:tc>
          <w:tcPr>
            <w:tcW w:w="100" w:type="dxa"/>
            <w:vAlign w:val="bottom"/>
          </w:tcPr>
          <w:p>
            <w:pPr>
              <w:spacing w:after="0"/>
              <w:rPr>
                <w:sz w:val="20"/>
                <w:szCs w:val="20"/>
                <w:color w:val="auto"/>
              </w:rPr>
            </w:pPr>
          </w:p>
        </w:tc>
        <w:tc>
          <w:tcPr>
            <w:tcW w:w="1220" w:type="dxa"/>
            <w:vAlign w:val="bottom"/>
          </w:tcPr>
          <w:p>
            <w:pPr>
              <w:jc w:val="right"/>
              <w:ind w:right="1015"/>
              <w:spacing w:after="0"/>
              <w:rPr>
                <w:sz w:val="20"/>
                <w:szCs w:val="20"/>
                <w:color w:val="auto"/>
              </w:rPr>
            </w:pPr>
            <w:r>
              <w:rPr>
                <w:rFonts w:ascii="Arial" w:cs="Arial" w:eastAsia="Arial" w:hAnsi="Arial"/>
                <w:sz w:val="18"/>
                <w:szCs w:val="18"/>
                <w:color w:val="231F20"/>
                <w:w w:val="99"/>
              </w:rPr>
              <w:t>$</w:t>
            </w:r>
          </w:p>
        </w:tc>
        <w:tc>
          <w:tcPr>
            <w:tcW w:w="480" w:type="dxa"/>
            <w:vAlign w:val="bottom"/>
          </w:tcPr>
          <w:p>
            <w:pPr>
              <w:jc w:val="right"/>
              <w:spacing w:after="0"/>
              <w:rPr>
                <w:sz w:val="20"/>
                <w:szCs w:val="20"/>
                <w:color w:val="auto"/>
              </w:rPr>
            </w:pPr>
            <w:r>
              <w:rPr>
                <w:rFonts w:ascii="Arial" w:cs="Arial" w:eastAsia="Arial" w:hAnsi="Arial"/>
                <w:sz w:val="18"/>
                <w:szCs w:val="18"/>
                <w:color w:val="231F20"/>
              </w:rPr>
              <w:t>(1.6)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ind w:left="8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Other (income) expense, net</w:t>
            </w:r>
          </w:p>
        </w:tc>
        <w:tc>
          <w:tcPr>
            <w:tcW w:w="102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8"/>
                <w:szCs w:val="18"/>
                <w:color w:val="231F20"/>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231F20"/>
                <w:w w:val="79"/>
              </w:rPr>
              <w:t>$</w:t>
            </w:r>
          </w:p>
        </w:tc>
        <w:tc>
          <w:tcPr>
            <w:tcW w:w="980" w:type="dxa"/>
            <w:vAlign w:val="bottom"/>
            <w:tcBorders>
              <w:bottom w:val="single" w:sz="8" w:color="CCEEFF"/>
            </w:tcBorders>
            <w:shd w:val="clear" w:color="auto" w:fill="CCEEFF"/>
          </w:tcPr>
          <w:p>
            <w:pPr>
              <w:jc w:val="center"/>
              <w:ind w:left="555"/>
              <w:spacing w:after="0"/>
              <w:rPr>
                <w:sz w:val="20"/>
                <w:szCs w:val="20"/>
                <w:color w:val="auto"/>
              </w:rPr>
            </w:pPr>
            <w:r>
              <w:rPr>
                <w:rFonts w:ascii="Arial" w:cs="Arial" w:eastAsia="Arial" w:hAnsi="Arial"/>
                <w:sz w:val="18"/>
                <w:szCs w:val="18"/>
                <w:color w:val="231F20"/>
                <w:w w:val="87"/>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color w:val="231F20"/>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(5.3)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82"/>
        </w:trPr>
        <w:tc>
          <w:tcPr>
            <w:tcW w:w="4760" w:type="dxa"/>
            <w:vAlign w:val="bottom"/>
          </w:tcPr>
          <w:p>
            <w:pPr>
              <w:ind w:left="20"/>
              <w:spacing w:after="0"/>
              <w:rPr>
                <w:sz w:val="20"/>
                <w:szCs w:val="20"/>
                <w:color w:val="auto"/>
              </w:rPr>
            </w:pPr>
            <w:r>
              <w:rPr>
                <w:rFonts w:ascii="Arial" w:cs="Arial" w:eastAsia="Arial" w:hAnsi="Arial"/>
                <w:sz w:val="14"/>
                <w:szCs w:val="14"/>
                <w:color w:val="231F20"/>
              </w:rPr>
              <w:t>N/M - Not meaningful</w:t>
            </w: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231F20"/>
        </w:rPr>
        <w:t>Interest income for the three months ended September 30, 2023 increased $3.9 million compared to the three months ended September 30, 2022 due to higher interest earned on our investment in money market funds and $0.5 million received for the Employee Retention Credit under the Coronavirus Aid, Relief, and Economic Security Act.</w:t>
      </w:r>
    </w:p>
    <w:p>
      <w:pPr>
        <w:spacing w:after="0" w:line="21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231F20"/>
        </w:rPr>
        <w:t>During the three months ended September 30, 2023, the Company recognized income of $5.9 million related to the change in the fair value of the warrant liabilities, an increase of $1.6 million, as compared to income of $4.3 million during the three months ended September 30, 2022, driven by the fluctuation of the Company’s stock price.</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During the three months ended September 30, 2023, the Company recognized other income of $4.9 million primarily related to payments received for the Employee Retention Credit under the Coronavirus Aid, Relief, and Economic Security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2023 to Nine Months Ended September 30, 2022</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nine months ended September 30, 2023 and September 30, 2022 have been derived from the condensed consolidated financial statements included elsewhere in this Quarterly Report on Form 10-Q. Amounts and percentages may not foot due to rounding.</w:t>
      </w:r>
    </w:p>
    <w:p>
      <w:pPr>
        <w:spacing w:after="0" w:line="1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231F20"/>
        </w:rPr>
        <w:t>The following discussion has been amended to reflect the Company’s revision of previously issued consolidated financial statements to correct for prior period misstatements, which the Company concluded were immaterial to the previously issued consolidated financial statements, and did not, either individually or in the aggregate, result in a material misstatement of its previously issued consolidated financial statements. Further information regarding the revision is included in Part I, Item 1 Note 16 to the condensed consolidated financial statements of this Quarterly Report on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5"/>
          </w:tcPr>
          <w:p>
            <w:pPr>
              <w:ind w:left="540"/>
              <w:spacing w:after="0"/>
              <w:rPr>
                <w:sz w:val="20"/>
                <w:szCs w:val="20"/>
                <w:color w:val="auto"/>
              </w:rPr>
            </w:pPr>
            <w:r>
              <w:rPr>
                <w:rFonts w:ascii="Arial" w:cs="Arial" w:eastAsia="Arial" w:hAnsi="Arial"/>
                <w:sz w:val="14"/>
                <w:szCs w:val="14"/>
                <w:b w:val="1"/>
                <w:bCs w:val="1"/>
                <w:color w:val="231F20"/>
              </w:rPr>
              <w:t>Nine Months Ended September 30,</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60" w:type="dxa"/>
            <w:vAlign w:val="bottom"/>
            <w:vMerge w:val="restart"/>
          </w:tcPr>
          <w:p>
            <w:pPr>
              <w:ind w:left="80"/>
              <w:spacing w:after="0"/>
              <w:rPr>
                <w:sz w:val="20"/>
                <w:szCs w:val="20"/>
                <w:color w:val="auto"/>
              </w:rPr>
            </w:pPr>
            <w:r>
              <w:rPr>
                <w:rFonts w:ascii="Arial" w:cs="Arial" w:eastAsia="Arial" w:hAnsi="Arial"/>
                <w:sz w:val="14"/>
                <w:szCs w:val="14"/>
                <w:b w:val="1"/>
                <w:bCs w:val="1"/>
                <w:color w:val="231F20"/>
              </w:rPr>
              <w:t>(in millions)</w:t>
            </w: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6"/>
                <w:szCs w:val="16"/>
                <w:color w:val="auto"/>
              </w:rPr>
            </w:pPr>
          </w:p>
        </w:tc>
        <w:tc>
          <w:tcPr>
            <w:tcW w:w="1680" w:type="dxa"/>
            <w:vAlign w:val="bottom"/>
            <w:gridSpan w:val="2"/>
          </w:tcPr>
          <w:p>
            <w:pPr>
              <w:ind w:left="320"/>
              <w:spacing w:after="0"/>
              <w:rPr>
                <w:sz w:val="20"/>
                <w:szCs w:val="20"/>
                <w:color w:val="auto"/>
              </w:rPr>
            </w:pPr>
            <w:r>
              <w:rPr>
                <w:rFonts w:ascii="Arial" w:cs="Arial" w:eastAsia="Arial" w:hAnsi="Arial"/>
                <w:sz w:val="14"/>
                <w:szCs w:val="14"/>
                <w:b w:val="1"/>
                <w:bCs w:val="1"/>
                <w:color w:val="231F20"/>
              </w:rPr>
              <w:t>% of Net Sales</w:t>
            </w: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1540" w:type="dxa"/>
            <w:vAlign w:val="bottom"/>
          </w:tcPr>
          <w:p>
            <w:pPr>
              <w:jc w:val="right"/>
              <w:ind w:right="231"/>
              <w:spacing w:after="0"/>
              <w:rPr>
                <w:sz w:val="20"/>
                <w:szCs w:val="20"/>
                <w:color w:val="auto"/>
              </w:rPr>
            </w:pPr>
            <w:r>
              <w:rPr>
                <w:rFonts w:ascii="Arial" w:cs="Arial" w:eastAsia="Arial" w:hAnsi="Arial"/>
                <w:sz w:val="14"/>
                <w:szCs w:val="14"/>
                <w:b w:val="1"/>
                <w:bCs w:val="1"/>
                <w:color w:val="231F20"/>
              </w:rPr>
              <w:t>% of Net Sales</w:t>
            </w:r>
          </w:p>
        </w:tc>
        <w:tc>
          <w:tcPr>
            <w:tcW w:w="0" w:type="dxa"/>
            <w:vAlign w:val="bottom"/>
          </w:tcPr>
          <w:p>
            <w:pPr>
              <w:spacing w:after="0"/>
              <w:rPr>
                <w:sz w:val="1"/>
                <w:szCs w:val="1"/>
                <w:color w:val="auto"/>
              </w:rPr>
            </w:pPr>
          </w:p>
        </w:tc>
      </w:tr>
      <w:tr>
        <w:trPr>
          <w:trHeight w:val="230"/>
        </w:trPr>
        <w:tc>
          <w:tcPr>
            <w:tcW w:w="50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Net sales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301.2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267.7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100.0 %</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Cost of sales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191.7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231F20"/>
              </w:rPr>
              <w:t>63.7</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85.5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231F20"/>
              </w:rPr>
              <w:t>31.9</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Gross profit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109.4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36.3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182.3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231F20"/>
              </w:rPr>
              <w:t>68.1</w:t>
            </w:r>
          </w:p>
        </w:tc>
        <w:tc>
          <w:tcPr>
            <w:tcW w:w="0" w:type="dxa"/>
            <w:vAlign w:val="bottom"/>
          </w:tcPr>
          <w:p>
            <w:pPr>
              <w:spacing w:after="0"/>
              <w:rPr>
                <w:sz w:val="1"/>
                <w:szCs w:val="1"/>
                <w:color w:val="auto"/>
              </w:rPr>
            </w:pPr>
          </w:p>
        </w:tc>
      </w:tr>
      <w:tr>
        <w:trPr>
          <w:trHeight w:val="230"/>
        </w:trPr>
        <w:tc>
          <w:tcPr>
            <w:tcW w:w="5060" w:type="dxa"/>
            <w:vAlign w:val="bottom"/>
          </w:tcPr>
          <w:p>
            <w:pPr>
              <w:ind w:left="80"/>
              <w:spacing w:after="0"/>
              <w:rPr>
                <w:sz w:val="20"/>
                <w:szCs w:val="20"/>
                <w:color w:val="auto"/>
              </w:rPr>
            </w:pPr>
            <w:r>
              <w:rPr>
                <w:rFonts w:ascii="Arial" w:cs="Arial" w:eastAsia="Arial" w:hAnsi="Arial"/>
                <w:sz w:val="18"/>
                <w:szCs w:val="18"/>
                <w:color w:val="231F20"/>
              </w:rPr>
              <w:t>Operating expenses: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Selling and marketing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231F20"/>
              </w:rPr>
              <w:t>37.3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121.1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231F20"/>
              </w:rPr>
              <w:t>45.2</w:t>
            </w:r>
          </w:p>
        </w:tc>
        <w:tc>
          <w:tcPr>
            <w:tcW w:w="0" w:type="dxa"/>
            <w:vAlign w:val="bottom"/>
          </w:tcPr>
          <w:p>
            <w:pPr>
              <w:spacing w:after="0"/>
              <w:rPr>
                <w:sz w:val="1"/>
                <w:szCs w:val="1"/>
                <w:color w:val="auto"/>
              </w:rPr>
            </w:pPr>
          </w:p>
        </w:tc>
      </w:tr>
      <w:tr>
        <w:trPr>
          <w:trHeight w:val="230"/>
        </w:trPr>
        <w:tc>
          <w:tcPr>
            <w:tcW w:w="5060" w:type="dxa"/>
            <w:vAlign w:val="bottom"/>
          </w:tcPr>
          <w:p>
            <w:pPr>
              <w:ind w:left="580"/>
              <w:spacing w:after="0"/>
              <w:rPr>
                <w:sz w:val="20"/>
                <w:szCs w:val="20"/>
                <w:color w:val="auto"/>
              </w:rPr>
            </w:pPr>
            <w:r>
              <w:rPr>
                <w:rFonts w:ascii="Arial" w:cs="Arial" w:eastAsia="Arial" w:hAnsi="Arial"/>
                <w:sz w:val="18"/>
                <w:szCs w:val="18"/>
                <w:color w:val="231F20"/>
              </w:rPr>
              <w:t>Research and development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7.1</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231F20"/>
              </w:rPr>
              <w:t>2.3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7.0</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231F20"/>
              </w:rPr>
              <w:t>2.6</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580"/>
              <w:spacing w:after="0"/>
              <w:rPr>
                <w:sz w:val="20"/>
                <w:szCs w:val="20"/>
                <w:color w:val="auto"/>
              </w:rPr>
            </w:pPr>
            <w:r>
              <w:rPr>
                <w:rFonts w:ascii="Arial" w:cs="Arial" w:eastAsia="Arial" w:hAnsi="Arial"/>
                <w:sz w:val="18"/>
                <w:szCs w:val="18"/>
                <w:color w:val="231F20"/>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102.5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231F20"/>
              </w:rPr>
              <w:t>34.0</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77.6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231F20"/>
              </w:rPr>
              <w:t>29.0</w:t>
            </w:r>
          </w:p>
        </w:tc>
        <w:tc>
          <w:tcPr>
            <w:tcW w:w="0" w:type="dxa"/>
            <w:vAlign w:val="bottom"/>
          </w:tcPr>
          <w:p>
            <w:pPr>
              <w:spacing w:after="0"/>
              <w:rPr>
                <w:sz w:val="1"/>
                <w:szCs w:val="1"/>
                <w:color w:val="auto"/>
              </w:rPr>
            </w:pPr>
          </w:p>
        </w:tc>
      </w:tr>
      <w:tr>
        <w:trPr>
          <w:trHeight w:val="223"/>
        </w:trPr>
        <w:tc>
          <w:tcPr>
            <w:tcW w:w="5060" w:type="dxa"/>
            <w:vAlign w:val="bottom"/>
          </w:tcPr>
          <w:p>
            <w:pPr>
              <w:ind w:left="900"/>
              <w:spacing w:after="0"/>
              <w:rPr>
                <w:sz w:val="20"/>
                <w:szCs w:val="20"/>
                <w:color w:val="auto"/>
              </w:rPr>
            </w:pPr>
            <w:r>
              <w:rPr>
                <w:rFonts w:ascii="Arial" w:cs="Arial" w:eastAsia="Arial" w:hAnsi="Arial"/>
                <w:sz w:val="18"/>
                <w:szCs w:val="18"/>
                <w:color w:val="231F20"/>
              </w:rPr>
              <w:t>Total operating expenses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222.0</w:t>
            </w:r>
          </w:p>
        </w:tc>
        <w:tc>
          <w:tcPr>
            <w:tcW w:w="10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231F20"/>
              </w:rPr>
              <w:t>73.7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205.7</w:t>
            </w:r>
          </w:p>
        </w:tc>
        <w:tc>
          <w:tcPr>
            <w:tcW w:w="100" w:type="dxa"/>
            <w:vAlign w:val="bottom"/>
          </w:tcPr>
          <w:p>
            <w:pPr>
              <w:spacing w:after="0"/>
              <w:rPr>
                <w:sz w:val="19"/>
                <w:szCs w:val="19"/>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231F20"/>
              </w:rPr>
              <w:t>76.8</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Loss from operations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(112.6)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(37.4)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231F20"/>
              </w:rPr>
              <w:t>(8.7)</w:t>
            </w:r>
          </w:p>
        </w:tc>
        <w:tc>
          <w:tcPr>
            <w:tcW w:w="0" w:type="dxa"/>
            <w:vAlign w:val="bottom"/>
          </w:tcPr>
          <w:p>
            <w:pPr>
              <w:spacing w:after="0"/>
              <w:rPr>
                <w:sz w:val="1"/>
                <w:szCs w:val="1"/>
                <w:color w:val="auto"/>
              </w:rPr>
            </w:pPr>
          </w:p>
        </w:tc>
      </w:tr>
      <w:tr>
        <w:trPr>
          <w:trHeight w:val="230"/>
        </w:trPr>
        <w:tc>
          <w:tcPr>
            <w:tcW w:w="5060" w:type="dxa"/>
            <w:vAlign w:val="bottom"/>
          </w:tcPr>
          <w:p>
            <w:pPr>
              <w:ind w:left="460"/>
              <w:spacing w:after="0"/>
              <w:rPr>
                <w:sz w:val="20"/>
                <w:szCs w:val="20"/>
                <w:color w:val="auto"/>
              </w:rPr>
            </w:pPr>
            <w:r>
              <w:rPr>
                <w:rFonts w:ascii="Arial" w:cs="Arial" w:eastAsia="Arial" w:hAnsi="Arial"/>
                <w:sz w:val="18"/>
                <w:szCs w:val="18"/>
                <w:color w:val="231F20"/>
              </w:rPr>
              <w:t>Interest expense, net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10.3</w:t>
            </w:r>
          </w:p>
        </w:tc>
        <w:tc>
          <w:tcPr>
            <w:tcW w:w="100" w:type="dxa"/>
            <w:vAlign w:val="bottom"/>
          </w:tcPr>
          <w:p>
            <w:pPr>
              <w:spacing w:after="0"/>
              <w:rPr>
                <w:sz w:val="20"/>
                <w:szCs w:val="20"/>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231F20"/>
              </w:rPr>
              <w:t>3.4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10.0</w:t>
            </w:r>
          </w:p>
        </w:tc>
        <w:tc>
          <w:tcPr>
            <w:tcW w:w="100" w:type="dxa"/>
            <w:vAlign w:val="bottom"/>
          </w:tcPr>
          <w:p>
            <w:pPr>
              <w:spacing w:after="0"/>
              <w:rPr>
                <w:sz w:val="20"/>
                <w:szCs w:val="20"/>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231F20"/>
              </w:rPr>
              <w:t>3.7</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231F20"/>
              </w:rPr>
              <w:t>Interest income</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rPr>
              <w:t>(5.6)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231F20"/>
              </w:rPr>
              <w:t>(1.3)</w:t>
            </w:r>
          </w:p>
        </w:tc>
        <w:tc>
          <w:tcPr>
            <w:tcW w:w="0" w:type="dxa"/>
            <w:vAlign w:val="bottom"/>
          </w:tcPr>
          <w:p>
            <w:pPr>
              <w:spacing w:after="0"/>
              <w:rPr>
                <w:sz w:val="1"/>
                <w:szCs w:val="1"/>
                <w:color w:val="auto"/>
              </w:rPr>
            </w:pPr>
          </w:p>
        </w:tc>
      </w:tr>
      <w:tr>
        <w:trPr>
          <w:trHeight w:val="230"/>
        </w:trPr>
        <w:tc>
          <w:tcPr>
            <w:tcW w:w="5060" w:type="dxa"/>
            <w:vAlign w:val="bottom"/>
          </w:tcPr>
          <w:p>
            <w:pPr>
              <w:ind w:left="460"/>
              <w:spacing w:after="0"/>
              <w:rPr>
                <w:sz w:val="20"/>
                <w:szCs w:val="20"/>
                <w:color w:val="auto"/>
              </w:rPr>
            </w:pPr>
            <w:r>
              <w:rPr>
                <w:rFonts w:ascii="Arial" w:cs="Arial" w:eastAsia="Arial" w:hAnsi="Arial"/>
                <w:sz w:val="18"/>
                <w:szCs w:val="18"/>
                <w:color w:val="231F20"/>
              </w:rPr>
              <w:t>Other (income) expense, net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(5.3)</w:t>
            </w:r>
          </w:p>
        </w:tc>
        <w:tc>
          <w:tcPr>
            <w:tcW w:w="100" w:type="dxa"/>
            <w:vAlign w:val="bottom"/>
          </w:tcPr>
          <w:p>
            <w:pPr>
              <w:spacing w:after="0"/>
              <w:rPr>
                <w:sz w:val="20"/>
                <w:szCs w:val="20"/>
                <w:color w:val="auto"/>
              </w:rPr>
            </w:pPr>
          </w:p>
        </w:tc>
        <w:tc>
          <w:tcPr>
            <w:tcW w:w="1540" w:type="dxa"/>
            <w:vAlign w:val="bottom"/>
          </w:tcPr>
          <w:p>
            <w:pPr>
              <w:jc w:val="right"/>
              <w:ind w:right="92"/>
              <w:spacing w:after="0"/>
              <w:rPr>
                <w:sz w:val="20"/>
                <w:szCs w:val="20"/>
                <w:color w:val="auto"/>
              </w:rPr>
            </w:pPr>
            <w:r>
              <w:rPr>
                <w:rFonts w:ascii="Arial" w:cs="Arial" w:eastAsia="Arial" w:hAnsi="Arial"/>
                <w:sz w:val="18"/>
                <w:szCs w:val="18"/>
                <w:color w:val="231F20"/>
              </w:rPr>
              <w:t>(1.8)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0.4</w:t>
            </w:r>
          </w:p>
        </w:tc>
        <w:tc>
          <w:tcPr>
            <w:tcW w:w="100" w:type="dxa"/>
            <w:vAlign w:val="bottom"/>
          </w:tcPr>
          <w:p>
            <w:pPr>
              <w:spacing w:after="0"/>
              <w:rPr>
                <w:sz w:val="20"/>
                <w:szCs w:val="20"/>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231F20"/>
              </w:rPr>
              <w:t>0.1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231F20"/>
              </w:rPr>
              <w:t>Change in fair value of warrant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231F20"/>
              </w:rPr>
              <w:t>(2.8)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(71.5)</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231F20"/>
              </w:rPr>
              <w:t>(26.7)</w:t>
            </w:r>
          </w:p>
        </w:tc>
        <w:tc>
          <w:tcPr>
            <w:tcW w:w="0" w:type="dxa"/>
            <w:vAlign w:val="bottom"/>
          </w:tcPr>
          <w:p>
            <w:pPr>
              <w:spacing w:after="0"/>
              <w:rPr>
                <w:sz w:val="1"/>
                <w:szCs w:val="1"/>
                <w:color w:val="auto"/>
              </w:rPr>
            </w:pPr>
          </w:p>
        </w:tc>
      </w:tr>
      <w:tr>
        <w:trPr>
          <w:trHeight w:val="230"/>
        </w:trPr>
        <w:tc>
          <w:tcPr>
            <w:tcW w:w="5060" w:type="dxa"/>
            <w:vAlign w:val="bottom"/>
          </w:tcPr>
          <w:p>
            <w:pPr>
              <w:ind w:left="460"/>
              <w:spacing w:after="0"/>
              <w:rPr>
                <w:sz w:val="20"/>
                <w:szCs w:val="20"/>
                <w:color w:val="auto"/>
              </w:rPr>
            </w:pPr>
            <w:r>
              <w:rPr>
                <w:rFonts w:ascii="Arial" w:cs="Arial" w:eastAsia="Arial" w:hAnsi="Arial"/>
                <w:sz w:val="18"/>
                <w:szCs w:val="18"/>
                <w:color w:val="231F20"/>
              </w:rPr>
              <w:t>Foreign currency transaction loss, net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231F20"/>
              </w:rPr>
              <w:t>0.7</w:t>
            </w:r>
          </w:p>
        </w:tc>
        <w:tc>
          <w:tcPr>
            <w:tcW w:w="100" w:type="dxa"/>
            <w:vAlign w:val="bottom"/>
          </w:tcPr>
          <w:p>
            <w:pPr>
              <w:spacing w:after="0"/>
              <w:rPr>
                <w:sz w:val="20"/>
                <w:szCs w:val="20"/>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231F20"/>
              </w:rPr>
              <w:t>0.2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1.8</w:t>
            </w:r>
          </w:p>
        </w:tc>
        <w:tc>
          <w:tcPr>
            <w:tcW w:w="100" w:type="dxa"/>
            <w:vAlign w:val="bottom"/>
          </w:tcPr>
          <w:p>
            <w:pPr>
              <w:spacing w:after="0"/>
              <w:rPr>
                <w:sz w:val="20"/>
                <w:szCs w:val="20"/>
                <w:color w:val="auto"/>
              </w:rPr>
            </w:pPr>
          </w:p>
        </w:tc>
        <w:tc>
          <w:tcPr>
            <w:tcW w:w="1540" w:type="dxa"/>
            <w:vAlign w:val="bottom"/>
          </w:tcPr>
          <w:p>
            <w:pPr>
              <w:jc w:val="right"/>
              <w:ind w:right="131"/>
              <w:spacing w:after="0"/>
              <w:rPr>
                <w:sz w:val="20"/>
                <w:szCs w:val="20"/>
                <w:color w:val="auto"/>
              </w:rPr>
            </w:pPr>
            <w:r>
              <w:rPr>
                <w:rFonts w:ascii="Arial" w:cs="Arial" w:eastAsia="Arial" w:hAnsi="Arial"/>
                <w:sz w:val="18"/>
                <w:szCs w:val="18"/>
                <w:color w:val="231F20"/>
              </w:rPr>
              <w:t>0.7</w:t>
            </w:r>
          </w:p>
        </w:tc>
        <w:tc>
          <w:tcPr>
            <w:tcW w:w="0" w:type="dxa"/>
            <w:vAlign w:val="bottom"/>
          </w:tcPr>
          <w:p>
            <w:pPr>
              <w:spacing w:after="0"/>
              <w:rPr>
                <w:sz w:val="1"/>
                <w:szCs w:val="1"/>
                <w:color w:val="auto"/>
              </w:rPr>
            </w:pPr>
          </w:p>
        </w:tc>
      </w:tr>
      <w:tr>
        <w:trPr>
          <w:trHeight w:val="26"/>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231F20"/>
              </w:rPr>
              <w:t>Loss (income) before provision for income taxes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(93.1)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231F20"/>
              </w:rPr>
              <w:t>(30.9)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39.6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231F20"/>
              </w:rPr>
              <w:t>14.8</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231F20"/>
              </w:rPr>
              <w:t>Income tax (benefit)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(2.4)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231F20"/>
              </w:rPr>
              <w:t>(0.8)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31F20"/>
              </w:rPr>
              <w:t>1.9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231F20"/>
              </w:rPr>
              <w:t>0.7</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231F20"/>
              </w:rPr>
              <w:t>Net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(30.1)%</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14.1 %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231F20"/>
        </w:rPr>
        <w:t>Net Sales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40"/>
              <w:spacing w:after="0"/>
              <w:rPr>
                <w:sz w:val="20"/>
                <w:szCs w:val="20"/>
                <w:color w:val="auto"/>
              </w:rPr>
            </w:pPr>
            <w:r>
              <w:rPr>
                <w:rFonts w:ascii="Arial" w:cs="Arial" w:eastAsia="Arial" w:hAnsi="Arial"/>
                <w:sz w:val="14"/>
                <w:szCs w:val="14"/>
                <w:b w:val="1"/>
                <w:bCs w:val="1"/>
                <w:color w:val="231F20"/>
              </w:rPr>
              <w:t>Nine Months Ended September 30,</w:t>
            </w:r>
          </w:p>
        </w:tc>
        <w:tc>
          <w:tcPr>
            <w:tcW w:w="280" w:type="dxa"/>
            <w:vAlign w:val="bottom"/>
          </w:tcPr>
          <w:p>
            <w:pPr>
              <w:spacing w:after="0"/>
              <w:rPr>
                <w:sz w:val="16"/>
                <w:szCs w:val="16"/>
                <w:color w:val="auto"/>
              </w:rPr>
            </w:pPr>
          </w:p>
        </w:tc>
        <w:tc>
          <w:tcPr>
            <w:tcW w:w="1680" w:type="dxa"/>
            <w:vAlign w:val="bottom"/>
            <w:gridSpan w:val="3"/>
          </w:tcPr>
          <w:p>
            <w:pPr>
              <w:ind w:left="1000"/>
              <w:spacing w:after="0"/>
              <w:rPr>
                <w:sz w:val="20"/>
                <w:szCs w:val="20"/>
                <w:color w:val="auto"/>
              </w:rPr>
            </w:pPr>
            <w:r>
              <w:rPr>
                <w:rFonts w:ascii="Arial" w:cs="Arial" w:eastAsia="Arial" w:hAnsi="Arial"/>
                <w:sz w:val="14"/>
                <w:szCs w:val="14"/>
                <w:b w:val="1"/>
                <w:bCs w:val="1"/>
                <w:color w:val="231F20"/>
              </w:rPr>
              <w:t>Change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7"/>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ind w:left="160"/>
              <w:spacing w:after="0"/>
              <w:rPr>
                <w:sz w:val="20"/>
                <w:szCs w:val="20"/>
                <w:color w:val="auto"/>
              </w:rPr>
            </w:pPr>
            <w:r>
              <w:rPr>
                <w:rFonts w:ascii="Arial" w:cs="Arial" w:eastAsia="Arial" w:hAnsi="Arial"/>
                <w:sz w:val="14"/>
                <w:szCs w:val="14"/>
                <w:b w:val="1"/>
                <w:bCs w:val="1"/>
                <w:color w:val="231F20"/>
              </w:rPr>
              <w:t>Amount</w:t>
            </w:r>
          </w:p>
        </w:tc>
        <w:tc>
          <w:tcPr>
            <w:tcW w:w="1060" w:type="dxa"/>
            <w:vAlign w:val="bottom"/>
          </w:tcPr>
          <w:p>
            <w:pPr>
              <w:jc w:val="right"/>
              <w:ind w:right="615"/>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1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Net sales</w:t>
            </w: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231F20"/>
              </w:rPr>
              <w:t>Delivery Systems</w:t>
            </w:r>
          </w:p>
        </w:tc>
        <w:tc>
          <w:tcPr>
            <w:tcW w:w="240" w:type="dxa"/>
            <w:vAlign w:val="bottom"/>
          </w:tcPr>
          <w:p>
            <w:pPr>
              <w:jc w:val="right"/>
              <w:ind w:right="30"/>
              <w:spacing w:after="0"/>
              <w:rPr>
                <w:sz w:val="20"/>
                <w:szCs w:val="20"/>
                <w:color w:val="auto"/>
              </w:rPr>
            </w:pPr>
            <w:r>
              <w:rPr>
                <w:rFonts w:ascii="Arial" w:cs="Arial" w:eastAsia="Arial" w:hAnsi="Arial"/>
                <w:sz w:val="18"/>
                <w:szCs w:val="18"/>
                <w:color w:val="231F20"/>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231F20"/>
              </w:rPr>
              <w:t>162.0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231F20"/>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231F20"/>
              </w:rPr>
              <w:t>155.5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231F20"/>
              </w:rPr>
              <w:t>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4.2 %</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231F20"/>
              </w:rPr>
              <w:t>Consumables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139.2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112.2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rPr>
              <w:t>24.0 %</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8"/>
                <w:szCs w:val="18"/>
                <w:color w:val="231F20"/>
              </w:rPr>
              <w:t>Total net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231F20"/>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301.2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267.7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231F20"/>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33.4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231F20"/>
              </w:rPr>
              <w:t>12.5 %</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Total net sales for the </w:t>
      </w:r>
      <w:r>
        <w:rPr>
          <w:rFonts w:ascii="Arial" w:cs="Arial" w:eastAsia="Arial" w:hAnsi="Arial"/>
          <w:sz w:val="17"/>
          <w:szCs w:val="17"/>
          <w:color w:val="231F20"/>
        </w:rPr>
        <w:t>nine months</w:t>
      </w:r>
      <w:r>
        <w:rPr>
          <w:rFonts w:ascii="Arial" w:cs="Arial" w:eastAsia="Arial" w:hAnsi="Arial"/>
          <w:sz w:val="17"/>
          <w:szCs w:val="17"/>
          <w:color w:val="auto"/>
        </w:rPr>
        <w:t xml:space="preserve"> ended September 30, 2023 increased $33.4 million, or 12.5%, compared to the </w:t>
      </w:r>
      <w:r>
        <w:rPr>
          <w:rFonts w:ascii="Arial" w:cs="Arial" w:eastAsia="Arial" w:hAnsi="Arial"/>
          <w:sz w:val="17"/>
          <w:szCs w:val="17"/>
          <w:color w:val="231F20"/>
        </w:rPr>
        <w:t>nine months</w:t>
      </w:r>
      <w:r>
        <w:rPr>
          <w:rFonts w:ascii="Arial" w:cs="Arial" w:eastAsia="Arial" w:hAnsi="Arial"/>
          <w:sz w:val="17"/>
          <w:szCs w:val="17"/>
          <w:color w:val="auto"/>
        </w:rPr>
        <w:t xml:space="preserve"> ended September 30, 2022. Total net sales for the </w:t>
      </w:r>
      <w:r>
        <w:rPr>
          <w:rFonts w:ascii="Arial" w:cs="Arial" w:eastAsia="Arial" w:hAnsi="Arial"/>
          <w:sz w:val="17"/>
          <w:szCs w:val="17"/>
          <w:color w:val="231F20"/>
        </w:rPr>
        <w:t>nine months</w:t>
      </w:r>
      <w:r>
        <w:rPr>
          <w:rFonts w:ascii="Arial" w:cs="Arial" w:eastAsia="Arial" w:hAnsi="Arial"/>
          <w:sz w:val="17"/>
          <w:szCs w:val="17"/>
          <w:color w:val="auto"/>
        </w:rPr>
        <w:t xml:space="preserve"> ended September 30, 2023 increased primarily due to strength in Consumable sales in the Americas and EMEA. Total net sales of Delivery Systems for the </w:t>
      </w:r>
      <w:r>
        <w:rPr>
          <w:rFonts w:ascii="Arial" w:cs="Arial" w:eastAsia="Arial" w:hAnsi="Arial"/>
          <w:sz w:val="17"/>
          <w:szCs w:val="17"/>
          <w:color w:val="231F20"/>
        </w:rPr>
        <w:t>nine months</w:t>
      </w:r>
      <w:r>
        <w:rPr>
          <w:rFonts w:ascii="Arial" w:cs="Arial" w:eastAsia="Arial" w:hAnsi="Arial"/>
          <w:sz w:val="17"/>
          <w:szCs w:val="17"/>
          <w:color w:val="auto"/>
        </w:rPr>
        <w:t xml:space="preserve"> ended September 30, 2023 increased in APAC and EMEA, which was offset by decreases in the Americas, which was impacted by provider experience challenges with Syndeo creating lower than expected demand. The prior year net sales of Delivery Systems in the Americas included the impact of the launch of Hydrafacial’s Delivery System Syndeo (“Syndeo”), which included trade-up net sales. The increase in Consumables net sales was primarily attributable to increased placements of Delivery Systems and the adjoining consumption of Consumables during the </w:t>
      </w:r>
      <w:r>
        <w:rPr>
          <w:rFonts w:ascii="Arial" w:cs="Arial" w:eastAsia="Arial" w:hAnsi="Arial"/>
          <w:sz w:val="17"/>
          <w:szCs w:val="17"/>
          <w:color w:val="231F20"/>
        </w:rPr>
        <w:t>nine months</w:t>
      </w:r>
      <w:r>
        <w:rPr>
          <w:rFonts w:ascii="Arial" w:cs="Arial" w:eastAsia="Arial" w:hAnsi="Arial"/>
          <w:sz w:val="17"/>
          <w:szCs w:val="17"/>
          <w:color w:val="auto"/>
        </w:rPr>
        <w:t xml:space="preserve"> ended September 30, 2023.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231F20"/>
              </w:rPr>
              <w:t>Nine Months Ended September 30,</w:t>
            </w:r>
          </w:p>
        </w:tc>
        <w:tc>
          <w:tcPr>
            <w:tcW w:w="280" w:type="dxa"/>
            <w:vAlign w:val="bottom"/>
          </w:tcPr>
          <w:p>
            <w:pPr>
              <w:spacing w:after="0"/>
              <w:rPr>
                <w:sz w:val="16"/>
                <w:szCs w:val="16"/>
                <w:color w:val="auto"/>
              </w:rPr>
            </w:pPr>
          </w:p>
        </w:tc>
        <w:tc>
          <w:tcPr>
            <w:tcW w:w="1680" w:type="dxa"/>
            <w:vAlign w:val="bottom"/>
            <w:gridSpan w:val="3"/>
          </w:tcPr>
          <w:p>
            <w:pPr>
              <w:ind w:left="980"/>
              <w:spacing w:after="0"/>
              <w:rPr>
                <w:sz w:val="20"/>
                <w:szCs w:val="20"/>
                <w:color w:val="auto"/>
              </w:rPr>
            </w:pPr>
            <w:r>
              <w:rPr>
                <w:rFonts w:ascii="Arial" w:cs="Arial" w:eastAsia="Arial" w:hAnsi="Arial"/>
                <w:sz w:val="14"/>
                <w:szCs w:val="14"/>
                <w:b w:val="1"/>
                <w:bCs w:val="1"/>
                <w:color w:val="231F20"/>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7"/>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ind w:left="160"/>
              <w:spacing w:after="0"/>
              <w:rPr>
                <w:sz w:val="20"/>
                <w:szCs w:val="20"/>
                <w:color w:val="auto"/>
              </w:rPr>
            </w:pPr>
            <w:r>
              <w:rPr>
                <w:rFonts w:ascii="Arial" w:cs="Arial" w:eastAsia="Arial" w:hAnsi="Arial"/>
                <w:sz w:val="14"/>
                <w:szCs w:val="14"/>
                <w:b w:val="1"/>
                <w:bCs w:val="1"/>
                <w:color w:val="231F20"/>
              </w:rPr>
              <w:t>Amount</w:t>
            </w:r>
          </w:p>
        </w:tc>
        <w:tc>
          <w:tcPr>
            <w:tcW w:w="1040" w:type="dxa"/>
            <w:vAlign w:val="bottom"/>
          </w:tcPr>
          <w:p>
            <w:pPr>
              <w:jc w:val="right"/>
              <w:ind w:right="616"/>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2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Cost of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231F20"/>
                <w:w w:val="99"/>
              </w:rPr>
              <w:t>$</w:t>
            </w: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231F20"/>
              </w:rPr>
              <w:t>191.7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231F20"/>
                <w:w w:val="99"/>
              </w:rPr>
              <w:t>$</w:t>
            </w: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231F20"/>
              </w:rPr>
              <w:t>85.5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231F20"/>
                <w:w w:val="99"/>
              </w:rPr>
              <w:t>$</w:t>
            </w:r>
          </w:p>
        </w:tc>
        <w:tc>
          <w:tcPr>
            <w:tcW w:w="11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231F20"/>
              </w:rPr>
              <w:t>106.3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124.4 %</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231F20"/>
              </w:rPr>
              <w:t>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231F20"/>
                <w:w w:val="99"/>
              </w:rPr>
              <w:t>$</w:t>
            </w:r>
          </w:p>
        </w:tc>
        <w:tc>
          <w:tcPr>
            <w:tcW w:w="1220" w:type="dxa"/>
            <w:vAlign w:val="bottom"/>
          </w:tcPr>
          <w:p>
            <w:pPr>
              <w:jc w:val="right"/>
              <w:ind w:right="137"/>
              <w:spacing w:after="0"/>
              <w:rPr>
                <w:sz w:val="20"/>
                <w:szCs w:val="20"/>
                <w:color w:val="auto"/>
              </w:rPr>
            </w:pPr>
            <w:r>
              <w:rPr>
                <w:rFonts w:ascii="Arial" w:cs="Arial" w:eastAsia="Arial" w:hAnsi="Arial"/>
                <w:sz w:val="18"/>
                <w:szCs w:val="18"/>
                <w:color w:val="231F20"/>
              </w:rPr>
              <w:t>109.4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231F20"/>
                <w:w w:val="99"/>
              </w:rPr>
              <w:t>$</w:t>
            </w:r>
          </w:p>
        </w:tc>
        <w:tc>
          <w:tcPr>
            <w:tcW w:w="1160" w:type="dxa"/>
            <w:vAlign w:val="bottom"/>
          </w:tcPr>
          <w:p>
            <w:pPr>
              <w:jc w:val="right"/>
              <w:ind w:right="135"/>
              <w:spacing w:after="0"/>
              <w:rPr>
                <w:sz w:val="20"/>
                <w:szCs w:val="20"/>
                <w:color w:val="auto"/>
              </w:rPr>
            </w:pPr>
            <w:r>
              <w:rPr>
                <w:rFonts w:ascii="Arial" w:cs="Arial" w:eastAsia="Arial" w:hAnsi="Arial"/>
                <w:sz w:val="18"/>
                <w:szCs w:val="18"/>
                <w:color w:val="231F20"/>
              </w:rPr>
              <w:t>182.3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231F20"/>
                <w:w w:val="99"/>
              </w:rPr>
              <w:t>$</w:t>
            </w:r>
          </w:p>
        </w:tc>
        <w:tc>
          <w:tcPr>
            <w:tcW w:w="1100" w:type="dxa"/>
            <w:vAlign w:val="bottom"/>
          </w:tcPr>
          <w:p>
            <w:pPr>
              <w:ind w:left="640"/>
              <w:spacing w:after="0"/>
              <w:rPr>
                <w:sz w:val="20"/>
                <w:szCs w:val="20"/>
                <w:color w:val="auto"/>
              </w:rPr>
            </w:pPr>
            <w:r>
              <w:rPr>
                <w:rFonts w:ascii="Arial" w:cs="Arial" w:eastAsia="Arial" w:hAnsi="Arial"/>
                <w:sz w:val="18"/>
                <w:szCs w:val="18"/>
                <w:color w:val="231F20"/>
                <w:w w:val="93"/>
              </w:rPr>
              <w:t>(72.9)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231F20"/>
              </w:rPr>
              <w:t>(40.0)%</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Gross margin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68.1 %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231F20"/>
        </w:rPr>
        <w:t xml:space="preserve">Cost of sales for the nine months ended September 30, 2023 increased $106.3 million, or 124.4%, compared to the nine months ended September 30, 2022, primarily driven by $63.1 million of inventory write-downs and charges associated with the Syndeo Program, </w:t>
      </w:r>
      <w:r>
        <w:rPr>
          <w:rFonts w:ascii="Arial" w:cs="Arial" w:eastAsia="Arial" w:hAnsi="Arial"/>
          <w:sz w:val="16"/>
          <w:szCs w:val="16"/>
          <w:color w:val="000000"/>
        </w:rPr>
        <w:t>$11.9 million in charges for discontinued,</w:t>
      </w:r>
      <w:r>
        <w:rPr>
          <w:rFonts w:ascii="Arial" w:cs="Arial" w:eastAsia="Arial" w:hAnsi="Arial"/>
          <w:sz w:val="16"/>
          <w:szCs w:val="16"/>
          <w:color w:val="231F20"/>
        </w:rPr>
        <w:t xml:space="preserve"> </w:t>
      </w:r>
      <w:r>
        <w:rPr>
          <w:rFonts w:ascii="Arial" w:cs="Arial" w:eastAsia="Arial" w:hAnsi="Arial"/>
          <w:sz w:val="16"/>
          <w:szCs w:val="16"/>
          <w:color w:val="000000"/>
        </w:rPr>
        <w:t xml:space="preserve">excess, or obsolete inventory identified during the nine months ended September 30, 2023, and higher product costs. </w:t>
      </w:r>
      <w:r>
        <w:rPr>
          <w:rFonts w:ascii="Arial" w:cs="Arial" w:eastAsia="Arial" w:hAnsi="Arial"/>
          <w:sz w:val="16"/>
          <w:szCs w:val="16"/>
          <w:color w:val="231F20"/>
        </w:rPr>
        <w:t>Gross margin declined from 68.1%</w:t>
      </w:r>
      <w:r>
        <w:rPr>
          <w:rFonts w:ascii="Arial" w:cs="Arial" w:eastAsia="Arial" w:hAnsi="Arial"/>
          <w:sz w:val="16"/>
          <w:szCs w:val="16"/>
          <w:color w:val="000000"/>
        </w:rPr>
        <w:t xml:space="preserve"> </w:t>
      </w:r>
      <w:r>
        <w:rPr>
          <w:rFonts w:ascii="Arial" w:cs="Arial" w:eastAsia="Arial" w:hAnsi="Arial"/>
          <w:sz w:val="16"/>
          <w:szCs w:val="16"/>
          <w:color w:val="231F20"/>
        </w:rPr>
        <w:t>during the nine months ended September 30, 2022 to 36.3% during the nine months ended September 30, 2023, primarily due to reserves and charges associated with the Syndeo Program, higher charges related to other discontinued, excess, and obsolete products costs, and higher product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231F20"/>
              </w:rPr>
              <w:t>Nine Months Ended September 30,</w:t>
            </w: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79"/>
              <w:spacing w:after="0"/>
              <w:rPr>
                <w:sz w:val="20"/>
                <w:szCs w:val="20"/>
                <w:color w:val="auto"/>
              </w:rPr>
            </w:pPr>
            <w:r>
              <w:rPr>
                <w:rFonts w:ascii="Arial" w:cs="Arial" w:eastAsia="Arial" w:hAnsi="Arial"/>
                <w:sz w:val="14"/>
                <w:szCs w:val="14"/>
                <w:b w:val="1"/>
                <w:bCs w:val="1"/>
                <w:color w:val="231F20"/>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73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39"/>
        </w:trPr>
        <w:tc>
          <w:tcPr>
            <w:tcW w:w="45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Selling and marketing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231F20"/>
              </w:rPr>
              <w:t>112.5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231F20"/>
              </w:rPr>
              <w:t>121.1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(7.1)%</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231F20"/>
              </w:rPr>
              <w:t>37.3 %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45.2 %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231F20"/>
        </w:rPr>
        <w:t>Selling and marketing expense for the nine months ended September 30, 2023 decreased $8.6 million, or 7.1%, compared to the nine months ended September 30, 2022. The decrease was primarily driven by lower sales commission expense and marketing and advertising expense, partially offset by higher personnel related compensation expense which includes higher annual cash incentives, partially offset by lower share-based compensation expense.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231F20"/>
              </w:rPr>
              <w:t>Nine Months Ended 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vMerge w:val="continue"/>
          </w:tcPr>
          <w:p>
            <w:pPr>
              <w:spacing w:after="0"/>
              <w:rPr>
                <w:sz w:val="16"/>
                <w:szCs w:val="16"/>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231F20"/>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4"/>
                <w:szCs w:val="14"/>
                <w:b w:val="1"/>
                <w:bCs w:val="1"/>
                <w:color w:val="231F20"/>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73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Research and development</w:t>
            </w:r>
          </w:p>
        </w:tc>
        <w:tc>
          <w:tcPr>
            <w:tcW w:w="1040" w:type="dxa"/>
            <w:vAlign w:val="bottom"/>
            <w:tcBorders>
              <w:top w:val="single" w:sz="8" w:color="auto"/>
            </w:tcBorders>
            <w:shd w:val="clear" w:color="auto" w:fill="CCEEFF"/>
          </w:tcPr>
          <w:p>
            <w:pPr>
              <w:jc w:val="right"/>
              <w:ind w:right="842"/>
              <w:spacing w:after="0"/>
              <w:rPr>
                <w:sz w:val="20"/>
                <w:szCs w:val="20"/>
                <w:color w:val="auto"/>
              </w:rPr>
            </w:pPr>
            <w:r>
              <w:rPr>
                <w:rFonts w:ascii="Arial" w:cs="Arial" w:eastAsia="Arial" w:hAnsi="Arial"/>
                <w:sz w:val="18"/>
                <w:szCs w:val="18"/>
                <w:color w:val="231F20"/>
                <w:w w:val="99"/>
              </w:rPr>
              <w:t>$</w:t>
            </w:r>
          </w:p>
        </w:tc>
        <w:tc>
          <w:tcPr>
            <w:tcW w:w="5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231F20"/>
              </w:rPr>
              <w:t>7.1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231F20"/>
                <w:w w:val="79"/>
              </w:rPr>
              <w:t>$</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231F20"/>
              </w:rPr>
              <w:t>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231F20"/>
              </w:rPr>
              <w:t>0.1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0.8 %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104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231F20"/>
                <w:w w:val="91"/>
              </w:rPr>
              <w:t>2.3 %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231F20"/>
                <w:w w:val="91"/>
              </w:rPr>
              <w:t>2.6 %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231F20"/>
        </w:rPr>
        <w:t>Research and development expense for the nine months ended September 30, 2023 remained relatively flat as compared to the nine months ended September 30, 2022.</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8" w:name="page29"/>
    <w:bookmarkEnd w:id="28"/>
    <w:p>
      <w:pPr>
        <w:ind w:left="50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231F20"/>
              </w:rPr>
              <w:t>Nine Months Ended September 30,</w:t>
            </w:r>
          </w:p>
        </w:tc>
        <w:tc>
          <w:tcPr>
            <w:tcW w:w="340" w:type="dxa"/>
            <w:vAlign w:val="bottom"/>
          </w:tcPr>
          <w:p>
            <w:pPr>
              <w:spacing w:after="0"/>
              <w:rPr>
                <w:sz w:val="16"/>
                <w:szCs w:val="16"/>
                <w:color w:val="auto"/>
              </w:rPr>
            </w:pPr>
          </w:p>
        </w:tc>
        <w:tc>
          <w:tcPr>
            <w:tcW w:w="1920" w:type="dxa"/>
            <w:vAlign w:val="bottom"/>
            <w:gridSpan w:val="3"/>
          </w:tcPr>
          <w:p>
            <w:pPr>
              <w:ind w:left="1180"/>
              <w:spacing w:after="0"/>
              <w:rPr>
                <w:sz w:val="20"/>
                <w:szCs w:val="20"/>
                <w:color w:val="auto"/>
              </w:rPr>
            </w:pPr>
            <w:r>
              <w:rPr>
                <w:rFonts w:ascii="Arial" w:cs="Arial" w:eastAsia="Arial" w:hAnsi="Arial"/>
                <w:sz w:val="14"/>
                <w:szCs w:val="14"/>
                <w:b w:val="1"/>
                <w:bCs w:val="1"/>
                <w:color w:val="231F20"/>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Arial" w:cs="Arial" w:eastAsia="Arial" w:hAnsi="Arial"/>
                <w:sz w:val="14"/>
                <w:szCs w:val="14"/>
                <w:b w:val="1"/>
                <w:bCs w:val="1"/>
                <w:color w:val="231F20"/>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6"/>
              <w:spacing w:after="0"/>
              <w:rPr>
                <w:sz w:val="20"/>
                <w:szCs w:val="20"/>
                <w:color w:val="auto"/>
              </w:rPr>
            </w:pPr>
            <w:r>
              <w:rPr>
                <w:rFonts w:ascii="Arial" w:cs="Arial" w:eastAsia="Arial" w:hAnsi="Arial"/>
                <w:sz w:val="14"/>
                <w:szCs w:val="14"/>
                <w:b w:val="1"/>
                <w:bCs w:val="1"/>
                <w:color w:val="231F20"/>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3"/>
          </w:tcPr>
          <w:p>
            <w:pPr>
              <w:ind w:left="220"/>
              <w:spacing w:after="0"/>
              <w:rPr>
                <w:sz w:val="20"/>
                <w:szCs w:val="20"/>
                <w:color w:val="auto"/>
              </w:rPr>
            </w:pPr>
            <w:r>
              <w:rPr>
                <w:rFonts w:ascii="Arial" w:cs="Arial" w:eastAsia="Arial" w:hAnsi="Arial"/>
                <w:sz w:val="14"/>
                <w:szCs w:val="14"/>
                <w:b w:val="1"/>
                <w:bCs w:val="1"/>
                <w:color w:val="231F20"/>
              </w:rPr>
              <w:t>Amount</w:t>
            </w:r>
          </w:p>
        </w:tc>
        <w:tc>
          <w:tcPr>
            <w:tcW w:w="1240" w:type="dxa"/>
            <w:vAlign w:val="bottom"/>
          </w:tcPr>
          <w:p>
            <w:pPr>
              <w:jc w:val="right"/>
              <w:ind w:right="739"/>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General and administrative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231F20"/>
                <w:w w:val="9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231F20"/>
              </w:rPr>
              <w:t>102.5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79"/>
              </w:rPr>
              <w:t>$</w:t>
            </w:r>
          </w:p>
        </w:tc>
        <w:tc>
          <w:tcPr>
            <w:tcW w:w="10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231F20"/>
              </w:rPr>
              <w:t>77.6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231F20"/>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231F20"/>
              </w:rPr>
              <w:t>24.8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32.0 %</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i w:val="1"/>
                <w:iCs w:val="1"/>
                <w:color w:val="231F20"/>
              </w:rPr>
              <w:t>As a percentage of net sales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231F20"/>
              </w:rPr>
              <w:t>34.0 %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231F20"/>
                <w:w w:val="89"/>
              </w:rPr>
              <w:t>29.0 %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 xml:space="preserve">General and administrative expense for the </w:t>
      </w:r>
      <w:r>
        <w:rPr>
          <w:rFonts w:ascii="Arial" w:cs="Arial" w:eastAsia="Arial" w:hAnsi="Arial"/>
          <w:sz w:val="16"/>
          <w:szCs w:val="16"/>
          <w:color w:val="231F20"/>
        </w:rPr>
        <w:t>nine months</w:t>
      </w:r>
      <w:r>
        <w:rPr>
          <w:rFonts w:ascii="Arial" w:cs="Arial" w:eastAsia="Arial" w:hAnsi="Arial"/>
          <w:sz w:val="16"/>
          <w:szCs w:val="16"/>
          <w:color w:val="auto"/>
        </w:rPr>
        <w:t xml:space="preserve"> ended September 30, 2023 increased $24.8 million, or 32.0%, compared to the </w:t>
      </w:r>
      <w:r>
        <w:rPr>
          <w:rFonts w:ascii="Arial" w:cs="Arial" w:eastAsia="Arial" w:hAnsi="Arial"/>
          <w:sz w:val="16"/>
          <w:szCs w:val="16"/>
          <w:color w:val="231F20"/>
        </w:rPr>
        <w:t>nine months</w:t>
      </w:r>
      <w:r>
        <w:rPr>
          <w:rFonts w:ascii="Arial" w:cs="Arial" w:eastAsia="Arial" w:hAnsi="Arial"/>
          <w:sz w:val="16"/>
          <w:szCs w:val="16"/>
          <w:color w:val="auto"/>
        </w:rPr>
        <w:t xml:space="preserve"> ended September 30, 2022. The increase was primarily driven by higher personnel related compensation including higher annual cash incentives, severance, and share-based compensation expense, and higher professional fees and software expenses, partially offset by lower recruiting related expenses.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Income, Change in Fair Value of Warrant Liabilities, and Other (Income) Expense,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980" w:type="dxa"/>
            <w:vAlign w:val="bottom"/>
            <w:gridSpan w:val="6"/>
          </w:tcPr>
          <w:p>
            <w:pPr>
              <w:ind w:left="360"/>
              <w:spacing w:after="0"/>
              <w:rPr>
                <w:sz w:val="20"/>
                <w:szCs w:val="20"/>
                <w:color w:val="auto"/>
              </w:rPr>
            </w:pPr>
            <w:r>
              <w:rPr>
                <w:rFonts w:ascii="Arial" w:cs="Arial" w:eastAsia="Arial" w:hAnsi="Arial"/>
                <w:sz w:val="14"/>
                <w:szCs w:val="14"/>
                <w:b w:val="1"/>
                <w:bCs w:val="1"/>
                <w:color w:val="231F20"/>
              </w:rPr>
              <w:t>Nine Months Ended September 30,</w:t>
            </w:r>
          </w:p>
        </w:tc>
        <w:tc>
          <w:tcPr>
            <w:tcW w:w="1160" w:type="dxa"/>
            <w:vAlign w:val="bottom"/>
          </w:tcPr>
          <w:p>
            <w:pPr>
              <w:spacing w:after="0"/>
              <w:rPr>
                <w:sz w:val="16"/>
                <w:szCs w:val="16"/>
                <w:color w:val="auto"/>
              </w:rPr>
            </w:pPr>
          </w:p>
        </w:tc>
        <w:tc>
          <w:tcPr>
            <w:tcW w:w="1100" w:type="dxa"/>
            <w:vAlign w:val="bottom"/>
            <w:gridSpan w:val="3"/>
          </w:tcPr>
          <w:p>
            <w:pPr>
              <w:ind w:left="320"/>
              <w:spacing w:after="0"/>
              <w:rPr>
                <w:sz w:val="20"/>
                <w:szCs w:val="20"/>
                <w:color w:val="auto"/>
              </w:rPr>
            </w:pPr>
            <w:r>
              <w:rPr>
                <w:rFonts w:ascii="Arial" w:cs="Arial" w:eastAsia="Arial" w:hAnsi="Arial"/>
                <w:sz w:val="14"/>
                <w:szCs w:val="14"/>
                <w:b w:val="1"/>
                <w:bCs w:val="1"/>
                <w:color w:val="231F20"/>
              </w:rPr>
              <w:t>Change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(in millions)</w:t>
            </w: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231F20"/>
              </w:rPr>
              <w:t>2022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Amount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231F20"/>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Interest income</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231F20"/>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231F20"/>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231F20"/>
              </w:rPr>
              <w:t>Change in fair value of warrant liabilities</w:t>
            </w:r>
          </w:p>
        </w:tc>
        <w:tc>
          <w:tcPr>
            <w:tcW w:w="960" w:type="dxa"/>
            <w:vAlign w:val="bottom"/>
          </w:tcPr>
          <w:p>
            <w:pPr>
              <w:jc w:val="right"/>
              <w:ind w:right="777"/>
              <w:spacing w:after="0"/>
              <w:rPr>
                <w:sz w:val="20"/>
                <w:szCs w:val="20"/>
                <w:color w:val="auto"/>
              </w:rPr>
            </w:pPr>
            <w:r>
              <w:rPr>
                <w:rFonts w:ascii="Arial" w:cs="Arial" w:eastAsia="Arial" w:hAnsi="Arial"/>
                <w:sz w:val="18"/>
                <w:szCs w:val="18"/>
                <w:color w:val="231F20"/>
                <w:w w:val="79"/>
              </w:rPr>
              <w:t>$</w:t>
            </w:r>
          </w:p>
        </w:tc>
        <w:tc>
          <w:tcPr>
            <w:tcW w:w="520" w:type="dxa"/>
            <w:vAlign w:val="bottom"/>
          </w:tcPr>
          <w:p>
            <w:pPr>
              <w:jc w:val="right"/>
              <w:spacing w:after="0"/>
              <w:rPr>
                <w:sz w:val="20"/>
                <w:szCs w:val="20"/>
                <w:color w:val="auto"/>
              </w:rPr>
            </w:pPr>
            <w:r>
              <w:rPr>
                <w:rFonts w:ascii="Arial" w:cs="Arial" w:eastAsia="Arial" w:hAnsi="Arial"/>
                <w:sz w:val="18"/>
                <w:szCs w:val="18"/>
                <w:color w:val="231F20"/>
              </w:rPr>
              <w:t>(8.4)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231F20"/>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231F20"/>
              </w:rPr>
              <w:t>(71.5)</w:t>
            </w:r>
          </w:p>
        </w:tc>
        <w:tc>
          <w:tcPr>
            <w:tcW w:w="100" w:type="dxa"/>
            <w:vAlign w:val="bottom"/>
          </w:tcPr>
          <w:p>
            <w:pPr>
              <w:spacing w:after="0"/>
              <w:rPr>
                <w:sz w:val="19"/>
                <w:szCs w:val="19"/>
                <w:color w:val="auto"/>
              </w:rPr>
            </w:pPr>
          </w:p>
        </w:tc>
        <w:tc>
          <w:tcPr>
            <w:tcW w:w="1160" w:type="dxa"/>
            <w:vAlign w:val="bottom"/>
          </w:tcPr>
          <w:p>
            <w:pPr>
              <w:jc w:val="right"/>
              <w:ind w:right="975"/>
              <w:spacing w:after="0"/>
              <w:rPr>
                <w:sz w:val="20"/>
                <w:szCs w:val="20"/>
                <w:color w:val="auto"/>
              </w:rPr>
            </w:pPr>
            <w:r>
              <w:rPr>
                <w:rFonts w:ascii="Arial" w:cs="Arial" w:eastAsia="Arial" w:hAnsi="Arial"/>
                <w:sz w:val="18"/>
                <w:szCs w:val="18"/>
                <w:color w:val="231F20"/>
                <w:w w:val="79"/>
              </w:rPr>
              <w:t>$</w:t>
            </w:r>
          </w:p>
        </w:tc>
        <w:tc>
          <w:tcPr>
            <w:tcW w:w="520" w:type="dxa"/>
            <w:vAlign w:val="bottom"/>
          </w:tcPr>
          <w:p>
            <w:pPr>
              <w:jc w:val="right"/>
              <w:spacing w:after="0"/>
              <w:rPr>
                <w:sz w:val="20"/>
                <w:szCs w:val="20"/>
                <w:color w:val="auto"/>
              </w:rPr>
            </w:pPr>
            <w:r>
              <w:rPr>
                <w:rFonts w:ascii="Arial" w:cs="Arial" w:eastAsia="Arial" w:hAnsi="Arial"/>
                <w:sz w:val="18"/>
                <w:szCs w:val="18"/>
                <w:color w:val="231F20"/>
              </w:rPr>
              <w:t>63.2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Other (income) expense, net</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8"/>
                <w:szCs w:val="18"/>
                <w:color w:val="231F20"/>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231F20"/>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0.4</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231F20"/>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(5.7)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
        </w:trPr>
        <w:tc>
          <w:tcPr>
            <w:tcW w:w="48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4"/>
          <w:szCs w:val="14"/>
          <w:color w:val="231F20"/>
        </w:rPr>
        <w:t>N/M - Not meaningful</w:t>
      </w:r>
    </w:p>
    <w:p>
      <w:pPr>
        <w:spacing w:after="0" w:line="35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231F20"/>
        </w:rPr>
        <w:t xml:space="preserve">Interest income for the nine months ended September 30, 2023 increased </w:t>
      </w:r>
      <w:r>
        <w:rPr>
          <w:rFonts w:ascii="Arial" w:cs="Arial" w:eastAsia="Arial" w:hAnsi="Arial"/>
          <w:sz w:val="18"/>
          <w:szCs w:val="18"/>
          <w:color w:val="000000"/>
        </w:rPr>
        <w:t>$13.2 million</w:t>
      </w:r>
      <w:r>
        <w:rPr>
          <w:rFonts w:ascii="Arial" w:cs="Arial" w:eastAsia="Arial" w:hAnsi="Arial"/>
          <w:sz w:val="18"/>
          <w:szCs w:val="18"/>
          <w:color w:val="231F20"/>
        </w:rPr>
        <w:t xml:space="preserve"> compared to the nine months ended September 30, 2022 primarily due to higher interest earned on our investment in money market funds and $0.5 million received for the Employee Retention Credit under the Coronavirus Aid, Relief, and Economic Security Act.</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31F20"/>
        </w:rPr>
        <w:t xml:space="preserve">During the nine months ended September 30, 2023, the Company recognized income of $8.4 million related to the change in the fair value of the warrant liabilities, a decrease of $63.2 million, as compared to income of </w:t>
      </w:r>
      <w:r>
        <w:rPr>
          <w:rFonts w:ascii="Arial" w:cs="Arial" w:eastAsia="Arial" w:hAnsi="Arial"/>
          <w:sz w:val="18"/>
          <w:szCs w:val="18"/>
          <w:color w:val="000000"/>
        </w:rPr>
        <w:t>$71.5 million</w:t>
      </w:r>
      <w:r>
        <w:rPr>
          <w:rFonts w:ascii="Arial" w:cs="Arial" w:eastAsia="Arial" w:hAnsi="Arial"/>
          <w:sz w:val="18"/>
          <w:szCs w:val="18"/>
          <w:color w:val="231F20"/>
        </w:rPr>
        <w:t xml:space="preserve"> for the nine months ended September 30, 2022, driven by the fluctuation of the Company’s stock price.</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During the nine months ended September 30, 2023, the Company recognized other income of $5.3 million primarily related to payments received for the Employee Retention Credit under the Coronavirus Aid, Relief, and Economic Security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231F20"/>
        </w:rPr>
        <w:t>Our primary sources of capital have been funded by (i) cash flow from operating activities, (ii) net proceeds received from the consummation of the Business Combination, (iii) net proceeds received from the Notes (as defined below), and (iv) net proceeds received from the exercise of public and private placement warrants. As of September 30, 2023, we had cash and cash equivalents of $559.4 million. A revolving credit facility of $50.0 million is also available as a source of capital. As of September 30, 2023, the revolving credit facility remains undrawn and there is no outstanding balance thereunder.</w:t>
      </w:r>
    </w:p>
    <w:p>
      <w:pPr>
        <w:spacing w:after="0" w:line="18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231F20"/>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on our long-term obligations. Cash received from our customers and other activities generally corresponds to our net sales.</w:t>
      </w:r>
    </w:p>
    <w:p>
      <w:pPr>
        <w:spacing w:after="0" w:line="17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231F20"/>
        </w:rPr>
        <w:t>Our sources of liquidity and cash flows are used to fund ongoing operations, research and development projects for new products, services, and technologies, and provide ongoing support services for our providers and customers, including liabilities associated with the Syndeo Program. Over the next year, we anticipate that we will use our liquidity and cash flows from our operations to fund our growth. In addition,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Based on our sources of capital (including the cash consideration received from the consummation of the Business Combination and the cash received from the issuance of the Notes), management believes that we have sufficient liquidity to</w:t>
      </w:r>
    </w:p>
    <w:p>
      <w:pPr>
        <w:sectPr>
          <w:pgSz w:w="11900" w:h="16838" w:orient="portrait"/>
          <w:cols w:equalWidth="0" w:num="1">
            <w:col w:w="11240"/>
          </w:cols>
          <w:pgMar w:left="320" w:top="1367"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29" w:name="page30"/>
    <w:bookmarkEnd w:id="29"/>
    <w:p>
      <w:pPr>
        <w:ind w:right="160"/>
        <w:spacing w:after="0" w:line="257" w:lineRule="auto"/>
        <w:rPr>
          <w:sz w:val="20"/>
          <w:szCs w:val="20"/>
          <w:color w:val="auto"/>
        </w:rPr>
      </w:pPr>
      <w:r>
        <w:rPr>
          <w:rFonts w:ascii="Arial" w:cs="Arial" w:eastAsia="Arial" w:hAnsi="Arial"/>
          <w:sz w:val="18"/>
          <w:szCs w:val="18"/>
          <w:color w:val="231F20"/>
        </w:rPr>
        <w:t>satisfy our anticipated working capital requirements, which includes effectuating the Syndeo Program, for our ongoing operations and obligations for at least the next twelve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231F20"/>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Amended and Restated Credit Facility</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On November 14, 2022, the Company, as successor by assumption to Hydrafacial (formerly known as Edge Systems LLC), a California limited liability company, entered into an Amended and Restated Credit Agreement (as it may be further amended, restated, supplemented or modified from time to time, the “Credit Agreement”) with JPMorgan Chase Bank, N.A. The Credit Agreement provides for a $50.0 million revolving credit facility with a maturity date of November 14, 2027. In addition, the Company has the ability from time to time to increase the revolving commitments or enter into one or more tranches of term loans up to an additional aggregate amount not to exceed $50.0 million, subject to receipt of lender commitments and certain conditions precedent. As of September 30, 2023, the Credit Agreement remains undrawn and there is no outstanding balance under the revolving credit facility.</w:t>
      </w:r>
    </w:p>
    <w:p>
      <w:pPr>
        <w:spacing w:after="0" w:line="19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231F20"/>
        </w:rPr>
        <w:t>The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 As of September 30, 2023, the Company was in compliance with all restrictive and financial covenants of the Credit Agreement.</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31F20"/>
        </w:rPr>
        <w:t>On September 14, 2021, the Company issued an aggregate of $750.0 million in principal amount of its 1.25% Convertible Senior Notes due 2026 (the “Notes”).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$100.0 million principal amount of Notes. The Notes issued on September 14, 2021 include the $100.0 million principal amount of Notes issued pursuant to the full exercise by the initial purchasers of such option.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0" w:name="page31"/>
    <w:bookmarkEnd w:id="30"/>
    <w:p>
      <w:pPr>
        <w:ind w:left="180"/>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5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31F20"/>
        </w:rPr>
        <w:t>On September 9, 2021, in connection with the pricing of the offering of Notes, the Company entered into privately negotiated capped call transactions (the “Base Capped Call Transactions”).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spacing w:after="0" w:line="19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231F20"/>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Known Trends or Uncertainties</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The majority of our customers are in the medical (dermatologists and plastic surgeons), esthetician, and beauty retail industry. Although we have not seen any significant reduction in revenues to date due to consolidations, we have seen some consolidation in our industry during economic downturns. These consolidations have not had a negative effect on our total sales; however, should consolidations and downsizing in the industry continue to occur, those events could adversely impact our revenues and earnings going forward.</w:t>
      </w:r>
    </w:p>
    <w:p>
      <w:pPr>
        <w:spacing w:after="0" w:line="2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231F20"/>
        </w:rPr>
        <w:t>In addition, we continue to face macro economic challenges such as the possibility of recession or financial market instability, and the impact of any governmental actions on the economy. These factors may adversely impact consumer, business, and government spending as well as customers' ability to pay for our products and services on an ongoing basis.</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231F20"/>
        </w:rPr>
        <w:t>As a result, if economic and social conditions or the degree of uncertainty or volatility worsen, or the adverse conditions previously described are further prolonged, our growth rate could be affected by consolidation and downsizing in the medical, esthetician, and beauty retail industry. We are continuing to monitor these and other risks that may affect our business so that we can respond appropriately.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Syndeo Program Costs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Company has accrued </w:t>
      </w:r>
      <w:r>
        <w:rPr>
          <w:rFonts w:ascii="Arial" w:cs="Arial" w:eastAsia="Arial" w:hAnsi="Arial"/>
          <w:sz w:val="18"/>
          <w:szCs w:val="18"/>
          <w:color w:val="231F20"/>
        </w:rPr>
        <w:t>$32.1 million as of September 30, 2023 for</w:t>
      </w:r>
      <w:r>
        <w:rPr>
          <w:rFonts w:ascii="Arial" w:cs="Arial" w:eastAsia="Arial" w:hAnsi="Arial"/>
          <w:sz w:val="18"/>
          <w:szCs w:val="18"/>
          <w:color w:val="auto"/>
        </w:rPr>
        <w:t xml:space="preserve"> the estimated cost for its remediation plan to upgrade or exchange customer Syndeo devices to meet the Syndeo 3.0 device standard which is expected to be substantially complete by June 30, 2024.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Transformation Program</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On September 12, 2023, the Company announced a business transformation restructuring program to drive profitable growth by reducing operating costs and streamlining operations. Total restructuring costs for Phase 1 of the transformation program are expected to be in the range of $9 million to $11 million. As of the date of the issuance of these financial statements, Phase 2 of the restructuring program is not finalized and we are unable to forecast the magnitude of the total estimated amount for each major type of cost.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Stock Repurchase Program</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September 12, 2023, the Company’s board of directors approved a share repurchase program authorizing the Company to repurchase up to</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$100.0 million of the Company’s Class A Common Stock. The Company expects to repurchase $50.0 million of the Company’s Class A Common Stock by the end of the first quarter of 2024, inclusive of the amounts repurchased during the three months ended September 30, 2023.</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231F20"/>
        </w:rPr>
        <w:t>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activities from our statements of cash flows. Amounts may not sum due to rounding.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231F20"/>
              </w:rPr>
              <w:t>Nine Months Ended September 30,</w:t>
            </w:r>
          </w:p>
        </w:tc>
        <w:tc>
          <w:tcPr>
            <w:tcW w:w="0" w:type="dxa"/>
            <w:vAlign w:val="bottom"/>
          </w:tcPr>
          <w:p>
            <w:pPr>
              <w:spacing w:after="0"/>
              <w:rPr>
                <w:sz w:val="1"/>
                <w:szCs w:val="1"/>
                <w:color w:val="auto"/>
              </w:rPr>
            </w:pPr>
          </w:p>
        </w:tc>
      </w:tr>
      <w:tr>
        <w:trPr>
          <w:trHeight w:val="66"/>
        </w:trPr>
        <w:tc>
          <w:tcPr>
            <w:tcW w:w="78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(Dollars in millions)</w:t>
            </w: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231F20"/>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231F20"/>
              </w:rPr>
              <w:t>2022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Cash and cash equivalents at beginning of period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231F20"/>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Net (loss) income</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231F20"/>
              </w:rPr>
              <w:t>Non-cash adjustments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Changes in working capital</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231F20"/>
              </w:rPr>
              <w:t>Net cash provided by (used for) operating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231F20"/>
              </w:rPr>
              <w:t>26.9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231F20"/>
              </w:rPr>
              <w:t>(101.2)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cash used for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Net cash used for financing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Net decrease in cash and cash equivalents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231F20"/>
              </w:rPr>
              <w:t>Effect of foreign currency translation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Cash and cash equivalents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231F20"/>
        </w:rPr>
        <w:t>Net cash provided by operating activities for the nine months ended September 30, 2023 was $26.9 million, compared to net cash used for operating activities of $101.2 million for the nine months ended September 30, 2022. The change in cash was primarily related to lower working capital usage, and the net impact of current year net loss and other non-cash adjustments. The net loss, non-cash adjustments, and change in inventories and other accrued expenses include the impact of the Syndeo Program charges. The prior year net income and non-cash adjustments include the impact of a $71.5 million gain resulting from the change in fair value of the Company’s warrants.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5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231F20"/>
        </w:rPr>
        <w:t>Net cash used for investing activities for the nine months ended September 30, 2023 was $29.3 million, compared to $16.0 million for the nine months ended September 30, 2022. The increase in cash used for investing activities was primarily related to the cash payment associated with the asset acquisitions of Esthetic Medical Inc. and Anacapa Aesthetics LLC for $18.5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5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231F20"/>
        </w:rPr>
        <w:t>Net cash used for financing activities for the nine months ended September 30, 2023 was $6.1 million, compared to $102.8 million for the nine months ended September 30, 2022. The change in cash was primarily related to the accelerated stock repurchase of $100.0 million in the prior year.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Syndeo Program Reserves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has accrued </w:t>
      </w:r>
      <w:r>
        <w:rPr>
          <w:rFonts w:ascii="Arial" w:cs="Arial" w:eastAsia="Arial" w:hAnsi="Arial"/>
          <w:sz w:val="16"/>
          <w:szCs w:val="16"/>
          <w:color w:val="231F20"/>
        </w:rPr>
        <w:t>$32.1 million as of September 30, 2023 for</w:t>
      </w:r>
      <w:r>
        <w:rPr>
          <w:rFonts w:ascii="Arial" w:cs="Arial" w:eastAsia="Arial" w:hAnsi="Arial"/>
          <w:sz w:val="16"/>
          <w:szCs w:val="16"/>
          <w:color w:val="auto"/>
        </w:rPr>
        <w:t xml:space="preserve"> the estimated cost for its remediation plan to upgrade or exchange customer Syndeo devices to meet the Syndeo 3.0 device standard. The cost of the remediation program has been recognized in cost of sales, and is based on the Company’s estimates of the cost to upgrade or exchange customer devices. The accrued cost includes significant judgments regarding customer response rates, the assumed method of remediation, and the cost of remediation, which include considerations such as the material and labor costs of upgrades and the manufacturing and logistics costs for replacement devices. An assumed 10% decrease in the number of customers electing to receive a replacement machine and instead receiving field service would result in a $3.7 million decrease in the Company’s estimate. An assumed 10% change in the cost of remediation (i.e., field service and machine replacement costs) would result in a $3.1 million change in the Company’s estimate.</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Based on the information available to the Company, the accrual is expected to be adequate. Significant changes may be required in future periods based on changes in facts and circumstances or changes in actions the Company may commit 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231F20"/>
        </w:rPr>
        <w:t>There has been no other changes to our critical accounting policies as included in our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31F20"/>
        </w:rPr>
        <w:t>See Part I, Item 1 "Financial Statements—Note 14 to the Consolidated Financial Statements—New Accounting Pronouncements"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231F20"/>
        </w:rPr>
        <w:t>Market risks relating to our operations result primarily from changes in interest rates, foreign currency, and inflation risk. There were no material changes to our market risks disclosed in our Annual Report on Form 10-K.</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231F20"/>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Securities Exchange Act of 1934, as amended (the “Exchange Act”) were effective as of September 30, 2023,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The Company’s management, including our principal executive officer and principal financial officer,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31F20"/>
        </w:rPr>
        <w:t>There have been no changes in our internal control over financial reporting that occurred during the three months ended September 30, 2023,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description of our material pending legal proceedings, see Note 10, Commitments and Contingencies, to our condensed consolidated financial statements included in Part I, Item 1 of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Class A Common Stock. There have been no material updates or changes to the risk factors previously disclosed in our Annual Report on Form 10-K except as described below; provided, however, additional risks not currently known or currently material to us may also harm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maintain our cash at financial institutions, often in balances that exceed federally insured limits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cash is held in accounts at U.S. banking institutions that we believe are of high quality. Cash held in deposit accounts may exceed the Federal Deposit Insurance Corporation (“FDIC”) insurance limits. If such banking institutions fail, we could lose all or a portion of those amounts held in excess of such insurance limitations. While the FDIC took control of two such banking institutions, Silicon Valley Bank (“SVB”) on March 10, 2023 and Signature Bank (“Signature”) on March 12, 2023, we did not have any accounts with SVB or Signature, and therefore, did not experience any direct risk of loss. Any material loss, individually or in the aggregate, from a similarly failed banking relationship above FDIC insurance limits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product failure and/or technological flaws.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products may contain undetected errors or result in failures when first introduced or when new versions are released. Despite product testing efforts and testing by current and potential customers, it is possible that errors will be found in a new product or enhancement after commercial shipments have commenced. The occurrence of product defects and/or technological flaws could result in negative publicity, delays in product introduction, and the diversion of resources to remedy defects and loss of or delay in industry acceptance and adoption or claims by customers against us and could cause us to incur additional costs, any one of which could adversely affect our business. Furthermore, the failure of our products to perform as promised could result in increased costs, lower margins, liquidated damage payment obligations, and harm to our reputation and brand.</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Our business is dependent on the commercial success of selling our Delivery Systems, particularly Syndeo 3.0 devices. If we are unable to continue to successfully commercialize Syndeo 3.0, our results or operations and financial condition will be materially harmed.</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business and our ability to generate revenue largely depends on our ability to successfully commercialize and sell our Delivery Systems, particularly Syndeo 3.0 devices. Our ability to generate revenue depends on our ability to manufacture and sell high quality, reliable Delivery Systems and execute on our commercialization plans, and the size of the market for, and the level of market acceptance of, our Delivery Systems, particularly the Syndeo 3.0. If our Delivery Systems are not accepted and adopted by our customers, if our customers continue to experience similar performance interruptions in our Syndeo 3.0 devices as in previous models, or if we experience an RMA rate for Syndeo 3.0 devices significantly above historical averages, our revenue and results of operations will be materially and adversely affected.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During the three months ended </w:t>
      </w:r>
      <w:r>
        <w:rPr>
          <w:rFonts w:ascii="Arial" w:cs="Arial" w:eastAsia="Arial" w:hAnsi="Arial"/>
          <w:sz w:val="18"/>
          <w:szCs w:val="18"/>
          <w:color w:val="231F20"/>
        </w:rPr>
        <w:t>September 30, 2023</w:t>
      </w:r>
      <w:r>
        <w:rPr>
          <w:rFonts w:ascii="Arial" w:cs="Arial" w:eastAsia="Arial" w:hAnsi="Arial"/>
          <w:sz w:val="18"/>
          <w:szCs w:val="18"/>
          <w:color w:val="auto"/>
        </w:rPr>
        <w:t>, the Company did not issue any shares of its Class A Common Stock or other equity securities that were not registered under the Securities Act of 1933, as amended.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 by Issuer and Affiliated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information related to our purchases of the Company's Class A Common Stock during the quarter ended </w:t>
      </w:r>
      <w:r>
        <w:rPr>
          <w:rFonts w:ascii="Arial" w:cs="Arial" w:eastAsia="Arial" w:hAnsi="Arial"/>
          <w:sz w:val="16"/>
          <w:szCs w:val="16"/>
          <w:color w:val="231F20"/>
        </w:rPr>
        <w:t>September 30, 2023</w:t>
      </w:r>
      <w:r>
        <w:rPr>
          <w:rFonts w:ascii="Arial" w:cs="Arial" w:eastAsia="Arial" w:hAnsi="Arial"/>
          <w:sz w:val="16"/>
          <w:szCs w:val="16"/>
          <w:color w:val="auto"/>
        </w:rPr>
        <w: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231F20"/>
                <w:w w:val="97"/>
              </w:rPr>
              <w:t>Maximum Approximate</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231F20"/>
                <w:w w:val="92"/>
              </w:rPr>
              <w:t>Total Number of Shares</w:t>
            </w:r>
          </w:p>
        </w:tc>
        <w:tc>
          <w:tcPr>
            <w:tcW w:w="120" w:type="dxa"/>
            <w:vAlign w:val="bottom"/>
          </w:tcPr>
          <w:p>
            <w:pPr>
              <w:spacing w:after="0"/>
              <w:rPr>
                <w:sz w:val="12"/>
                <w:szCs w:val="12"/>
                <w:color w:val="auto"/>
              </w:rPr>
            </w:pPr>
          </w:p>
        </w:tc>
        <w:tc>
          <w:tcPr>
            <w:tcW w:w="154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231F20"/>
                <w:w w:val="92"/>
              </w:rPr>
              <w:t>Dollar Value of Shares</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4"/>
              <w:spacing w:after="0" w:line="139" w:lineRule="exact"/>
              <w:rPr>
                <w:sz w:val="20"/>
                <w:szCs w:val="20"/>
                <w:color w:val="auto"/>
              </w:rPr>
            </w:pPr>
            <w:r>
              <w:rPr>
                <w:rFonts w:ascii="Arial" w:cs="Arial" w:eastAsia="Arial" w:hAnsi="Arial"/>
                <w:sz w:val="14"/>
                <w:szCs w:val="14"/>
                <w:b w:val="1"/>
                <w:bCs w:val="1"/>
                <w:color w:val="231F20"/>
                <w:w w:val="93"/>
              </w:rPr>
              <w:t>that May Yet Be</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231F20"/>
              </w:rPr>
              <w:t>Total Number of Shares</w:t>
            </w:r>
          </w:p>
        </w:tc>
        <w:tc>
          <w:tcPr>
            <w:tcW w:w="120" w:type="dxa"/>
            <w:vAlign w:val="bottom"/>
          </w:tcPr>
          <w:p>
            <w:pPr>
              <w:spacing w:after="0"/>
              <w:rPr>
                <w:sz w:val="12"/>
                <w:szCs w:val="12"/>
                <w:color w:val="auto"/>
              </w:rPr>
            </w:pPr>
          </w:p>
        </w:tc>
        <w:tc>
          <w:tcPr>
            <w:tcW w:w="1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231F20"/>
                <w:w w:val="93"/>
              </w:rPr>
              <w:t>Average Price Paid per</w:t>
            </w:r>
          </w:p>
        </w:tc>
        <w:tc>
          <w:tcPr>
            <w:tcW w:w="1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231F20"/>
                <w:w w:val="91"/>
              </w:rPr>
              <w:t>Purchased as Part of a</w:t>
            </w:r>
          </w:p>
        </w:tc>
        <w:tc>
          <w:tcPr>
            <w:tcW w:w="120" w:type="dxa"/>
            <w:vAlign w:val="bottom"/>
          </w:tcPr>
          <w:p>
            <w:pPr>
              <w:spacing w:after="0"/>
              <w:rPr>
                <w:sz w:val="12"/>
                <w:szCs w:val="12"/>
                <w:color w:val="auto"/>
              </w:rPr>
            </w:pPr>
          </w:p>
        </w:tc>
        <w:tc>
          <w:tcPr>
            <w:tcW w:w="154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231F20"/>
                <w:w w:val="91"/>
              </w:rPr>
              <w:t>Purchased Under</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1740"/>
              <w:spacing w:after="0"/>
              <w:rPr>
                <w:sz w:val="20"/>
                <w:szCs w:val="20"/>
                <w:color w:val="auto"/>
              </w:rPr>
            </w:pPr>
            <w:r>
              <w:rPr>
                <w:rFonts w:ascii="Arial" w:cs="Arial" w:eastAsia="Arial" w:hAnsi="Arial"/>
                <w:sz w:val="14"/>
                <w:szCs w:val="14"/>
                <w:b w:val="1"/>
                <w:bCs w:val="1"/>
                <w:color w:val="231F20"/>
              </w:rPr>
              <w:t>Period</w:t>
            </w:r>
          </w:p>
        </w:tc>
        <w:tc>
          <w:tcPr>
            <w:tcW w:w="100" w:type="dxa"/>
            <w:vAlign w:val="bottom"/>
            <w:vMerge w:val="restart"/>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231F20"/>
                <w:w w:val="91"/>
              </w:rPr>
              <w:t>Publicly Announced Plan</w:t>
            </w:r>
          </w:p>
        </w:tc>
        <w:tc>
          <w:tcPr>
            <w:tcW w:w="1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231F20"/>
                <w:w w:val="92"/>
              </w:rPr>
              <w:t>Publicly Announced Plan</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231F20"/>
              </w:rPr>
              <w:t>Repurchased</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231F20"/>
                <w:w w:val="87"/>
              </w:rPr>
              <w:t>Share</w:t>
            </w:r>
          </w:p>
        </w:tc>
        <w:tc>
          <w:tcPr>
            <w:tcW w:w="80" w:type="dxa"/>
            <w:vAlign w:val="bottom"/>
          </w:tcPr>
          <w:p>
            <w:pPr>
              <w:spacing w:after="0"/>
              <w:rPr>
                <w:sz w:val="17"/>
                <w:szCs w:val="17"/>
                <w:color w:val="auto"/>
              </w:rPr>
            </w:pPr>
          </w:p>
        </w:tc>
        <w:tc>
          <w:tcPr>
            <w:tcW w:w="16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231F20"/>
                <w:w w:val="91"/>
              </w:rPr>
              <w:t xml:space="preserve">or Program </w:t>
            </w:r>
            <w:r>
              <w:rPr>
                <w:rFonts w:ascii="Arial" w:cs="Arial" w:eastAsia="Arial" w:hAnsi="Arial"/>
                <w:sz w:val="18"/>
                <w:szCs w:val="18"/>
                <w:b w:val="1"/>
                <w:bCs w:val="1"/>
                <w:color w:val="231F20"/>
                <w:w w:val="91"/>
                <w:vertAlign w:val="superscript"/>
              </w:rPr>
              <w:t>(1)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231F20"/>
                <w:w w:val="95"/>
              </w:rPr>
              <w:t xml:space="preserve">or Program </w:t>
            </w:r>
            <w:r>
              <w:rPr>
                <w:rFonts w:ascii="Arial" w:cs="Arial" w:eastAsia="Arial" w:hAnsi="Arial"/>
                <w:sz w:val="9"/>
                <w:szCs w:val="9"/>
                <w:b w:val="1"/>
                <w:bCs w:val="1"/>
                <w:color w:val="231F20"/>
                <w:w w:val="95"/>
              </w:rPr>
              <w:t>(1)</w:t>
            </w:r>
          </w:p>
        </w:tc>
        <w:tc>
          <w:tcPr>
            <w:tcW w:w="0" w:type="dxa"/>
            <w:vAlign w:val="bottom"/>
          </w:tcPr>
          <w:p>
            <w:pPr>
              <w:spacing w:after="0"/>
              <w:rPr>
                <w:sz w:val="1"/>
                <w:szCs w:val="1"/>
                <w:color w:val="auto"/>
              </w:rPr>
            </w:pPr>
          </w:p>
        </w:tc>
      </w:tr>
      <w:tr>
        <w:trPr>
          <w:trHeight w:val="204"/>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July 1, 2023 through July 31, 2023</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20" w:type="dxa"/>
            <w:vAlign w:val="bottom"/>
            <w:gridSpan w:val="2"/>
          </w:tcPr>
          <w:p>
            <w:pPr>
              <w:ind w:left="1240"/>
              <w:spacing w:after="0"/>
              <w:rPr>
                <w:sz w:val="20"/>
                <w:szCs w:val="20"/>
                <w:color w:val="auto"/>
              </w:rPr>
            </w:pPr>
            <w:r>
              <w:rPr>
                <w:rFonts w:ascii="Arial" w:cs="Arial" w:eastAsia="Arial" w:hAnsi="Arial"/>
                <w:sz w:val="16"/>
                <w:szCs w:val="16"/>
                <w:color w:val="auto"/>
              </w:rPr>
              <w:t>N/A</w:t>
            </w:r>
          </w:p>
        </w:tc>
        <w:tc>
          <w:tcPr>
            <w:tcW w:w="1740" w:type="dxa"/>
            <w:vAlign w:val="bottom"/>
            <w:gridSpan w:val="2"/>
          </w:tcPr>
          <w:p>
            <w:pPr>
              <w:ind w:left="13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August 1, 2023 through August 31, 2023</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20" w:type="dxa"/>
            <w:vAlign w:val="bottom"/>
            <w:gridSpan w:val="2"/>
          </w:tcPr>
          <w:p>
            <w:pPr>
              <w:ind w:left="1240"/>
              <w:spacing w:after="0"/>
              <w:rPr>
                <w:sz w:val="20"/>
                <w:szCs w:val="20"/>
                <w:color w:val="auto"/>
              </w:rPr>
            </w:pPr>
            <w:r>
              <w:rPr>
                <w:rFonts w:ascii="Arial" w:cs="Arial" w:eastAsia="Arial" w:hAnsi="Arial"/>
                <w:sz w:val="16"/>
                <w:szCs w:val="16"/>
                <w:color w:val="auto"/>
              </w:rPr>
              <w:t>N/A</w:t>
            </w:r>
          </w:p>
        </w:tc>
        <w:tc>
          <w:tcPr>
            <w:tcW w:w="1740" w:type="dxa"/>
            <w:vAlign w:val="bottom"/>
            <w:gridSpan w:val="2"/>
          </w:tcPr>
          <w:p>
            <w:pPr>
              <w:ind w:left="13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September 1, 2023 through September 30, 2023</w:t>
            </w: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419,242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5.66</w:t>
            </w:r>
          </w:p>
        </w:tc>
        <w:tc>
          <w:tcPr>
            <w:tcW w:w="80" w:type="dxa"/>
            <w:vAlign w:val="bottom"/>
          </w:tcPr>
          <w:p>
            <w:pPr>
              <w:spacing w:after="0"/>
              <w:rPr>
                <w:sz w:val="19"/>
                <w:szCs w:val="19"/>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419,242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97,625,260</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419,242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5.66</w:t>
            </w:r>
          </w:p>
        </w:tc>
        <w:tc>
          <w:tcPr>
            <w:tcW w:w="80" w:type="dxa"/>
            <w:vAlign w:val="bottom"/>
          </w:tcPr>
          <w:p>
            <w:pPr>
              <w:spacing w:after="0"/>
              <w:rPr>
                <w:sz w:val="18"/>
                <w:szCs w:val="18"/>
                <w:color w:val="auto"/>
              </w:rPr>
            </w:pPr>
          </w:p>
        </w:tc>
        <w:tc>
          <w:tcPr>
            <w:tcW w:w="16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419,242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97,625,260</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80" w:firstLine="8"/>
        <w:spacing w:after="0" w:line="290" w:lineRule="auto"/>
        <w:tabs>
          <w:tab w:leader="none" w:pos="14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On September 12, 2023, the Company’s board of directors approved a share repurchase program authorizing the Company to repurchase up to $100.0 million of the Company’s Class A Common Stock. The remaining dollar value of shares that may be repurchased under the program shown in the table above reflects 0.4 million shares that were received and retired as of September 30, 2023. The remaining 0.4 million shares that were repurchased during the three months ended September 30, 2023 were received and retired in October 2023, and as such, is not reflected in the remaining dollar value of shares that may be repurchased under the program shown in the table above.</w:t>
      </w:r>
    </w:p>
    <w:p>
      <w:pPr>
        <w:spacing w:after="0" w:line="2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three months ended September 30, 2023, the Company repurchased approximately 0.8 million shares for $4.8 million, of which 0.4 million shares were received and retired as of September 30, 2023, and all of which were recorded in other accrued expenses as of September 30, 2023. The share repurchase program does not obligate the Company to repurchase any specific number of shares, and may be suspended or discontinued at any time. Under the share repurchase plan, shares may be repurchased through a variety of methods including, but not limited to, open market transactions, privately negotiated transactions, transactions structured through investment banking institutions, or otherwise in compliance with Rule 10b5-1, and, to the extent applicable, Rule 10b-18 under the Exchange Act. However, subject to applicable rules and regulations, the extent to which the Company repurchases shares, and the timing of such repurchases, will depend upon a variety of factors as determined by the Company’s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Trading Plans</w:t>
      </w:r>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three months ended September 30, 2023, no director or officer of the Company adopted, modified, or terminated a “Rule 10b5-1 trading arrangement” or “non-Rule 10b5-1 trading arrangement,” as each term is defined in Item 408(a) of Regulation 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Syndeo Program</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included in this Part II, Item 5 is provided in lieu of filing such information on a Current Report on Form 8-K under Item 2.06 Material Impairments.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the extent required by Item 2.06 on a Current Report on Form 8-K, information regarding the Syndeo Program as set forth in (i) Part I, Item 1. Financial Information (Note 15 to the unaudited, condensed consolidated financial statements (Restructuring Charges)), under the heading, “Syndeo Program”, and</w:t>
      </w:r>
    </w:p>
    <w:p>
      <w:pPr>
        <w:ind w:right="40" w:firstLine="8"/>
        <w:spacing w:after="0" w:line="260"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 I, Item 2. Management’s Discussion and Analysis of Financial Condition and Results of Operations, under the heading, “Syndeo Program”, in this Quarterly Report on Form 10-Q is incorporated by reference herein.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gridSpan w:val="14"/>
          </w:tcPr>
          <w:p>
            <w:pPr>
              <w:spacing w:after="0"/>
              <w:rPr>
                <w:sz w:val="20"/>
                <w:szCs w:val="20"/>
                <w:color w:val="auto"/>
              </w:rPr>
            </w:pPr>
            <w:r>
              <w:rPr>
                <w:rFonts w:ascii="Arial" w:cs="Arial" w:eastAsia="Arial" w:hAnsi="Arial"/>
                <w:sz w:val="18"/>
                <w:szCs w:val="18"/>
                <w:b w:val="1"/>
                <w:bCs w:val="1"/>
                <w:color w:val="auto"/>
              </w:rPr>
              <w:t>EXHIBIT INDEX</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40" w:type="dxa"/>
            <w:vAlign w:val="bottom"/>
            <w:gridSpan w:val="23"/>
          </w:tcPr>
          <w:p>
            <w:pPr>
              <w:ind w:left="220"/>
              <w:spacing w:after="0"/>
              <w:rPr>
                <w:sz w:val="20"/>
                <w:szCs w:val="20"/>
                <w:color w:val="auto"/>
              </w:rPr>
            </w:pPr>
            <w:r>
              <w:rPr>
                <w:rFonts w:ascii="Arial" w:cs="Arial" w:eastAsia="Arial" w:hAnsi="Arial"/>
                <w:sz w:val="18"/>
                <w:szCs w:val="18"/>
                <w:b w:val="1"/>
                <w:bCs w:val="1"/>
                <w:color w:val="auto"/>
              </w:rPr>
              <w:t>Description of Exhibit</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Form</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File No.</w:t>
            </w:r>
          </w:p>
        </w:tc>
        <w:tc>
          <w:tcPr>
            <w:tcW w:w="96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Filing Date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920" w:type="dxa"/>
            <w:vAlign w:val="bottom"/>
            <w:tcBorders>
              <w:top w:val="single" w:sz="8" w:color="auto"/>
            </w:tcBorders>
            <w:gridSpan w:val="24"/>
            <w:shd w:val="clear" w:color="auto" w:fill="CCEEFF"/>
          </w:tcPr>
          <w:p>
            <w:pPr>
              <w:spacing w:after="0" w:line="182"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Agreement and Plan of Merger, dated as of December</w:t>
              </w:r>
            </w:hyperlink>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3880" w:type="dxa"/>
            <w:vAlign w:val="bottom"/>
            <w:tcBorders>
              <w:top w:val="single" w:sz="8" w:color="0000FF"/>
              <w:bottom w:val="single" w:sz="8" w:color="0000FF"/>
            </w:tcBorders>
            <w:gridSpan w:val="22"/>
            <w:shd w:val="clear" w:color="auto" w:fill="CCEEFF"/>
          </w:tcPr>
          <w:p>
            <w:pPr>
              <w:spacing w:after="0" w:line="15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8, 2020, by and among Vesper Healthcare Acquisition</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7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900" w:type="dxa"/>
            <w:vAlign w:val="bottom"/>
            <w:gridSpan w:val="23"/>
            <w:shd w:val="clear" w:color="auto" w:fill="CCEEFF"/>
          </w:tcPr>
          <w:p>
            <w:pPr>
              <w:spacing w:after="0" w:line="169" w:lineRule="exact"/>
              <w:rPr>
                <w:rFonts w:ascii="Arial" w:cs="Arial" w:eastAsia="Arial" w:hAnsi="Arial"/>
                <w:sz w:val="18"/>
                <w:szCs w:val="18"/>
                <w:color w:val="0000FF"/>
                <w:w w:val="96"/>
              </w:rPr>
            </w:pPr>
            <w:hyperlink r:id="rId57">
              <w:r>
                <w:rPr>
                  <w:rFonts w:ascii="Arial" w:cs="Arial" w:eastAsia="Arial" w:hAnsi="Arial"/>
                  <w:sz w:val="18"/>
                  <w:szCs w:val="18"/>
                  <w:color w:val="0000FF"/>
                  <w:w w:val="96"/>
                </w:rPr>
                <w:t>Corp., Hydrate Merger Sub I, Inc., Hydrate Merger</w:t>
              </w:r>
            </w:hyperlink>
          </w:p>
        </w:tc>
        <w:tc>
          <w:tcPr>
            <w:tcW w:w="120" w:type="dxa"/>
            <w:vAlign w:val="bottom"/>
            <w:gridSpan w:val="2"/>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3680" w:type="dxa"/>
            <w:vAlign w:val="bottom"/>
            <w:tcBorders>
              <w:top w:val="single" w:sz="8" w:color="0000FF"/>
              <w:bottom w:val="single" w:sz="8" w:color="0000FF"/>
            </w:tcBorders>
            <w:gridSpan w:val="16"/>
            <w:shd w:val="clear" w:color="auto" w:fill="CCEEFF"/>
          </w:tcPr>
          <w:p>
            <w:pPr>
              <w:spacing w:after="0" w:line="15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Sub II, LLC, LCP Edge Intermediate, Inc. and LCP</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7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shd w:val="clear" w:color="auto" w:fill="CCEEFF"/>
          </w:tcPr>
          <w:p>
            <w:pPr>
              <w:spacing w:after="0"/>
              <w:rPr>
                <w:sz w:val="13"/>
                <w:szCs w:val="13"/>
                <w:color w:val="auto"/>
              </w:rPr>
            </w:pPr>
          </w:p>
        </w:tc>
        <w:tc>
          <w:tcPr>
            <w:tcW w:w="240" w:type="dxa"/>
            <w:vAlign w:val="bottom"/>
            <w:vMerge w:val="restart"/>
            <w:shd w:val="clear" w:color="auto" w:fill="CCEEFF"/>
          </w:tcPr>
          <w:p>
            <w:pPr>
              <w:spacing w:after="0"/>
              <w:rPr>
                <w:rFonts w:ascii="Arial" w:cs="Arial" w:eastAsia="Arial" w:hAnsi="Arial"/>
                <w:sz w:val="18"/>
                <w:szCs w:val="18"/>
                <w:color w:val="0000FF"/>
                <w:w w:val="87"/>
              </w:rPr>
            </w:pPr>
            <w:hyperlink r:id="rId57">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700" w:type="dxa"/>
            <w:vAlign w:val="bottom"/>
            <w:gridSpan w:val="17"/>
            <w:shd w:val="clear" w:color="auto" w:fill="CCEEFF"/>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Edge Holdco, LLC, in its capacity as the</w:t>
              </w:r>
            </w:hyperlink>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gridSpan w:val="4"/>
            <w:shd w:val="clear" w:color="auto" w:fill="CCEEFF"/>
          </w:tcPr>
          <w:p>
            <w:pPr>
              <w:spacing w:after="0"/>
              <w:rPr>
                <w:sz w:val="13"/>
                <w:szCs w:val="13"/>
                <w:color w:val="auto"/>
              </w:rPr>
            </w:pPr>
          </w:p>
        </w:tc>
        <w:tc>
          <w:tcPr>
            <w:tcW w:w="8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8-K</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001-39565</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shd w:val="clear" w:color="auto" w:fill="CCEEFF"/>
          </w:tcPr>
          <w:p>
            <w:pPr>
              <w:spacing w:after="0"/>
              <w:rPr>
                <w:sz w:val="13"/>
                <w:szCs w:val="13"/>
                <w:color w:val="auto"/>
              </w:rPr>
            </w:pPr>
          </w:p>
        </w:tc>
        <w:tc>
          <w:tcPr>
            <w:tcW w:w="18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December 9, 2020</w:t>
            </w: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240" w:type="dxa"/>
            <w:vAlign w:val="bottom"/>
            <w:tcBorders>
              <w:top w:val="single" w:sz="8" w:color="CCEEFF"/>
            </w:tcBorders>
            <w:vMerge w:val="continue"/>
            <w:shd w:val="clear" w:color="auto" w:fill="CCEEFF"/>
          </w:tcPr>
          <w:p>
            <w:pPr>
              <w:spacing w:after="0"/>
              <w:rPr>
                <w:sz w:val="14"/>
                <w:szCs w:val="14"/>
                <w:color w:val="auto"/>
              </w:rPr>
            </w:pPr>
          </w:p>
        </w:tc>
        <w:tc>
          <w:tcPr>
            <w:tcW w:w="80" w:type="dxa"/>
            <w:vAlign w:val="bottom"/>
            <w:tcBorders>
              <w:top w:val="single" w:sz="8" w:color="CCEEFF"/>
            </w:tcBorders>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920" w:type="dxa"/>
            <w:vAlign w:val="bottom"/>
            <w:tcBorders>
              <w:top w:val="single" w:sz="8" w:color="0000FF"/>
            </w:tcBorders>
            <w:gridSpan w:val="5"/>
            <w:shd w:val="clear" w:color="auto" w:fill="CCEEFF"/>
          </w:tcPr>
          <w:p>
            <w:pPr>
              <w:spacing w:after="0" w:line="169" w:lineRule="exact"/>
              <w:rPr>
                <w:rFonts w:ascii="Arial" w:cs="Arial" w:eastAsia="Arial" w:hAnsi="Arial"/>
                <w:sz w:val="18"/>
                <w:szCs w:val="18"/>
                <w:color w:val="0000FF"/>
              </w:rPr>
            </w:pPr>
            <w:hyperlink r:id="rId57">
              <w:r>
                <w:rPr>
                  <w:rFonts w:ascii="Arial" w:cs="Arial" w:eastAsia="Arial" w:hAnsi="Arial"/>
                  <w:sz w:val="18"/>
                  <w:szCs w:val="18"/>
                  <w:color w:val="0000FF"/>
                </w:rPr>
                <w:t>Stockholders’ Representative</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4"/>
            <w:shd w:val="clear" w:color="auto" w:fill="CCEEFF"/>
          </w:tcPr>
          <w:p>
            <w:pPr>
              <w:spacing w:after="0"/>
              <w:rPr>
                <w:sz w:val="14"/>
                <w:szCs w:val="14"/>
                <w:color w:val="auto"/>
              </w:rPr>
            </w:pPr>
          </w:p>
        </w:tc>
        <w:tc>
          <w:tcPr>
            <w:tcW w:w="800" w:type="dxa"/>
            <w:vAlign w:val="bottom"/>
            <w:tcBorders>
              <w:top w:val="single" w:sz="8" w:color="CCEEFF"/>
            </w:tcBorders>
            <w:gridSpan w:val="2"/>
            <w:vMerge w:val="continue"/>
            <w:shd w:val="clear" w:color="auto" w:fill="CCEEFF"/>
          </w:tcPr>
          <w:p>
            <w:pPr>
              <w:spacing w:after="0"/>
              <w:rPr>
                <w:sz w:val="14"/>
                <w:szCs w:val="14"/>
                <w:color w:val="auto"/>
              </w:rPr>
            </w:pPr>
          </w:p>
        </w:tc>
        <w:tc>
          <w:tcPr>
            <w:tcW w:w="1060" w:type="dxa"/>
            <w:vAlign w:val="bottom"/>
            <w:tcBorders>
              <w:top w:val="single" w:sz="8" w:color="CCEEFF"/>
            </w:tcBorders>
            <w:vMerge w:val="continue"/>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CCEEFF"/>
            </w:tcBorders>
            <w:gridSpan w:val="2"/>
            <w:vMerge w:val="continue"/>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240" w:type="dxa"/>
            <w:vAlign w:val="bottom"/>
            <w:vMerge w:val="restart"/>
          </w:tcPr>
          <w:p>
            <w:pPr>
              <w:spacing w:after="0"/>
              <w:rPr>
                <w:rFonts w:ascii="Arial" w:cs="Arial" w:eastAsia="Arial" w:hAnsi="Arial"/>
                <w:sz w:val="18"/>
                <w:szCs w:val="18"/>
                <w:color w:val="0000FF"/>
                <w:w w:val="87"/>
              </w:rPr>
            </w:pPr>
            <w:hyperlink r:id="rId5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25"/>
          </w:tcPr>
          <w:p>
            <w:pPr>
              <w:spacing w:after="0" w:line="189" w:lineRule="exact"/>
              <w:rPr>
                <w:rFonts w:ascii="Arial" w:cs="Arial" w:eastAsia="Arial" w:hAnsi="Arial"/>
                <w:sz w:val="18"/>
                <w:szCs w:val="18"/>
                <w:color w:val="0000FF"/>
              </w:rPr>
            </w:pPr>
            <w:hyperlink r:id="rId58">
              <w:r>
                <w:rPr>
                  <w:rFonts w:ascii="Arial" w:cs="Arial" w:eastAsia="Arial" w:hAnsi="Arial"/>
                  <w:sz w:val="18"/>
                  <w:szCs w:val="18"/>
                  <w:color w:val="0000FF"/>
                </w:rPr>
                <w:t>Second Amended and Restated Certificate of</w:t>
              </w:r>
            </w:hyperlink>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8-K</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0"/>
              </w:rPr>
              <w:t>001-39565</w:t>
            </w:r>
          </w:p>
        </w:tc>
        <w:tc>
          <w:tcPr>
            <w:tcW w:w="14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May 10, 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40" w:type="dxa"/>
            <w:vAlign w:val="bottom"/>
            <w:tcBorders>
              <w:bottom w:val="single" w:sz="8" w:color="0000FF"/>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4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Incorporation of The Beauty Health Company</w:t>
              </w:r>
            </w:hyperlink>
          </w:p>
        </w:tc>
        <w:tc>
          <w:tcPr>
            <w:tcW w:w="8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gridSpan w:val="3"/>
            <w:vMerge w:val="restart"/>
            <w:shd w:val="clear" w:color="auto" w:fill="CCEEFF"/>
          </w:tcPr>
          <w:p>
            <w:pPr>
              <w:ind w:left="20"/>
              <w:spacing w:after="0"/>
              <w:rPr>
                <w:rFonts w:ascii="Arial" w:cs="Arial" w:eastAsia="Arial" w:hAnsi="Arial"/>
                <w:sz w:val="18"/>
                <w:szCs w:val="18"/>
                <w:color w:val="0000FF"/>
              </w:rPr>
            </w:pPr>
            <w:hyperlink r:id="rId5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20" w:type="dxa"/>
            <w:vAlign w:val="bottom"/>
            <w:gridSpan w:val="25"/>
            <w:shd w:val="clear" w:color="auto" w:fill="CCEEFF"/>
          </w:tcPr>
          <w:p>
            <w:pPr>
              <w:spacing w:after="0" w:line="203"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Amended and Restated Bylaws of The Beauty Health</w:t>
              </w:r>
            </w:hyperlink>
          </w:p>
        </w:tc>
        <w:tc>
          <w:tcPr>
            <w:tcW w:w="8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8-K</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001-39565</w:t>
            </w: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shd w:val="clear" w:color="auto" w:fill="CCEEFF"/>
          </w:tcPr>
          <w:p>
            <w:pPr>
              <w:spacing w:after="0"/>
              <w:rPr>
                <w:sz w:val="17"/>
                <w:szCs w:val="17"/>
                <w:color w:val="auto"/>
              </w:rPr>
            </w:pPr>
          </w:p>
        </w:tc>
        <w:tc>
          <w:tcPr>
            <w:tcW w:w="18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10, 2021</w:t>
            </w: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0" w:type="dxa"/>
            <w:vAlign w:val="bottom"/>
            <w:tcBorders>
              <w:top w:val="single" w:sz="8" w:color="CCEEFF"/>
              <w:bottom w:val="single" w:sz="8" w:color="CCEEFF"/>
            </w:tcBorders>
            <w:gridSpan w:val="3"/>
            <w:vMerge w:val="continue"/>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w w:val="99"/>
              </w:rPr>
            </w:pPr>
            <w:hyperlink r:id="rId59">
              <w:r>
                <w:rPr>
                  <w:rFonts w:ascii="Arial" w:cs="Arial" w:eastAsia="Arial" w:hAnsi="Arial"/>
                  <w:sz w:val="16"/>
                  <w:szCs w:val="16"/>
                  <w:color w:val="0000FF"/>
                  <w:w w:val="99"/>
                </w:rPr>
                <w:t>Company</w:t>
              </w:r>
            </w:hyperlink>
          </w:p>
        </w:tc>
        <w:tc>
          <w:tcPr>
            <w:tcW w:w="180" w:type="dxa"/>
            <w:vAlign w:val="bottom"/>
            <w:tcBorders>
              <w:top w:val="single" w:sz="8" w:color="0000FF"/>
              <w:bottom w:val="single" w:sz="8" w:color="CCEEFF"/>
            </w:tcBorders>
            <w:shd w:val="clear" w:color="auto" w:fill="CCEEFF"/>
          </w:tcPr>
          <w:p>
            <w:pPr>
              <w:spacing w:after="0"/>
              <w:rPr>
                <w:sz w:val="17"/>
                <w:szCs w:val="17"/>
                <w:color w:val="auto"/>
              </w:rPr>
            </w:pPr>
          </w:p>
        </w:tc>
        <w:tc>
          <w:tcPr>
            <w:tcW w:w="460" w:type="dxa"/>
            <w:vAlign w:val="bottom"/>
            <w:tcBorders>
              <w:top w:val="single" w:sz="8" w:color="0000FF"/>
              <w:bottom w:val="single" w:sz="8" w:color="CCEEFF"/>
            </w:tcBorders>
            <w:shd w:val="clear" w:color="auto" w:fill="CCEEFF"/>
          </w:tcPr>
          <w:p>
            <w:pPr>
              <w:spacing w:after="0"/>
              <w:rPr>
                <w:sz w:val="17"/>
                <w:szCs w:val="17"/>
                <w:color w:val="auto"/>
              </w:rPr>
            </w:pPr>
          </w:p>
        </w:tc>
        <w:tc>
          <w:tcPr>
            <w:tcW w:w="164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14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vMerge w:val="continue"/>
            <w:shd w:val="clear" w:color="auto" w:fill="CCEEFF"/>
          </w:tcPr>
          <w:p>
            <w:pPr>
              <w:spacing w:after="0"/>
              <w:rPr>
                <w:sz w:val="17"/>
                <w:szCs w:val="17"/>
                <w:color w:val="auto"/>
              </w:rPr>
            </w:pPr>
          </w:p>
        </w:tc>
        <w:tc>
          <w:tcPr>
            <w:tcW w:w="10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60" w:type="dxa"/>
            <w:vAlign w:val="bottom"/>
            <w:tcBorders>
              <w:top w:val="single" w:sz="8" w:color="CCEEFF"/>
              <w:bottom w:val="single" w:sz="8" w:color="CCEEFF"/>
            </w:tcBorders>
            <w:gridSpan w:val="2"/>
            <w:vMerge w:val="continue"/>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20" w:type="dxa"/>
            <w:vAlign w:val="bottom"/>
            <w:tcBorders>
              <w:top w:val="single" w:sz="8" w:color="CCEEFF"/>
            </w:tcBorders>
            <w:gridSpan w:val="25"/>
          </w:tcPr>
          <w:p>
            <w:pPr>
              <w:spacing w:after="0" w:line="183"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Employment Agreement, dated August 10, 2023, by</w:t>
              </w:r>
            </w:hyperlink>
          </w:p>
        </w:tc>
        <w:tc>
          <w:tcPr>
            <w:tcW w:w="7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7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gridSpan w:val="4"/>
            <w:vMerge w:val="restart"/>
          </w:tcPr>
          <w:p>
            <w:pPr>
              <w:ind w:left="20"/>
              <w:spacing w:after="0"/>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60">
              <w:r>
                <w:rPr>
                  <w:rFonts w:ascii="Arial" w:cs="Arial" w:eastAsia="Arial" w:hAnsi="Arial"/>
                  <w:sz w:val="18"/>
                  <w:szCs w:val="18"/>
                  <w:color w:val="0000FF"/>
                </w:rPr>
                <w:t>and among The Beauty Health Company,</w:t>
              </w:r>
            </w:hyperlink>
          </w:p>
        </w:tc>
        <w:tc>
          <w:tcPr>
            <w:tcW w:w="40" w:type="dxa"/>
            <w:vAlign w:val="bottom"/>
          </w:tcPr>
          <w:p>
            <w:pPr>
              <w:spacing w:after="0"/>
              <w:rPr>
                <w:sz w:val="13"/>
                <w:szCs w:val="13"/>
                <w:color w:val="auto"/>
              </w:rPr>
            </w:pPr>
          </w:p>
        </w:tc>
        <w:tc>
          <w:tcPr>
            <w:tcW w:w="220" w:type="dxa"/>
            <w:vAlign w:val="bottom"/>
            <w:gridSpan w:val="5"/>
          </w:tcPr>
          <w:p>
            <w:pPr>
              <w:spacing w:after="0"/>
              <w:rPr>
                <w:sz w:val="13"/>
                <w:szCs w:val="13"/>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8-K</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0"/>
              </w:rPr>
              <w:t>001-39565</w:t>
            </w:r>
          </w:p>
        </w:tc>
        <w:tc>
          <w:tcPr>
            <w:tcW w:w="14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3"/>
                <w:szCs w:val="13"/>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August 9, 2023</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top w:val="single" w:sz="8" w:color="0000FF"/>
            </w:tcBorders>
            <w:gridSpan w:val="6"/>
          </w:tcPr>
          <w:p>
            <w:pPr>
              <w:spacing w:after="0" w:line="169"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HydraFacial LLC, and Michael Monahan</w:t>
              </w:r>
            </w:hyperlink>
          </w:p>
        </w:tc>
        <w:tc>
          <w:tcPr>
            <w:tcW w:w="2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20" w:type="dxa"/>
            <w:vAlign w:val="bottom"/>
            <w:gridSpan w:val="25"/>
            <w:shd w:val="clear" w:color="auto" w:fill="CCEEFF"/>
          </w:tcPr>
          <w:p>
            <w:pPr>
              <w:spacing w:after="0" w:line="189"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Separation Agreement, dated August 10, 2023, by</w:t>
              </w:r>
            </w:hyperlink>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gridSpan w:val="3"/>
            <w:vMerge w:val="restart"/>
            <w:shd w:val="clear" w:color="auto" w:fill="CCEEFF"/>
          </w:tcPr>
          <w:p>
            <w:pPr>
              <w:spacing w:after="0"/>
              <w:rPr>
                <w:rFonts w:ascii="Arial" w:cs="Arial" w:eastAsia="Arial" w:hAnsi="Arial"/>
                <w:sz w:val="18"/>
                <w:szCs w:val="18"/>
                <w:color w:val="0000FF"/>
                <w:w w:val="88"/>
              </w:rPr>
            </w:pPr>
            <w:hyperlink r:id="rId6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w:t>
              </w:r>
            </w:hyperlink>
          </w:p>
        </w:tc>
        <w:tc>
          <w:tcPr>
            <w:tcW w:w="840" w:type="dxa"/>
            <w:vAlign w:val="bottom"/>
            <w:tcBorders>
              <w:top w:val="single" w:sz="8" w:color="CCEEFF"/>
            </w:tcBorders>
            <w:gridSpan w:val="2"/>
            <w:vMerge w:val="restart"/>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62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w w:val="96"/>
              </w:rPr>
            </w:pPr>
            <w:hyperlink r:id="rId61">
              <w:r>
                <w:rPr>
                  <w:rFonts w:ascii="Arial" w:cs="Arial" w:eastAsia="Arial" w:hAnsi="Arial"/>
                  <w:sz w:val="18"/>
                  <w:szCs w:val="18"/>
                  <w:color w:val="0000FF"/>
                  <w:w w:val="96"/>
                </w:rPr>
                <w:t>and between The Beauty Health Company and</w:t>
              </w:r>
            </w:hyperlink>
          </w:p>
        </w:tc>
        <w:tc>
          <w:tcPr>
            <w:tcW w:w="12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5"/>
            <w:shd w:val="clear" w:color="auto" w:fill="CCEEFF"/>
          </w:tcPr>
          <w:p>
            <w:pPr>
              <w:spacing w:after="0"/>
              <w:rPr>
                <w:sz w:val="13"/>
                <w:szCs w:val="13"/>
                <w:color w:val="auto"/>
              </w:rPr>
            </w:pPr>
          </w:p>
        </w:tc>
        <w:tc>
          <w:tcPr>
            <w:tcW w:w="800" w:type="dxa"/>
            <w:vAlign w:val="bottom"/>
            <w:tcBorders>
              <w:top w:val="single" w:sz="8" w:color="CCEEFF"/>
            </w:tcBorders>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8-K</w:t>
            </w:r>
          </w:p>
        </w:tc>
        <w:tc>
          <w:tcPr>
            <w:tcW w:w="106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001-39565</w:t>
            </w:r>
          </w:p>
        </w:tc>
        <w:tc>
          <w:tcPr>
            <w:tcW w:w="1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CCEEFF"/>
            </w:tcBorders>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2"/>
              </w:rPr>
              <w:t>August 9, 2023</w:t>
            </w: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gridSpan w:val="3"/>
            <w:vMerge w:val="continue"/>
            <w:shd w:val="clear" w:color="auto" w:fill="CCEEFF"/>
          </w:tcPr>
          <w:p>
            <w:pPr>
              <w:spacing w:after="0"/>
              <w:rPr>
                <w:sz w:val="14"/>
                <w:szCs w:val="14"/>
                <w:color w:val="auto"/>
              </w:rPr>
            </w:pPr>
          </w:p>
        </w:tc>
        <w:tc>
          <w:tcPr>
            <w:tcW w:w="840" w:type="dxa"/>
            <w:vAlign w:val="bottom"/>
            <w:tcBorders>
              <w:top w:val="single" w:sz="8" w:color="CCEEFF"/>
            </w:tcBorders>
            <w:gridSpan w:val="2"/>
            <w:vMerge w:val="continue"/>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360" w:type="dxa"/>
            <w:vAlign w:val="bottom"/>
            <w:tcBorders>
              <w:top w:val="single" w:sz="8" w:color="0000FF"/>
            </w:tcBorders>
            <w:gridSpan w:val="10"/>
            <w:shd w:val="clear" w:color="auto" w:fill="CCEEFF"/>
          </w:tcPr>
          <w:p>
            <w:pPr>
              <w:spacing w:after="0" w:line="169" w:lineRule="exact"/>
              <w:rPr>
                <w:rFonts w:ascii="Arial" w:cs="Arial" w:eastAsia="Arial" w:hAnsi="Arial"/>
                <w:sz w:val="18"/>
                <w:szCs w:val="18"/>
                <w:color w:val="0000FF"/>
              </w:rPr>
            </w:pPr>
            <w:hyperlink r:id="rId61">
              <w:r>
                <w:rPr>
                  <w:rFonts w:ascii="Arial" w:cs="Arial" w:eastAsia="Arial" w:hAnsi="Arial"/>
                  <w:sz w:val="18"/>
                  <w:szCs w:val="18"/>
                  <w:color w:val="0000FF"/>
                </w:rPr>
                <w:t>Liyuan Woo</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20" w:type="dxa"/>
            <w:vAlign w:val="bottom"/>
            <w:tcBorders>
              <w:top w:val="single" w:sz="8" w:color="CCEEFF"/>
            </w:tcBorders>
            <w:gridSpan w:val="5"/>
            <w:shd w:val="clear" w:color="auto" w:fill="CCEEFF"/>
          </w:tcPr>
          <w:p>
            <w:pPr>
              <w:spacing w:after="0"/>
              <w:rPr>
                <w:sz w:val="14"/>
                <w:szCs w:val="14"/>
                <w:color w:val="auto"/>
              </w:rPr>
            </w:pPr>
          </w:p>
        </w:tc>
        <w:tc>
          <w:tcPr>
            <w:tcW w:w="800" w:type="dxa"/>
            <w:vAlign w:val="bottom"/>
            <w:tcBorders>
              <w:top w:val="single" w:sz="8" w:color="CCEEFF"/>
            </w:tcBorders>
            <w:gridSpan w:val="2"/>
            <w:vMerge w:val="continue"/>
            <w:shd w:val="clear" w:color="auto" w:fill="CCEEFF"/>
          </w:tcPr>
          <w:p>
            <w:pPr>
              <w:spacing w:after="0"/>
              <w:rPr>
                <w:sz w:val="14"/>
                <w:szCs w:val="14"/>
                <w:color w:val="auto"/>
              </w:rPr>
            </w:pPr>
          </w:p>
        </w:tc>
        <w:tc>
          <w:tcPr>
            <w:tcW w:w="1060" w:type="dxa"/>
            <w:vAlign w:val="bottom"/>
            <w:tcBorders>
              <w:top w:val="single" w:sz="8" w:color="CCEEFF"/>
            </w:tcBorders>
            <w:vMerge w:val="continue"/>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CCEEFF"/>
            </w:tcBorders>
            <w:gridSpan w:val="2"/>
            <w:vMerge w:val="continue"/>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25"/>
          </w:tcPr>
          <w:p>
            <w:pPr>
              <w:spacing w:after="0" w:line="189" w:lineRule="exact"/>
              <w:rPr>
                <w:sz w:val="20"/>
                <w:szCs w:val="20"/>
                <w:color w:val="auto"/>
              </w:rPr>
            </w:pPr>
            <w:r>
              <w:rPr>
                <w:rFonts w:ascii="Arial" w:cs="Arial" w:eastAsia="Arial" w:hAnsi="Arial"/>
                <w:sz w:val="18"/>
                <w:szCs w:val="18"/>
                <w:color w:val="0000FF"/>
                <w:w w:val="98"/>
              </w:rPr>
              <w:t>Certification of Principal Executive Officer Pursuant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w w:val="99"/>
              </w:rPr>
              <w:t>to Securities Exchange Act Rules 13a-14(a), as</w:t>
            </w:r>
          </w:p>
        </w:tc>
        <w:tc>
          <w:tcPr>
            <w:tcW w:w="22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gridSpan w:val="4"/>
            <w:vMerge w:val="restart"/>
          </w:tcPr>
          <w:p>
            <w:pPr>
              <w:ind w:left="2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8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85"/>
              </w:rPr>
              <w:t>adopted Pursuant to Section 302 of the Sarbanes</w:t>
            </w:r>
          </w:p>
        </w:tc>
        <w:tc>
          <w:tcPr>
            <w:tcW w:w="220" w:type="dxa"/>
            <w:vAlign w:val="bottom"/>
            <w:gridSpan w:val="3"/>
          </w:tcPr>
          <w:p>
            <w:pPr>
              <w:jc w:val="right"/>
              <w:ind w:right="60"/>
              <w:spacing w:after="0" w:line="169" w:lineRule="exact"/>
              <w:rPr>
                <w:sz w:val="20"/>
                <w:szCs w:val="20"/>
                <w:color w:val="auto"/>
              </w:rPr>
            </w:pPr>
            <w:r>
              <w:rPr>
                <w:rFonts w:ascii="Arial" w:cs="Arial" w:eastAsia="Arial" w:hAnsi="Arial"/>
                <w:sz w:val="18"/>
                <w:szCs w:val="18"/>
                <w:color w:val="0000FF"/>
              </w:rPr>
              <w:t>-</w:t>
            </w:r>
          </w:p>
        </w:tc>
        <w:tc>
          <w:tcPr>
            <w:tcW w:w="140" w:type="dxa"/>
            <w:vAlign w:val="bottom"/>
            <w:gridSpan w:val="4"/>
          </w:tcPr>
          <w:p>
            <w:pPr>
              <w:spacing w:after="0"/>
              <w:rPr>
                <w:sz w:val="14"/>
                <w:szCs w:val="14"/>
                <w:color w:val="auto"/>
              </w:rPr>
            </w:pPr>
          </w:p>
        </w:tc>
        <w:tc>
          <w:tcPr>
            <w:tcW w:w="280" w:type="dxa"/>
            <w:vAlign w:val="bottom"/>
            <w:gridSpan w:val="7"/>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440" w:type="dxa"/>
            <w:vAlign w:val="bottom"/>
            <w:gridSpan w:val="4"/>
            <w:vMerge w:val="continue"/>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13"/>
          </w:tcPr>
          <w:p>
            <w:pPr>
              <w:spacing w:after="0" w:line="156" w:lineRule="exact"/>
              <w:rPr>
                <w:sz w:val="20"/>
                <w:szCs w:val="20"/>
                <w:color w:val="auto"/>
              </w:rPr>
            </w:pPr>
            <w:r>
              <w:rPr>
                <w:rFonts w:ascii="Arial" w:cs="Arial" w:eastAsia="Arial" w:hAnsi="Arial"/>
                <w:sz w:val="18"/>
                <w:szCs w:val="18"/>
                <w:color w:val="0000FF"/>
              </w:rPr>
              <w:t>Oxley Act of 2002</w:t>
            </w: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80" w:type="dxa"/>
            <w:vAlign w:val="bottom"/>
            <w:gridSpan w:val="7"/>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w w:val="99"/>
              </w:rPr>
              <w:t>Certification of Principal Financial Officer Pursuant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740" w:type="dxa"/>
            <w:vAlign w:val="bottom"/>
            <w:tcBorders>
              <w:top w:val="single" w:sz="8" w:color="0000FF"/>
            </w:tcBorders>
            <w:gridSpan w:val="18"/>
            <w:shd w:val="clear" w:color="auto" w:fill="CCEEFF"/>
          </w:tcPr>
          <w:p>
            <w:pPr>
              <w:spacing w:after="0" w:line="156" w:lineRule="exact"/>
              <w:rPr>
                <w:sz w:val="20"/>
                <w:szCs w:val="20"/>
                <w:color w:val="auto"/>
              </w:rPr>
            </w:pPr>
            <w:r>
              <w:rPr>
                <w:rFonts w:ascii="Arial" w:cs="Arial" w:eastAsia="Arial" w:hAnsi="Arial"/>
                <w:sz w:val="18"/>
                <w:szCs w:val="18"/>
                <w:color w:val="0000FF"/>
                <w:w w:val="98"/>
              </w:rPr>
              <w:t>to Securities Exchange Act Rules 13a-14(a), as</w:t>
            </w:r>
          </w:p>
        </w:tc>
        <w:tc>
          <w:tcPr>
            <w:tcW w:w="280" w:type="dxa"/>
            <w:vAlign w:val="bottom"/>
            <w:tcBorders>
              <w:top w:val="single" w:sz="8" w:color="CCEEFF"/>
            </w:tcBorders>
            <w:gridSpan w:val="7"/>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vMerge w:val="restart"/>
            <w:shd w:val="clear" w:color="auto" w:fill="CCEEFF"/>
          </w:tcPr>
          <w:p>
            <w:pPr>
              <w:spacing w:after="0"/>
              <w:rPr>
                <w:sz w:val="14"/>
                <w:szCs w:val="14"/>
                <w:color w:val="auto"/>
              </w:rPr>
            </w:pPr>
          </w:p>
        </w:tc>
        <w:tc>
          <w:tcPr>
            <w:tcW w:w="420" w:type="dxa"/>
            <w:vAlign w:val="bottom"/>
            <w:tcBorders>
              <w:top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380" w:type="dxa"/>
            <w:vAlign w:val="bottom"/>
            <w:tcBorders>
              <w:top w:val="single" w:sz="8" w:color="0000FF"/>
            </w:tcBorders>
            <w:gridSpan w:val="11"/>
            <w:shd w:val="clear" w:color="auto" w:fill="CCEEFF"/>
          </w:tcPr>
          <w:p>
            <w:pPr>
              <w:spacing w:after="0" w:line="169" w:lineRule="exact"/>
              <w:rPr>
                <w:sz w:val="20"/>
                <w:szCs w:val="20"/>
                <w:color w:val="auto"/>
              </w:rPr>
            </w:pPr>
            <w:r>
              <w:rPr>
                <w:rFonts w:ascii="Arial" w:cs="Arial" w:eastAsia="Arial" w:hAnsi="Arial"/>
                <w:sz w:val="18"/>
                <w:szCs w:val="18"/>
                <w:color w:val="0000FF"/>
                <w:w w:val="85"/>
              </w:rPr>
              <w:t>adopted Pursuant to Section 302 of the Sarbanes</w:t>
            </w:r>
          </w:p>
        </w:tc>
        <w:tc>
          <w:tcPr>
            <w:tcW w:w="220" w:type="dxa"/>
            <w:vAlign w:val="bottom"/>
            <w:tcBorders>
              <w:top w:val="single" w:sz="8" w:color="CCEEFF"/>
            </w:tcBorders>
            <w:gridSpan w:val="3"/>
            <w:shd w:val="clear" w:color="auto" w:fill="CCEEFF"/>
          </w:tcPr>
          <w:p>
            <w:pPr>
              <w:jc w:val="right"/>
              <w:ind w:right="60"/>
              <w:spacing w:after="0" w:line="169" w:lineRule="exact"/>
              <w:rPr>
                <w:sz w:val="20"/>
                <w:szCs w:val="20"/>
                <w:color w:val="auto"/>
              </w:rPr>
            </w:pPr>
            <w:r>
              <w:rPr>
                <w:rFonts w:ascii="Arial" w:cs="Arial" w:eastAsia="Arial" w:hAnsi="Arial"/>
                <w:sz w:val="18"/>
                <w:szCs w:val="18"/>
                <w:color w:val="0000FF"/>
              </w:rPr>
              <w:t>-</w:t>
            </w:r>
          </w:p>
        </w:tc>
        <w:tc>
          <w:tcPr>
            <w:tcW w:w="420" w:type="dxa"/>
            <w:vAlign w:val="bottom"/>
            <w:tcBorders>
              <w:top w:val="single" w:sz="8" w:color="CCEEFF"/>
            </w:tcBorders>
            <w:gridSpan w:val="11"/>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vMerge w:val="continue"/>
            <w:shd w:val="clear" w:color="auto" w:fill="CCEEFF"/>
          </w:tcPr>
          <w:p>
            <w:pPr>
              <w:spacing w:after="0"/>
              <w:rPr>
                <w:sz w:val="13"/>
                <w:szCs w:val="13"/>
                <w:color w:val="auto"/>
              </w:rPr>
            </w:pPr>
          </w:p>
        </w:tc>
        <w:tc>
          <w:tcPr>
            <w:tcW w:w="420" w:type="dxa"/>
            <w:vAlign w:val="bottom"/>
            <w:tcBorders>
              <w:top w:val="single" w:sz="8" w:color="CCEEFF"/>
            </w:tcBorders>
            <w:gridSpan w:val="3"/>
            <w:vMerge w:val="continue"/>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540" w:type="dxa"/>
            <w:vAlign w:val="bottom"/>
            <w:tcBorders>
              <w:top w:val="single" w:sz="8" w:color="0000FF"/>
            </w:tcBorders>
            <w:gridSpan w:val="13"/>
            <w:shd w:val="clear" w:color="auto" w:fill="CCEEFF"/>
          </w:tcPr>
          <w:p>
            <w:pPr>
              <w:spacing w:after="0" w:line="156" w:lineRule="exact"/>
              <w:rPr>
                <w:sz w:val="20"/>
                <w:szCs w:val="20"/>
                <w:color w:val="auto"/>
              </w:rPr>
            </w:pPr>
            <w:r>
              <w:rPr>
                <w:rFonts w:ascii="Arial" w:cs="Arial" w:eastAsia="Arial" w:hAnsi="Arial"/>
                <w:sz w:val="18"/>
                <w:szCs w:val="18"/>
                <w:color w:val="0000FF"/>
              </w:rPr>
              <w:t>Oxley Act of 2002</w:t>
            </w:r>
          </w:p>
        </w:tc>
        <w:tc>
          <w:tcPr>
            <w:tcW w:w="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gridSpan w:val="11"/>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25"/>
          </w:tcPr>
          <w:p>
            <w:pPr>
              <w:spacing w:after="0" w:line="189" w:lineRule="exact"/>
              <w:rPr>
                <w:sz w:val="20"/>
                <w:szCs w:val="20"/>
                <w:color w:val="auto"/>
              </w:rPr>
            </w:pPr>
            <w:r>
              <w:rPr>
                <w:rFonts w:ascii="Arial" w:cs="Arial" w:eastAsia="Arial" w:hAnsi="Arial"/>
                <w:sz w:val="18"/>
                <w:szCs w:val="18"/>
                <w:color w:val="0000FF"/>
                <w:w w:val="98"/>
              </w:rPr>
              <w:t>Certification of Principal Executive Officer Pursuant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80" w:type="dxa"/>
            <w:vAlign w:val="bottom"/>
            <w:gridSpan w:val="5"/>
            <w:vMerge w:val="restart"/>
          </w:tcPr>
          <w:p>
            <w:pPr>
              <w:ind w:left="20"/>
              <w:spacing w:after="0"/>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w w:val="93"/>
              </w:rPr>
              <w:t>to 18 U.S.C. Section 1350, as adopted Pursuant to</w:t>
            </w:r>
          </w:p>
        </w:tc>
        <w:tc>
          <w:tcPr>
            <w:tcW w:w="22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18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w w:val="95"/>
              </w:rPr>
              <w:t>Section 906 of the Sarbanes-Oxley Act of 2002</w:t>
            </w:r>
          </w:p>
        </w:tc>
        <w:tc>
          <w:tcPr>
            <w:tcW w:w="420" w:type="dxa"/>
            <w:vAlign w:val="bottom"/>
            <w:gridSpan w:val="11"/>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2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w w:val="99"/>
              </w:rPr>
              <w:t>Certification of Principal Financial Officer Pursuant</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vMerge w:val="restart"/>
            <w:shd w:val="clear" w:color="auto" w:fill="CCEEFF"/>
          </w:tcPr>
          <w:p>
            <w:pPr>
              <w:spacing w:after="0"/>
              <w:rPr>
                <w:sz w:val="13"/>
                <w:szCs w:val="13"/>
                <w:color w:val="auto"/>
              </w:rPr>
            </w:pPr>
          </w:p>
        </w:tc>
        <w:tc>
          <w:tcPr>
            <w:tcW w:w="420" w:type="dxa"/>
            <w:vAlign w:val="bottom"/>
            <w:tcBorders>
              <w:top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2*</w:t>
            </w:r>
          </w:p>
        </w:tc>
        <w:tc>
          <w:tcPr>
            <w:tcW w:w="740" w:type="dxa"/>
            <w:vAlign w:val="bottom"/>
            <w:tcBorders>
              <w:top w:val="single" w:sz="8" w:color="CCEEFF"/>
            </w:tcBorders>
            <w:vMerge w:val="restart"/>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740" w:type="dxa"/>
            <w:vAlign w:val="bottom"/>
            <w:tcBorders>
              <w:top w:val="single" w:sz="8" w:color="0000FF"/>
            </w:tcBorders>
            <w:gridSpan w:val="18"/>
            <w:shd w:val="clear" w:color="auto" w:fill="CCEEFF"/>
          </w:tcPr>
          <w:p>
            <w:pPr>
              <w:spacing w:after="0" w:line="156" w:lineRule="exact"/>
              <w:rPr>
                <w:sz w:val="20"/>
                <w:szCs w:val="20"/>
                <w:color w:val="auto"/>
              </w:rPr>
            </w:pPr>
            <w:r>
              <w:rPr>
                <w:rFonts w:ascii="Arial" w:cs="Arial" w:eastAsia="Arial" w:hAnsi="Arial"/>
                <w:sz w:val="18"/>
                <w:szCs w:val="18"/>
                <w:color w:val="0000FF"/>
                <w:w w:val="92"/>
              </w:rPr>
              <w:t>to 18 U.S.C. Section 1350, as adopted Pursuant to</w:t>
            </w:r>
          </w:p>
        </w:tc>
        <w:tc>
          <w:tcPr>
            <w:tcW w:w="280" w:type="dxa"/>
            <w:vAlign w:val="bottom"/>
            <w:tcBorders>
              <w:top w:val="single" w:sz="8" w:color="CCEEFF"/>
            </w:tcBorders>
            <w:gridSpan w:val="7"/>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vMerge w:val="continue"/>
            <w:shd w:val="clear" w:color="auto" w:fill="CCEEFF"/>
          </w:tcPr>
          <w:p>
            <w:pPr>
              <w:spacing w:after="0"/>
              <w:rPr>
                <w:sz w:val="14"/>
                <w:szCs w:val="14"/>
                <w:color w:val="auto"/>
              </w:rPr>
            </w:pPr>
          </w:p>
        </w:tc>
        <w:tc>
          <w:tcPr>
            <w:tcW w:w="420" w:type="dxa"/>
            <w:vAlign w:val="bottom"/>
            <w:tcBorders>
              <w:top w:val="single" w:sz="8" w:color="CCEEFF"/>
            </w:tcBorders>
            <w:gridSpan w:val="3"/>
            <w:vMerge w:val="continue"/>
            <w:shd w:val="clear" w:color="auto" w:fill="CCEEFF"/>
          </w:tcPr>
          <w:p>
            <w:pPr>
              <w:spacing w:after="0"/>
              <w:rPr>
                <w:sz w:val="14"/>
                <w:szCs w:val="14"/>
                <w:color w:val="auto"/>
              </w:rPr>
            </w:pPr>
          </w:p>
        </w:tc>
        <w:tc>
          <w:tcPr>
            <w:tcW w:w="740" w:type="dxa"/>
            <w:vAlign w:val="bottom"/>
            <w:tcBorders>
              <w:top w:val="single" w:sz="8" w:color="CCEEFF"/>
            </w:tcBorders>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0" w:type="dxa"/>
            <w:vAlign w:val="bottom"/>
            <w:tcBorders>
              <w:top w:val="single" w:sz="8" w:color="0000FF"/>
            </w:tcBorders>
            <w:gridSpan w:val="14"/>
            <w:shd w:val="clear" w:color="auto" w:fill="CCEEFF"/>
          </w:tcPr>
          <w:p>
            <w:pPr>
              <w:spacing w:after="0" w:line="169" w:lineRule="exact"/>
              <w:rPr>
                <w:sz w:val="20"/>
                <w:szCs w:val="20"/>
                <w:color w:val="auto"/>
              </w:rPr>
            </w:pPr>
            <w:r>
              <w:rPr>
                <w:rFonts w:ascii="Arial" w:cs="Arial" w:eastAsia="Arial" w:hAnsi="Arial"/>
                <w:sz w:val="18"/>
                <w:szCs w:val="18"/>
                <w:color w:val="0000FF"/>
                <w:w w:val="95"/>
              </w:rPr>
              <w:t>Section 906 of the Sarbanes-Oxley Act of 2002</w:t>
            </w:r>
          </w:p>
        </w:tc>
        <w:tc>
          <w:tcPr>
            <w:tcW w:w="420" w:type="dxa"/>
            <w:vAlign w:val="bottom"/>
            <w:tcBorders>
              <w:top w:val="single" w:sz="8" w:color="CCEEFF"/>
            </w:tcBorders>
            <w:gridSpan w:val="11"/>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4020" w:type="dxa"/>
            <w:vAlign w:val="bottom"/>
            <w:gridSpan w:val="25"/>
          </w:tcPr>
          <w:p>
            <w:pPr>
              <w:spacing w:after="0"/>
              <w:rPr>
                <w:sz w:val="20"/>
                <w:szCs w:val="20"/>
                <w:color w:val="auto"/>
              </w:rPr>
            </w:pPr>
            <w:r>
              <w:rPr>
                <w:rFonts w:ascii="Arial" w:cs="Arial" w:eastAsia="Arial" w:hAnsi="Arial"/>
                <w:sz w:val="18"/>
                <w:szCs w:val="18"/>
                <w:color w:val="auto"/>
              </w:rPr>
              <w:t>Inline XBRL Instance Document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20" w:type="dxa"/>
            <w:vAlign w:val="bottom"/>
            <w:gridSpan w:val="25"/>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Schema</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101.SCH**</w:t>
            </w:r>
          </w:p>
        </w:tc>
        <w:tc>
          <w:tcPr>
            <w:tcW w:w="20" w:type="dxa"/>
            <w:vAlign w:val="bottom"/>
            <w:shd w:val="clear" w:color="auto" w:fill="CCEEFF"/>
          </w:tcPr>
          <w:p>
            <w:pPr>
              <w:spacing w:after="0"/>
              <w:rPr>
                <w:sz w:val="21"/>
                <w:szCs w:val="21"/>
                <w:color w:val="auto"/>
              </w:rPr>
            </w:pPr>
          </w:p>
        </w:tc>
        <w:tc>
          <w:tcPr>
            <w:tcW w:w="402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Document</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gridSpan w:val="25"/>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1"/>
                <w:szCs w:val="21"/>
                <w:color w:val="auto"/>
              </w:rPr>
            </w:pPr>
          </w:p>
        </w:tc>
        <w:tc>
          <w:tcPr>
            <w:tcW w:w="4020" w:type="dxa"/>
            <w:vAlign w:val="bottom"/>
            <w:gridSpan w:val="25"/>
          </w:tcPr>
          <w:p>
            <w:pPr>
              <w:spacing w:after="0"/>
              <w:rPr>
                <w:sz w:val="20"/>
                <w:szCs w:val="20"/>
                <w:color w:val="auto"/>
              </w:rPr>
            </w:pPr>
            <w:r>
              <w:rPr>
                <w:rFonts w:ascii="Arial" w:cs="Arial" w:eastAsia="Arial" w:hAnsi="Arial"/>
                <w:sz w:val="18"/>
                <w:szCs w:val="18"/>
                <w:color w:val="auto"/>
              </w:rPr>
              <w:t>Linkbase Document</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20" w:type="dxa"/>
            <w:vAlign w:val="bottom"/>
            <w:gridSpan w:val="25"/>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Definition</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101.DEF**</w:t>
            </w:r>
          </w:p>
        </w:tc>
        <w:tc>
          <w:tcPr>
            <w:tcW w:w="20" w:type="dxa"/>
            <w:vAlign w:val="bottom"/>
            <w:shd w:val="clear" w:color="auto" w:fill="CCEEFF"/>
          </w:tcPr>
          <w:p>
            <w:pPr>
              <w:spacing w:after="0"/>
              <w:rPr>
                <w:sz w:val="21"/>
                <w:szCs w:val="21"/>
                <w:color w:val="auto"/>
              </w:rPr>
            </w:pPr>
          </w:p>
        </w:tc>
        <w:tc>
          <w:tcPr>
            <w:tcW w:w="402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gridSpan w:val="25"/>
          </w:tcPr>
          <w:p>
            <w:pPr>
              <w:spacing w:after="0" w:line="176" w:lineRule="exact"/>
              <w:rPr>
                <w:sz w:val="20"/>
                <w:szCs w:val="20"/>
                <w:color w:val="auto"/>
              </w:rPr>
            </w:pPr>
            <w:r>
              <w:rPr>
                <w:rFonts w:ascii="Arial" w:cs="Arial" w:eastAsia="Arial" w:hAnsi="Arial"/>
                <w:sz w:val="18"/>
                <w:szCs w:val="18"/>
                <w:color w:val="auto"/>
                <w:w w:val="99"/>
              </w:rPr>
              <w:t>Inline XBRL Taxonomy Extension Labels Linkbase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1"/>
                <w:szCs w:val="21"/>
                <w:color w:val="auto"/>
              </w:rPr>
            </w:pPr>
          </w:p>
        </w:tc>
        <w:tc>
          <w:tcPr>
            <w:tcW w:w="402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20" w:type="dxa"/>
            <w:vAlign w:val="bottom"/>
            <w:gridSpan w:val="25"/>
            <w:shd w:val="clear" w:color="auto" w:fill="CCEEFF"/>
          </w:tcPr>
          <w:p>
            <w:pPr>
              <w:spacing w:after="0" w:line="176" w:lineRule="exact"/>
              <w:rPr>
                <w:sz w:val="20"/>
                <w:szCs w:val="20"/>
                <w:color w:val="auto"/>
              </w:rPr>
            </w:pPr>
            <w:r>
              <w:rPr>
                <w:rFonts w:ascii="Arial" w:cs="Arial" w:eastAsia="Arial" w:hAnsi="Arial"/>
                <w:sz w:val="18"/>
                <w:szCs w:val="18"/>
                <w:color w:val="auto"/>
              </w:rPr>
              <w:t>Inline XBRL Taxonomy Extension Presentation</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101.PRE**</w:t>
            </w:r>
          </w:p>
        </w:tc>
        <w:tc>
          <w:tcPr>
            <w:tcW w:w="20" w:type="dxa"/>
            <w:vAlign w:val="bottom"/>
            <w:shd w:val="clear" w:color="auto" w:fill="CCEEFF"/>
          </w:tcPr>
          <w:p>
            <w:pPr>
              <w:spacing w:after="0"/>
              <w:rPr>
                <w:sz w:val="21"/>
                <w:szCs w:val="21"/>
                <w:color w:val="auto"/>
              </w:rPr>
            </w:pPr>
          </w:p>
        </w:tc>
        <w:tc>
          <w:tcPr>
            <w:tcW w:w="402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Linkbase Document</w:t>
            </w: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gridSpan w:val="25"/>
          </w:tcPr>
          <w:p>
            <w:pPr>
              <w:spacing w:after="0" w:line="176" w:lineRule="exact"/>
              <w:rPr>
                <w:sz w:val="20"/>
                <w:szCs w:val="20"/>
                <w:color w:val="auto"/>
              </w:rPr>
            </w:pPr>
            <w:r>
              <w:rPr>
                <w:rFonts w:ascii="Arial" w:cs="Arial" w:eastAsia="Arial" w:hAnsi="Arial"/>
                <w:sz w:val="18"/>
                <w:szCs w:val="18"/>
                <w:color w:val="auto"/>
                <w:w w:val="95"/>
              </w:rPr>
              <w:t>Cover Page Interactive Data File (formatted as Inline</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80" w:type="dxa"/>
            <w:vAlign w:val="bottom"/>
            <w:gridSpan w:val="5"/>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20" w:type="dxa"/>
            <w:vAlign w:val="bottom"/>
            <w:gridSpan w:val="25"/>
          </w:tcPr>
          <w:p>
            <w:pPr>
              <w:spacing w:after="0"/>
              <w:rPr>
                <w:sz w:val="20"/>
                <w:szCs w:val="20"/>
                <w:color w:val="auto"/>
              </w:rPr>
            </w:pPr>
            <w:r>
              <w:rPr>
                <w:rFonts w:ascii="Arial" w:cs="Arial" w:eastAsia="Arial" w:hAnsi="Arial"/>
                <w:sz w:val="18"/>
                <w:szCs w:val="18"/>
                <w:color w:val="auto"/>
              </w:rPr>
              <w:t>XBRL and contained in Exhibit 101 attachments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59" w:lineRule="exact"/>
        <w:rPr>
          <w:sz w:val="20"/>
          <w:szCs w:val="20"/>
          <w:color w:val="auto"/>
        </w:rPr>
      </w:pPr>
    </w:p>
    <w:p>
      <w:pPr>
        <w:jc w:val="right"/>
        <w:ind w:left="340" w:right="360" w:hanging="332"/>
        <w:spacing w:after="0" w:line="269" w:lineRule="auto"/>
        <w:tabs>
          <w:tab w:leader="none" w:pos="232"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w:t>
      </w:r>
    </w:p>
    <w:p>
      <w:pPr>
        <w:ind w:left="340"/>
        <w:spacing w:after="0" w:line="222" w:lineRule="auto"/>
        <w:rPr>
          <w:sz w:val="20"/>
          <w:szCs w:val="20"/>
          <w:color w:val="auto"/>
        </w:rPr>
      </w:pPr>
      <w:r>
        <w:rPr>
          <w:rFonts w:ascii="Arial" w:cs="Arial" w:eastAsia="Arial" w:hAnsi="Arial"/>
          <w:sz w:val="14"/>
          <w:szCs w:val="14"/>
          <w:color w:val="auto"/>
        </w:rPr>
        <w:t>language in such filing.</w:t>
      </w:r>
    </w:p>
    <w:p>
      <w:pPr>
        <w:jc w:val="both"/>
        <w:ind w:left="340" w:right="40" w:hanging="332"/>
        <w:spacing w:after="0" w:line="281" w:lineRule="auto"/>
        <w:tabs>
          <w:tab w:leader="none" w:pos="304"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reference in such filing or document.</w:t>
      </w:r>
    </w:p>
    <w:p>
      <w:pPr>
        <w:spacing w:after="0" w:line="1" w:lineRule="exact"/>
        <w:rPr>
          <w:sz w:val="20"/>
          <w:szCs w:val="20"/>
          <w:color w:val="auto"/>
        </w:rPr>
      </w:pPr>
    </w:p>
    <w:p>
      <w:pPr>
        <w:ind w:left="340" w:right="420" w:hanging="332"/>
        <w:spacing w:after="0" w:line="255" w:lineRule="auto"/>
        <w:tabs>
          <w:tab w:leader="none" w:pos="232"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Confidential portions of this exhibit were redacted pursuant to Item 601(b)(10) of Regulation S-K, and the Company agrees to furnish to the SEC a copy of any omitted schedule and/or exhibit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840" w:type="dxa"/>
            <w:vAlign w:val="bottom"/>
            <w:gridSpan w:val="2"/>
          </w:tcPr>
          <w:p>
            <w:pPr>
              <w:jc w:val="center"/>
              <w:ind w:right="2170"/>
              <w:spacing w:after="0"/>
              <w:rPr>
                <w:sz w:val="20"/>
                <w:szCs w:val="20"/>
                <w:color w:val="auto"/>
              </w:rPr>
            </w:pPr>
            <w:r>
              <w:rPr>
                <w:rFonts w:ascii="Arial" w:cs="Arial" w:eastAsia="Arial" w:hAnsi="Arial"/>
                <w:sz w:val="18"/>
                <w:szCs w:val="18"/>
                <w:b w:val="1"/>
                <w:bCs w:val="1"/>
                <w:color w:val="auto"/>
              </w:rPr>
              <w:t>THE BEAUTY HEALTH COMPANY</w:t>
            </w:r>
          </w:p>
        </w:tc>
      </w:tr>
      <w:tr>
        <w:trPr>
          <w:trHeight w:val="486"/>
        </w:trPr>
        <w:tc>
          <w:tcPr>
            <w:tcW w:w="3160" w:type="dxa"/>
            <w:vAlign w:val="bottom"/>
          </w:tcPr>
          <w:p>
            <w:pPr>
              <w:spacing w:after="0"/>
              <w:rPr>
                <w:sz w:val="20"/>
                <w:szCs w:val="20"/>
                <w:color w:val="auto"/>
              </w:rPr>
            </w:pPr>
            <w:r>
              <w:rPr>
                <w:rFonts w:ascii="Arial" w:cs="Arial" w:eastAsia="Arial" w:hAnsi="Arial"/>
                <w:sz w:val="18"/>
                <w:szCs w:val="18"/>
                <w:color w:val="auto"/>
              </w:rPr>
              <w:t>Date: November 14, 2023</w:t>
            </w:r>
          </w:p>
        </w:tc>
        <w:tc>
          <w:tcPr>
            <w:tcW w:w="7840" w:type="dxa"/>
            <w:vAlign w:val="bottom"/>
            <w:gridSpan w:val="2"/>
          </w:tcPr>
          <w:p>
            <w:pPr>
              <w:jc w:val="center"/>
              <w:ind w:right="2270"/>
              <w:spacing w:after="0"/>
              <w:rPr>
                <w:sz w:val="20"/>
                <w:szCs w:val="20"/>
                <w:color w:val="auto"/>
              </w:rPr>
            </w:pPr>
            <w:r>
              <w:rPr>
                <w:rFonts w:ascii="Arial" w:cs="Arial" w:eastAsia="Arial" w:hAnsi="Arial"/>
                <w:sz w:val="18"/>
                <w:szCs w:val="18"/>
                <w:color w:val="auto"/>
                <w:w w:val="92"/>
              </w:rPr>
              <w:t>By: /s/ Andrew Stanleick</w:t>
            </w:r>
          </w:p>
        </w:tc>
      </w:tr>
      <w:tr>
        <w:trPr>
          <w:trHeight w:val="222"/>
        </w:trPr>
        <w:tc>
          <w:tcPr>
            <w:tcW w:w="3160" w:type="dxa"/>
            <w:vAlign w:val="bottom"/>
          </w:tcPr>
          <w:p>
            <w:pPr>
              <w:spacing w:after="0"/>
              <w:rPr>
                <w:sz w:val="19"/>
                <w:szCs w:val="19"/>
                <w:color w:val="auto"/>
              </w:rPr>
            </w:pPr>
          </w:p>
        </w:tc>
        <w:tc>
          <w:tcPr>
            <w:tcW w:w="2120" w:type="dxa"/>
            <w:vAlign w:val="bottom"/>
          </w:tcPr>
          <w:p>
            <w:pPr>
              <w:ind w:left="1620"/>
              <w:spacing w:after="0"/>
              <w:rPr>
                <w:sz w:val="20"/>
                <w:szCs w:val="20"/>
                <w:color w:val="auto"/>
              </w:rPr>
            </w:pPr>
            <w:r>
              <w:rPr>
                <w:rFonts w:ascii="Arial" w:cs="Arial" w:eastAsia="Arial" w:hAnsi="Arial"/>
                <w:sz w:val="18"/>
                <w:szCs w:val="18"/>
                <w:color w:val="auto"/>
                <w:w w:val="90"/>
              </w:rPr>
              <w:t>Name:</w:t>
            </w:r>
          </w:p>
        </w:tc>
        <w:tc>
          <w:tcPr>
            <w:tcW w:w="5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Andrew Stanleick</w:t>
            </w:r>
          </w:p>
        </w:tc>
      </w:tr>
      <w:tr>
        <w:trPr>
          <w:trHeight w:val="229"/>
        </w:trPr>
        <w:tc>
          <w:tcPr>
            <w:tcW w:w="3160" w:type="dxa"/>
            <w:vAlign w:val="bottom"/>
          </w:tcPr>
          <w:p>
            <w:pPr>
              <w:spacing w:after="0"/>
              <w:rPr>
                <w:sz w:val="19"/>
                <w:szCs w:val="19"/>
                <w:color w:val="auto"/>
              </w:rPr>
            </w:pPr>
          </w:p>
        </w:tc>
        <w:tc>
          <w:tcPr>
            <w:tcW w:w="7840" w:type="dxa"/>
            <w:vAlign w:val="bottom"/>
            <w:gridSpan w:val="2"/>
          </w:tcPr>
          <w:p>
            <w:pPr>
              <w:jc w:val="center"/>
              <w:ind w:right="2170"/>
              <w:spacing w:after="0"/>
              <w:rPr>
                <w:sz w:val="20"/>
                <w:szCs w:val="20"/>
                <w:color w:val="auto"/>
              </w:rPr>
            </w:pPr>
            <w:r>
              <w:rPr>
                <w:rFonts w:ascii="Arial" w:cs="Arial" w:eastAsia="Arial" w:hAnsi="Arial"/>
                <w:sz w:val="18"/>
                <w:szCs w:val="18"/>
                <w:color w:val="auto"/>
                <w:w w:val="94"/>
              </w:rPr>
              <w:t>Title: Chief Executive Officer</w:t>
            </w:r>
          </w:p>
        </w:tc>
      </w:tr>
      <w:tr>
        <w:trPr>
          <w:trHeight w:val="230"/>
        </w:trPr>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3160" w:type="dxa"/>
            <w:vAlign w:val="bottom"/>
          </w:tcPr>
          <w:p>
            <w:pPr>
              <w:spacing w:after="0"/>
              <w:rPr>
                <w:sz w:val="20"/>
                <w:szCs w:val="20"/>
                <w:color w:val="auto"/>
              </w:rPr>
            </w:pPr>
            <w:r>
              <w:rPr>
                <w:rFonts w:ascii="Arial" w:cs="Arial" w:eastAsia="Arial" w:hAnsi="Arial"/>
                <w:sz w:val="18"/>
                <w:szCs w:val="18"/>
                <w:color w:val="auto"/>
              </w:rPr>
              <w:t>Date: November 14, 2023</w:t>
            </w:r>
          </w:p>
        </w:tc>
        <w:tc>
          <w:tcPr>
            <w:tcW w:w="7840" w:type="dxa"/>
            <w:vAlign w:val="bottom"/>
            <w:gridSpan w:val="2"/>
          </w:tcPr>
          <w:p>
            <w:pPr>
              <w:jc w:val="center"/>
              <w:ind w:right="2250"/>
              <w:spacing w:after="0"/>
              <w:rPr>
                <w:sz w:val="20"/>
                <w:szCs w:val="20"/>
                <w:color w:val="auto"/>
              </w:rPr>
            </w:pPr>
            <w:r>
              <w:rPr>
                <w:rFonts w:ascii="Arial" w:cs="Arial" w:eastAsia="Arial" w:hAnsi="Arial"/>
                <w:sz w:val="18"/>
                <w:szCs w:val="18"/>
                <w:color w:val="auto"/>
                <w:w w:val="92"/>
              </w:rPr>
              <w:t>By: /s/ Michael Monahan</w:t>
            </w:r>
          </w:p>
        </w:tc>
      </w:tr>
      <w:tr>
        <w:trPr>
          <w:trHeight w:val="222"/>
        </w:trPr>
        <w:tc>
          <w:tcPr>
            <w:tcW w:w="3160" w:type="dxa"/>
            <w:vAlign w:val="bottom"/>
          </w:tcPr>
          <w:p>
            <w:pPr>
              <w:spacing w:after="0"/>
              <w:rPr>
                <w:sz w:val="19"/>
                <w:szCs w:val="19"/>
                <w:color w:val="auto"/>
              </w:rPr>
            </w:pPr>
          </w:p>
        </w:tc>
        <w:tc>
          <w:tcPr>
            <w:tcW w:w="2120" w:type="dxa"/>
            <w:vAlign w:val="bottom"/>
          </w:tcPr>
          <w:p>
            <w:pPr>
              <w:ind w:left="1620"/>
              <w:spacing w:after="0"/>
              <w:rPr>
                <w:sz w:val="20"/>
                <w:szCs w:val="20"/>
                <w:color w:val="auto"/>
              </w:rPr>
            </w:pPr>
            <w:r>
              <w:rPr>
                <w:rFonts w:ascii="Arial" w:cs="Arial" w:eastAsia="Arial" w:hAnsi="Arial"/>
                <w:sz w:val="18"/>
                <w:szCs w:val="18"/>
                <w:color w:val="auto"/>
                <w:w w:val="90"/>
              </w:rPr>
              <w:t>Name:</w:t>
            </w:r>
          </w:p>
        </w:tc>
        <w:tc>
          <w:tcPr>
            <w:tcW w:w="5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Monahan</w:t>
            </w:r>
          </w:p>
        </w:tc>
      </w:tr>
      <w:tr>
        <w:trPr>
          <w:trHeight w:val="229"/>
        </w:trPr>
        <w:tc>
          <w:tcPr>
            <w:tcW w:w="3160" w:type="dxa"/>
            <w:vAlign w:val="bottom"/>
          </w:tcPr>
          <w:p>
            <w:pPr>
              <w:spacing w:after="0"/>
              <w:rPr>
                <w:sz w:val="19"/>
                <w:szCs w:val="19"/>
                <w:color w:val="auto"/>
              </w:rPr>
            </w:pPr>
          </w:p>
        </w:tc>
        <w:tc>
          <w:tcPr>
            <w:tcW w:w="7840" w:type="dxa"/>
            <w:vAlign w:val="bottom"/>
            <w:gridSpan w:val="2"/>
          </w:tcPr>
          <w:p>
            <w:pPr>
              <w:jc w:val="center"/>
              <w:ind w:right="2230"/>
              <w:spacing w:after="0"/>
              <w:rPr>
                <w:sz w:val="20"/>
                <w:szCs w:val="20"/>
                <w:color w:val="auto"/>
              </w:rPr>
            </w:pPr>
            <w:r>
              <w:rPr>
                <w:rFonts w:ascii="Arial" w:cs="Arial" w:eastAsia="Arial" w:hAnsi="Arial"/>
                <w:sz w:val="18"/>
                <w:szCs w:val="18"/>
                <w:color w:val="auto"/>
                <w:w w:val="94"/>
              </w:rPr>
              <w:t>Title: Chief Financial Officer</w:t>
            </w:r>
          </w:p>
        </w:tc>
      </w:tr>
      <w:tr>
        <w:trPr>
          <w:trHeight w:val="230"/>
        </w:trPr>
        <w:tc>
          <w:tcPr>
            <w:tcW w:w="3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(Principal Accounting Officer and Financial Officer)</w:t>
            </w:r>
          </w:p>
        </w:tc>
      </w:tr>
      <w:tr>
        <w:trPr>
          <w:trHeight w:val="662"/>
        </w:trPr>
        <w:tc>
          <w:tcPr>
            <w:tcW w:w="3160" w:type="dxa"/>
            <w:vAlign w:val="bottom"/>
          </w:tcPr>
          <w:p>
            <w:pPr>
              <w:spacing w:after="0"/>
              <w:rPr>
                <w:sz w:val="24"/>
                <w:szCs w:val="24"/>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240"/>
          </w:cols>
          <w:pgMar w:left="320" w:top="931" w:right="339" w:bottom="1440" w:gutter="0" w:footer="0" w:header="0"/>
        </w:sectPr>
      </w:pPr>
    </w:p>
    <w:bookmarkStart w:id="39" w:name="page40"/>
    <w:bookmarkEnd w:id="39"/>
    <w:p>
      <w:pPr>
        <w:ind w:left="1012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left="340" w:right="60"/>
        <w:spacing w:after="0" w:line="282"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Andrew Stanleick, certify that:</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right="40" w:hanging="320"/>
        <w:spacing w:after="0" w:line="248"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14, 2023</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Andrew Stanleick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50" w:right="339" w:bottom="1440" w:gutter="0" w:footer="0" w:header="0"/>
        </w:sectPr>
      </w:pPr>
    </w:p>
    <w:bookmarkStart w:id="40" w:name="page41"/>
    <w:bookmarkEnd w:id="40"/>
    <w:p>
      <w:pPr>
        <w:ind w:left="1012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Monahan, certify that:</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Beauty Health Company;</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right="40" w:hanging="320"/>
        <w:spacing w:after="0" w:line="248"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320"/>
        <w:spacing w:after="0" w:line="342" w:lineRule="auto"/>
        <w:tabs>
          <w:tab w:leader="none" w:pos="129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14, 2023</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Michael Monahan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850" w:right="339" w:bottom="1440" w:gutter="0" w:footer="0" w:header="0"/>
        </w:sectPr>
      </w:pPr>
    </w:p>
    <w:bookmarkStart w:id="41" w:name="page42"/>
    <w:bookmarkEnd w:id="41"/>
    <w:p>
      <w:pPr>
        <w:ind w:left="10120"/>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ind w:left="340" w:right="40"/>
        <w:spacing w:after="0" w:line="282"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of The Beauty Health Company (the “Company”) on Form 10-Q for the quarterly period ended September 30, 2023, as filed with the Securities and Exchange Commission (the “Report”), I, Andrew Stanleick, President and Chief Executive Officer of the Company, certify, pursuant to 18 U.S.C. §1350, as added by §906 of the Sarbanes-Oxley Act of 2002, that, to my knowledge:</w:t>
      </w:r>
    </w:p>
    <w:p>
      <w:pPr>
        <w:spacing w:after="0" w:line="19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14, 2023</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Andrew Stanleick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Andrew Stanleick</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42" w:name="page43"/>
    <w:bookmarkEnd w:id="42"/>
    <w:p>
      <w:pPr>
        <w:ind w:left="10120"/>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left="340" w:right="40"/>
        <w:spacing w:after="0" w:line="282" w:lineRule="auto"/>
        <w:rPr>
          <w:sz w:val="20"/>
          <w:szCs w:val="20"/>
          <w:color w:val="auto"/>
        </w:rPr>
      </w:pPr>
      <w:r>
        <w:rPr>
          <w:rFonts w:ascii="Arial" w:cs="Arial" w:eastAsia="Arial" w:hAnsi="Arial"/>
          <w:sz w:val="18"/>
          <w:szCs w:val="18"/>
          <w:b w:val="1"/>
          <w:bCs w:val="1"/>
          <w:color w:val="auto"/>
        </w:rPr>
        <w:t>CERTIFICATION PURSUANT TO SECTION 18 U.S.C. SECTION 1350 AS ADOPTED PURSUANT TO SECTION 906 OF THE SARBANES-OXLEY ACT OF 2002</w:t>
      </w:r>
    </w:p>
    <w:p>
      <w:pPr>
        <w:spacing w:after="0" w:line="1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Quarterly Report of The Beauty Health Company (the “Company”) on Form 10-Q for the quarterly period ended September 30, 2023, as filed with the Securities and Exchange Commission (the “Report”), I, Michael Monahan, Chief Financial Officer of the Company, certify, pursuant to 18 U.S.C. §1350, as added by §906 of the Sarbanes-Oxley Act of 2002, that, to my knowledge:</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November 14, 2023</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14605</wp:posOffset>
            </wp:positionV>
            <wp:extent cx="36347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Michael Monahan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57" Type="http://schemas.openxmlformats.org/officeDocument/2006/relationships/hyperlink" Target="http://www.sec.gov/Archives/edgar/data/1818093/000121390020041690/ea131234ex2-1_vesperhealth.htm" TargetMode="External"/><Relationship Id="rId58" Type="http://schemas.openxmlformats.org/officeDocument/2006/relationships/hyperlink" Target="http://www.sec.gov/Archives/edgar/data/1818093/000119312521156433/d422189dex31.htm" TargetMode="External"/><Relationship Id="rId59" Type="http://schemas.openxmlformats.org/officeDocument/2006/relationships/hyperlink" Target="http://www.sec.gov/Archives/edgar/data/1818093/000119312521156433/d422189dex32.htm" TargetMode="External"/><Relationship Id="rId60" Type="http://schemas.openxmlformats.org/officeDocument/2006/relationships/hyperlink" Target="https://www.sec.gov/Archives/edgar/data/1818093/000162828023028404/ex101-employmentagreementm.htm" TargetMode="External"/><Relationship Id="rId61" Type="http://schemas.openxmlformats.org/officeDocument/2006/relationships/hyperlink" Target="https://www.sec.gov/Archives/edgar/data/1818093/000162828023028404/ex102-beautyhealthcoxsep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2023-11-14T19:05:24Z</dcterms:created>
  <dcterms:modified xsi:type="dcterms:W3CDTF">2023-11-14T19:05:24Z</dcterms:modified>
</cp:coreProperties>
</file>