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231F20"/>
          <w:sz w:val="36"/>
        </w:rPr>
      </w:pPr>
      <w:r>
        <w:rPr>
          <w:rFonts w:ascii="Times New Roman;sans-serif" w:hAnsi="Times New Roman;sans-serif"/>
          <w:b/>
          <w:color w:val="231F20"/>
          <w:sz w:val="36"/>
        </w:rPr>
        <w:t>UNITED STATES</w:t>
      </w:r>
    </w:p>
    <w:p>
      <w:pPr>
        <w:pStyle w:val="TextBody"/>
        <w:spacing w:lineRule="auto" w:line="288" w:before="0" w:after="0"/>
        <w:jc w:val="center"/>
        <w:rPr>
          <w:rFonts w:ascii="Times New Roman;sans-serif" w:hAnsi="Times New Roman;sans-serif"/>
          <w:b/>
          <w:color w:val="231F20"/>
          <w:sz w:val="36"/>
        </w:rPr>
      </w:pPr>
      <w:r>
        <w:rPr>
          <w:rFonts w:ascii="Times New Roman;sans-serif" w:hAnsi="Times New Roman;sans-serif"/>
          <w:b/>
          <w:color w:val="231F20"/>
          <w:sz w:val="36"/>
        </w:rPr>
        <w:t>SECURITIES AND EXCHANGE COMMISSION</w:t>
      </w:r>
    </w:p>
    <w:p>
      <w:pPr>
        <w:pStyle w:val="TextBody"/>
        <w:spacing w:lineRule="auto" w:line="288" w:before="0" w:after="0"/>
        <w:jc w:val="center"/>
        <w:rPr>
          <w:rFonts w:ascii="Times New Roman;sans-serif" w:hAnsi="Times New Roman;sans-serif"/>
          <w:b/>
          <w:color w:val="231F20"/>
          <w:sz w:val="28"/>
        </w:rPr>
      </w:pPr>
      <w:r>
        <w:rPr>
          <w:rFonts w:ascii="Times New Roman;sans-serif" w:hAnsi="Times New Roman;sans-serif"/>
          <w:b/>
          <w:color w:val="231F20"/>
          <w:sz w:val="28"/>
        </w:rPr>
        <w:t>Washington, D.C. 20549</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52" w:before="0" w:after="0"/>
        <w:jc w:val="center"/>
        <w:rPr>
          <w:rFonts w:ascii="Times New Roman;sans-serif" w:hAnsi="Times New Roman;sans-serif"/>
          <w:b/>
          <w:color w:val="231F20"/>
          <w:sz w:val="36"/>
        </w:rPr>
      </w:pPr>
      <w:r>
        <w:rPr>
          <w:rFonts w:ascii="Times New Roman;sans-serif" w:hAnsi="Times New Roman;sans-serif"/>
          <w:b/>
          <w:color w:val="231F20"/>
          <w:sz w:val="36"/>
        </w:rPr>
        <w:t>FORM 10-Q</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52" w:before="0" w:after="0"/>
        <w:jc w:val="center"/>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spacing w:lineRule="auto" w:line="288" w:before="57" w:after="283"/>
        <w:jc w:val="center"/>
        <w:rPr/>
      </w:pPr>
      <w:r>
        <w:rPr>
          <w:rFonts w:ascii="Times New Roman;sans-serif" w:hAnsi="Times New Roman;sans-serif"/>
          <w:b/>
          <w:color w:val="000000"/>
          <w:sz w:val="18"/>
        </w:rPr>
        <w:t>For the quarterly period ended March 31, 2023</w:t>
      </w:r>
      <w:r>
        <w:rPr>
          <w:color w:val="000000"/>
        </w:rPr>
        <w:t> </w:t>
      </w:r>
    </w:p>
    <w:p>
      <w:pPr>
        <w:pStyle w:val="TextBody"/>
        <w:spacing w:lineRule="auto" w:line="288" w:before="57" w:after="283"/>
        <w:jc w:val="center"/>
        <w:rPr/>
      </w:pPr>
      <w:r>
        <w:rPr>
          <w:color w:val="000000"/>
        </w:rPr>
        <w:t xml:space="preserve">☐ </w:t>
      </w:r>
      <w:r>
        <w:rPr>
          <w:rFonts w:ascii="Times New Roman;sans-serif" w:hAnsi="Times New Roman;sans-serif"/>
          <w:b/>
          <w:color w:val="000000"/>
          <w:sz w:val="18"/>
        </w:rPr>
        <w:t>TRANSITION REPORT PURSUANT TO SECTION 13 OR 15(d) OF THE SECURITIES EXCHANGE ACT OF 1934</w:t>
      </w:r>
      <w:r>
        <w:rPr>
          <w:color w:val="000000"/>
        </w:rPr>
        <w:t> </w:t>
      </w:r>
    </w:p>
    <w:p>
      <w:pPr>
        <w:pStyle w:val="TextBody"/>
        <w:spacing w:lineRule="auto" w:line="288" w:before="57" w:after="283"/>
        <w:jc w:val="center"/>
        <w:rPr/>
      </w:pPr>
      <w:r>
        <w:rPr>
          <w:rFonts w:ascii="Times New Roman;sans-serif" w:hAnsi="Times New Roman;sans-serif"/>
          <w:b/>
          <w:color w:val="000000"/>
          <w:sz w:val="18"/>
        </w:rPr>
        <w:t>For the transition period from __________ to</w:t>
      </w:r>
      <w:r>
        <w:rPr>
          <w:color w:val="000000"/>
        </w:rPr>
        <w:t> </w:t>
      </w:r>
      <w:r>
        <w:rPr>
          <w:rFonts w:ascii="Times New Roman;sans-serif" w:hAnsi="Times New Roman;sans-serif"/>
          <w:b/>
          <w:color w:val="000000"/>
          <w:sz w:val="18"/>
        </w:rPr>
        <w:t>__________.</w:t>
      </w:r>
    </w:p>
    <w:p>
      <w:pPr>
        <w:pStyle w:val="TextBody"/>
        <w:spacing w:lineRule="auto" w:line="288" w:before="57" w:after="283"/>
        <w:jc w:val="center"/>
        <w:rPr/>
      </w:pPr>
      <w:r>
        <w:rPr>
          <w:rFonts w:ascii="Times New Roman;sans-serif" w:hAnsi="Times New Roman;sans-serif"/>
          <w:b/>
          <w:color w:val="000000"/>
          <w:sz w:val="18"/>
        </w:rPr>
        <w:t>Commission File Number: 001-39565</w:t>
      </w:r>
      <w:r>
        <w:rPr>
          <w:color w:val="000000"/>
        </w:rPr>
        <w:t> </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pPr>
      <w:r>
        <w:rPr>
          <w:rFonts w:ascii="Times New Roman;sans-serif" w:hAnsi="Times New Roman;sans-serif"/>
          <w:b/>
          <w:color w:val="000000"/>
          <w:sz w:val="48"/>
        </w:rPr>
        <w:t>The Beauty Health Company</w:t>
      </w:r>
      <w:r>
        <w:rPr>
          <w:color w:val="231F20"/>
        </w:rPr>
        <w:t xml:space="preserve"> </w:t>
      </w:r>
    </w:p>
    <w:p>
      <w:pPr>
        <w:pStyle w:val="TextBody"/>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(Exact name of registrant as specified in its charter)</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936" w:type="dxa"/>
        <w:jc w:val="left"/>
        <w:tblInd w:w="0" w:type="dxa"/>
        <w:tblCellMar>
          <w:top w:w="28" w:type="dxa"/>
          <w:left w:w="28" w:type="dxa"/>
          <w:bottom w:w="28" w:type="dxa"/>
          <w:right w:w="28" w:type="dxa"/>
        </w:tblCellMar>
      </w:tblPr>
      <w:tblGrid>
        <w:gridCol w:w="933"/>
        <w:gridCol w:w="819"/>
        <w:gridCol w:w="828"/>
        <w:gridCol w:w="109"/>
        <w:gridCol w:w="109"/>
        <w:gridCol w:w="109"/>
        <w:gridCol w:w="884"/>
        <w:gridCol w:w="884"/>
        <w:gridCol w:w="1261"/>
      </w:tblGrid>
      <w:tr>
        <w:trPr/>
        <w:tc>
          <w:tcPr>
            <w:tcW w:w="933"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85-1908962</w:t>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9551" w:type="dxa"/>
        <w:jc w:val="center"/>
        <w:tblInd w:w="0" w:type="dxa"/>
        <w:tblCellMar>
          <w:top w:w="28" w:type="dxa"/>
          <w:left w:w="28" w:type="dxa"/>
          <w:bottom w:w="28" w:type="dxa"/>
          <w:right w:w="28" w:type="dxa"/>
        </w:tblCellMar>
      </w:tblPr>
      <w:tblGrid>
        <w:gridCol w:w="1780"/>
        <w:gridCol w:w="1566"/>
        <w:gridCol w:w="1573"/>
        <w:gridCol w:w="109"/>
        <w:gridCol w:w="109"/>
        <w:gridCol w:w="109"/>
        <w:gridCol w:w="1257"/>
        <w:gridCol w:w="1257"/>
        <w:gridCol w:w="1791"/>
      </w:tblGrid>
      <w:tr>
        <w:trPr/>
        <w:tc>
          <w:tcPr>
            <w:tcW w:w="1780"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791" w:type="dxa"/>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231F20"/>
                <w:sz w:val="20"/>
              </w:rPr>
            </w:pPr>
            <w:r>
              <w:rPr>
                <w:rFonts w:ascii="Times New Roman;sans-serif" w:hAnsi="Times New Roman;sans-serif"/>
                <w:b/>
                <w:color w:val="231F20"/>
                <w:sz w:val="20"/>
              </w:rPr>
              <w:t>2165 Spring Street</w:t>
            </w:r>
          </w:p>
          <w:p>
            <w:pPr>
              <w:pStyle w:val="TableContents"/>
              <w:spacing w:lineRule="auto" w:line="240" w:before="0" w:after="0"/>
              <w:jc w:val="center"/>
              <w:rPr>
                <w:rFonts w:ascii="Times New Roman;sans-serif" w:hAnsi="Times New Roman;sans-serif"/>
                <w:b/>
                <w:color w:val="231F20"/>
                <w:sz w:val="20"/>
              </w:rPr>
            </w:pPr>
            <w:r>
              <w:rPr>
                <w:rFonts w:ascii="Times New Roman;sans-serif" w:hAnsi="Times New Roman;sans-serif"/>
                <w:b/>
                <w:color w:val="231F20"/>
                <w:sz w:val="20"/>
              </w:rPr>
              <w:t>Long Beach, CA 90806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5"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color w:val="231F20"/>
                <w:sz w:val="20"/>
              </w:rPr>
            </w:pPr>
            <w:r>
              <w:rPr>
                <w:rFonts w:ascii="Times New Roman;sans-serif" w:hAnsi="Times New Roman;sans-serif"/>
                <w:b/>
                <w:color w:val="231F20"/>
                <w:sz w:val="20"/>
              </w:rPr>
              <w:t>(800) 603-4996</w:t>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(Address of principal executive offices, including zip code)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Registrant's telephone number, including area code</w:t>
            </w:r>
          </w:p>
        </w:tc>
      </w:tr>
    </w:tbl>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color w:val="231F20"/>
          <w:sz w:val="20"/>
        </w:rPr>
      </w:pPr>
      <w:r>
        <w:rPr>
          <w:rFonts w:ascii="Times New Roman;sans-serif" w:hAnsi="Times New Roman;sans-serif"/>
          <w:b/>
          <w:color w:val="231F20"/>
          <w:sz w:val="20"/>
        </w:rPr>
        <w:t xml:space="preserve">Securities registered pursuant to Section 12(b) of the Act: </w:t>
      </w:r>
    </w:p>
    <w:tbl>
      <w:tblPr>
        <w:tblW w:w="9966" w:type="dxa"/>
        <w:jc w:val="center"/>
        <w:tblInd w:w="0" w:type="dxa"/>
        <w:tblCellMar>
          <w:top w:w="28" w:type="dxa"/>
          <w:left w:w="28" w:type="dxa"/>
          <w:bottom w:w="28" w:type="dxa"/>
          <w:right w:w="28" w:type="dxa"/>
        </w:tblCellMar>
      </w:tblPr>
      <w:tblGrid>
        <w:gridCol w:w="1643"/>
        <w:gridCol w:w="1441"/>
        <w:gridCol w:w="1460"/>
        <w:gridCol w:w="109"/>
        <w:gridCol w:w="109"/>
        <w:gridCol w:w="109"/>
        <w:gridCol w:w="484"/>
        <w:gridCol w:w="484"/>
        <w:gridCol w:w="486"/>
        <w:gridCol w:w="109"/>
        <w:gridCol w:w="109"/>
        <w:gridCol w:w="109"/>
        <w:gridCol w:w="970"/>
        <w:gridCol w:w="970"/>
        <w:gridCol w:w="1374"/>
      </w:tblGrid>
      <w:tr>
        <w:trPr/>
        <w:tc>
          <w:tcPr>
            <w:tcW w:w="1643"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SKIN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Nasdaq Capital Market</w:t>
            </w:r>
          </w:p>
        </w:tc>
      </w:tr>
    </w:tbl>
    <w:p>
      <w:pPr>
        <w:pStyle w:val="TextBody"/>
        <w:spacing w:lineRule="auto" w:line="288" w:before="8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rPr/>
      </w:pPr>
      <w:r>
        <w:rPr/>
      </w:r>
    </w:p>
    <w:p>
      <w:pPr>
        <w:pStyle w:val="TextBody"/>
        <w:spacing w:lineRule="auto" w:line="247"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0"/>
        <w:rPr/>
      </w:pPr>
      <w:r>
        <w:rPr/>
      </w:r>
    </w:p>
    <w:p>
      <w:pPr>
        <w:pStyle w:val="TextBody"/>
        <w:spacing w:lineRule="auto" w:line="254"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300" w:type="dxa"/>
        <w:jc w:val="left"/>
        <w:tblInd w:w="0" w:type="dxa"/>
        <w:tblCellMar>
          <w:top w:w="28" w:type="dxa"/>
          <w:left w:w="28" w:type="dxa"/>
          <w:bottom w:w="28" w:type="dxa"/>
          <w:right w:w="28" w:type="dxa"/>
        </w:tblCellMar>
      </w:tblPr>
      <w:tblGrid>
        <w:gridCol w:w="695"/>
        <w:gridCol w:w="611"/>
        <w:gridCol w:w="613"/>
        <w:gridCol w:w="109"/>
        <w:gridCol w:w="109"/>
        <w:gridCol w:w="109"/>
        <w:gridCol w:w="784"/>
        <w:gridCol w:w="784"/>
        <w:gridCol w:w="787"/>
        <w:gridCol w:w="109"/>
        <w:gridCol w:w="109"/>
        <w:gridCol w:w="109"/>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196" w:before="0" w:after="283"/>
              <w:jc w:val="left"/>
              <w:rPr>
                <w:color w:val="000000"/>
              </w:rPr>
            </w:pPr>
            <w:r>
              <w:rPr>
                <w:color w:val="000000"/>
              </w:rPr>
              <w:t>☒</w:t>
            </w:r>
          </w:p>
        </w:tc>
        <w:tc>
          <w:tcPr>
            <w:tcW w:w="235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196" w:before="0" w:after="283"/>
              <w:jc w:val="left"/>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196" w:before="0" w:after="283"/>
              <w:jc w:val="left"/>
              <w:rPr>
                <w:color w:val="000000"/>
              </w:rPr>
            </w:pPr>
            <w:r>
              <w:rPr>
                <w:color w:val="000000"/>
              </w:rPr>
              <w:t>☐</w:t>
            </w:r>
          </w:p>
        </w:tc>
        <w:tc>
          <w:tcPr>
            <w:tcW w:w="235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reporting company </w:t>
            </w:r>
          </w:p>
        </w:tc>
        <w:tc>
          <w:tcPr>
            <w:tcW w:w="327" w:type="dxa"/>
            <w:gridSpan w:val="3"/>
            <w:tcBorders/>
            <w:shd w:fill="auto" w:val="clear"/>
            <w:tcMar>
              <w:top w:w="0" w:type="dxa"/>
              <w:left w:w="0" w:type="dxa"/>
              <w:bottom w:w="0" w:type="dxa"/>
              <w:right w:w="0" w:type="dxa"/>
            </w:tcMar>
            <w:vAlign w:val="center"/>
          </w:tcPr>
          <w:p>
            <w:pPr>
              <w:pStyle w:val="TableContents"/>
              <w:spacing w:lineRule="auto" w:line="196" w:before="0" w:after="283"/>
              <w:jc w:val="left"/>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196" w:before="0" w:after="283"/>
              <w:jc w:val="left"/>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52" w:before="0" w:after="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May 5, 2023, there were 132,652,184 shares of Class A Common Stock, par value $0.0001 per share issued and outstanding.</w:t>
      </w:r>
    </w:p>
    <w:p>
      <w:pPr>
        <w:pStyle w:val="TextBody"/>
        <w:spacing w:before="0" w:after="0"/>
        <w:jc w:val="both"/>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BEAUTY HEALTH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FOR THE QUARTER ENDED 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p>
      <w:pPr>
        <w:pStyle w:val="TextBody"/>
        <w:spacing w:before="0" w:after="0"/>
        <w:jc w:val="center"/>
        <w:rPr/>
      </w:pPr>
      <w:r>
        <w:rPr/>
      </w:r>
    </w:p>
    <w:tbl>
      <w:tblPr>
        <w:tblW w:w="9562" w:type="dxa"/>
        <w:jc w:val="left"/>
        <w:tblInd w:w="0" w:type="dxa"/>
        <w:tblCellMar>
          <w:top w:w="28" w:type="dxa"/>
          <w:left w:w="28" w:type="dxa"/>
          <w:bottom w:w="28" w:type="dxa"/>
          <w:right w:w="28" w:type="dxa"/>
        </w:tblCellMar>
      </w:tblPr>
      <w:tblGrid>
        <w:gridCol w:w="591"/>
        <w:gridCol w:w="518"/>
        <w:gridCol w:w="518"/>
        <w:gridCol w:w="2435"/>
        <w:gridCol w:w="2435"/>
        <w:gridCol w:w="2494"/>
        <w:gridCol w:w="167"/>
        <w:gridCol w:w="167"/>
        <w:gridCol w:w="237"/>
      </w:tblGrid>
      <w:tr>
        <w:trPr/>
        <w:tc>
          <w:tcPr>
            <w:tcW w:w="591"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435" w:type="dxa"/>
            <w:tcBorders/>
            <w:shd w:fill="auto" w:val="clear"/>
            <w:vAlign w:val="center"/>
          </w:tcPr>
          <w:p>
            <w:pPr>
              <w:pStyle w:val="TableContents"/>
              <w:spacing w:before="0" w:after="283"/>
              <w:rPr>
                <w:sz w:val="4"/>
                <w:szCs w:val="4"/>
              </w:rPr>
            </w:pPr>
            <w:r>
              <w:rPr>
                <w:sz w:val="4"/>
                <w:szCs w:val="4"/>
              </w:rPr>
            </w:r>
          </w:p>
        </w:tc>
        <w:tc>
          <w:tcPr>
            <w:tcW w:w="2435" w:type="dxa"/>
            <w:tcBorders/>
            <w:shd w:fill="auto" w:val="clear"/>
            <w:vAlign w:val="center"/>
          </w:tcPr>
          <w:p>
            <w:pPr>
              <w:pStyle w:val="TableContents"/>
              <w:spacing w:before="0" w:after="283"/>
              <w:rPr>
                <w:sz w:val="4"/>
                <w:szCs w:val="4"/>
              </w:rPr>
            </w:pPr>
            <w:r>
              <w:rPr>
                <w:sz w:val="4"/>
                <w:szCs w:val="4"/>
              </w:rPr>
            </w:r>
          </w:p>
        </w:tc>
        <w:tc>
          <w:tcPr>
            <w:tcW w:w="249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16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991"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PART I—FINANCIAL INFORMATION</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413239495974161836c88ae99a6ee8f_82">
              <w:r>
                <w:rPr>
                  <w:rStyle w:val="InternetLink"/>
                  <w:rFonts w:ascii="Times New Roman;sans-serif" w:hAnsi="Times New Roman;sans-serif"/>
                  <w:b w:val="false"/>
                  <w:color w:val="0000FF"/>
                  <w:sz w:val="20"/>
                  <w:u w:val="single"/>
                </w:rPr>
                <w:t>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413239495974161836c88ae99a6ee8f_82">
              <w:r>
                <w:rPr>
                  <w:rStyle w:val="InternetLink"/>
                  <w:rFonts w:ascii="Times New Roman;sans-serif" w:hAnsi="Times New Roman;sans-serif"/>
                  <w:b w:val="false"/>
                  <w:color w:val="0000FF"/>
                  <w:sz w:val="20"/>
                  <w:u w:val="single"/>
                </w:rPr>
                <w:t>3</w:t>
              </w:r>
            </w:hyperlink>
          </w:p>
        </w:tc>
      </w:tr>
      <w:tr>
        <w:trPr/>
        <w:tc>
          <w:tcPr>
            <w:tcW w:w="1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4413239495974161836c88ae99a6ee8f_1649267443041">
              <w:r>
                <w:rPr>
                  <w:rStyle w:val="InternetLink"/>
                  <w:rFonts w:ascii="Times New Roman;sans-serif" w:hAnsi="Times New Roman;sans-serif"/>
                  <w:b w:val="false"/>
                  <w:color w:val="0000FF"/>
                  <w:sz w:val="20"/>
                  <w:u w:val="single"/>
                </w:rPr>
                <w:t>Condensed Consolidated Balance Sheets (Unaudited)</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4413239495974161836c88ae99a6ee8f_1649267443041">
              <w:r>
                <w:rPr>
                  <w:rStyle w:val="InternetLink"/>
                  <w:rFonts w:ascii="Times New Roman;sans-serif" w:hAnsi="Times New Roman;sans-serif"/>
                  <w:b w:val="false"/>
                  <w:color w:val="0000FF"/>
                  <w:sz w:val="20"/>
                  <w:u w:val="single"/>
                </w:rPr>
                <w:t>3</w:t>
              </w:r>
            </w:hyperlink>
          </w:p>
        </w:tc>
      </w:tr>
      <w:tr>
        <w:trPr/>
        <w:tc>
          <w:tcPr>
            <w:tcW w:w="1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413239495974161836c88ae99a6ee8f_1099511629141">
              <w:r>
                <w:rPr>
                  <w:rStyle w:val="InternetLink"/>
                  <w:rFonts w:ascii="Times New Roman;sans-serif" w:hAnsi="Times New Roman;sans-serif"/>
                  <w:b w:val="false"/>
                  <w:color w:val="0000FF"/>
                  <w:sz w:val="20"/>
                  <w:u w:val="single"/>
                </w:rPr>
                <w:t>Condensed Consolidated Statements of Comprehensive Income (Loss) (Unaudited)</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413239495974161836c88ae99a6ee8f_1099511629141">
              <w:r>
                <w:rPr>
                  <w:rStyle w:val="InternetLink"/>
                  <w:rFonts w:ascii="Times New Roman;sans-serif" w:hAnsi="Times New Roman;sans-serif"/>
                  <w:b w:val="false"/>
                  <w:color w:val="0000FF"/>
                  <w:sz w:val="20"/>
                  <w:u w:val="single"/>
                </w:rPr>
                <w:t>4</w:t>
              </w:r>
            </w:hyperlink>
          </w:p>
        </w:tc>
      </w:tr>
      <w:tr>
        <w:trPr/>
        <w:tc>
          <w:tcPr>
            <w:tcW w:w="1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4413239495974161836c88ae99a6ee8f_1649267443113">
              <w:r>
                <w:rPr>
                  <w:rStyle w:val="InternetLink"/>
                  <w:rFonts w:ascii="Times New Roman;sans-serif" w:hAnsi="Times New Roman;sans-serif"/>
                  <w:b w:val="false"/>
                  <w:color w:val="0000FF"/>
                  <w:sz w:val="20"/>
                  <w:u w:val="single"/>
                </w:rPr>
                <w:t>Condensed Consolidated Statements of Stockholders’ Equity (Deficit) (Unaudited)</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4413239495974161836c88ae99a6ee8f_1649267443113">
              <w:r>
                <w:rPr>
                  <w:rStyle w:val="InternetLink"/>
                  <w:rFonts w:ascii="Times New Roman;sans-serif" w:hAnsi="Times New Roman;sans-serif"/>
                  <w:b w:val="false"/>
                  <w:color w:val="0000FF"/>
                  <w:sz w:val="20"/>
                  <w:u w:val="single"/>
                </w:rPr>
                <w:t>5</w:t>
              </w:r>
            </w:hyperlink>
          </w:p>
        </w:tc>
      </w:tr>
      <w:tr>
        <w:trPr/>
        <w:tc>
          <w:tcPr>
            <w:tcW w:w="1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413239495974161836c88ae99a6ee8f_1649267443076">
              <w:r>
                <w:rPr>
                  <w:rStyle w:val="InternetLink"/>
                  <w:rFonts w:ascii="Times New Roman;sans-serif" w:hAnsi="Times New Roman;sans-serif"/>
                  <w:b w:val="false"/>
                  <w:color w:val="0000FF"/>
                  <w:sz w:val="20"/>
                  <w:u w:val="single"/>
                </w:rPr>
                <w:t>Condensed Consolidated Statements of Cash Flows (Unaudited)</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413239495974161836c88ae99a6ee8f_1649267443076">
              <w:r>
                <w:rPr>
                  <w:rStyle w:val="InternetLink"/>
                  <w:rFonts w:ascii="Times New Roman;sans-serif" w:hAnsi="Times New Roman;sans-serif"/>
                  <w:b w:val="false"/>
                  <w:color w:val="0000FF"/>
                  <w:sz w:val="20"/>
                  <w:u w:val="single"/>
                </w:rPr>
                <w:t>6</w:t>
              </w:r>
            </w:hyperlink>
          </w:p>
        </w:tc>
      </w:tr>
      <w:tr>
        <w:trPr/>
        <w:tc>
          <w:tcPr>
            <w:tcW w:w="1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4413239495974161836c88ae99a6ee8f_100">
              <w:r>
                <w:rPr>
                  <w:rStyle w:val="InternetLink"/>
                  <w:rFonts w:ascii="Times New Roman;sans-serif" w:hAnsi="Times New Roman;sans-serif"/>
                  <w:b w:val="false"/>
                  <w:color w:val="0000FF"/>
                  <w:sz w:val="20"/>
                  <w:u w:val="single"/>
                </w:rPr>
                <w:t>Notes to Condensed Consolidated Financial Statements (Unaudited)</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4413239495974161836c88ae99a6ee8f_100">
              <w:r>
                <w:rPr>
                  <w:rStyle w:val="InternetLink"/>
                  <w:rFonts w:ascii="Times New Roman;sans-serif" w:hAnsi="Times New Roman;sans-serif"/>
                  <w:b w:val="false"/>
                  <w:color w:val="0000FF"/>
                  <w:sz w:val="20"/>
                  <w:u w:val="single"/>
                </w:rPr>
                <w:t>7</w:t>
              </w:r>
            </w:hyperlink>
          </w:p>
        </w:tc>
      </w:tr>
      <w:tr>
        <w:trPr/>
        <w:tc>
          <w:tcPr>
            <w:tcW w:w="16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413239495974161836c88ae99a6ee8f_32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413239495974161836c88ae99a6ee8f_325">
              <w:r>
                <w:rPr>
                  <w:rStyle w:val="InternetLink"/>
                  <w:rFonts w:ascii="Times New Roman;sans-serif" w:hAnsi="Times New Roman;sans-serif"/>
                  <w:b w:val="false"/>
                  <w:color w:val="0000FF"/>
                  <w:sz w:val="20"/>
                  <w:u w:val="single"/>
                </w:rPr>
                <w:t>18</w:t>
              </w:r>
            </w:hyperlink>
          </w:p>
        </w:tc>
      </w:tr>
      <w:tr>
        <w:trPr/>
        <w:tc>
          <w:tcPr>
            <w:tcW w:w="16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4413239495974161836c88ae99a6ee8f_70">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4413239495974161836c88ae99a6ee8f_70">
              <w:r>
                <w:rPr>
                  <w:rStyle w:val="InternetLink"/>
                  <w:rFonts w:ascii="Times New Roman;sans-serif" w:hAnsi="Times New Roman;sans-serif"/>
                  <w:b w:val="false"/>
                  <w:color w:val="0000FF"/>
                  <w:sz w:val="20"/>
                  <w:u w:val="single"/>
                </w:rPr>
                <w:t>25</w:t>
              </w:r>
            </w:hyperlink>
          </w:p>
        </w:tc>
      </w:tr>
      <w:tr>
        <w:trPr/>
        <w:tc>
          <w:tcPr>
            <w:tcW w:w="16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413239495974161836c88ae99a6ee8f_286">
              <w:r>
                <w:rPr>
                  <w:rStyle w:val="InternetLink"/>
                  <w:rFonts w:ascii="Times New Roman;sans-serif" w:hAnsi="Times New Roman;sans-serif"/>
                  <w:b w:val="false"/>
                  <w:color w:val="0000FF"/>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413239495974161836c88ae99a6ee8f_286">
              <w:r>
                <w:rPr>
                  <w:rStyle w:val="InternetLink"/>
                  <w:rFonts w:ascii="Times New Roman;sans-serif" w:hAnsi="Times New Roman;sans-serif"/>
                  <w:b w:val="false"/>
                  <w:color w:val="0000FF"/>
                  <w:sz w:val="20"/>
                  <w:u w:val="single"/>
                </w:rPr>
                <w:t>25</w:t>
              </w:r>
            </w:hyperlink>
          </w:p>
        </w:tc>
      </w:tr>
      <w:tr>
        <w:trPr/>
        <w:tc>
          <w:tcPr>
            <w:tcW w:w="8991"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PART II—OTHER INFORMATION</w:t>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413239495974161836c88ae99a6ee8f_343">
              <w:r>
                <w:rPr>
                  <w:rStyle w:val="InternetLink"/>
                  <w:rFonts w:ascii="Times New Roman;sans-serif" w:hAnsi="Times New Roman;sans-serif"/>
                  <w:b w:val="false"/>
                  <w:color w:val="0000FF"/>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413239495974161836c88ae99a6ee8f_343">
              <w:r>
                <w:rPr>
                  <w:rStyle w:val="InternetLink"/>
                  <w:rFonts w:ascii="Times New Roman;sans-serif" w:hAnsi="Times New Roman;sans-serif"/>
                  <w:b w:val="false"/>
                  <w:color w:val="0000FF"/>
                  <w:sz w:val="20"/>
                  <w:u w:val="single"/>
                </w:rPr>
                <w:t>26</w:t>
              </w:r>
            </w:hyperlink>
          </w:p>
        </w:tc>
      </w:tr>
      <w:tr>
        <w:trPr/>
        <w:tc>
          <w:tcPr>
            <w:tcW w:w="16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4413239495974161836c88ae99a6ee8f_346">
              <w:r>
                <w:rPr>
                  <w:rStyle w:val="InternetLink"/>
                  <w:rFonts w:ascii="Times New Roman;sans-serif" w:hAnsi="Times New Roman;sans-serif"/>
                  <w:b w:val="false"/>
                  <w:color w:val="0000FF"/>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4413239495974161836c88ae99a6ee8f_346">
              <w:r>
                <w:rPr>
                  <w:rStyle w:val="InternetLink"/>
                  <w:rFonts w:ascii="Times New Roman;sans-serif" w:hAnsi="Times New Roman;sans-serif"/>
                  <w:b w:val="false"/>
                  <w:color w:val="0000FF"/>
                  <w:sz w:val="20"/>
                  <w:u w:val="single"/>
                </w:rPr>
                <w:t>26</w:t>
              </w:r>
            </w:hyperlink>
          </w:p>
        </w:tc>
      </w:tr>
      <w:tr>
        <w:trPr/>
        <w:tc>
          <w:tcPr>
            <w:tcW w:w="16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413239495974161836c88ae99a6ee8f_349">
              <w:r>
                <w:rPr>
                  <w:rStyle w:val="InternetLink"/>
                  <w:rFonts w:ascii="Times New Roman;sans-serif" w:hAnsi="Times New Roman;sans-serif"/>
                  <w:b w:val="false"/>
                  <w:color w:val="0000FF"/>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413239495974161836c88ae99a6ee8f_349">
              <w:r>
                <w:rPr>
                  <w:rStyle w:val="InternetLink"/>
                  <w:rFonts w:ascii="Times New Roman;sans-serif" w:hAnsi="Times New Roman;sans-serif"/>
                  <w:b w:val="false"/>
                  <w:color w:val="0000FF"/>
                  <w:sz w:val="20"/>
                  <w:u w:val="single"/>
                </w:rPr>
                <w:t>26</w:t>
              </w:r>
            </w:hyperlink>
          </w:p>
        </w:tc>
      </w:tr>
      <w:tr>
        <w:trPr/>
        <w:tc>
          <w:tcPr>
            <w:tcW w:w="16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4413239495974161836c88ae99a6ee8f_352">
              <w:r>
                <w:rPr>
                  <w:rStyle w:val="InternetLink"/>
                  <w:rFonts w:ascii="Times New Roman;sans-serif" w:hAnsi="Times New Roman;sans-serif"/>
                  <w:b w:val="false"/>
                  <w:color w:val="0000FF"/>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4413239495974161836c88ae99a6ee8f_352">
              <w:r>
                <w:rPr>
                  <w:rStyle w:val="InternetLink"/>
                  <w:rFonts w:ascii="Times New Roman;sans-serif" w:hAnsi="Times New Roman;sans-serif"/>
                  <w:b w:val="false"/>
                  <w:color w:val="0000FF"/>
                  <w:sz w:val="20"/>
                  <w:u w:val="single"/>
                </w:rPr>
                <w:t>26</w:t>
              </w:r>
            </w:hyperlink>
          </w:p>
        </w:tc>
      </w:tr>
      <w:tr>
        <w:trPr/>
        <w:tc>
          <w:tcPr>
            <w:tcW w:w="16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413239495974161836c88ae99a6ee8f_355">
              <w:r>
                <w:rPr>
                  <w:rStyle w:val="InternetLink"/>
                  <w:rFonts w:ascii="Times New Roman;sans-serif" w:hAnsi="Times New Roman;sans-serif"/>
                  <w:b w:val="false"/>
                  <w:color w:val="0000FF"/>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413239495974161836c88ae99a6ee8f_355">
              <w:r>
                <w:rPr>
                  <w:rStyle w:val="InternetLink"/>
                  <w:rFonts w:ascii="Times New Roman;sans-serif" w:hAnsi="Times New Roman;sans-serif"/>
                  <w:b w:val="false"/>
                  <w:color w:val="0000FF"/>
                  <w:sz w:val="20"/>
                  <w:u w:val="single"/>
                </w:rPr>
                <w:t>26</w:t>
              </w:r>
            </w:hyperlink>
          </w:p>
        </w:tc>
      </w:tr>
      <w:tr>
        <w:trPr/>
        <w:tc>
          <w:tcPr>
            <w:tcW w:w="16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4413239495974161836c88ae99a6ee8f_358">
              <w:r>
                <w:rPr>
                  <w:rStyle w:val="InternetLink"/>
                  <w:rFonts w:ascii="Times New Roman;sans-serif" w:hAnsi="Times New Roman;sans-serif"/>
                  <w:b w:val="false"/>
                  <w:color w:val="0000FF"/>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4413239495974161836c88ae99a6ee8f_358">
              <w:r>
                <w:rPr>
                  <w:rStyle w:val="InternetLink"/>
                  <w:rFonts w:ascii="Times New Roman;sans-serif" w:hAnsi="Times New Roman;sans-serif"/>
                  <w:b w:val="false"/>
                  <w:color w:val="0000FF"/>
                  <w:sz w:val="20"/>
                  <w:u w:val="single"/>
                </w:rPr>
                <w:t>27</w:t>
              </w:r>
            </w:hyperlink>
          </w:p>
        </w:tc>
      </w:tr>
      <w:tr>
        <w:trPr/>
        <w:tc>
          <w:tcPr>
            <w:tcW w:w="16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413239495974161836c88ae99a6ee8f_361">
              <w:r>
                <w:rPr>
                  <w:rStyle w:val="InternetLink"/>
                  <w:rFonts w:ascii="Times New Roman;sans-serif" w:hAnsi="Times New Roman;sans-serif"/>
                  <w:b w:val="false"/>
                  <w:color w:val="0000FF"/>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413239495974161836c88ae99a6ee8f_361">
              <w:r>
                <w:rPr>
                  <w:rStyle w:val="InternetLink"/>
                  <w:rFonts w:ascii="Times New Roman;sans-serif" w:hAnsi="Times New Roman;sans-serif"/>
                  <w:b w:val="false"/>
                  <w:color w:val="0000FF"/>
                  <w:sz w:val="20"/>
                  <w:u w:val="single"/>
                </w:rPr>
                <w:t>27</w:t>
              </w:r>
            </w:hyperlink>
          </w:p>
        </w:tc>
      </w:tr>
      <w:tr>
        <w:trPr/>
        <w:tc>
          <w:tcPr>
            <w:tcW w:w="8991"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4413239495974161836c88ae99a6ee8f_364">
              <w:r>
                <w:rPr>
                  <w:rStyle w:val="InternetLink"/>
                  <w:rFonts w:ascii="Times New Roman;sans-serif" w:hAnsi="Times New Roman;sans-serif"/>
                  <w:b w:val="false"/>
                  <w:color w:val="0000FF"/>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283"/>
        <w:jc w:val="center"/>
        <w:rPr>
          <w:rFonts w:ascii="Times New Roman;sans-serif" w:hAnsi="Times New Roman;sans-serif"/>
          <w:b/>
          <w:color w:val="231F20"/>
          <w:sz w:val="20"/>
          <w:highlight w:val="white"/>
        </w:rPr>
      </w:pPr>
      <w:r>
        <w:rPr>
          <w:rFonts w:ascii="Times New Roman;sans-serif" w:hAnsi="Times New Roman;sans-serif"/>
          <w:b/>
          <w:color w:val="231F20"/>
          <w:sz w:val="20"/>
          <w:highlight w:val="white"/>
        </w:rPr>
        <w:t>THE BEAUTY HEALTH COMPANY</w:t>
      </w:r>
    </w:p>
    <w:p>
      <w:pPr>
        <w:pStyle w:val="TextBody"/>
        <w:spacing w:lineRule="auto" w:line="288" w:before="10" w:after="283"/>
        <w:jc w:val="center"/>
        <w:rPr>
          <w:rFonts w:ascii="Times New Roman;sans-serif" w:hAnsi="Times New Roman;sans-serif"/>
          <w:b/>
          <w:color w:val="231F20"/>
          <w:sz w:val="20"/>
        </w:rPr>
      </w:pPr>
      <w:r>
        <w:rPr>
          <w:rFonts w:ascii="Times New Roman;sans-serif" w:hAnsi="Times New Roman;sans-serif"/>
          <w:b/>
          <w:color w:val="231F20"/>
          <w:sz w:val="20"/>
        </w:rPr>
        <w:t>CONDENSED CONSOLIDATED BALANCE SHEETS</w:t>
      </w:r>
    </w:p>
    <w:p>
      <w:pPr>
        <w:pStyle w:val="TextBody"/>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 except for share amounts)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957"/>
        <w:gridCol w:w="2155"/>
        <w:gridCol w:w="2126"/>
        <w:gridCol w:w="221"/>
        <w:gridCol w:w="866"/>
        <w:gridCol w:w="114"/>
        <w:gridCol w:w="109"/>
        <w:gridCol w:w="109"/>
        <w:gridCol w:w="109"/>
        <w:gridCol w:w="226"/>
        <w:gridCol w:w="1046"/>
        <w:gridCol w:w="167"/>
      </w:tblGrid>
      <w:tr>
        <w:trPr/>
        <w:tc>
          <w:tcPr>
            <w:tcW w:w="2957" w:type="dxa"/>
            <w:tcBorders/>
            <w:shd w:fill="auto" w:val="clear"/>
            <w:vAlign w:val="center"/>
          </w:tcPr>
          <w:p>
            <w:pPr>
              <w:pStyle w:val="TableContents"/>
              <w:spacing w:before="0" w:after="283"/>
              <w:rPr>
                <w:sz w:val="4"/>
                <w:szCs w:val="4"/>
              </w:rPr>
            </w:pPr>
            <w:r>
              <w:rPr>
                <w:sz w:val="4"/>
                <w:szCs w:val="4"/>
              </w:rPr>
            </w:r>
          </w:p>
        </w:tc>
        <w:tc>
          <w:tcPr>
            <w:tcW w:w="2155" w:type="dxa"/>
            <w:tcBorders/>
            <w:shd w:fill="auto" w:val="clear"/>
            <w:vAlign w:val="center"/>
          </w:tcPr>
          <w:p>
            <w:pPr>
              <w:pStyle w:val="TableContents"/>
              <w:spacing w:before="0" w:after="283"/>
              <w:rPr>
                <w:sz w:val="4"/>
                <w:szCs w:val="4"/>
              </w:rPr>
            </w:pPr>
            <w:r>
              <w:rPr>
                <w:sz w:val="4"/>
                <w:szCs w:val="4"/>
              </w:rPr>
            </w:r>
          </w:p>
        </w:tc>
        <w:tc>
          <w:tcPr>
            <w:tcW w:w="212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7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ASSETS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Current assets:</w:t>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Cash and cash equivalents</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532,282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568,197</w:t>
            </w:r>
          </w:p>
        </w:tc>
      </w:tr>
      <w:tr>
        <w:trPr/>
        <w:tc>
          <w:tcPr>
            <w:tcW w:w="7238"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Accounts receivable, net of allowances for estimated credit losses of $3,802 and $2,929 at March 31, 2023 and December 31, 2022, respectively</w:t>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70,795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76,494</w:t>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Inventories </w:t>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122,081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109,656</w:t>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Income tax receivable </w:t>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1,280</w:t>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Prepaid expenses and other current assets</w:t>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21,749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26,331</w:t>
            </w:r>
          </w:p>
        </w:tc>
      </w:tr>
      <w:tr>
        <w:trPr/>
        <w:tc>
          <w:tcPr>
            <w:tcW w:w="7238"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current assets</w:t>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748,532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781,958</w:t>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Property and equipment, net</w:t>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18,360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18,184</w:t>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Right-of-use assets, net</w:t>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15,590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15,637</w:t>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Intangible assets, net </w:t>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70,835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46,386</w:t>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Goodwill</w:t>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125,175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124,593</w:t>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Deferred income tax assets, net</w:t>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815</w:t>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Other assets </w:t>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15,630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14,193</w:t>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TOTAL ASSETS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994,953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1,001,766</w:t>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71" w:before="36" w:after="283"/>
              <w:jc w:val="left"/>
              <w:rPr>
                <w:rFonts w:ascii="Times New Roman;sans-serif" w:hAnsi="Times New Roman;sans-serif"/>
                <w:b/>
                <w:color w:val="231F20"/>
                <w:sz w:val="20"/>
              </w:rPr>
            </w:pPr>
            <w:r>
              <w:rPr>
                <w:rFonts w:ascii="Times New Roman;sans-serif" w:hAnsi="Times New Roman;sans-serif"/>
                <w:b/>
                <w:color w:val="231F20"/>
                <w:sz w:val="20"/>
              </w:rPr>
              <w:t>LIABILITIES AND STOCKHOLDERS’ EQUITY</w:t>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Current liabilities:</w:t>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Accounts payable</w:t>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34,330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30,335</w:t>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Accrued payroll-related expenses</w:t>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18,722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21,677</w:t>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accrued expenses</w:t>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13,149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15,183</w:t>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Lease liabilities, current</w:t>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4,958</w:t>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Income tax payable</w:t>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962</w:t>
            </w:r>
          </w:p>
        </w:tc>
      </w:tr>
      <w:tr>
        <w:trPr/>
        <w:tc>
          <w:tcPr>
            <w:tcW w:w="7238"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r>
      <w:tr>
        <w:trPr/>
        <w:tc>
          <w:tcPr>
            <w:tcW w:w="7238"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current liabilities </w:t>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72,330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73,115</w:t>
            </w:r>
          </w:p>
        </w:tc>
      </w:tr>
      <w:tr>
        <w:trPr/>
        <w:tc>
          <w:tcPr>
            <w:tcW w:w="7238"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r>
      <w:tr>
        <w:trPr/>
        <w:tc>
          <w:tcPr>
            <w:tcW w:w="7238"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r>
      <w:tr>
        <w:trPr/>
        <w:tc>
          <w:tcPr>
            <w:tcW w:w="7238"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Lease liabilities, non-current</w:t>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12,267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12,689</w:t>
            </w:r>
          </w:p>
        </w:tc>
      </w:tr>
      <w:tr>
        <w:trPr/>
        <w:tc>
          <w:tcPr>
            <w:tcW w:w="7238"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Deferred income tax liabilities, net </w:t>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2,941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2,011</w:t>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Warrant liabilities </w:t>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24,550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15,473</w:t>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Convertible senior notes, net</w:t>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735,201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734,143</w:t>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TOTAL LIABILITIES</w:t>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847,289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837,431</w:t>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(Note 10) </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Stockholders’ equity:</w:t>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231F20"/>
                <w:sz w:val="20"/>
              </w:rPr>
            </w:pPr>
            <w:r>
              <w:rPr>
                <w:rFonts w:ascii="Times New Roman;sans-serif" w:hAnsi="Times New Roman;sans-serif"/>
                <w:b w:val="false"/>
                <w:color w:val="231F20"/>
                <w:sz w:val="20"/>
              </w:rPr>
              <w:t>Class A Common Stock, $0.0001 par value; 320,000,000 shares authorized; 132,626,954 and 132,214,695 shares issued and outstanding at March 31, 2023 and December 31, 2022, respectively</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8"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Additional paid-in capital </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555,046 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550,320 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8"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Accumulated other comprehensive loss</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(3,642)</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(4,530)</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Accumulated deficit</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(403,754)</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(381,469)</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Total stockholders’ equity</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147,664 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164,335 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231F20"/>
              </w:rPr>
            </w:pPr>
            <w:r>
              <w:rPr>
                <w:color w:val="231F20"/>
              </w:rPr>
              <w:t> </w:t>
            </w:r>
            <w:r>
              <w:rPr>
                <w:rFonts w:ascii="Times New Roman;sans-serif" w:hAnsi="Times New Roman;sans-serif"/>
                <w:b/>
                <w:color w:val="231F20"/>
                <w:sz w:val="20"/>
              </w:rPr>
              <w:t>LIABILITIES AND STOCKHOLDERS’ EQUITY</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994,953 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1,001,766 </w:t>
            </w:r>
          </w:p>
        </w:tc>
        <w:tc>
          <w:tcPr>
            <w:tcW w:w="1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100" w:after="283"/>
        <w:jc w:val="center"/>
        <w:rPr>
          <w:rFonts w:ascii="Times New Roman;sans-serif" w:hAnsi="Times New Roman;sans-serif"/>
          <w:b/>
          <w:color w:val="231F20"/>
          <w:sz w:val="20"/>
          <w:highlight w:val="white"/>
        </w:rPr>
      </w:pPr>
      <w:r>
        <w:rPr>
          <w:rFonts w:ascii="Times New Roman;sans-serif" w:hAnsi="Times New Roman;sans-serif"/>
          <w:b/>
          <w:color w:val="231F20"/>
          <w:sz w:val="20"/>
          <w:highlight w:val="white"/>
        </w:rPr>
        <w:t>THE BEAUTY HEALTH COMPANY</w:t>
      </w:r>
    </w:p>
    <w:p>
      <w:pPr>
        <w:pStyle w:val="TextBody"/>
        <w:spacing w:lineRule="auto" w:line="288" w:before="10" w:after="283"/>
        <w:jc w:val="center"/>
        <w:rPr>
          <w:rFonts w:ascii="Times New Roman;sans-serif" w:hAnsi="Times New Roman;sans-serif"/>
          <w:b/>
          <w:color w:val="231F20"/>
          <w:sz w:val="20"/>
        </w:rPr>
      </w:pPr>
      <w:r>
        <w:rPr>
          <w:rFonts w:ascii="Times New Roman;sans-serif" w:hAnsi="Times New Roman;sans-serif"/>
          <w:b/>
          <w:color w:val="231F20"/>
          <w:sz w:val="20"/>
        </w:rPr>
        <w:t>CONDENSED CONSOLIDATED STATEMENTS OF COMPREHENSIVE INCOME (LOSS)</w:t>
      </w:r>
    </w:p>
    <w:p>
      <w:pPr>
        <w:pStyle w:val="TextBody"/>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 except for share and per share amounts)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8451" w:type="dxa"/>
        <w:jc w:val="left"/>
        <w:tblInd w:w="0" w:type="dxa"/>
        <w:tblCellMar>
          <w:top w:w="28" w:type="dxa"/>
          <w:left w:w="28" w:type="dxa"/>
          <w:bottom w:w="28" w:type="dxa"/>
          <w:right w:w="28" w:type="dxa"/>
        </w:tblCellMar>
      </w:tblPr>
      <w:tblGrid>
        <w:gridCol w:w="1508"/>
        <w:gridCol w:w="1321"/>
        <w:gridCol w:w="1340"/>
        <w:gridCol w:w="109"/>
        <w:gridCol w:w="109"/>
        <w:gridCol w:w="168"/>
        <w:gridCol w:w="168"/>
        <w:gridCol w:w="168"/>
        <w:gridCol w:w="168"/>
        <w:gridCol w:w="326"/>
        <w:gridCol w:w="1231"/>
        <w:gridCol w:w="168"/>
        <w:gridCol w:w="109"/>
        <w:gridCol w:w="109"/>
        <w:gridCol w:w="109"/>
        <w:gridCol w:w="268"/>
        <w:gridCol w:w="918"/>
        <w:gridCol w:w="154"/>
      </w:tblGrid>
      <w:tr>
        <w:trPr/>
        <w:tc>
          <w:tcPr>
            <w:tcW w:w="1508"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1667" w:type="dxa"/>
            <w:gridSpan w:val="6"/>
            <w:tcBorders/>
            <w:shd w:fill="auto" w:val="clear"/>
          </w:tcPr>
          <w:p>
            <w:pPr>
              <w:pStyle w:val="TableContents"/>
              <w:spacing w:before="0" w:after="283"/>
              <w:rPr>
                <w:sz w:val="4"/>
                <w:szCs w:val="4"/>
              </w:rPr>
            </w:pPr>
            <w:r>
              <w:rPr>
                <w:sz w:val="4"/>
                <w:szCs w:val="4"/>
              </w:rPr>
            </w:r>
          </w:p>
        </w:tc>
      </w:tr>
      <w:tr>
        <w:trPr/>
        <w:tc>
          <w:tcPr>
            <w:tcW w:w="4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86,278 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75,415 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Cost of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32,174 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24,530 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231F20"/>
                <w:sz w:val="20"/>
              </w:rPr>
            </w:pPr>
            <w:r>
              <w:rPr>
                <w:rFonts w:ascii="Times New Roman;sans-serif" w:hAnsi="Times New Roman;sans-serif"/>
                <w:b/>
                <w:color w:val="231F20"/>
                <w:sz w:val="20"/>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54,104 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50,885 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Selling and 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38,699 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36,407 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2,336 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30,379 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26,261 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71,414 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64,898 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88" w:before="53" w:after="283"/>
              <w:jc w:val="left"/>
              <w:rPr>
                <w:rFonts w:ascii="Times New Roman;sans-serif" w:hAnsi="Times New Roman;sans-serif"/>
                <w:b/>
                <w:color w:val="231F20"/>
                <w:sz w:val="20"/>
              </w:rPr>
            </w:pPr>
            <w:r>
              <w:rPr>
                <w:rFonts w:ascii="Times New Roman;sans-serif" w:hAnsi="Times New Roman;sans-serif"/>
                <w:b/>
                <w:color w:val="231F20"/>
                <w:sz w:val="20"/>
              </w:rPr>
              <w:t>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(17,310)</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(14,013)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3,417 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(4,315)</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Other (income) expense, net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(418)</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Change in fair value of warrant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9,076 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(52,052)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0" w:type="dxa"/>
            <w:gridSpan w:val="3"/>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Foreign currency transaction loss (gain),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877 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0" w:type="dxa"/>
            <w:gridSpan w:val="3"/>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64" w:before="53" w:after="283"/>
              <w:jc w:val="left"/>
              <w:rPr>
                <w:rFonts w:ascii="Times New Roman;sans-serif" w:hAnsi="Times New Roman;sans-serif"/>
                <w:b/>
                <w:color w:val="231F20"/>
                <w:sz w:val="20"/>
              </w:rPr>
            </w:pPr>
            <w:r>
              <w:rPr>
                <w:rFonts w:ascii="Times New Roman;sans-serif" w:hAnsi="Times New Roman;sans-serif"/>
                <w:b/>
                <w:color w:val="231F20"/>
                <w:sz w:val="20"/>
              </w:rPr>
              <w:t>(Loss) income before 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(25,947)</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34,070 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Income tax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(3,662)</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88" w:before="53"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Net (loss)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(22,285)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Comprehensive (loss) income,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Foreign currency translation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888 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88" w:before="53" w:after="283"/>
              <w:jc w:val="left"/>
              <w:rPr>
                <w:rFonts w:ascii="Times New Roman;sans-serif" w:hAnsi="Times New Roman;sans-serif"/>
                <w:b/>
                <w:color w:val="231F20"/>
                <w:sz w:val="20"/>
              </w:rPr>
            </w:pPr>
            <w:r>
              <w:rPr>
                <w:rFonts w:ascii="Times New Roman;sans-serif" w:hAnsi="Times New Roman;sans-serif"/>
                <w:b/>
                <w:color w:val="231F20"/>
                <w:sz w:val="20"/>
              </w:rPr>
              <w:t xml:space="preserve">Comprehensive (loss)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(21,397)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31,310</w:t>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 income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3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0.21</w:t>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3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(0.13)</w:t>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Weighted average common shares outstanding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132,420,762 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150,598,105 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132,420,762 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152,711,698 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center"/>
        <w:rPr/>
      </w:pPr>
      <w:r>
        <w:rPr/>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100" w:after="283"/>
        <w:jc w:val="center"/>
        <w:rPr>
          <w:rFonts w:ascii="Times New Roman;sans-serif" w:hAnsi="Times New Roman;sans-serif"/>
          <w:b/>
          <w:color w:val="231F20"/>
          <w:sz w:val="20"/>
        </w:rPr>
      </w:pPr>
      <w:r>
        <w:rPr>
          <w:rFonts w:ascii="Times New Roman;sans-serif" w:hAnsi="Times New Roman;sans-serif"/>
          <w:b/>
          <w:color w:val="231F20"/>
          <w:sz w:val="20"/>
        </w:rPr>
        <w:t>THE BEAUTY HEALTH COMPANY</w:t>
      </w:r>
    </w:p>
    <w:p>
      <w:pPr>
        <w:pStyle w:val="TextBody"/>
        <w:spacing w:lineRule="auto" w:line="288" w:before="10" w:after="283"/>
        <w:jc w:val="center"/>
        <w:rPr>
          <w:rFonts w:ascii="Times New Roman;sans-serif" w:hAnsi="Times New Roman;sans-serif"/>
          <w:b/>
          <w:color w:val="231F20"/>
          <w:sz w:val="20"/>
        </w:rPr>
      </w:pPr>
      <w:r>
        <w:rPr>
          <w:rFonts w:ascii="Times New Roman;sans-serif" w:hAnsi="Times New Roman;sans-serif"/>
          <w:b/>
          <w:color w:val="231F20"/>
          <w:sz w:val="20"/>
        </w:rPr>
        <w:t>CONDENSED CONSOLIDATED STATEMENTS OF STOCKHOLDERS’ EQUITY (DEFICIT)</w:t>
      </w:r>
    </w:p>
    <w:p>
      <w:pPr>
        <w:pStyle w:val="TextBody"/>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 except for share amounts)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12737" w:type="dxa"/>
        <w:jc w:val="center"/>
        <w:tblInd w:w="0" w:type="dxa"/>
        <w:tblCellMar>
          <w:top w:w="28" w:type="dxa"/>
          <w:left w:w="28" w:type="dxa"/>
          <w:bottom w:w="28" w:type="dxa"/>
          <w:right w:w="28" w:type="dxa"/>
        </w:tblCellMar>
      </w:tblPr>
      <w:tblGrid>
        <w:gridCol w:w="445"/>
        <w:gridCol w:w="325"/>
        <w:gridCol w:w="326"/>
        <w:gridCol w:w="109"/>
        <w:gridCol w:w="109"/>
        <w:gridCol w:w="109"/>
        <w:gridCol w:w="109"/>
        <w:gridCol w:w="255"/>
        <w:gridCol w:w="255"/>
        <w:gridCol w:w="256"/>
        <w:gridCol w:w="109"/>
        <w:gridCol w:w="674"/>
        <w:gridCol w:w="377"/>
        <w:gridCol w:w="291"/>
        <w:gridCol w:w="195"/>
        <w:gridCol w:w="195"/>
        <w:gridCol w:w="196"/>
        <w:gridCol w:w="196"/>
        <w:gridCol w:w="331"/>
        <w:gridCol w:w="109"/>
        <w:gridCol w:w="230"/>
        <w:gridCol w:w="230"/>
        <w:gridCol w:w="231"/>
        <w:gridCol w:w="228"/>
        <w:gridCol w:w="859"/>
        <w:gridCol w:w="129"/>
        <w:gridCol w:w="109"/>
        <w:gridCol w:w="109"/>
        <w:gridCol w:w="109"/>
        <w:gridCol w:w="1051"/>
        <w:gridCol w:w="109"/>
        <w:gridCol w:w="352"/>
        <w:gridCol w:w="1027"/>
        <w:gridCol w:w="197"/>
        <w:gridCol w:w="109"/>
        <w:gridCol w:w="109"/>
        <w:gridCol w:w="109"/>
        <w:gridCol w:w="196"/>
        <w:gridCol w:w="751"/>
        <w:gridCol w:w="109"/>
        <w:gridCol w:w="109"/>
        <w:gridCol w:w="109"/>
        <w:gridCol w:w="109"/>
        <w:gridCol w:w="196"/>
        <w:gridCol w:w="736"/>
        <w:gridCol w:w="154"/>
      </w:tblGrid>
      <w:tr>
        <w:trPr/>
        <w:tc>
          <w:tcPr>
            <w:tcW w:w="44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Stockholders’Equity (Deficit)</w:t>
            </w:r>
          </w:p>
        </w:tc>
        <w:tc>
          <w:tcPr>
            <w:tcW w:w="2796" w:type="dxa"/>
            <w:gridSpan w:val="12"/>
            <w:tcBorders/>
            <w:shd w:fill="auto" w:val="clea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vMerge w:val="continue"/>
            <w:tcBorders/>
            <w:shd w:fill="auto" w:val="clear"/>
            <w:tcMar>
              <w:top w:w="0" w:type="dxa"/>
              <w:left w:w="0" w:type="dxa"/>
              <w:bottom w:w="0" w:type="dxa"/>
              <w:right w:w="0" w:type="dxa"/>
            </w:tcMar>
            <w:vAlign w:val="center"/>
          </w:tcPr>
          <w:p>
            <w:pPr>
              <w:pStyle w:val="Normal"/>
              <w:rPr/>
            </w:pPr>
            <w:r>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6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150,598,047 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722,250 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31,455 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5,184 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7,049 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150,603,231 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729,299 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(1,402)</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(391,520)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336,393 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1641" w:type="dxa"/>
            <w:gridSpan w:val="43"/>
            <w:tcBorders/>
            <w:shd w:fill="auto" w:val="clea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 w:after="283"/>
        <w:jc w:val="center"/>
        <w:rPr/>
      </w:pPr>
      <w:r>
        <w:rPr/>
      </w:r>
    </w:p>
    <w:tbl>
      <w:tblPr>
        <w:tblW w:w="10205" w:type="dxa"/>
        <w:jc w:val="center"/>
        <w:tblInd w:w="0" w:type="dxa"/>
        <w:tblCellMar>
          <w:top w:w="28" w:type="dxa"/>
          <w:left w:w="28" w:type="dxa"/>
          <w:bottom w:w="28" w:type="dxa"/>
          <w:right w:w="28" w:type="dxa"/>
        </w:tblCellMar>
      </w:tblPr>
      <w:tblGrid>
        <w:gridCol w:w="624"/>
        <w:gridCol w:w="491"/>
        <w:gridCol w:w="493"/>
        <w:gridCol w:w="109"/>
        <w:gridCol w:w="109"/>
        <w:gridCol w:w="109"/>
        <w:gridCol w:w="109"/>
        <w:gridCol w:w="109"/>
        <w:gridCol w:w="109"/>
        <w:gridCol w:w="109"/>
        <w:gridCol w:w="109"/>
        <w:gridCol w:w="525"/>
        <w:gridCol w:w="526"/>
        <w:gridCol w:w="109"/>
        <w:gridCol w:w="109"/>
        <w:gridCol w:w="109"/>
        <w:gridCol w:w="109"/>
        <w:gridCol w:w="196"/>
        <w:gridCol w:w="331"/>
        <w:gridCol w:w="109"/>
        <w:gridCol w:w="109"/>
        <w:gridCol w:w="109"/>
        <w:gridCol w:w="109"/>
        <w:gridCol w:w="196"/>
        <w:gridCol w:w="736"/>
        <w:gridCol w:w="109"/>
        <w:gridCol w:w="109"/>
        <w:gridCol w:w="109"/>
        <w:gridCol w:w="109"/>
        <w:gridCol w:w="109"/>
        <w:gridCol w:w="109"/>
        <w:gridCol w:w="196"/>
        <w:gridCol w:w="578"/>
        <w:gridCol w:w="109"/>
        <w:gridCol w:w="109"/>
        <w:gridCol w:w="109"/>
        <w:gridCol w:w="109"/>
        <w:gridCol w:w="196"/>
        <w:gridCol w:w="758"/>
        <w:gridCol w:w="109"/>
        <w:gridCol w:w="109"/>
        <w:gridCol w:w="109"/>
        <w:gridCol w:w="109"/>
        <w:gridCol w:w="196"/>
        <w:gridCol w:w="736"/>
        <w:gridCol w:w="157"/>
      </w:tblGrid>
      <w:tr>
        <w:trPr/>
        <w:tc>
          <w:tcPr>
            <w:tcW w:w="624"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8" w:type="dxa"/>
            <w:gridSpan w:val="16"/>
            <w:tcBorders/>
            <w:shd w:fill="auto" w:val="clea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hanging="180"/>
              <w:rPr>
                <w:sz w:val="4"/>
                <w:szCs w:val="4"/>
              </w:rPr>
            </w:pPr>
            <w:r>
              <w:rPr>
                <w:sz w:val="4"/>
                <w:szCs w:val="4"/>
              </w:rPr>
            </w:r>
          </w:p>
        </w:tc>
        <w:tc>
          <w:tcPr>
            <w:tcW w:w="3689" w:type="dxa"/>
            <w:gridSpan w:val="15"/>
            <w:tcBorders/>
            <w:shd w:fill="auto" w:val="clear"/>
          </w:tcPr>
          <w:p>
            <w:pPr>
              <w:pStyle w:val="TableContents"/>
              <w:spacing w:before="0" w:after="283"/>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132,214,695 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(381,469)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164,335 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(22,285)</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473,049 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 withholdings on vested stock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(2,195)</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relating to employee stock purchase plan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3,577 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relating to asset acquisition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1,310 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132,626,954 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(403,754)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147,664 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8597" w:type="dxa"/>
            <w:gridSpan w:val="43"/>
            <w:tcBorders/>
            <w:shd w:fill="auto" w:val="clea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 w:after="283"/>
        <w:jc w:val="center"/>
        <w:rPr/>
      </w:pPr>
      <w:r>
        <w:rPr/>
      </w:r>
    </w:p>
    <w:p>
      <w:pPr>
        <w:pStyle w:val="TextBody"/>
        <w:spacing w:before="20" w:after="283"/>
        <w:jc w:val="center"/>
        <w:rPr/>
      </w:pPr>
      <w:r>
        <w:rPr/>
      </w:r>
    </w:p>
    <w:p>
      <w:pPr>
        <w:pStyle w:val="TextBody"/>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pStyle w:val="TextBody"/>
        <w:spacing w:before="20" w:after="283"/>
        <w:jc w:val="center"/>
        <w:rPr/>
      </w:pPr>
      <w:r>
        <w:rPr/>
      </w:r>
    </w:p>
    <w:p>
      <w:pPr>
        <w:pStyle w:val="TextBody"/>
        <w:spacing w:before="20" w:after="283"/>
        <w:jc w:val="center"/>
        <w:rPr/>
      </w:pPr>
      <w:r>
        <w:rPr/>
      </w:r>
    </w:p>
    <w:p>
      <w:pPr>
        <w:pStyle w:val="TextBody"/>
        <w:spacing w:before="20" w:after="283"/>
        <w:jc w:val="center"/>
        <w:rPr/>
      </w:pPr>
      <w:r>
        <w:rPr/>
      </w:r>
    </w:p>
    <w:p>
      <w:pPr>
        <w:pStyle w:val="TextBody"/>
        <w:spacing w:before="20" w:after="283"/>
        <w:jc w:val="center"/>
        <w:rPr/>
      </w:pPr>
      <w:r>
        <w:rPr/>
      </w:r>
    </w:p>
    <w:p>
      <w:pPr>
        <w:pStyle w:val="TextBody"/>
        <w:spacing w:before="2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100" w:after="283"/>
        <w:jc w:val="center"/>
        <w:rPr>
          <w:rFonts w:ascii="Times New Roman;sans-serif" w:hAnsi="Times New Roman;sans-serif"/>
          <w:b/>
          <w:color w:val="231F20"/>
          <w:sz w:val="20"/>
        </w:rPr>
      </w:pPr>
      <w:r>
        <w:rPr>
          <w:rFonts w:ascii="Times New Roman;sans-serif" w:hAnsi="Times New Roman;sans-serif"/>
          <w:b/>
          <w:color w:val="231F20"/>
          <w:sz w:val="20"/>
        </w:rPr>
        <w:t>THE BEAUTY HEALTH COMPANY</w:t>
      </w:r>
    </w:p>
    <w:p>
      <w:pPr>
        <w:pStyle w:val="TextBody"/>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CONDENSED CONSOLIDATED STATEMENTS OF CASH FLOWS</w:t>
      </w:r>
    </w:p>
    <w:p>
      <w:pPr>
        <w:pStyle w:val="TextBody"/>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465" w:type="dxa"/>
        <w:jc w:val="center"/>
        <w:tblInd w:w="0" w:type="dxa"/>
        <w:tblCellMar>
          <w:top w:w="28" w:type="dxa"/>
          <w:left w:w="28" w:type="dxa"/>
          <w:bottom w:w="28" w:type="dxa"/>
          <w:right w:w="28" w:type="dxa"/>
        </w:tblCellMar>
      </w:tblPr>
      <w:tblGrid>
        <w:gridCol w:w="2059"/>
        <w:gridCol w:w="1806"/>
        <w:gridCol w:w="1819"/>
        <w:gridCol w:w="196"/>
        <w:gridCol w:w="736"/>
        <w:gridCol w:w="109"/>
        <w:gridCol w:w="109"/>
        <w:gridCol w:w="109"/>
        <w:gridCol w:w="109"/>
        <w:gridCol w:w="196"/>
        <w:gridCol w:w="736"/>
        <w:gridCol w:w="109"/>
        <w:gridCol w:w="109"/>
        <w:gridCol w:w="109"/>
        <w:gridCol w:w="154"/>
      </w:tblGrid>
      <w:tr>
        <w:trPr/>
        <w:tc>
          <w:tcPr>
            <w:tcW w:w="2059" w:type="dxa"/>
            <w:tcBorders/>
            <w:shd w:fill="auto" w:val="clear"/>
            <w:vAlign w:val="center"/>
          </w:tcPr>
          <w:p>
            <w:pPr>
              <w:pStyle w:val="TableContents"/>
              <w:spacing w:before="0" w:after="283"/>
              <w:rPr>
                <w:sz w:val="4"/>
                <w:szCs w:val="4"/>
              </w:rPr>
            </w:pPr>
            <w:r>
              <w:rPr>
                <w:sz w:val="4"/>
                <w:szCs w:val="4"/>
              </w:rPr>
            </w:r>
          </w:p>
        </w:tc>
        <w:tc>
          <w:tcPr>
            <w:tcW w:w="1806"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8"/>
              </w:rPr>
            </w:pPr>
            <w:r>
              <w:rPr>
                <w:rFonts w:ascii="Times New Roman;sans-serif" w:hAnsi="Times New Roman;sans-serif"/>
                <w:b/>
                <w:color w:val="231F20"/>
                <w:sz w:val="18"/>
              </w:rPr>
              <w:t>Three Months Ended March 31,</w:t>
            </w:r>
          </w:p>
        </w:tc>
      </w:tr>
      <w:tr>
        <w:trPr/>
        <w:tc>
          <w:tcPr>
            <w:tcW w:w="5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231F20"/>
                <w:sz w:val="18"/>
              </w:rPr>
            </w:pPr>
            <w:r>
              <w:rPr>
                <w:rFonts w:ascii="Times New Roman;sans-serif" w:hAnsi="Times New Roman;sans-serif"/>
                <w:b/>
                <w:color w:val="231F2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231F20"/>
                <w:sz w:val="18"/>
              </w:rPr>
            </w:pPr>
            <w:r>
              <w:rPr>
                <w:rFonts w:ascii="Times New Roman;sans-serif" w:hAnsi="Times New Roman;sans-serif"/>
                <w:b/>
                <w:color w:val="231F20"/>
                <w:sz w:val="18"/>
              </w:rPr>
              <w:t>2022</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8"/>
              </w:rPr>
            </w:pPr>
            <w:r>
              <w:rPr>
                <w:rFonts w:ascii="Times New Roman;sans-serif" w:hAnsi="Times New Roman;sans-serif"/>
                <w:b/>
                <w:color w:val="231F20"/>
                <w:sz w:val="18"/>
              </w:rPr>
              <w:t>Cash flows from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 xml:space="preserve">Net (loss) income </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Adjustments to reconcile net (loss) income to net cash from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Depreciation of 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Provision for estimated credit losses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Amortization of other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Inventory write-down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Deferred income taxes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Change in fair value adjustment of warrant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Other,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Inventories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Prepaid expenses, other current assets, and income tax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Accounts payable, accrued expenses, and income tax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Other,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64" w:before="12" w:after="283"/>
              <w:jc w:val="left"/>
              <w:rPr>
                <w:rFonts w:ascii="Times New Roman;sans-serif" w:hAnsi="Times New Roman;sans-serif"/>
                <w:b/>
                <w:color w:val="231F20"/>
                <w:sz w:val="18"/>
              </w:rPr>
            </w:pPr>
            <w:r>
              <w:rPr>
                <w:rFonts w:ascii="Times New Roman;sans-serif" w:hAnsi="Times New Roman;sans-serif"/>
                <w:b/>
                <w:color w:val="231F20"/>
                <w:sz w:val="18"/>
              </w:rPr>
              <w:t>Cash flows used in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paid for intangible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paid for property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paid for asset acquisitions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8"/>
              </w:rPr>
            </w:pPr>
            <w:r>
              <w:rPr>
                <w:rFonts w:ascii="Times New Roman;sans-serif" w:hAnsi="Times New Roman;sans-serif"/>
                <w:b/>
                <w:color w:val="231F2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Payment of tax withholdings on vested stock awards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Payment of contingent consideration related to acquisitions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Effect of foreign currency translation on cash</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and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and cash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240" w:after="283"/>
        <w:rPr/>
      </w:pPr>
      <w:r>
        <w:rPr/>
      </w:r>
    </w:p>
    <w:p>
      <w:pPr>
        <w:pStyle w:val="TextBody"/>
        <w:spacing w:before="60" w:after="283"/>
        <w:rPr/>
      </w:pPr>
      <w:r>
        <w:rPr/>
      </w:r>
    </w:p>
    <w:p>
      <w:pPr>
        <w:pStyle w:val="TextBody"/>
        <w:spacing w:before="240" w:after="283"/>
        <w:rPr/>
      </w:pPr>
      <w:r>
        <w:rPr/>
      </w:r>
    </w:p>
    <w:p>
      <w:pPr>
        <w:pStyle w:val="TextBody"/>
        <w:spacing w:lineRule="auto" w:line="288" w:before="100" w:after="283"/>
        <w:jc w:val="center"/>
        <w:rPr>
          <w:rFonts w:ascii="Times New Roman;sans-serif" w:hAnsi="Times New Roman;sans-serif"/>
          <w:b/>
          <w:color w:val="231F20"/>
          <w:sz w:val="20"/>
          <w:highlight w:val="white"/>
        </w:rPr>
      </w:pPr>
      <w:r>
        <w:rPr>
          <w:rFonts w:ascii="Times New Roman;sans-serif" w:hAnsi="Times New Roman;sans-serif"/>
          <w:b/>
          <w:color w:val="231F20"/>
          <w:sz w:val="20"/>
          <w:highlight w:val="white"/>
        </w:rPr>
        <w:t>THE BEAUTY HEALTH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Note 1 – Description of Business </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The Beauty Health Company (the “Company”) is a global category-creating company delivering skin health experiences that help consumers reinvent their relationship with their skin, bodies and self-confidence. The Company and its subsidiaries design, develop, manufacture, market, and sell a/esthetic technologies and products. The Company’s brands are pioneers: Hydrafacial in hydradermabrasion; SkinStylus in microneedling; and Keravive in scalp health. Together, with its powerful community of estheticians, partners and consumers, the Company is personalizing skin health for all ages, genders, skin tones, and skin types.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Historical Information</w: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The Company (f.k.a. Vesper Healthcare Acquisition Corp.) was incorporated in the State of Delaware on July 8, 2020. On May 4, 2021, we consummated the previously announced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HydraFacial LLC, f.k.a. Edge Systems LLC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financial statements have been prepared in accordance with the instructions to Form 10-Q and Article 10 of Regulation S-X. Accordingly, they do not include all information and footnotes required by accounting principles generally accepted in the United States of America (“GAAP”) for complete financial statements. These statements reflect all normal and recurring adjustments which, in the opinion of management, are necessary to present fairly the financial position, results of operations and cash flows of the Company for the interim periods presented.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These interim financial statements should be read in conjunction with the audited consolidated financial statements and notes thereto included in, or presented as exhibits to, the Company’s Annual Report on Form 10-K for the year ended December 31, 2022.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Subsequent to the issuance of the Company’s Annual Report on Form 10-K for the fiscal year ended December 31, 2022, the Company identified prior period misstatements related to the elimination of intercompany profit in inventory. Although the Company concluded that these misstatements were not material, either individually or in the aggregate, the Company elected to revise its previously issued consolidated financial statements to correct for these misstatements.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these misstatements which impacted the fiscal years 2020 to 2022, as of December 31, 2022, inventory was overstated by $6.8 million and accumulated deficit was understated by $7.1 million. For the three months ended March 31, 2022, cost of goods sold was understated by $1.1 million.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240" w:after="283"/>
        <w:rPr/>
      </w:pPr>
      <w:r>
        <w:rPr/>
      </w:r>
    </w:p>
    <w:p>
      <w:pPr>
        <w:pStyle w:val="TextBody"/>
        <w:spacing w:before="60" w:after="283"/>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revision of the previously issued unaudited consolidated financial statements is presented in the accompanying unaudited consolidated financial statements and related disclosures. For further detail, refer to Note 15 - Revision for Immaterial Misstatements.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current period presentation.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 – Revenue</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The Company generates revenue through manufacturing and selling Hydrafacial Delivery Systems (“Delivery Systems”) that cleanses, extracts, and hydrates the skin. In conjunction with the sale of Delivery Systems, the Company also sells its related serums, solutions, tips, and consumables (collectively,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which generally takes place at the point of shipment.</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The Company manages its business on the basis of one operating segment and one reportable segment. As a result, the chief operating decision maker, who is the Chief Executive Officer reviews financial information presented on a consolidated basis for purposes of making operating decisions, allocating resources and evaluating financial performance.</w:t>
      </w:r>
    </w:p>
    <w:p>
      <w:pPr>
        <w:pStyle w:val="TextBody"/>
        <w:spacing w:before="0" w:after="0"/>
        <w:rPr/>
      </w:pPr>
      <w:r>
        <w:rPr/>
      </w:r>
    </w:p>
    <w:p>
      <w:pPr>
        <w:pStyle w:val="TextBody"/>
        <w:spacing w:lineRule="auto" w:line="288" w:before="0" w:after="120"/>
        <w:rPr>
          <w:rFonts w:ascii="Times New Roman;sans-serif" w:hAnsi="Times New Roman;sans-serif"/>
          <w:b w:val="false"/>
          <w:color w:val="231F20"/>
          <w:sz w:val="20"/>
        </w:rPr>
      </w:pPr>
      <w:r>
        <w:rPr>
          <w:rFonts w:ascii="Times New Roman;sans-serif" w:hAnsi="Times New Roman;sans-serif"/>
          <w:b w:val="false"/>
          <w:color w:val="231F20"/>
          <w:sz w:val="20"/>
        </w:rPr>
        <w:t>The Company’s revenue disaggregated by major product line consists of the following for the periods indicated:</w:t>
      </w:r>
    </w:p>
    <w:tbl>
      <w:tblPr>
        <w:tblW w:w="5778" w:type="dxa"/>
        <w:jc w:val="left"/>
        <w:tblInd w:w="0" w:type="dxa"/>
        <w:tblCellMar>
          <w:top w:w="28" w:type="dxa"/>
          <w:left w:w="28" w:type="dxa"/>
          <w:bottom w:w="28" w:type="dxa"/>
          <w:right w:w="28" w:type="dxa"/>
        </w:tblCellMar>
      </w:tblPr>
      <w:tblGrid>
        <w:gridCol w:w="553"/>
        <w:gridCol w:w="487"/>
        <w:gridCol w:w="489"/>
        <w:gridCol w:w="109"/>
        <w:gridCol w:w="109"/>
        <w:gridCol w:w="177"/>
        <w:gridCol w:w="177"/>
        <w:gridCol w:w="177"/>
        <w:gridCol w:w="177"/>
        <w:gridCol w:w="343"/>
        <w:gridCol w:w="1172"/>
        <w:gridCol w:w="177"/>
        <w:gridCol w:w="109"/>
        <w:gridCol w:w="109"/>
        <w:gridCol w:w="109"/>
        <w:gridCol w:w="211"/>
        <w:gridCol w:w="721"/>
        <w:gridCol w:w="109"/>
        <w:gridCol w:w="109"/>
        <w:gridCol w:w="154"/>
      </w:tblGrid>
      <w:tr>
        <w:trPr/>
        <w:tc>
          <w:tcPr>
            <w:tcW w:w="55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7"/>
            <w:tcBorders/>
            <w:shd w:fill="auto" w:val="clear"/>
            <w:tcMar>
              <w:top w:w="0" w:type="dxa"/>
              <w:left w:w="0" w:type="dxa"/>
              <w:bottom w:w="0" w:type="dxa"/>
              <w:right w:w="0" w:type="dxa"/>
            </w:tcMar>
            <w:vAlign w:val="center"/>
          </w:tcPr>
          <w:p>
            <w:pPr>
              <w:pStyle w:val="TableContents"/>
              <w:spacing w:lineRule="auto" w:line="240" w:before="0" w:after="283"/>
              <w:ind w:left="0" w:right="0" w:hanging="72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31" w:type="dxa"/>
            <w:gridSpan w:val="8"/>
            <w:tcBorders/>
            <w:shd w:fill="auto" w:val="clear"/>
          </w:tcPr>
          <w:p>
            <w:pPr>
              <w:pStyle w:val="TableContents"/>
              <w:spacing w:before="0" w:after="283"/>
              <w:rPr>
                <w:sz w:val="4"/>
                <w:szCs w:val="4"/>
              </w:rPr>
            </w:pPr>
            <w:r>
              <w:rPr>
                <w:sz w:val="4"/>
                <w:szCs w:val="4"/>
              </w:rPr>
            </w:r>
          </w:p>
        </w:tc>
      </w:tr>
      <w:tr>
        <w:trPr/>
        <w:tc>
          <w:tcPr>
            <w:tcW w:w="1529"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spacing w:lineRule="auto" w:line="264" w:before="10" w:after="283"/>
              <w:ind w:left="0" w:right="0" w:hanging="720"/>
              <w:jc w:val="left"/>
              <w:rPr>
                <w:rFonts w:ascii="Times New Roman;sans-serif" w:hAnsi="Times New Roman;sans-serif"/>
                <w:b w:val="false"/>
                <w:color w:val="231F20"/>
                <w:sz w:val="20"/>
              </w:rPr>
            </w:pPr>
            <w:r>
              <w:rPr>
                <w:rFonts w:ascii="Times New Roman;sans-serif" w:hAnsi="Times New Roman;sans-serif"/>
                <w:b w:val="false"/>
                <w:color w:val="231F20"/>
                <w:sz w:val="20"/>
              </w:rPr>
              <w:t>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spacing w:lineRule="auto" w:line="264" w:before="1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Delivery Systems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7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45,353 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41,647 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360"/>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Consumables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40,925 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33,768 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360"/>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86,278 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75,415 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rPr>
          <w:rFonts w:ascii="Times New Roman;sans-serif" w:hAnsi="Times New Roman;sans-serif"/>
          <w:b w:val="false"/>
          <w:color w:val="231F20"/>
          <w:sz w:val="20"/>
        </w:rPr>
      </w:pPr>
      <w:r>
        <w:rPr>
          <w:rFonts w:ascii="Times New Roman;sans-serif" w:hAnsi="Times New Roman;sans-serif"/>
          <w:b w:val="false"/>
          <w:color w:val="231F20"/>
          <w:sz w:val="20"/>
        </w:rPr>
        <w:t>Net sales by geographic region were as follows for the periods indicated:</w:t>
      </w:r>
    </w:p>
    <w:tbl>
      <w:tblPr>
        <w:tblW w:w="7215" w:type="dxa"/>
        <w:jc w:val="left"/>
        <w:tblInd w:w="0" w:type="dxa"/>
        <w:tblCellMar>
          <w:top w:w="28" w:type="dxa"/>
          <w:left w:w="28" w:type="dxa"/>
          <w:bottom w:w="28" w:type="dxa"/>
          <w:right w:w="28" w:type="dxa"/>
        </w:tblCellMar>
      </w:tblPr>
      <w:tblGrid>
        <w:gridCol w:w="1074"/>
        <w:gridCol w:w="946"/>
        <w:gridCol w:w="949"/>
        <w:gridCol w:w="109"/>
        <w:gridCol w:w="109"/>
        <w:gridCol w:w="207"/>
        <w:gridCol w:w="207"/>
        <w:gridCol w:w="402"/>
        <w:gridCol w:w="1374"/>
        <w:gridCol w:w="207"/>
        <w:gridCol w:w="109"/>
        <w:gridCol w:w="109"/>
        <w:gridCol w:w="109"/>
        <w:gridCol w:w="211"/>
        <w:gridCol w:w="721"/>
        <w:gridCol w:w="109"/>
        <w:gridCol w:w="109"/>
        <w:gridCol w:w="154"/>
      </w:tblGrid>
      <w:tr>
        <w:trPr/>
        <w:tc>
          <w:tcPr>
            <w:tcW w:w="1074"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1631" w:type="dxa"/>
            <w:gridSpan w:val="8"/>
            <w:tcBorders/>
            <w:shd w:fill="auto" w:val="clea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Americas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52,978 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44,606 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Asia-Pacific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13,620 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Europe, the Middle East and Africa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19,680 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86,278 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75,415 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 Balance Sheet Components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Inventories consist of the following as of the periods indicated:</w:t>
      </w:r>
    </w:p>
    <w:p>
      <w:pPr>
        <w:pStyle w:val="TextBody"/>
        <w:spacing w:before="0" w:after="0"/>
        <w:rPr/>
      </w:pPr>
      <w:r>
        <w:rPr/>
      </w:r>
    </w:p>
    <w:tbl>
      <w:tblPr>
        <w:tblW w:w="4689" w:type="dxa"/>
        <w:jc w:val="left"/>
        <w:tblInd w:w="0" w:type="dxa"/>
        <w:tblCellMar>
          <w:top w:w="28" w:type="dxa"/>
          <w:left w:w="28" w:type="dxa"/>
          <w:bottom w:w="28" w:type="dxa"/>
          <w:right w:w="28" w:type="dxa"/>
        </w:tblCellMar>
      </w:tblPr>
      <w:tblGrid>
        <w:gridCol w:w="564"/>
        <w:gridCol w:w="497"/>
        <w:gridCol w:w="498"/>
        <w:gridCol w:w="232"/>
        <w:gridCol w:w="908"/>
        <w:gridCol w:w="119"/>
        <w:gridCol w:w="109"/>
        <w:gridCol w:w="109"/>
        <w:gridCol w:w="109"/>
        <w:gridCol w:w="273"/>
        <w:gridCol w:w="1072"/>
        <w:gridCol w:w="199"/>
      </w:tblGrid>
      <w:tr>
        <w:trPr/>
        <w:tc>
          <w:tcPr>
            <w:tcW w:w="56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December 31, 2022</w:t>
            </w:r>
          </w:p>
        </w:tc>
      </w:tr>
      <w:tr>
        <w:trPr/>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Raw materials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40,032 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38,373 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Finished goods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82,049 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71,283 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inventories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122,081 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109,656 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Accrued payroll-related expenses include the following as of the periods indicated: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240" w:after="283"/>
        <w:rPr/>
      </w:pPr>
      <w:r>
        <w:rPr/>
      </w:r>
    </w:p>
    <w:p>
      <w:pPr>
        <w:pStyle w:val="TextBody"/>
        <w:spacing w:before="60" w:after="283"/>
        <w:rPr/>
      </w:pPr>
      <w:r>
        <w:rPr/>
      </w:r>
    </w:p>
    <w:tbl>
      <w:tblPr>
        <w:tblW w:w="6386" w:type="dxa"/>
        <w:jc w:val="left"/>
        <w:tblInd w:w="0" w:type="dxa"/>
        <w:tblCellMar>
          <w:top w:w="28" w:type="dxa"/>
          <w:left w:w="28" w:type="dxa"/>
          <w:bottom w:w="28" w:type="dxa"/>
          <w:right w:w="28" w:type="dxa"/>
        </w:tblCellMar>
      </w:tblPr>
      <w:tblGrid>
        <w:gridCol w:w="1174"/>
        <w:gridCol w:w="1034"/>
        <w:gridCol w:w="1046"/>
        <w:gridCol w:w="255"/>
        <w:gridCol w:w="873"/>
        <w:gridCol w:w="132"/>
        <w:gridCol w:w="109"/>
        <w:gridCol w:w="109"/>
        <w:gridCol w:w="109"/>
        <w:gridCol w:w="300"/>
        <w:gridCol w:w="1026"/>
        <w:gridCol w:w="219"/>
      </w:tblGrid>
      <w:tr>
        <w:trPr/>
        <w:tc>
          <w:tcPr>
            <w:tcW w:w="1174"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taxes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commissions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7,826 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10,523 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payroll-related expenses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Other accrued expenses include the following as of the periods indicated:</w:t>
      </w:r>
    </w:p>
    <w:p>
      <w:pPr>
        <w:pStyle w:val="TextBody"/>
        <w:spacing w:before="0" w:after="0"/>
        <w:rPr/>
      </w:pPr>
      <w:r>
        <w:rPr/>
      </w:r>
    </w:p>
    <w:tbl>
      <w:tblPr>
        <w:tblW w:w="5606" w:type="dxa"/>
        <w:jc w:val="left"/>
        <w:tblInd w:w="0" w:type="dxa"/>
        <w:tblCellMar>
          <w:top w:w="28" w:type="dxa"/>
          <w:left w:w="28" w:type="dxa"/>
          <w:bottom w:w="28" w:type="dxa"/>
          <w:right w:w="28" w:type="dxa"/>
        </w:tblCellMar>
      </w:tblPr>
      <w:tblGrid>
        <w:gridCol w:w="895"/>
        <w:gridCol w:w="788"/>
        <w:gridCol w:w="791"/>
        <w:gridCol w:w="255"/>
        <w:gridCol w:w="873"/>
        <w:gridCol w:w="132"/>
        <w:gridCol w:w="109"/>
        <w:gridCol w:w="109"/>
        <w:gridCol w:w="109"/>
        <w:gridCol w:w="300"/>
        <w:gridCol w:w="1026"/>
        <w:gridCol w:w="219"/>
      </w:tblGrid>
      <w:tr>
        <w:trPr/>
        <w:tc>
          <w:tcPr>
            <w:tcW w:w="895"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December 31, 2022</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Sales and VAT tax payables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5,101 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4,904 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Royalty liabilities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3,543 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2,348 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Accrued interest</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231F20"/>
              </w:rPr>
            </w:pPr>
            <w:r>
              <w:rPr>
                <w:color w:val="231F2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2,344 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Note payable due seller </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231F20"/>
              </w:rPr>
            </w:pPr>
            <w:r>
              <w:rPr>
                <w:color w:val="231F2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1,819 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4,505 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3,768 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other accrued expenses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13,149 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15,183 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4 — Fair Value Measurements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tables present information about the Company’s assets and liabilities that are measured at fair value on a recurring basis as of March 31, 2023 and December 31, 2022, and indicate the fair value hierarchy of the valuation inputs the Company utilized to determine such fair value.</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The three levels of the fair value hierarchy are as follows: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Level 3: Unobservable inputs based on our assessment of the assumptions that market participants would use in pricing the asset or liability.</w:t>
      </w:r>
    </w:p>
    <w:p>
      <w:pPr>
        <w:pStyle w:val="TextBody"/>
        <w:spacing w:before="0" w:after="0"/>
        <w:rPr/>
      </w:pPr>
      <w:r>
        <w:rPr/>
      </w:r>
    </w:p>
    <w:tbl>
      <w:tblPr>
        <w:tblW w:w="9387" w:type="dxa"/>
        <w:jc w:val="left"/>
        <w:tblInd w:w="0" w:type="dxa"/>
        <w:tblCellMar>
          <w:top w:w="28" w:type="dxa"/>
          <w:left w:w="28" w:type="dxa"/>
          <w:bottom w:w="28" w:type="dxa"/>
          <w:right w:w="28" w:type="dxa"/>
        </w:tblCellMar>
      </w:tblPr>
      <w:tblGrid>
        <w:gridCol w:w="1438"/>
        <w:gridCol w:w="1267"/>
        <w:gridCol w:w="1270"/>
        <w:gridCol w:w="109"/>
        <w:gridCol w:w="109"/>
        <w:gridCol w:w="109"/>
        <w:gridCol w:w="211"/>
        <w:gridCol w:w="826"/>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1438"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As of March 31, 2023</w:t>
            </w:r>
          </w:p>
        </w:tc>
      </w:tr>
      <w:tr>
        <w:trPr/>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Total</w:t>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475,326 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475,326 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Warrant liability — Private Placement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24,550 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9387" w:type="dxa"/>
        <w:jc w:val="left"/>
        <w:tblInd w:w="0" w:type="dxa"/>
        <w:tblCellMar>
          <w:top w:w="28" w:type="dxa"/>
          <w:left w:w="28" w:type="dxa"/>
          <w:bottom w:w="28" w:type="dxa"/>
          <w:right w:w="28" w:type="dxa"/>
        </w:tblCellMar>
      </w:tblPr>
      <w:tblGrid>
        <w:gridCol w:w="1438"/>
        <w:gridCol w:w="1267"/>
        <w:gridCol w:w="1270"/>
        <w:gridCol w:w="109"/>
        <w:gridCol w:w="109"/>
        <w:gridCol w:w="109"/>
        <w:gridCol w:w="211"/>
        <w:gridCol w:w="826"/>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54"/>
      </w:tblGrid>
      <w:tr>
        <w:trPr/>
        <w:tc>
          <w:tcPr>
            <w:tcW w:w="1438"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As of December 31, 2022</w:t>
            </w:r>
          </w:p>
        </w:tc>
      </w:tr>
      <w:tr>
        <w:trPr/>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Total</w:t>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513,009 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513,009 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Warrant liability — Private Placement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15,473 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15,473 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240" w:after="283"/>
        <w:rPr/>
      </w:pPr>
      <w:r>
        <w:rPr/>
      </w:r>
    </w:p>
    <w:p>
      <w:pPr>
        <w:pStyle w:val="TextBody"/>
        <w:spacing w:before="60" w:after="283"/>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October 2020, in connection with the consummation of Vesper Healthcare’s initial public offering, the Company issued 9,333,333 warrants to purchase shares of the Company’s Class A Common Stock at $11.50 per share (the “Private Placement Warrants”), to BLS Investor Group LLC. As of March 31, 2023 and December 31, 2022, the Company had approximately 7 million Private Placement Warrants outstanding. As of March 31, 2023, the fair value of the Private Placement Warrants was determined using their redemption value because the warrants are subject to redemption if the reference value of the Company’s Class A Common Stock, as defined, is between $10.00 and $18.00 per share. As of December 31, 2022, the fair value of the Private Placement Warrants was determined using a Monte Carlo simulation.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ind w:left="0" w:right="0" w:firstLine="18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 – Property and Equipment, net</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 of the following as of the periods indicated:</w:t>
      </w:r>
    </w:p>
    <w:tbl>
      <w:tblPr>
        <w:tblW w:w="9978" w:type="dxa"/>
        <w:jc w:val="left"/>
        <w:tblInd w:w="0" w:type="dxa"/>
        <w:tblCellMar>
          <w:top w:w="28" w:type="dxa"/>
          <w:left w:w="28" w:type="dxa"/>
          <w:bottom w:w="28" w:type="dxa"/>
          <w:right w:w="28" w:type="dxa"/>
        </w:tblCellMar>
      </w:tblPr>
      <w:tblGrid>
        <w:gridCol w:w="1487"/>
        <w:gridCol w:w="1308"/>
        <w:gridCol w:w="1314"/>
        <w:gridCol w:w="781"/>
        <w:gridCol w:w="781"/>
        <w:gridCol w:w="792"/>
        <w:gridCol w:w="109"/>
        <w:gridCol w:w="109"/>
        <w:gridCol w:w="109"/>
        <w:gridCol w:w="619"/>
        <w:gridCol w:w="376"/>
        <w:gridCol w:w="322"/>
        <w:gridCol w:w="109"/>
        <w:gridCol w:w="109"/>
        <w:gridCol w:w="109"/>
        <w:gridCol w:w="332"/>
        <w:gridCol w:w="970"/>
        <w:gridCol w:w="242"/>
      </w:tblGrid>
      <w:tr>
        <w:trPr/>
        <w:tc>
          <w:tcPr>
            <w:tcW w:w="1487"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2354" w:type="dxa"/>
            <w:gridSpan w:val="3"/>
            <w:tcBorders/>
            <w:shd w:fill="auto" w:val="clear"/>
            <w:tcMar>
              <w:top w:w="0" w:type="dxa"/>
              <w:left w:w="0" w:type="dxa"/>
              <w:bottom w:w="0" w:type="dxa"/>
              <w:right w:w="0" w:type="dxa"/>
            </w:tcMar>
            <w:vAlign w:val="center"/>
          </w:tcPr>
          <w:p>
            <w:pPr>
              <w:pStyle w:val="TableContents"/>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p>
            <w:pPr>
              <w:pStyle w:val="TableContents"/>
              <w:spacing w:lineRule="auto" w:line="240" w:before="0" w:after="0"/>
              <w:jc w:val="center"/>
              <w:rPr>
                <w:rFonts w:ascii="Times New Roman;sans-serif" w:hAnsi="Times New Roman;sans-serif"/>
                <w:b/>
                <w:color w:val="231F20"/>
                <w:sz w:val="16"/>
              </w:rPr>
            </w:pPr>
            <w:r>
              <w:rPr>
                <w:rFonts w:ascii="Times New Roman;sans-serif" w:hAnsi="Times New Roman;sans-serif"/>
                <w:b/>
                <w:color w:val="231F20"/>
                <w:sz w:val="16"/>
              </w:rP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December 31, 2022</w:t>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Furniture and fixtures</w:t>
            </w:r>
          </w:p>
        </w:tc>
        <w:tc>
          <w:tcPr>
            <w:tcW w:w="2354" w:type="dxa"/>
            <w:gridSpan w:val="3"/>
            <w:tcBorders>
              <w:top w:val="single" w:sz="8" w:space="0" w:color="231F2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tcBorders>
              <w:top w:val="single" w:sz="8" w:space="0" w:color="231F2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8" w:type="dxa"/>
            <w:gridSpan w:val="2"/>
            <w:tcBorders>
              <w:top w:val="single" w:sz="8" w:space="0" w:color="231F2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231F2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70" w:type="dxa"/>
            <w:tcBorders>
              <w:top w:val="single" w:sz="8" w:space="0" w:color="231F2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5,364 </w:t>
            </w:r>
          </w:p>
        </w:tc>
        <w:tc>
          <w:tcPr>
            <w:tcW w:w="242" w:type="dxa"/>
            <w:tcBorders>
              <w:top w:val="single" w:sz="8" w:space="0" w:color="231F2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Computers and equipment</w:t>
            </w:r>
          </w:p>
        </w:tc>
        <w:tc>
          <w:tcPr>
            <w:tcW w:w="2354" w:type="dxa"/>
            <w:gridSpan w:val="3"/>
            <w:tcBorders/>
            <w:shd w:fill="FFFFFF" w:val="clear"/>
            <w:tcMar>
              <w:top w:w="0" w:type="dxa"/>
              <w:left w:w="0" w:type="dxa"/>
              <w:bottom w:w="0" w:type="dxa"/>
              <w:right w:w="0" w:type="dxa"/>
            </w:tcMar>
            <w:vAlign w:val="center"/>
          </w:tcPr>
          <w:p>
            <w:pPr>
              <w:pStyle w:val="TableContents"/>
              <w:spacing w:lineRule="auto" w:line="249"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4,901 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Machinery and equipment</w:t>
            </w:r>
          </w:p>
        </w:tc>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7,435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6,427 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Autos and trucks</w:t>
            </w:r>
          </w:p>
        </w:tc>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161 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Tooling</w:t>
            </w:r>
          </w:p>
        </w:tc>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638 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Leasehold improvements</w:t>
            </w:r>
          </w:p>
        </w:tc>
        <w:tc>
          <w:tcPr>
            <w:tcW w:w="2354" w:type="dxa"/>
            <w:gridSpan w:val="3"/>
            <w:tcBorders/>
            <w:shd w:fill="FFFFFF" w:val="clear"/>
            <w:tcMar>
              <w:top w:w="0" w:type="dxa"/>
              <w:left w:w="0" w:type="dxa"/>
              <w:bottom w:w="0" w:type="dxa"/>
              <w:right w:w="0" w:type="dxa"/>
            </w:tcMar>
            <w:vAlign w:val="center"/>
          </w:tcPr>
          <w:p>
            <w:pPr>
              <w:pStyle w:val="TableContents"/>
              <w:spacing w:lineRule="auto" w:line="249"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Shorter of remaining lease</w:t>
              <w:br/>
              <w:t>term or estimated useful life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12,596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11,812 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property and equipment </w:t>
            </w:r>
          </w:p>
        </w:tc>
        <w:tc>
          <w:tcPr>
            <w:tcW w:w="2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31,891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29,303 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Less: accumulated depreciation and amortization</w:t>
            </w:r>
          </w:p>
        </w:tc>
        <w:tc>
          <w:tcPr>
            <w:tcW w:w="2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(14,199)</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(12,494)</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Construction in progress </w:t>
            </w:r>
          </w:p>
        </w:tc>
        <w:tc>
          <w:tcPr>
            <w:tcW w:w="2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1,375 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Property and equipment, net</w:t>
            </w:r>
          </w:p>
        </w:tc>
        <w:tc>
          <w:tcPr>
            <w:tcW w:w="2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18,360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18,184</w:t>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6 – Goodwill and Intangible Assets, net </w:t>
      </w:r>
    </w:p>
    <w:p>
      <w:pPr>
        <w:pStyle w:val="TextBody"/>
        <w:spacing w:before="0" w:after="0"/>
        <w:rPr/>
      </w:pPr>
      <w:r>
        <w:rPr/>
      </w:r>
    </w:p>
    <w:p>
      <w:pPr>
        <w:pStyle w:val="TextBody"/>
        <w:spacing w:lineRule="auto" w:line="288" w:before="0" w:after="120"/>
        <w:rPr>
          <w:rFonts w:ascii="Times New Roman;sans-serif" w:hAnsi="Times New Roman;sans-serif"/>
          <w:b w:val="false"/>
          <w:color w:val="231F20"/>
          <w:sz w:val="20"/>
        </w:rPr>
      </w:pPr>
      <w:r>
        <w:rPr>
          <w:rFonts w:ascii="Times New Roman;sans-serif" w:hAnsi="Times New Roman;sans-serif"/>
          <w:b w:val="false"/>
          <w:color w:val="231F20"/>
          <w:sz w:val="20"/>
        </w:rPr>
        <w:t>The gross carrying amount and accumulated amortization of the Company’s intangible assets as of March 31, 2023 were as follows:</w:t>
      </w:r>
    </w:p>
    <w:tbl>
      <w:tblPr>
        <w:tblW w:w="7657" w:type="dxa"/>
        <w:jc w:val="left"/>
        <w:tblInd w:w="0" w:type="dxa"/>
        <w:tblCellMar>
          <w:top w:w="28" w:type="dxa"/>
          <w:left w:w="28" w:type="dxa"/>
          <w:bottom w:w="28" w:type="dxa"/>
          <w:right w:w="28" w:type="dxa"/>
        </w:tblCellMar>
      </w:tblPr>
      <w:tblGrid>
        <w:gridCol w:w="759"/>
        <w:gridCol w:w="669"/>
        <w:gridCol w:w="671"/>
        <w:gridCol w:w="211"/>
        <w:gridCol w:w="826"/>
        <w:gridCol w:w="109"/>
        <w:gridCol w:w="109"/>
        <w:gridCol w:w="109"/>
        <w:gridCol w:w="109"/>
        <w:gridCol w:w="538"/>
        <w:gridCol w:w="395"/>
        <w:gridCol w:w="400"/>
        <w:gridCol w:w="109"/>
        <w:gridCol w:w="109"/>
        <w:gridCol w:w="109"/>
        <w:gridCol w:w="228"/>
        <w:gridCol w:w="779"/>
        <w:gridCol w:w="117"/>
        <w:gridCol w:w="109"/>
        <w:gridCol w:w="109"/>
        <w:gridCol w:w="109"/>
        <w:gridCol w:w="285"/>
        <w:gridCol w:w="285"/>
        <w:gridCol w:w="404"/>
      </w:tblGrid>
      <w:tr>
        <w:trPr/>
        <w:tc>
          <w:tcPr>
            <w:tcW w:w="75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w:t>
              <w:br/>
              <w:t xml:space="preserve">Carrying </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Accumulated </w:t>
              <w:b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Net Carrying </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Estimated </w:t>
              <w:br/>
              <w:t xml:space="preserve">Useful Life </w:t>
              <w:br/>
              <w:t>(Years)</w:t>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92,616 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(56,828)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35,788 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3-10</w:t>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(8,563)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9,862 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5-10</w:t>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(4,289)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7,106 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15</w:t>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10,263 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3-5</w:t>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Non-compete agreement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5,861 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5,391 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spacing w:lineRule="auto" w:line="252"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3</w:t>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Patents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2,425 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3-19</w:t>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143,414 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(72,579)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70,835 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240" w:after="283"/>
        <w:rPr/>
      </w:pPr>
      <w:r>
        <w:rPr/>
      </w:r>
    </w:p>
    <w:p>
      <w:pPr>
        <w:pStyle w:val="TextBody"/>
        <w:spacing w:before="60" w:after="283"/>
        <w:rPr/>
      </w:pPr>
      <w:r>
        <w:rPr/>
      </w:r>
    </w:p>
    <w:p>
      <w:pPr>
        <w:pStyle w:val="TextBody"/>
        <w:spacing w:before="0" w:after="12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The gross carrying amount and accumulated amortization of the Company’s intangible assets as of December 31, 2022 were as follows:</w:t>
      </w:r>
    </w:p>
    <w:tbl>
      <w:tblPr>
        <w:tblW w:w="7658" w:type="dxa"/>
        <w:jc w:val="left"/>
        <w:tblInd w:w="0" w:type="dxa"/>
        <w:tblCellMar>
          <w:top w:w="28" w:type="dxa"/>
          <w:left w:w="28" w:type="dxa"/>
          <w:bottom w:w="28" w:type="dxa"/>
          <w:right w:w="28" w:type="dxa"/>
        </w:tblCellMar>
      </w:tblPr>
      <w:tblGrid>
        <w:gridCol w:w="759"/>
        <w:gridCol w:w="669"/>
        <w:gridCol w:w="671"/>
        <w:gridCol w:w="211"/>
        <w:gridCol w:w="826"/>
        <w:gridCol w:w="109"/>
        <w:gridCol w:w="109"/>
        <w:gridCol w:w="109"/>
        <w:gridCol w:w="109"/>
        <w:gridCol w:w="211"/>
        <w:gridCol w:w="796"/>
        <w:gridCol w:w="109"/>
        <w:gridCol w:w="109"/>
        <w:gridCol w:w="109"/>
        <w:gridCol w:w="109"/>
        <w:gridCol w:w="228"/>
        <w:gridCol w:w="779"/>
        <w:gridCol w:w="117"/>
        <w:gridCol w:w="109"/>
        <w:gridCol w:w="109"/>
        <w:gridCol w:w="109"/>
        <w:gridCol w:w="309"/>
        <w:gridCol w:w="309"/>
        <w:gridCol w:w="311"/>
        <w:gridCol w:w="109"/>
        <w:gridCol w:w="154"/>
      </w:tblGrid>
      <w:tr>
        <w:trPr/>
        <w:tc>
          <w:tcPr>
            <w:tcW w:w="75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w:t>
              <w:br/>
              <w:t xml:space="preserve">Carrying </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Accumulated </w:t>
              <w:b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Net Carrying </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Estimated </w:t>
              <w:br/>
              <w:t xml:space="preserve">Useful Life </w:t>
              <w:br/>
              <w:t>(Years)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(54,422)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18,766 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3-8</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18,089 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(7,602)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10,487 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5-10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(4,119)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6,788 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15</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8,113 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3-5</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Non-compete agreement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52"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Patents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1,851 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3-19</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114,806 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(68,420)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46,386 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The changes in the carrying value of goodwill for the three months ended March 31, 2023 are as follows:</w:t>
      </w:r>
    </w:p>
    <w:p>
      <w:pPr>
        <w:pStyle w:val="TextBody"/>
        <w:spacing w:before="0" w:after="0"/>
        <w:rPr/>
      </w:pPr>
      <w:r>
        <w:rPr/>
      </w:r>
    </w:p>
    <w:tbl>
      <w:tblPr>
        <w:tblW w:w="4641" w:type="dxa"/>
        <w:jc w:val="left"/>
        <w:tblInd w:w="0" w:type="dxa"/>
        <w:tblCellMar>
          <w:top w:w="28" w:type="dxa"/>
          <w:left w:w="28" w:type="dxa"/>
          <w:bottom w:w="28" w:type="dxa"/>
          <w:right w:w="28" w:type="dxa"/>
        </w:tblCellMar>
      </w:tblPr>
      <w:tblGrid>
        <w:gridCol w:w="1090"/>
        <w:gridCol w:w="960"/>
        <w:gridCol w:w="964"/>
        <w:gridCol w:w="211"/>
        <w:gridCol w:w="826"/>
        <w:gridCol w:w="109"/>
        <w:gridCol w:w="109"/>
        <w:gridCol w:w="109"/>
        <w:gridCol w:w="109"/>
        <w:gridCol w:w="154"/>
      </w:tblGrid>
      <w:tr>
        <w:trPr/>
        <w:tc>
          <w:tcPr>
            <w:tcW w:w="109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124,593 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impact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125,175 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February 2023, the Company acquired all of the outstanding shares of Esthetic Medical Inc. in exchange for (i) a cash payment of $11.8 million and (ii) 109,625 shares of Class A Common Stock of the Company ($1.3 million). In addition, the seller is entitled to receive up to an additional $3.2 million in contingent consideration based upon the achievement of certain conditions defined in the purchase agreement, of which $1.9 million was considered probable as of the acquisition date. Applicable tax guidance was used to apply the simultaneous equation method to incrementally assign $4.6 million to the book value of the intangible asset in excess of the purchase price. The Company accounted for this transaction as an asset acquisition and allocated substantially all of the purchase price and the tax basis difference totaling $19.9 million to intangible assets, primarily related to developed technology.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addition, in March 2023, the Company acquired assets from Anacapa Aesthetics LLC and recognized approximately $5 million of intangible assets, primarily related to non-compete agreements.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 Long-term Debt</w:t>
      </w:r>
    </w:p>
    <w:p>
      <w:pPr>
        <w:pStyle w:val="TextBody"/>
        <w:spacing w:before="0" w:after="0"/>
        <w:ind w:left="0" w:right="0" w:firstLine="180"/>
        <w:rPr/>
      </w:pPr>
      <w:r>
        <w:rPr/>
      </w:r>
    </w:p>
    <w:p>
      <w:pPr>
        <w:pStyle w:val="TextBody"/>
        <w:spacing w:lineRule="auto" w:line="288" w:before="0" w:after="0"/>
        <w:ind w:left="0" w:right="0" w:firstLine="18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Amended and Restated Credit Facility</w:t>
      </w:r>
    </w:p>
    <w:p>
      <w:pPr>
        <w:pStyle w:val="TextBody"/>
        <w:spacing w:before="0" w:after="0"/>
        <w:ind w:left="0" w:right="0" w:firstLine="180"/>
        <w:rPr/>
      </w:pPr>
      <w:r>
        <w:rPr/>
      </w:r>
    </w:p>
    <w:p>
      <w:pPr>
        <w:pStyle w:val="TextBody"/>
        <w:spacing w:lineRule="auto" w:line="288" w:before="0" w:after="0"/>
        <w:rPr/>
      </w:pPr>
      <w:r>
        <w:rPr>
          <w:rFonts w:ascii="Times New Roman;sans-serif" w:hAnsi="Times New Roman;sans-serif"/>
          <w:b w:val="false"/>
          <w:color w:val="000000"/>
          <w:sz w:val="20"/>
          <w:highlight w:val="white"/>
        </w:rPr>
        <w:t xml:space="preserve">On November 14, 2022, the Company, as successor by assumption to Hydrafacial (formerly known as Edge Systems LLC), a California limited liability company, entered into an Amended and Restated Credit Agreement (as it may be further amended, restated, supplemented or modified from time to time, the “Credit Agreement”) with JPMorgan Chase Bank, N.A. (the “Administrative Agent”). The Credit Agreement provides for a $50 million revolving credit facility with a maturity date of November 14, 2027. In addition, the Company has the ability from time to time to increase the revolving commitments or enter into one or more tranches of term loans up to an additional aggregate amount not to exceed $50 million, subject to receipt of lender commitments and certain conditions precedent. As of </w:t>
      </w:r>
      <w:r>
        <w:rPr>
          <w:rFonts w:ascii="Times New Roman;sans-serif" w:hAnsi="Times New Roman;sans-serif"/>
          <w:b w:val="false"/>
          <w:color w:val="231F20"/>
          <w:sz w:val="20"/>
        </w:rPr>
        <w:t xml:space="preserve">March 31, 2023, </w:t>
      </w:r>
      <w:r>
        <w:rPr>
          <w:rFonts w:ascii="Times New Roman;sans-serif" w:hAnsi="Times New Roman;sans-serif"/>
          <w:b w:val="false"/>
          <w:color w:val="000000"/>
          <w:sz w:val="20"/>
          <w:highlight w:val="white"/>
        </w:rPr>
        <w:t xml:space="preserve">the Credit Agreement remains undrawn and there is no outstanding balance under the revolving credit facility. </w:t>
      </w:r>
    </w:p>
    <w:p>
      <w:pPr>
        <w:pStyle w:val="TextBody"/>
        <w:spacing w:before="0" w:after="0"/>
        <w:rPr/>
      </w:pPr>
      <w:r>
        <w:rPr/>
      </w:r>
    </w:p>
    <w:p>
      <w:pPr>
        <w:pStyle w:val="TextBody"/>
        <w:spacing w:lineRule="auto" w:line="288" w:before="0" w:after="0"/>
        <w:ind w:left="0" w:right="0" w:firstLine="180"/>
        <w:rPr/>
      </w:pPr>
      <w:r>
        <w:rPr>
          <w:rFonts w:ascii="Times New Roman;sans-serif" w:hAnsi="Times New Roman;sans-serif"/>
          <w:b w:val="false"/>
          <w:color w:val="000000"/>
          <w:sz w:val="20"/>
          <w:highlight w:val="white"/>
        </w:rPr>
        <w:t>The Credit Agreement contains various restrictive covenants subject to certain exceptions, including limitations on th</w:t>
      </w:r>
      <w:r>
        <w:rPr>
          <w:rFonts w:ascii="Times New Roman;sans-serif" w:hAnsi="Times New Roman;sans-serif"/>
          <w:b w:val="false"/>
          <w:color w:val="000000"/>
          <w:sz w:val="20"/>
        </w:rPr>
        <w:t>e Company’s a</w:t>
      </w:r>
      <w:r>
        <w:rPr>
          <w:rFonts w:ascii="Times New Roman;sans-serif" w:hAnsi="Times New Roman;sans-serif"/>
          <w:b w:val="false"/>
          <w:color w:val="000000"/>
          <w:sz w:val="20"/>
          <w:highlight w:val="white"/>
        </w:rPr>
        <w:t>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certain financial covenants, including maintaining a leverage ratio of no greater than 3.00 to 1.00 and maintaining a fixed charge coverage ratio of not less than 1.15 to 1.00. As of March 31, 2023, the Company was in compliance with all restricted and financial covenants of the Credit Agreement.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240" w:after="283"/>
        <w:rPr/>
      </w:pPr>
      <w:r>
        <w:rPr/>
      </w:r>
    </w:p>
    <w:p>
      <w:pPr>
        <w:pStyle w:val="TextBody"/>
        <w:spacing w:before="60" w:after="283"/>
        <w:rPr/>
      </w:pPr>
      <w:r>
        <w:rPr/>
      </w:r>
    </w:p>
    <w:p>
      <w:pPr>
        <w:pStyle w:val="TextBody"/>
        <w:spacing w:lineRule="auto" w:line="288" w:before="0" w:after="0"/>
        <w:ind w:left="0" w:right="0" w:firstLine="18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Convertible Senior Notes</w:t>
      </w:r>
    </w:p>
    <w:p>
      <w:pPr>
        <w:pStyle w:val="TextBody"/>
        <w:spacing w:before="0" w:after="0"/>
        <w:ind w:left="0" w:right="0" w:firstLine="18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September 14, 2021, the Company issued an aggregate of $750 million in principal amount of its 1.25% Convertible Senior Notes due 2026 (the “Notes”). The Notes were issued pursuant to, and are governed by, an indenture dated as of September 14, 2021, between the Company and U.S. Bank National Association, as trustee.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 million principal amount of Notes. The Notes issued on September 14, 2021 include the $100 million principal amount of Notes issued pursuant to the full exercise by the initial purchasers of such option.</w:t>
      </w:r>
    </w:p>
    <w:p>
      <w:pPr>
        <w:pStyle w:val="TextBody"/>
        <w:spacing w:before="0" w:after="0"/>
        <w:rPr/>
      </w:pPr>
      <w:r>
        <w:rPr/>
      </w:r>
    </w:p>
    <w:p>
      <w:pPr>
        <w:pStyle w:val="TextBody"/>
        <w:spacing w:lineRule="auto" w:line="288" w:before="0" w:after="120"/>
        <w:rPr>
          <w:rFonts w:ascii="Times New Roman;sans-serif" w:hAnsi="Times New Roman;sans-serif"/>
          <w:b w:val="false"/>
          <w:color w:val="231F20"/>
          <w:sz w:val="20"/>
          <w:highlight w:val="white"/>
        </w:rPr>
      </w:pPr>
      <w:r>
        <w:rPr>
          <w:rFonts w:ascii="Times New Roman;sans-serif" w:hAnsi="Times New Roman;sans-serif"/>
          <w:b w:val="false"/>
          <w:color w:val="231F20"/>
          <w:sz w:val="20"/>
          <w:highlight w:val="white"/>
        </w:rPr>
        <w:t>The following is a summary of the Company’s Notes as of March 31, 2023:</w:t>
      </w:r>
    </w:p>
    <w:tbl>
      <w:tblPr>
        <w:tblW w:w="6987" w:type="dxa"/>
        <w:jc w:val="left"/>
        <w:tblInd w:w="0" w:type="dxa"/>
        <w:tblCellMar>
          <w:top w:w="28" w:type="dxa"/>
          <w:left w:w="28" w:type="dxa"/>
          <w:bottom w:w="28" w:type="dxa"/>
          <w:right w:w="28" w:type="dxa"/>
        </w:tblCellMar>
      </w:tblPr>
      <w:tblGrid>
        <w:gridCol w:w="1080"/>
        <w:gridCol w:w="951"/>
        <w:gridCol w:w="954"/>
        <w:gridCol w:w="232"/>
        <w:gridCol w:w="908"/>
        <w:gridCol w:w="119"/>
        <w:gridCol w:w="109"/>
        <w:gridCol w:w="109"/>
        <w:gridCol w:w="109"/>
        <w:gridCol w:w="276"/>
        <w:gridCol w:w="1081"/>
        <w:gridCol w:w="142"/>
        <w:gridCol w:w="109"/>
        <w:gridCol w:w="109"/>
        <w:gridCol w:w="109"/>
        <w:gridCol w:w="109"/>
        <w:gridCol w:w="109"/>
        <w:gridCol w:w="109"/>
        <w:gridCol w:w="109"/>
        <w:gridCol w:w="154"/>
      </w:tblGrid>
      <w:tr>
        <w:trPr/>
        <w:tc>
          <w:tcPr>
            <w:tcW w:w="1080"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1.25% Convertible Notes due 2026</w:t>
            </w:r>
          </w:p>
        </w:tc>
        <w:tc>
          <w:tcPr>
            <w:tcW w:w="232" w:type="dxa"/>
            <w:tcBorders>
              <w:top w:val="single" w:sz="8" w:space="0" w:color="231F2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08" w:type="dxa"/>
            <w:tcBorders>
              <w:top w:val="single" w:sz="8" w:space="0" w:color="231F2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750,000 </w:t>
            </w:r>
          </w:p>
        </w:tc>
        <w:tc>
          <w:tcPr>
            <w:tcW w:w="119" w:type="dxa"/>
            <w:tcBorders>
              <w:top w:val="single" w:sz="8" w:space="0" w:color="231F2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231F2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81" w:type="dxa"/>
            <w:tcBorders>
              <w:top w:val="single" w:sz="8" w:space="0" w:color="231F2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750,000 </w:t>
            </w:r>
          </w:p>
        </w:tc>
        <w:tc>
          <w:tcPr>
            <w:tcW w:w="142" w:type="dxa"/>
            <w:tcBorders>
              <w:top w:val="single" w:sz="8" w:space="0" w:color="231F2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Unamortized Issuance Costs</w:t>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(14,799)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(15,857)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Carrying Value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735,201 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734,143 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highlight w:val="white"/>
        </w:rPr>
        <w:t>As of March 31, 2023 and December 31, 2022, the estimated fair value of the Notes was approximately $624 million and $567 million, respectively.</w:t>
      </w:r>
      <w:r>
        <w:rPr>
          <w:color w:val="231F20"/>
        </w:rPr>
        <w:t xml:space="preserve"> </w:t>
      </w:r>
      <w:r>
        <w:rPr>
          <w:rFonts w:ascii="Times New Roman;sans-serif" w:hAnsi="Times New Roman;sans-serif"/>
          <w:b w:val="false"/>
          <w:color w:val="231F20"/>
          <w:sz w:val="20"/>
        </w:rPr>
        <w:t>The estimated fair value of the Notes was determined based on the actual bid price of the Notes on March 31, 2023 and December 31, 2022 and are classified as Level 2 within the fair value hierarchy.</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Capped Call Transactions</w:t>
      </w:r>
    </w:p>
    <w:p>
      <w:pPr>
        <w:pStyle w:val="TextBody"/>
        <w:spacing w:before="0" w:after="0"/>
        <w:ind w:left="0" w:right="0" w:firstLine="18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September 9, 2021, in connection with the pricing of the offering of Notes, the Company entered into privately negotiated capped call transactions (the “Base Capped Call Transactions”).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common stock on September 9, 2021. The cost of the Capped Call Transactions was $90.2 million.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8– Income Taxes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for the three months ended March 31, 2023 was $3.7 million. Income tax expense for the three months ended March 31, 2022 was $2.6 million.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for the three months ended March 31, 2023 is 14.1% , which is lower than the federal statutory rate of 21.0%, primarily due to the exclusion from taxable income of book income from the revaluation of warrant liabilities and adjustments for various non-deductible expenses for officer’s compensation and meals and entertainment.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three months ended March 31, 2022 was 7.7% , which is lower than the federal statutory rate of 21.0%, primarily due to forecasted losses adjusted by various non-deductible expenses primarily from the revaluation of warrant liabilities, limitation of officer’s compensation, and meals and entertainment.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established a valuation allowance in the U.S. and Singapore against a portion of its remaining deferred tax assets because it is more likely than not that certain deferred tax assets will not be realized. In determining whether deferred tax assets are realizable, the Company considered numerous factors including historical profitability, the amount of future taxable income and the existence of taxable temporary differences that can be used to realize deferred tax assets.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240" w:after="283"/>
        <w:rPr/>
      </w:pPr>
      <w:r>
        <w:rPr/>
      </w:r>
    </w:p>
    <w:p>
      <w:pPr>
        <w:pStyle w:val="TextBody"/>
        <w:spacing w:before="60" w:after="283"/>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Company applies ASC 740, the accounting standard addressing the accounting for uncertainty in income taxes that prescribes rules for recognition, measurement and classification in the financial statements of tax positions taken or expected to be taken in a tax return. The Company has gross unrecognized tax benefits of $0.9 million and $0.1 million for the three months ended March 31, 2023 and March 31, 2022, respectively.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Inflation Reduction Act, signed into law on August 16, 2022, provides tax incentives for certain industries and imposes a 15% minimum tax on the book income of certain large corporations and a 1% excise tax on stock buybacks. The Company may be subject to the new excise tax on certain stock buybacks that occur after December 31, 2022. The Company does not anticipate a material impact from the Inflation Reduction Act on the Company's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9 – Share-Based Payments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various stock compensation plans, which are more fully described in Part II, Item 8 "Financial Statements and Supplementary Data—Note 13 to the Consolidated Financial Statements—Equity-Based Compensation" in the Company’s 2022 Annual Report on Form 10-K. Under the Beauty Health Company 2021 Incentive Award Plan, the Company may grant stock options, stock appreciation rights, restricted stock, restricted stock units, dividend equivalents, other stock or cash-based awards to eligible service providers. Additionally, the Company maintains the Employee Stock Purchase Plan for employees located in the United States, whereby eligible employees can have up to 10% of their earnings withheld, subject to certain maximums, to be used to purchase shares of the Company’s Class A Common Stock at certain purchase dates. </w:t>
      </w:r>
    </w:p>
    <w:p>
      <w:pPr>
        <w:pStyle w:val="TextBody"/>
        <w:spacing w:before="0" w:after="0"/>
        <w:ind w:left="0" w:right="0" w:firstLine="18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which is primarily recorded within selling and marketing and general and administrative expenses, was as follows for the periods indicated:</w:t>
      </w:r>
    </w:p>
    <w:p>
      <w:pPr>
        <w:pStyle w:val="TextBody"/>
        <w:spacing w:before="0" w:after="0"/>
        <w:rPr/>
      </w:pPr>
      <w:r>
        <w:rPr/>
      </w:r>
    </w:p>
    <w:tbl>
      <w:tblPr>
        <w:tblW w:w="7516" w:type="dxa"/>
        <w:jc w:val="left"/>
        <w:tblInd w:w="0" w:type="dxa"/>
        <w:tblCellMar>
          <w:top w:w="28" w:type="dxa"/>
          <w:left w:w="28" w:type="dxa"/>
          <w:bottom w:w="28" w:type="dxa"/>
          <w:right w:w="28" w:type="dxa"/>
        </w:tblCellMar>
      </w:tblPr>
      <w:tblGrid>
        <w:gridCol w:w="1220"/>
        <w:gridCol w:w="1076"/>
        <w:gridCol w:w="1078"/>
        <w:gridCol w:w="109"/>
        <w:gridCol w:w="109"/>
        <w:gridCol w:w="226"/>
        <w:gridCol w:w="226"/>
        <w:gridCol w:w="439"/>
        <w:gridCol w:w="1281"/>
        <w:gridCol w:w="226"/>
        <w:gridCol w:w="109"/>
        <w:gridCol w:w="109"/>
        <w:gridCol w:w="109"/>
        <w:gridCol w:w="211"/>
        <w:gridCol w:w="616"/>
        <w:gridCol w:w="109"/>
        <w:gridCol w:w="109"/>
        <w:gridCol w:w="154"/>
      </w:tblGrid>
      <w:tr>
        <w:trPr/>
        <w:tc>
          <w:tcPr>
            <w:tcW w:w="1220"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1526" w:type="dxa"/>
            <w:gridSpan w:val="8"/>
            <w:tcBorders/>
            <w:shd w:fill="auto" w:val="clea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Performance-based 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Employee stock purchase plan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3,577 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March 31, 2023, total unrecognized compensation expense related to unvested share-based compensation totaled $75.1 million and is expected to be recognized over a weighted-average period of 2.27 years.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10 – Commitments and Contingencies</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Ageless</w:t>
      </w:r>
    </w:p>
    <w:p>
      <w:pPr>
        <w:pStyle w:val="TextBody"/>
        <w:spacing w:before="0" w:after="0"/>
        <w:ind w:left="0" w:right="0" w:firstLine="180"/>
        <w:rPr/>
      </w:pPr>
      <w:r>
        <w:rPr/>
      </w:r>
    </w:p>
    <w:p>
      <w:pPr>
        <w:pStyle w:val="TextBody"/>
        <w:spacing w:lineRule="auto" w:line="288" w:before="0" w:after="0"/>
        <w:ind w:left="0" w:right="0" w:firstLine="180"/>
        <w:rPr/>
      </w:pPr>
      <w:r>
        <w:rPr>
          <w:rFonts w:ascii="Times New Roman;sans-serif" w:hAnsi="Times New Roman;sans-serif"/>
          <w:b w:val="false"/>
          <w:color w:val="000000"/>
          <w:sz w:val="20"/>
        </w:rPr>
        <w:t xml:space="preserve">On October 21, 2020, Hydrafacial filed a complaint against Ageless Serums LLC (“Ageless”) in the United States District Court for the Central District of California, Western Division, captioned </w:t>
      </w:r>
      <w:r>
        <w:rPr>
          <w:rFonts w:ascii="Times New Roman;sans-serif" w:hAnsi="Times New Roman;sans-serif"/>
          <w:b w:val="false"/>
          <w:i/>
          <w:color w:val="000000"/>
          <w:sz w:val="20"/>
        </w:rPr>
        <w:t>Edge Systems LLC v. Ageless Serums LLC</w:t>
      </w:r>
      <w:r>
        <w:rPr>
          <w:rFonts w:ascii="Times New Roman;sans-serif" w:hAnsi="Times New Roman;sans-serif"/>
          <w:b w:val="false"/>
          <w:color w:val="000000"/>
          <w:sz w:val="20"/>
        </w:rPr>
        <w:t xml:space="preserve">, Case No. 2:20-cv-09669-FMO-PVC (the “California Case”), for contributory trademark infringement, false designation of origin, induced breach of contract, tortious interference with contractual relations, and unfair competition. In the complaint, Hydrafacial alleges that Ageless is selling its serums to Hydrafacial customers and intentionally encourgaging those customers to market treatments performed by such customers as “Hydrafacial Treatments,” in violation of the customers’ license agreements with Hydrafacial and that Ageless is improperly marketing its products for use as part of the Hydrafacial treatment. Hydrafacial is seeking monetary damages and injunctive relief. Additionally, on December 22, 2020, Hydrafacial filed a complaint against Ageless in the United States District Court for the Southern District of Texas, Houston Division, captioned </w:t>
      </w:r>
      <w:r>
        <w:rPr>
          <w:rFonts w:ascii="Times New Roman;sans-serif" w:hAnsi="Times New Roman;sans-serif"/>
          <w:b w:val="false"/>
          <w:i/>
          <w:color w:val="000000"/>
          <w:sz w:val="20"/>
        </w:rPr>
        <w:t>Edge Systems LLC v. Ageless Serums LLC</w:t>
      </w:r>
      <w:r>
        <w:rPr>
          <w:rFonts w:ascii="Times New Roman;sans-serif" w:hAnsi="Times New Roman;sans-serif"/>
          <w:b w:val="false"/>
          <w:color w:val="000000"/>
          <w:sz w:val="20"/>
        </w:rPr>
        <w:t xml:space="preserve">, Case No. 4:20-cv 04335 (“the Texas Case”), alleging infringement of six of Hydrafacial’s patents. Hydrafacial is seeking monetary damages and injunctive relief. Ageless ultimately answered and asserted counterclaims in both actions. On May 5, 2022, Ageless filed a Chapter 11 bankruptcy petition in the United States Bankruptcy Court for the Southern District of Texas, Houston Division (the “Houston Bankruptcy Court”), and the California Case and Texas Case were stayed. On September 7, 2022, Hydrafacial filed a proof of claim, asserting a $12.7 million general unsecured claim for damages arising from claims alleged in the California Case and Texas Case. On January 4, 2023, Hydrafacial filed an Objection to the Confirmation of Debtor’s Subchapter V Plan of Reorganization and Brief in Support. On March 8, 2023, the parties engaged in mediation discussions in an attempt to settle the claims alleged in the California Case and Texas Case. During the mediation, the parties reached a tentative settlement agreement of all claims. However, the terms and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240" w:after="283"/>
        <w:rPr/>
      </w:pPr>
      <w:r>
        <w:rPr/>
      </w:r>
    </w:p>
    <w:p>
      <w:pPr>
        <w:pStyle w:val="TextBody"/>
        <w:spacing w:before="60" w:after="283"/>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conditions of the tentative settlement agreement are still being negotiated between the parties, and any such settlement must be approved by the Houston Bankruptcy Court. </w:t>
      </w:r>
    </w:p>
    <w:p>
      <w:pPr>
        <w:pStyle w:val="TextBody"/>
        <w:spacing w:before="0" w:after="0"/>
        <w:ind w:left="0" w:right="0" w:firstLine="180"/>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Hydrafacial plans to continue a vigorous pursuit of its claims against Ageless in the event the parties cannot consummate a definitive settlement agreement of all claims and/or the Houston Bankruptcy Court does not approve such definitive settlement agreement.</w:t>
      </w:r>
    </w:p>
    <w:p>
      <w:pPr>
        <w:pStyle w:val="TextBody"/>
        <w:spacing w:before="0" w:after="0"/>
        <w:ind w:left="0" w:right="0" w:firstLine="180"/>
        <w:rPr/>
      </w:pPr>
      <w:r>
        <w:rPr/>
      </w: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Cartessa</w:t>
      </w:r>
    </w:p>
    <w:p>
      <w:pPr>
        <w:pStyle w:val="TextBody"/>
        <w:spacing w:before="0" w:after="0"/>
        <w:ind w:left="0" w:right="0" w:firstLine="180"/>
        <w:rPr/>
      </w:pPr>
      <w:r>
        <w:rPr/>
      </w:r>
    </w:p>
    <w:p>
      <w:pPr>
        <w:pStyle w:val="TextBody"/>
        <w:spacing w:lineRule="auto" w:line="288" w:before="0" w:after="0"/>
        <w:ind w:left="0" w:right="0" w:firstLine="180"/>
        <w:rPr/>
      </w:pPr>
      <w:r>
        <w:rPr>
          <w:rFonts w:ascii="Times New Roman;sans-serif" w:hAnsi="Times New Roman;sans-serif"/>
          <w:b w:val="false"/>
          <w:color w:val="000000"/>
          <w:sz w:val="20"/>
        </w:rPr>
        <w:t>On December 14, 2020, Hydrafacial filed a complaint against Cartessa Aesthetics, LLC (“Cartessa”) in the United States District Court for the Eastern District of New York (the “New York Court”), captioned</w:t>
      </w:r>
      <w:r>
        <w:rPr>
          <w:color w:val="000000"/>
        </w:rPr>
        <w:t xml:space="preserve"> </w:t>
      </w:r>
      <w:r>
        <w:rPr>
          <w:rFonts w:ascii="Times New Roman;sans-serif" w:hAnsi="Times New Roman;sans-serif"/>
          <w:b w:val="false"/>
          <w:i/>
          <w:color w:val="000000"/>
          <w:sz w:val="20"/>
        </w:rPr>
        <w:t>Edge Systems LLC v. Cartessa Aesthetics, LLC</w:t>
      </w:r>
      <w:r>
        <w:rPr>
          <w:rFonts w:ascii="Times New Roman;sans-serif" w:hAnsi="Times New Roman;sans-serif"/>
          <w:b w:val="false"/>
          <w:color w:val="000000"/>
          <w:sz w:val="20"/>
        </w:rPr>
        <w:t xml:space="preserve">, Case No. 1:20-cv-6082, for patent infringement arising from Cartessa’s sale of a delivery system that allegedly infringes five of Hydrafacial’s patents on its device. As of the date of this report, the parties are awaiting the New York Court’s decision on motions for summary judgment, after which, the New York Court will set a trial date, if necessary. </w:t>
      </w:r>
    </w:p>
    <w:p>
      <w:pPr>
        <w:pStyle w:val="TextBody"/>
        <w:spacing w:before="0" w:after="0"/>
        <w:ind w:left="0" w:right="0" w:firstLine="180"/>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Hydrafacial is seeking money damages and injunctive relief, and plans to vigorously pursue its claims against Cartessa.</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11 – Related-Party Transactions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Registration Rights Agreement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consummation of the Business Combination, on May 4, 2021, the Company entered into that certain Amended and Restated Registration Rights Agreement (the “Registration Rights Agreement”) with BLS Investor Group LLC (the “Sponsor”) and the Hydrafacial stockholders.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Registration Rights Agreement, (i) any outstanding shares of Class A Common Stock or any other equity securities (including the Private Placement Warrants and including shares of Class A Common Stock issued or issuable upon the exercise of any other equity security) of the Company held by the Sponsor or the Hydrafacial stockholders (together, the “Restricted Stockholders”) as of the date of the Registration Rights Agreement or thereafter acquired by a Restricted Stockholder (including the shares of Class A Common Stock issued upon conversion of the 11,500,000 shares of Class B Common Sotck (the “Founder Shares”) that were owned by the Sponsor and converted into shares of Class A Common Stock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common stock by way of a stock dividend or stock split or in connection with a combination of shares, recapitalization, merger, consolidation or other reorganization or otherwise will be entitled to registration rights.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Registration Rights Agreement provides that the Company will, within 60 days after the consummation of the Business Combination, file with the Securities and Exchange Commission (the “SEC”) a shelf registration statement registering the resale of the shares of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common stock effected pursuant to the terms of the Registration Rights Agreement.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Registration Rights Agreement, the Sponsor agreed to restrictions on the transfer of securities issued to it in the Company’s initial public offering, which (i) in the case of the Founder Shares is one year after the completion of the Business Combination unless (A) the closing price of the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240" w:after="283"/>
        <w:rPr/>
      </w:pPr>
      <w:r>
        <w:rPr/>
      </w:r>
    </w:p>
    <w:p>
      <w:pPr>
        <w:pStyle w:val="TextBody"/>
        <w:spacing w:before="60" w:after="283"/>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Placement Warrants (as defined in the Registration Rights Agreement) or shares of common stock issuable upon the exercise thereof for 30 days following the closing.</w:t>
      </w:r>
    </w:p>
    <w:p>
      <w:pPr>
        <w:pStyle w:val="TextBody"/>
        <w:spacing w:before="0" w:after="0"/>
        <w:ind w:left="0" w:right="0" w:firstLine="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Investor Rights Agreement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consummation of the Business Combination, on May 4, 2021, the Company and LCP Edge Holdco, LLC (“LCP”)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pStyle w:val="TextBody"/>
        <w:spacing w:before="0" w:after="0"/>
        <w:ind w:left="0" w:right="0" w:firstLine="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Amended and Restated Management Services Agreement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Hydrafacial entered into a Management Services Agreement, dated December 1, 2016 with Linden Capital Partners III LP (“Linden Capital Partners III”) and DW Management Services, L.L.C. (“DW Management Services”) pursuant to which the parties receive quarterly monitoring fees of the greater of (a) $125,000 and (b) </w:t>
      </w:r>
      <w:r>
        <w:rPr>
          <w:rFonts w:ascii="Times New Roman;sans-serif" w:hAnsi="Times New Roman;sans-serif"/>
          <w:b w:val="false"/>
          <w:color w:val="231F20"/>
          <w:sz w:val="20"/>
        </w:rPr>
        <w:t>1.25%</w:t>
      </w:r>
      <w:r>
        <w:rPr>
          <w:color w:val="000000"/>
        </w:rPr>
        <w:t xml:space="preserve"> </w:t>
      </w:r>
      <w:r>
        <w:rPr>
          <w:rFonts w:ascii="Times New Roman;sans-serif" w:hAnsi="Times New Roman;sans-serif"/>
          <w:b w:val="false"/>
          <w:color w:val="000000"/>
          <w:sz w:val="20"/>
        </w:rPr>
        <w:t xml:space="preserve">of Last Twelve Months EBITDA multiplied by the quotient of (x) the aggregate capital invested by the investors of DW Healthcare Partners IV (B), L.P. (“DWHP Investors”) into LCP and/or its subsidiaries as of such date, divided by (y) the sum of (i) the aggregate capital invested by the DWHP Investors into LCP and/or its subsidiaries, plus (ii) the aggregate capital invested by Linden Capital Partners III into LCP and/or its subsidiaries as of the date of payment. In addition, the management services agreement provides for other fees in relation to services that may be provided in connection with equity and/or debt financing, acquisition of any other business, company, product line or enterprise, or divestiture of any division, business, and product or material assets. The fees vary between </w:t>
      </w:r>
      <w:r>
        <w:rPr>
          <w:rFonts w:ascii="Times New Roman;sans-serif" w:hAnsi="Times New Roman;sans-serif"/>
          <w:b w:val="false"/>
          <w:color w:val="231F20"/>
          <w:sz w:val="20"/>
        </w:rPr>
        <w:t>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231F20"/>
          <w:sz w:val="20"/>
        </w:rPr>
        <w:t>2%</w:t>
      </w:r>
      <w:r>
        <w:rPr>
          <w:color w:val="000000"/>
        </w:rPr>
        <w:t xml:space="preserve"> </w:t>
      </w:r>
      <w:r>
        <w:rPr>
          <w:rFonts w:ascii="Times New Roman;sans-serif" w:hAnsi="Times New Roman;sans-serif"/>
          <w:b w:val="false"/>
          <w:color w:val="000000"/>
          <w:sz w:val="20"/>
        </w:rPr>
        <w:t xml:space="preserve">of the related transaction amount. Linden Capital Partners III also received a transaction fee upon the consummation of the Business Combination.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consummation of the Business Combination, on May 4, 2021, the Company, its subsidiary, Edge Systems LLC, and Linden Capital III LLC, the general partner of Linden Manager III LP (the “Linden Manager”) entered into an Amended and Restated Management Services Agreement (the “Linden Management Services Agreement”) pursuant to which the Linden Manager may continue to provide advisory services at the request of the Company related to mergers and acquisitions for one year following the Business Combination. As consideration for such services, the Company will pay a fee, equal to 1% of enterprise value of the target acquired, to the Linden Manager upon the consummation of any such transaction (the “1% Fee”). The Company has also agreed to reimburse Linden Manager for certain expenses in connection with such advisory services. However, pursuant to the Linden Management Services Agreement, the Company’s obligation to pay the 1% Fee expired twelve months after the consummation of the Business Combination on May 4, 2022.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Hydrafacial recorded approximately $0.2 million of charges related to management services fees for the three months ended March 31, 2022. There were no management fees during the three months ended March 31, 2023. In relation to the consummation of the Business Combination, $21.0 million in transaction fees was paid to the Former Parent. These amounts are included in general and administrative expenses on the Company’s Consolidated Statements of Comprehensive Income (Loss).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Miami Beach Office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maintained an office in Miami Beach, Florida (the “Miami Beach Office”), whereby the Company, on a monthly basis, reimbursed an entity owned by the Company’s Chairman that makes such office available to the Company for its employees and affiliates. Expense for this property was not material for the three months ended March 31, 2023. No such expenses existed for the three months ended March 31,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March 2023, the Company no longer maintains the Miami Beach Office.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240" w:after="283"/>
        <w:rPr/>
      </w:pPr>
      <w:r>
        <w:rPr/>
      </w:r>
    </w:p>
    <w:p>
      <w:pPr>
        <w:pStyle w:val="TextBody"/>
        <w:spacing w:before="60" w:after="283"/>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12 - Stockholders’ Equity </w:t>
      </w:r>
    </w:p>
    <w:p>
      <w:pPr>
        <w:pStyle w:val="TextBody"/>
        <w:spacing w:before="0" w:after="0"/>
        <w:rPr/>
      </w:pPr>
      <w:r>
        <w:rPr/>
      </w:r>
    </w:p>
    <w:p>
      <w:pPr>
        <w:pStyle w:val="TextBody"/>
        <w:spacing w:lineRule="auto" w:line="288" w:before="0" w:after="0"/>
        <w:ind w:left="0" w:right="0" w:firstLine="180"/>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is authorized to issue 320,000,000 shares of Class A Common Stock, par value of $0.0001 per share. Holders of Class A Common Stock are entitled to one vote for each share. As of March 31, 2023 and December 31, 2022, there were 132,626,954 and 132,214,695, respectively, of Class A Common Stock issued and outstanding. The Company has not declared or paid any dividends with respect to its Class A Common Stock.</w:t>
      </w:r>
    </w:p>
    <w:p>
      <w:pPr>
        <w:pStyle w:val="TextBody"/>
        <w:spacing w:before="0" w:after="0"/>
        <w:ind w:left="0" w:right="0" w:firstLine="180"/>
        <w:rPr/>
      </w:pPr>
      <w:r>
        <w:rPr/>
      </w:r>
    </w:p>
    <w:p>
      <w:pPr>
        <w:pStyle w:val="TextBody"/>
        <w:spacing w:lineRule="auto" w:line="288" w:before="0" w:after="0"/>
        <w:ind w:left="0" w:right="0" w:firstLine="180"/>
        <w:rPr>
          <w:rFonts w:ascii="Times New Roman;sans-serif" w:hAnsi="Times New Roman;sans-serif"/>
          <w:b/>
          <w:i/>
          <w:color w:val="000000"/>
          <w:sz w:val="20"/>
        </w:rPr>
      </w:pPr>
      <w:r>
        <w:rPr>
          <w:rFonts w:ascii="Times New Roman;sans-serif" w:hAnsi="Times New Roman;sans-serif"/>
          <w:b/>
          <w:i/>
          <w:color w:val="000000"/>
          <w:sz w:val="20"/>
        </w:rPr>
        <w:t>Common Stock Repurchases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September 26, 2022, the Company’s board of directors approved a common stock repurchase program pursuant to which the Company may repurchase up to $200 million of its outstanding shares of Class A Common Stock. Under the share repurchase program, repurchases can be made from time to time using a variety of methods, which may include open market purchases, privately negotiated transactions, or accelerated share repurchase programs.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two accelerated share repurchase agreements on September 27, 2022 and November 9, 2022, respectively, with a financial institution to repurchase a total of $200 million of Class A Common Stock. Under the September 27, 2022 accelerated share repurchase agreement, the Company repurchased approximately 9.3 million shares for $100 million. Under the November 9, 2022 accelerated share repurchase agreement, the Company made a payment of $100 million and received initial deliveries of approximately 9.5 million shares, which represented 80% of the payment amount divided by the Company’s closing stock price on that date. During the second quarter of 2023, the Company paid approximately $2.2 million as the final settlement of the November 9, 2022 accelerated share repurchase agreement, which was based upon the average daily volume weighted average price of the Company’s Class A Common Stock during the repurchase period, less an agreed upon discount.</w:t>
      </w:r>
    </w:p>
    <w:p>
      <w:pPr>
        <w:pStyle w:val="TextBody"/>
        <w:spacing w:lineRule="auto" w:line="288" w:before="0" w:after="0"/>
        <w:ind w:left="0" w:right="0" w:firstLine="180"/>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is authorized to issue 1,000,000 shares of preferred stock with a par value of $0.0001 per share with such designations, voting and other rights and preferences as may be determined from time to time by the Company’s board of directors. As of March 31, 2023 and December 31, 2022, there were no shares of preferred stock issued or outstanding.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13 – Net (Loss) Income Attributable to Common Stockholders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calculation of both basic and diluted net income (loss) per share as follows for the periods indicated: </w:t>
      </w:r>
    </w:p>
    <w:tbl>
      <w:tblPr>
        <w:tblW w:w="9434" w:type="dxa"/>
        <w:jc w:val="left"/>
        <w:tblInd w:w="0" w:type="dxa"/>
        <w:tblCellMar>
          <w:top w:w="28" w:type="dxa"/>
          <w:left w:w="28" w:type="dxa"/>
          <w:bottom w:w="28" w:type="dxa"/>
          <w:right w:w="28" w:type="dxa"/>
        </w:tblCellMar>
      </w:tblPr>
      <w:tblGrid>
        <w:gridCol w:w="1788"/>
        <w:gridCol w:w="1570"/>
        <w:gridCol w:w="1576"/>
        <w:gridCol w:w="109"/>
        <w:gridCol w:w="109"/>
        <w:gridCol w:w="168"/>
        <w:gridCol w:w="168"/>
        <w:gridCol w:w="168"/>
        <w:gridCol w:w="168"/>
        <w:gridCol w:w="326"/>
        <w:gridCol w:w="1231"/>
        <w:gridCol w:w="168"/>
        <w:gridCol w:w="109"/>
        <w:gridCol w:w="109"/>
        <w:gridCol w:w="109"/>
        <w:gridCol w:w="264"/>
        <w:gridCol w:w="922"/>
        <w:gridCol w:w="109"/>
        <w:gridCol w:w="109"/>
        <w:gridCol w:w="154"/>
      </w:tblGrid>
      <w:tr>
        <w:trPr/>
        <w:tc>
          <w:tcPr>
            <w:tcW w:w="1788"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1885" w:type="dxa"/>
            <w:gridSpan w:val="8"/>
            <w:tcBorders/>
            <w:shd w:fill="auto" w:val="clear"/>
          </w:tcPr>
          <w:p>
            <w:pPr>
              <w:pStyle w:val="TableContents"/>
              <w:spacing w:before="0" w:after="283"/>
              <w:rPr>
                <w:sz w:val="4"/>
                <w:szCs w:val="4"/>
              </w:rPr>
            </w:pPr>
            <w:r>
              <w:rPr>
                <w:sz w:val="4"/>
                <w:szCs w:val="4"/>
              </w:rPr>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 except share and per share amounts)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64" w:before="1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 income available to common stockholders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(22,285)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Less: Income on Private Placement Warrants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231F20"/>
              </w:rPr>
            </w:pPr>
            <w:r>
              <w:rPr>
                <w:color w:val="231F2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(52,052)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 available to common stockholders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(22,285)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(20,597)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88" w:before="1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Weighted average common shares outstanding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132,420,762 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150,598,105 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Effect of dilutive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Private Placement Warrants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231F20"/>
              </w:rPr>
            </w:pPr>
            <w:r>
              <w:rPr>
                <w:color w:val="231F2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2,113,593 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Weighted average common shares outstanding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132,420,762 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152,711,698 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Basic net (loss) income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(0.17)</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Diluted net (loss) income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(0.17)</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all outstanding shares related to share-based awards and convertible notes were excluded from the calculation of diluted net loss per common share because their effect would be antidilutive. For the three months ended March 31, 2023, Private Placement Warrants were excluded from the calculation of diluted net loss per common share because their effect would be antidilutive.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240" w:after="283"/>
        <w:rPr/>
      </w:pPr>
      <w:r>
        <w:rPr/>
      </w:r>
    </w:p>
    <w:p>
      <w:pPr>
        <w:pStyle w:val="TextBody"/>
        <w:spacing w:before="60" w:after="283"/>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14 – New Accounting Pronouncements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Recent accounting pronouncements pending adoption not discussed in this Form 10-Q are either not applicable to the Company or are not expected to have a material impact on the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15 – Revision for Immaterial Misstatements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disclosed in Note 1 – Description of Business, during the three months ended March 31, 2023, subsequent to the issuance of the Company’s Annual Report on Form 10-K for the fiscal year ended December 31, 2022, the Company identified misstatements related to the elimination of intercompany profit in inventory. Although the Company concluded that these misstatements were not material, either individually or in the aggregate, the Company elected to revise its previously issued consolidated financial statements to correct for these misstatements. The revision to the accompanying unaudited consolidated balance sheets, consolidated statements of comprehensive income (loss), and consolidated statements of cash flows and related disclosures in Note 3 - Balance Sheet Components and Note 13 – Net (Loss) Income Attributable to Common Stockholders are detailed in the tables below. As of December 31, 2021, accumulated deficit was understated by $4.3 million, and as such, previously reported stockholders’ equity of $302.3 million was revised to $298.0 million. There were no other changes to the consolidated statements of stockholders’ equity that have not otherwise been reflected in the consolidated balance sheets and consolidated statements of comprehensive income (loss) as detailed in the tables below.</w:t>
      </w:r>
    </w:p>
    <w:p>
      <w:pPr>
        <w:pStyle w:val="TextBody"/>
        <w:spacing w:before="0" w:after="0"/>
        <w:rPr/>
      </w:pPr>
      <w:r>
        <w:rPr/>
      </w:r>
    </w:p>
    <w:tbl>
      <w:tblPr>
        <w:tblW w:w="9155" w:type="dxa"/>
        <w:jc w:val="left"/>
        <w:tblInd w:w="0" w:type="dxa"/>
        <w:tblCellMar>
          <w:top w:w="28" w:type="dxa"/>
          <w:left w:w="28" w:type="dxa"/>
          <w:bottom w:w="28" w:type="dxa"/>
          <w:right w:w="28" w:type="dxa"/>
        </w:tblCellMar>
      </w:tblPr>
      <w:tblGrid>
        <w:gridCol w:w="1569"/>
        <w:gridCol w:w="1379"/>
        <w:gridCol w:w="1387"/>
        <w:gridCol w:w="295"/>
        <w:gridCol w:w="1367"/>
        <w:gridCol w:w="152"/>
        <w:gridCol w:w="109"/>
        <w:gridCol w:w="109"/>
        <w:gridCol w:w="109"/>
        <w:gridCol w:w="211"/>
        <w:gridCol w:w="691"/>
        <w:gridCol w:w="109"/>
        <w:gridCol w:w="109"/>
        <w:gridCol w:w="109"/>
        <w:gridCol w:w="109"/>
        <w:gridCol w:w="211"/>
        <w:gridCol w:w="976"/>
        <w:gridCol w:w="154"/>
      </w:tblGrid>
      <w:tr>
        <w:trPr/>
        <w:tc>
          <w:tcPr>
            <w:tcW w:w="1569"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As of December 31, 2022</w:t>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8"/>
              </w:rPr>
            </w:pPr>
            <w:r>
              <w:rPr>
                <w:rFonts w:ascii="Times New Roman;sans-serif" w:hAnsi="Times New Roman;sans-serif"/>
                <w:b/>
                <w:color w:val="231F20"/>
                <w:sz w:val="18"/>
              </w:rPr>
              <w:t>Condensed Consolidated Balance Sheet (in thousands)</w:t>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As Previously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Adjustment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As Revised</w:t>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current assets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26,698 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w:t>
            </w:r>
          </w:p>
        </w:tc>
        <w:tc>
          <w:tcPr>
            <w:tcW w:w="2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116,430 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(6,774)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109,656 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current assets</w:t>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789,099 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781,958 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1,008,907 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1,001,766 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(374,328)</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(381,469)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2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171,476 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164,335 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LIABILITIES AND STOCKHOLDERS’ EQUITY</w:t>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1,008,907 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1,001,766 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077"/>
        <w:gridCol w:w="1817"/>
        <w:gridCol w:w="1822"/>
        <w:gridCol w:w="319"/>
        <w:gridCol w:w="1197"/>
        <w:gridCol w:w="165"/>
        <w:gridCol w:w="109"/>
        <w:gridCol w:w="109"/>
        <w:gridCol w:w="109"/>
        <w:gridCol w:w="211"/>
        <w:gridCol w:w="680"/>
        <w:gridCol w:w="109"/>
        <w:gridCol w:w="109"/>
        <w:gridCol w:w="109"/>
        <w:gridCol w:w="109"/>
        <w:gridCol w:w="211"/>
        <w:gridCol w:w="785"/>
        <w:gridCol w:w="158"/>
      </w:tblGrid>
      <w:tr>
        <w:trPr/>
        <w:tc>
          <w:tcPr>
            <w:tcW w:w="2077" w:type="dxa"/>
            <w:tcBorders/>
            <w:shd w:fill="auto" w:val="clear"/>
            <w:vAlign w:val="center"/>
          </w:tcPr>
          <w:p>
            <w:pPr>
              <w:pStyle w:val="TableContents"/>
              <w:spacing w:before="0" w:after="283"/>
              <w:rPr>
                <w:sz w:val="4"/>
                <w:szCs w:val="4"/>
              </w:rPr>
            </w:pPr>
            <w:r>
              <w:rPr>
                <w:sz w:val="4"/>
                <w:szCs w:val="4"/>
              </w:rPr>
            </w:r>
          </w:p>
        </w:tc>
        <w:tc>
          <w:tcPr>
            <w:tcW w:w="1817" w:type="dxa"/>
            <w:tcBorders/>
            <w:shd w:fill="auto" w:val="clear"/>
            <w:vAlign w:val="center"/>
          </w:tcPr>
          <w:p>
            <w:pPr>
              <w:pStyle w:val="TableContents"/>
              <w:spacing w:before="0" w:after="283"/>
              <w:rPr>
                <w:sz w:val="4"/>
                <w:szCs w:val="4"/>
              </w:rPr>
            </w:pPr>
            <w:r>
              <w:rPr>
                <w:sz w:val="4"/>
                <w:szCs w:val="4"/>
              </w:rPr>
            </w:r>
          </w:p>
        </w:tc>
        <w:tc>
          <w:tcPr>
            <w:tcW w:w="1822"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 2022</w:t>
            </w:r>
          </w:p>
        </w:tc>
      </w:tr>
      <w:tr>
        <w:trPr/>
        <w:tc>
          <w:tcPr>
            <w:tcW w:w="5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8"/>
              </w:rPr>
            </w:pPr>
            <w:r>
              <w:rPr>
                <w:rFonts w:ascii="Times New Roman;sans-serif" w:hAnsi="Times New Roman;sans-serif"/>
                <w:b/>
                <w:color w:val="231F20"/>
                <w:sz w:val="18"/>
              </w:rPr>
              <w:t>Condensed Consolidated Statement of Comprehensive Income (Loss) (in thousands)</w:t>
            </w:r>
          </w:p>
        </w:tc>
        <w:tc>
          <w:tcPr>
            <w:tcW w:w="1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As Previously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Adjustment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As Revised</w:t>
            </w:r>
          </w:p>
        </w:tc>
      </w:tr>
      <w:tr>
        <w:trPr/>
        <w:tc>
          <w:tcPr>
            <w:tcW w:w="57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23,478 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24,530 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51,937 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50,885 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(12,961)</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(14,013)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35,122 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34,070 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6" w:type="dxa"/>
            <w:gridSpan w:val="3"/>
            <w:tcBorders/>
            <w:shd w:fill="auto" w:val="clear"/>
            <w:vAlign w:val="center"/>
          </w:tcPr>
          <w:p>
            <w:pPr>
              <w:pStyle w:val="TableContents"/>
              <w:spacing w:before="0" w:after="283"/>
              <w:rPr>
                <w:sz w:val="4"/>
                <w:szCs w:val="4"/>
              </w:rPr>
            </w:pPr>
            <w:r>
              <w:rPr>
                <w:sz w:val="4"/>
                <w:szCs w:val="4"/>
              </w:rPr>
            </w:r>
          </w:p>
        </w:tc>
        <w:tc>
          <w:tcPr>
            <w:tcW w:w="1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r>
      <w:tr>
        <w:trPr/>
        <w:tc>
          <w:tcPr>
            <w:tcW w:w="57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32,507 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31,455 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6" w:type="dxa"/>
            <w:gridSpan w:val="3"/>
            <w:tcBorders/>
            <w:shd w:fill="auto" w:val="clear"/>
            <w:vAlign w:val="center"/>
          </w:tcPr>
          <w:p>
            <w:pPr>
              <w:pStyle w:val="TableContents"/>
              <w:spacing w:before="0" w:after="283"/>
              <w:rPr>
                <w:sz w:val="4"/>
                <w:szCs w:val="4"/>
              </w:rPr>
            </w:pPr>
            <w:r>
              <w:rPr>
                <w:sz w:val="4"/>
                <w:szCs w:val="4"/>
              </w:rPr>
            </w:r>
          </w:p>
        </w:tc>
        <w:tc>
          <w:tcPr>
            <w:tcW w:w="1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r>
      <w:tr>
        <w:trPr/>
        <w:tc>
          <w:tcPr>
            <w:tcW w:w="57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32,362 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31,310 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0.22 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0.21 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6" w:type="dxa"/>
            <w:gridSpan w:val="3"/>
            <w:tcBorders/>
            <w:shd w:fill="auto" w:val="clear"/>
            <w:vAlign w:val="center"/>
          </w:tcPr>
          <w:p>
            <w:pPr>
              <w:pStyle w:val="TableContents"/>
              <w:spacing w:before="0" w:after="283"/>
              <w:rPr>
                <w:sz w:val="4"/>
                <w:szCs w:val="4"/>
              </w:rPr>
            </w:pPr>
            <w:r>
              <w:rPr>
                <w:sz w:val="4"/>
                <w:szCs w:val="4"/>
              </w:rPr>
            </w:r>
          </w:p>
        </w:tc>
        <w:tc>
          <w:tcPr>
            <w:tcW w:w="1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bl>
      <w:tblPr>
        <w:tblW w:w="9830" w:type="dxa"/>
        <w:jc w:val="left"/>
        <w:tblInd w:w="0" w:type="dxa"/>
        <w:tblCellMar>
          <w:top w:w="28" w:type="dxa"/>
          <w:left w:w="28" w:type="dxa"/>
          <w:bottom w:w="28" w:type="dxa"/>
          <w:right w:w="28" w:type="dxa"/>
        </w:tblCellMar>
      </w:tblPr>
      <w:tblGrid>
        <w:gridCol w:w="1878"/>
        <w:gridCol w:w="1651"/>
        <w:gridCol w:w="1660"/>
        <w:gridCol w:w="343"/>
        <w:gridCol w:w="1295"/>
        <w:gridCol w:w="177"/>
        <w:gridCol w:w="109"/>
        <w:gridCol w:w="109"/>
        <w:gridCol w:w="109"/>
        <w:gridCol w:w="211"/>
        <w:gridCol w:w="691"/>
        <w:gridCol w:w="109"/>
        <w:gridCol w:w="109"/>
        <w:gridCol w:w="109"/>
        <w:gridCol w:w="109"/>
        <w:gridCol w:w="211"/>
        <w:gridCol w:w="796"/>
        <w:gridCol w:w="154"/>
      </w:tblGrid>
      <w:tr>
        <w:trPr/>
        <w:tc>
          <w:tcPr>
            <w:tcW w:w="1878"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 2022</w:t>
            </w:r>
          </w:p>
        </w:tc>
      </w:tr>
      <w:tr>
        <w:trPr/>
        <w:tc>
          <w:tcPr>
            <w:tcW w:w="5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8"/>
              </w:rPr>
            </w:pPr>
            <w:r>
              <w:rPr>
                <w:rFonts w:ascii="Times New Roman;sans-serif" w:hAnsi="Times New Roman;sans-serif"/>
                <w:b/>
                <w:color w:val="231F20"/>
                <w:sz w:val="18"/>
              </w:rPr>
              <w:t>Condensed Consolidated Statement of Cash Flows (in thousands)</w:t>
            </w:r>
          </w:p>
        </w:tc>
        <w:tc>
          <w:tcPr>
            <w:tcW w:w="18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As Previously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Adjustment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As Revised</w:t>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32,507 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8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(12,543)</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(11,491)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240" w:after="283"/>
        <w:rPr/>
      </w:pPr>
      <w:r>
        <w:rPr/>
      </w:r>
    </w:p>
    <w:p>
      <w:pPr>
        <w:pStyle w:val="TextBody"/>
        <w:spacing w:before="60" w:after="283"/>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contains “forward looking statements” within the meaning of the “safe harbor” provisions of the United States Private Securities Litigation Reform Act of 1995. When used in this Quarterly Report, the words “estimates,” “projected,” “expects,” “anticipates,” “forecasts,” “plans,” “intends,” “believes,” “seeks,” “may,” “will,” “should,” “future,” “propose” and variations of these words or similar expressions (or the negative versions of such words or expressions) are intended to identify forward-looking statements.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These forward-looking statements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Factors that could cause or contribute to these differences include, but are not limited to, those identified below and those discussed in the section titled Risk Factors of this filing and our Annual Report on Form 10-K for the fiscal year ended December 31, 2022 filed with the SEC on March 1, 2023.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Important factors, among others, that may affect actual results or outcomes include the inability to recognize the anticipated benefits of the Business Combination; costs related to the Business Combination; the Company’s availability of cash for debt service and exposure to risk of default under debt obligations; the Company’s ability to manage growth; the Company’s ability to execute its business plan; potential litigation involving the Company; changes in applicable laws or regulations; the possibility that the Company may be adversely affected by other economic, business, and/or competitive factors; and the impact of the continuing COVID-19 pandemic or any future pandemics, epidemics or infectious disease outbreaks on our business. The Company does not undertake any obligation to update or revise any forward-looking statements, whether as a result of new information, future events or otherwise, except as required by law.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also with our audited consolidated financial statements and notes thereto included in our Annual Report on Form 10-K for the fiscal year ended December 31, 2022 filed with the SEC on March 1, 2023.</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references to “Hydrafacial”, “we”, “us”, and “our” in this section are intended to mean the business and operations of The Beauty Health Company and its consolidated subsidiaries.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Beauty Health Company is a global category-creating company delivering skin health experiences that help consumers reinvent their relationship with their skin, bodies and self-confidence. The Company and its subsidiaries design, develop, manufacture, market, and sell a/esthetic technologies and products. The Company’s brands are pioneers: Hydrafacial in hydradermabrasion; SkinStylus in microneedling; and Keravive in scalp health. Together, with its powerful community of estheticians, partners and consumers, the Company is personalizing skin health for all ages, genders, skin tones, and skin types.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240" w:after="283"/>
        <w:rPr/>
      </w:pPr>
      <w:r>
        <w:rPr/>
      </w:r>
    </w:p>
    <w:p>
      <w:pPr>
        <w:pStyle w:val="TextBody"/>
        <w:spacing w:before="60" w:after="283"/>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We remain attentive to economic and geopolitical conditions that may materially impact our business. We continue to explore and implement risk mitigation strategies in the face of these unfolding conditions and remain agile in adopting to changing circumstances. Such conditions have or may have global implications which may impact the future performance of our business in unpredictable ways.</w:t>
      </w:r>
    </w:p>
    <w:p>
      <w:pPr>
        <w:pStyle w:val="TextBody"/>
        <w:spacing w:before="0" w:after="0"/>
        <w:ind w:left="0" w:right="0" w:firstLine="180"/>
        <w:rPr/>
      </w:pPr>
      <w:r>
        <w:rPr/>
      </w:r>
    </w:p>
    <w:p>
      <w:pPr>
        <w:pStyle w:val="TextBody"/>
        <w:spacing w:lineRule="auto" w:line="288" w:before="0" w:after="0"/>
        <w:ind w:left="0" w:right="0" w:firstLine="180"/>
        <w:rPr>
          <w:rFonts w:ascii="Times New Roman;sans-serif" w:hAnsi="Times New Roman;sans-serif"/>
          <w:b/>
          <w:i/>
          <w:color w:val="000000"/>
          <w:sz w:val="20"/>
        </w:rPr>
      </w:pPr>
      <w:r>
        <w:rPr>
          <w:rFonts w:ascii="Times New Roman;sans-serif" w:hAnsi="Times New Roman;sans-serif"/>
          <w:b/>
          <w:i/>
          <w:color w:val="000000"/>
          <w:sz w:val="20"/>
        </w:rPr>
        <w:t>Impact of the COVID-19 Pandemic</w:t>
      </w:r>
    </w:p>
    <w:p>
      <w:pPr>
        <w:pStyle w:val="TextBody"/>
        <w:spacing w:before="0" w:after="0"/>
        <w:ind w:left="0" w:right="0" w:firstLine="18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 xml:space="preserve">The COVID-19 pandemic continues to disrupt business for us, our providers, and other companies with which we do business. Although many markets have recently shown encouraging signs of emergence from the pandemic, other markets and regions where we conduct business, particularly in China, have enacted sporadic and/or zero-tolerance COVID-19 policies leading to prolonged store closures and travel restrictions within those markets and regions. Although we had strong performance during windows of re-opening, these COVID-related restrictions continued to negatively impact consumer traffic for our providers. </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 xml:space="preserve">We anticipate that COVID-19 will continue to cause intermittent store closures and supply chain challenges. We are mindful that these trends may continue to impact the pace of recovery, and that such recovery may be non-linear until COVID-19 containment measures are discontinued across all regions and normal consumer traffic resumes on a consistent basis. We currently expect that in the short term, any easing of containment measures and recovery of the impacted sectors of the economy will be gradual and uneven, as regions face resurgence of COVID-19 and related uncertainties. As a result, we anticipate that consumer spending habits and consumer confidence will continue to shift, causing future sales and volume trends to be non-linear. </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Furthermore, the extent to which the COVID-19 pandemic impacts our business going forward will depend on numerous factors we cannot reliably predict, including but not limited to the duration and scope of the pandemic; businesses and individuals’ actions in response to the pandemic; government actions to certain pandemic impacts; and the impact on economic activity including the possibility of further financial market instability.</w:t>
      </w:r>
    </w:p>
    <w:p>
      <w:pPr>
        <w:pStyle w:val="TextBody"/>
        <w:spacing w:before="0" w:after="0"/>
        <w:rPr/>
      </w:pPr>
      <w:r>
        <w:rPr/>
      </w:r>
    </w:p>
    <w:p>
      <w:pPr>
        <w:pStyle w:val="TextBody"/>
        <w:spacing w:lineRule="auto" w:line="288" w:before="0" w:after="0"/>
        <w:ind w:left="0" w:right="0" w:firstLine="180"/>
        <w:rPr>
          <w:rFonts w:ascii="Times New Roman;sans-serif" w:hAnsi="Times New Roman;sans-serif"/>
          <w:b/>
          <w:i/>
          <w:color w:val="231F20"/>
          <w:sz w:val="20"/>
        </w:rPr>
      </w:pPr>
      <w:r>
        <w:rPr>
          <w:rFonts w:ascii="Times New Roman;sans-serif" w:hAnsi="Times New Roman;sans-serif"/>
          <w:b/>
          <w:i/>
          <w:color w:val="231F20"/>
          <w:sz w:val="20"/>
        </w:rPr>
        <w:t>Inflation</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 xml:space="preserve">During the three months ended March 31, 2023, we experienced the impact of inflation primarily on an increase in raw materials, shipping costs, and labor costs. We currently anticipate the impact of inflation to continue into the second quarter of 2023. To offset these trends, we plan to implement a range of mitigation strategies which could include price increases on our Delivery Systems and Consumables, and/or accepting revenue in either U.S. dollar and/or local currency, as applicable. However, such measures may not fully offset the impact to our operating performance. After the resumption of more typical business conditions, the economics of developing, producing, launching, supporting and discontinuing products will continue to impact the timing of our sales and operating performance each period.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231F20"/>
          <w:sz w:val="20"/>
        </w:rPr>
      </w:pPr>
      <w:r>
        <w:rPr>
          <w:rFonts w:ascii="Times New Roman;sans-serif" w:hAnsi="Times New Roman;sans-serif"/>
          <w:b/>
          <w:color w:val="231F20"/>
          <w:sz w:val="20"/>
        </w:rPr>
        <w:t>Comparison of Three Months Ended March 31, 2023 to Three Months Ended March 31, 2022</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three months ended March 31, 2023 and March 31, 2022 have been derived from the condensed consolidated financial statements included elsewhere in this Form 10-Q. Amounts and percentages may not foot due to rounding.</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The following discussion has been amended to reflect the Company’s revision of previously issued consolidated financial statements to correct for prior period misstatements, which the Company concluded did not, either individually or in the aggregate, result in a material misstatement of its previously issued consolidated financial statements. Further information regarding the revision is included in Part 1, Item 1 Note 1 to the Consolidated Financial Statements of this Quarterly Report on Form 10-Q.</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240" w:after="283"/>
        <w:rPr/>
      </w:pPr>
      <w:r>
        <w:rPr/>
      </w:r>
    </w:p>
    <w:p>
      <w:pPr>
        <w:pStyle w:val="TextBody"/>
        <w:spacing w:before="60" w:after="283"/>
        <w:rPr/>
      </w:pPr>
      <w:r>
        <w:rPr/>
      </w:r>
    </w:p>
    <w:tbl>
      <w:tblPr>
        <w:tblW w:w="9171" w:type="dxa"/>
        <w:jc w:val="left"/>
        <w:tblInd w:w="0" w:type="dxa"/>
        <w:tblCellMar>
          <w:top w:w="28" w:type="dxa"/>
          <w:left w:w="28" w:type="dxa"/>
          <w:bottom w:w="28" w:type="dxa"/>
          <w:right w:w="28" w:type="dxa"/>
        </w:tblCellMar>
      </w:tblPr>
      <w:tblGrid>
        <w:gridCol w:w="1395"/>
        <w:gridCol w:w="1226"/>
        <w:gridCol w:w="1233"/>
        <w:gridCol w:w="211"/>
        <w:gridCol w:w="586"/>
        <w:gridCol w:w="109"/>
        <w:gridCol w:w="109"/>
        <w:gridCol w:w="109"/>
        <w:gridCol w:w="109"/>
        <w:gridCol w:w="308"/>
        <w:gridCol w:w="308"/>
        <w:gridCol w:w="648"/>
        <w:gridCol w:w="109"/>
        <w:gridCol w:w="109"/>
        <w:gridCol w:w="109"/>
        <w:gridCol w:w="211"/>
        <w:gridCol w:w="511"/>
        <w:gridCol w:w="109"/>
        <w:gridCol w:w="109"/>
        <w:gridCol w:w="109"/>
        <w:gridCol w:w="109"/>
        <w:gridCol w:w="308"/>
        <w:gridCol w:w="308"/>
        <w:gridCol w:w="719"/>
      </w:tblGrid>
      <w:tr>
        <w:trPr/>
        <w:tc>
          <w:tcPr>
            <w:tcW w:w="1395"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r>
      <w:tr>
        <w:trPr/>
        <w:tc>
          <w:tcPr>
            <w:tcW w:w="3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of Net Sales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of Net Sales</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Cost of sales </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37.3 </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32.5 </w:t>
            </w:r>
          </w:p>
        </w:tc>
        <w:tc>
          <w:tcPr>
            <w:tcW w:w="7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Gross profit </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62.7 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67.5 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Operating expenses</w:t>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Selling and marketing</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44.9 </w:t>
            </w:r>
          </w:p>
        </w:tc>
        <w:tc>
          <w:tcPr>
            <w:tcW w:w="6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48.3 </w:t>
            </w:r>
          </w:p>
        </w:tc>
        <w:tc>
          <w:tcPr>
            <w:tcW w:w="7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Research and development</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2.7 </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3.0 </w:t>
            </w:r>
          </w:p>
        </w:tc>
        <w:tc>
          <w:tcPr>
            <w:tcW w:w="7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General and administrative</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35.2 </w:t>
            </w:r>
          </w:p>
        </w:tc>
        <w:tc>
          <w:tcPr>
            <w:tcW w:w="6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34.8 </w:t>
            </w:r>
          </w:p>
        </w:tc>
        <w:tc>
          <w:tcPr>
            <w:tcW w:w="7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operating expenses </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82.8 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86.1 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Loss from operations </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(20.1)</w:t>
            </w:r>
          </w:p>
        </w:tc>
        <w:tc>
          <w:tcPr>
            <w:tcW w:w="6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(18.6)</w:t>
            </w:r>
          </w:p>
        </w:tc>
        <w:tc>
          <w:tcPr>
            <w:tcW w:w="7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expense, net</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4.0 </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4.5 </w:t>
            </w:r>
          </w:p>
        </w:tc>
        <w:tc>
          <w:tcPr>
            <w:tcW w:w="7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income</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(5.0)</w:t>
            </w:r>
          </w:p>
        </w:tc>
        <w:tc>
          <w:tcPr>
            <w:tcW w:w="6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231F20"/>
              </w:rPr>
            </w:pPr>
            <w:r>
              <w:rPr>
                <w:color w:val="231F20"/>
              </w:rPr>
              <w:t>— </w:t>
            </w:r>
          </w:p>
        </w:tc>
        <w:tc>
          <w:tcPr>
            <w:tcW w:w="7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(income) expense, net</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(0.5)</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1.2 </w:t>
            </w:r>
          </w:p>
        </w:tc>
        <w:tc>
          <w:tcPr>
            <w:tcW w:w="7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Change in fair value of warrant liabilities</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10.5 </w:t>
            </w:r>
          </w:p>
        </w:tc>
        <w:tc>
          <w:tcPr>
            <w:tcW w:w="6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(69.0)</w:t>
            </w:r>
          </w:p>
        </w:tc>
        <w:tc>
          <w:tcPr>
            <w:tcW w:w="7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Foreign currency transaction loss (gain), net</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1.0 </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(0.5)</w:t>
            </w:r>
          </w:p>
        </w:tc>
        <w:tc>
          <w:tcPr>
            <w:tcW w:w="7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(Loss) income before provision for income tax</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(30.1)</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45.2 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Income tax (benefit) expense </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(4.2)</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3.5 </w:t>
            </w:r>
          </w:p>
        </w:tc>
        <w:tc>
          <w:tcPr>
            <w:tcW w:w="7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Net (loss)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(25.8)</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41.7 </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bl>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Net Sales</w:t>
      </w:r>
    </w:p>
    <w:tbl>
      <w:tblPr>
        <w:tblW w:w="6084" w:type="dxa"/>
        <w:jc w:val="left"/>
        <w:tblInd w:w="0" w:type="dxa"/>
        <w:tblCellMar>
          <w:top w:w="28" w:type="dxa"/>
          <w:left w:w="28" w:type="dxa"/>
          <w:bottom w:w="28" w:type="dxa"/>
          <w:right w:w="28" w:type="dxa"/>
        </w:tblCellMar>
      </w:tblPr>
      <w:tblGrid>
        <w:gridCol w:w="554"/>
        <w:gridCol w:w="487"/>
        <w:gridCol w:w="488"/>
        <w:gridCol w:w="254"/>
        <w:gridCol w:w="616"/>
        <w:gridCol w:w="131"/>
        <w:gridCol w:w="131"/>
        <w:gridCol w:w="131"/>
        <w:gridCol w:w="131"/>
        <w:gridCol w:w="254"/>
        <w:gridCol w:w="616"/>
        <w:gridCol w:w="131"/>
        <w:gridCol w:w="109"/>
        <w:gridCol w:w="109"/>
        <w:gridCol w:w="109"/>
        <w:gridCol w:w="211"/>
        <w:gridCol w:w="511"/>
        <w:gridCol w:w="109"/>
        <w:gridCol w:w="109"/>
        <w:gridCol w:w="109"/>
        <w:gridCol w:w="109"/>
        <w:gridCol w:w="196"/>
        <w:gridCol w:w="196"/>
        <w:gridCol w:w="283"/>
      </w:tblGrid>
      <w:tr>
        <w:trPr/>
        <w:tc>
          <w:tcPr>
            <w:tcW w:w="55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1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1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sales</w:t>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spacing w:lineRule="auto" w:line="264" w:before="1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Delivery Systems</w:t>
            </w:r>
          </w:p>
        </w:tc>
        <w:tc>
          <w:tcPr>
            <w:tcW w:w="25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41.6 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8.9%</w:t>
            </w:r>
          </w:p>
        </w:tc>
      </w:tr>
      <w:tr>
        <w:trPr/>
        <w:tc>
          <w:tcPr>
            <w:tcW w:w="1529" w:type="dxa"/>
            <w:gridSpan w:val="3"/>
            <w:tcBorders/>
            <w:shd w:fill="CCEEFF"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Consumables</w:t>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40.9 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33.8 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21.2%</w:t>
            </w:r>
          </w:p>
        </w:tc>
      </w:tr>
      <w:tr>
        <w:trPr/>
        <w:tc>
          <w:tcPr>
            <w:tcW w:w="1529"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net sales</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86.3 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75.4 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14.4%</w:t>
            </w:r>
          </w:p>
        </w:tc>
      </w:tr>
      <w:tr>
        <w:trPr/>
        <w:tc>
          <w:tcPr>
            <w:tcW w:w="1529"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5" w:type="dxa"/>
            <w:gridSpan w:val="3"/>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5" w:type="dxa"/>
            <w:gridSpan w:val="3"/>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5" w:type="dxa"/>
            <w:gridSpan w:val="3"/>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5" w:type="dxa"/>
            <w:gridSpan w:val="3"/>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5" w:type="dxa"/>
            <w:gridSpan w:val="3"/>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5" w:type="dxa"/>
            <w:gridSpan w:val="3"/>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5" w:type="dxa"/>
            <w:gridSpan w:val="3"/>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Total net sales for the three months ended March 31, 2023 increased $10.9 million, or 14.4%, compared to the three months ended March 31, 2022. Total net sales for the three months ended March 31, 2023 increased primarily due to strength in Consumable sales in the United States. The increase in Consumables net sales was primarily attributable to increased placements of Delivery Systems and the adjoining consumption of Consumables during the three months ended March 31, 2023.  The increase in Delivery Systems net sales was as compared to the prior year launch of Syndeo in the United States.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Cost of Sales, Gross Profit, and Gross Margin</w:t>
      </w:r>
    </w:p>
    <w:tbl>
      <w:tblPr>
        <w:tblW w:w="5638" w:type="dxa"/>
        <w:jc w:val="left"/>
        <w:tblInd w:w="0" w:type="dxa"/>
        <w:tblCellMar>
          <w:top w:w="28" w:type="dxa"/>
          <w:left w:w="28" w:type="dxa"/>
          <w:bottom w:w="28" w:type="dxa"/>
          <w:right w:w="28" w:type="dxa"/>
        </w:tblCellMar>
      </w:tblPr>
      <w:tblGrid>
        <w:gridCol w:w="429"/>
        <w:gridCol w:w="377"/>
        <w:gridCol w:w="378"/>
        <w:gridCol w:w="219"/>
        <w:gridCol w:w="530"/>
        <w:gridCol w:w="281"/>
        <w:gridCol w:w="113"/>
        <w:gridCol w:w="113"/>
        <w:gridCol w:w="113"/>
        <w:gridCol w:w="219"/>
        <w:gridCol w:w="530"/>
        <w:gridCol w:w="281"/>
        <w:gridCol w:w="109"/>
        <w:gridCol w:w="109"/>
        <w:gridCol w:w="109"/>
        <w:gridCol w:w="211"/>
        <w:gridCol w:w="406"/>
        <w:gridCol w:w="109"/>
        <w:gridCol w:w="109"/>
        <w:gridCol w:w="109"/>
        <w:gridCol w:w="109"/>
        <w:gridCol w:w="197"/>
        <w:gridCol w:w="197"/>
        <w:gridCol w:w="281"/>
      </w:tblGrid>
      <w:tr>
        <w:trPr/>
        <w:tc>
          <w:tcPr>
            <w:tcW w:w="42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0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Cost of sales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31.2%</w:t>
            </w:r>
          </w:p>
        </w:tc>
      </w:tr>
      <w:tr>
        <w:trPr/>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Gross profit</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54.1 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50.9 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6.3%</w:t>
            </w:r>
          </w:p>
        </w:tc>
      </w:tr>
      <w:tr>
        <w:trPr/>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Gross margin</w:t>
            </w:r>
          </w:p>
        </w:tc>
        <w:tc>
          <w:tcPr>
            <w:tcW w:w="7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62.7 </w:t>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67.5 </w:t>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4"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5" w:type="dxa"/>
            <w:gridSpan w:val="3"/>
            <w:tcBorders/>
            <w:shd w:fill="auto" w:val="clear"/>
            <w:vAlign w:val="center"/>
          </w:tcPr>
          <w:p>
            <w:pPr>
              <w:pStyle w:val="TableContents"/>
              <w:spacing w:before="0" w:after="283"/>
              <w:rPr>
                <w:sz w:val="4"/>
                <w:szCs w:val="4"/>
              </w:rPr>
            </w:pPr>
            <w:r>
              <w:rPr>
                <w:sz w:val="4"/>
                <w:szCs w:val="4"/>
              </w:rPr>
            </w:r>
          </w:p>
        </w:tc>
      </w:tr>
      <w:tr>
        <w:trPr/>
        <w:tc>
          <w:tcPr>
            <w:tcW w:w="1184"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5" w:type="dxa"/>
            <w:gridSpan w:val="3"/>
            <w:tcBorders/>
            <w:shd w:fill="auto" w:val="clear"/>
            <w:vAlign w:val="center"/>
          </w:tcPr>
          <w:p>
            <w:pPr>
              <w:pStyle w:val="TableContents"/>
              <w:spacing w:before="0" w:after="283"/>
              <w:rPr>
                <w:sz w:val="4"/>
                <w:szCs w:val="4"/>
              </w:rPr>
            </w:pPr>
            <w:r>
              <w:rPr>
                <w:sz w:val="4"/>
                <w:szCs w:val="4"/>
              </w:rPr>
            </w:r>
          </w:p>
        </w:tc>
      </w:tr>
      <w:tr>
        <w:trPr/>
        <w:tc>
          <w:tcPr>
            <w:tcW w:w="1184"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val="false"/>
          <w:color w:val="231F20"/>
          <w:sz w:val="20"/>
        </w:rPr>
      </w:pPr>
      <w:r>
        <w:rPr>
          <w:rFonts w:ascii="Times New Roman;sans-serif" w:hAnsi="Times New Roman;sans-serif"/>
          <w:b w:val="false"/>
          <w:color w:val="231F20"/>
          <w:sz w:val="20"/>
        </w:rPr>
        <w:t>Cost of sales increased $7.7 million driven by and in conjunction with increased sales volume in Delivery Systems and Consumables. Gross margin declined from 67.5% during the three months ended March 31, 2022 to 62.7% during the three months ended March 31, 2023, primarily due to charges for discontinued and obsolete product.</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240" w:after="283"/>
        <w:rPr/>
      </w:pPr>
      <w:r>
        <w:rPr/>
      </w:r>
    </w:p>
    <w:p>
      <w:pPr>
        <w:pStyle w:val="TextBody"/>
        <w:spacing w:before="60" w:after="283"/>
        <w:rPr/>
      </w:pPr>
      <w:r>
        <w:rPr/>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 xml:space="preserve">Operating Expenses </w:t>
      </w:r>
    </w:p>
    <w:p>
      <w:pPr>
        <w:pStyle w:val="TextBody"/>
        <w:spacing w:before="0" w:after="0"/>
        <w:rPr/>
      </w:pPr>
      <w:r>
        <w:rPr/>
      </w:r>
    </w:p>
    <w:p>
      <w:pPr>
        <w:pStyle w:val="TextBody"/>
        <w:spacing w:lineRule="auto" w:line="288" w:before="0" w:after="120"/>
        <w:ind w:left="0" w:right="0" w:firstLine="540"/>
        <w:rPr>
          <w:rFonts w:ascii="Times New Roman;sans-serif" w:hAnsi="Times New Roman;sans-serif"/>
          <w:b/>
          <w:i/>
          <w:color w:val="231F20"/>
          <w:sz w:val="20"/>
        </w:rPr>
      </w:pPr>
      <w:r>
        <w:rPr>
          <w:rFonts w:ascii="Times New Roman;sans-serif" w:hAnsi="Times New Roman;sans-serif"/>
          <w:b/>
          <w:i/>
          <w:color w:val="231F20"/>
          <w:sz w:val="20"/>
        </w:rPr>
        <w:t>Selling and Marketing</w:t>
      </w:r>
    </w:p>
    <w:tbl>
      <w:tblPr>
        <w:tblW w:w="6885" w:type="dxa"/>
        <w:jc w:val="left"/>
        <w:tblInd w:w="0" w:type="dxa"/>
        <w:tblCellMar>
          <w:top w:w="28" w:type="dxa"/>
          <w:left w:w="28" w:type="dxa"/>
          <w:bottom w:w="28" w:type="dxa"/>
          <w:right w:w="28" w:type="dxa"/>
        </w:tblCellMar>
      </w:tblPr>
      <w:tblGrid>
        <w:gridCol w:w="864"/>
        <w:gridCol w:w="759"/>
        <w:gridCol w:w="761"/>
        <w:gridCol w:w="219"/>
        <w:gridCol w:w="530"/>
        <w:gridCol w:w="281"/>
        <w:gridCol w:w="113"/>
        <w:gridCol w:w="113"/>
        <w:gridCol w:w="113"/>
        <w:gridCol w:w="219"/>
        <w:gridCol w:w="530"/>
        <w:gridCol w:w="281"/>
        <w:gridCol w:w="109"/>
        <w:gridCol w:w="109"/>
        <w:gridCol w:w="109"/>
        <w:gridCol w:w="211"/>
        <w:gridCol w:w="406"/>
        <w:gridCol w:w="109"/>
        <w:gridCol w:w="109"/>
        <w:gridCol w:w="109"/>
        <w:gridCol w:w="109"/>
        <w:gridCol w:w="203"/>
        <w:gridCol w:w="203"/>
        <w:gridCol w:w="316"/>
      </w:tblGrid>
      <w:tr>
        <w:trPr/>
        <w:tc>
          <w:tcPr>
            <w:tcW w:w="864"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0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Selling and marketing</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As a percentage of net sales</w:t>
            </w:r>
          </w:p>
        </w:tc>
        <w:tc>
          <w:tcPr>
            <w:tcW w:w="7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44.9 </w:t>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48.3 </w:t>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Selling and marketing expense for the three months ended March 31, 2023 increased $2.3 million, or 6.3%, compared to the three months ended March 31, 2022. The increase was primarily driven by increases in personnel related costs, including sales commission expense.</w:t>
      </w:r>
    </w:p>
    <w:p>
      <w:pPr>
        <w:pStyle w:val="TextBody"/>
        <w:spacing w:before="0" w:after="0"/>
        <w:rPr/>
      </w:pPr>
      <w:r>
        <w:rPr/>
      </w:r>
    </w:p>
    <w:p>
      <w:pPr>
        <w:pStyle w:val="TextBody"/>
        <w:spacing w:lineRule="auto" w:line="288" w:before="240" w:after="283"/>
        <w:ind w:left="0" w:right="0" w:firstLine="540"/>
        <w:rPr>
          <w:rFonts w:ascii="Times New Roman;sans-serif" w:hAnsi="Times New Roman;sans-serif"/>
          <w:b/>
          <w:i/>
          <w:color w:val="231F20"/>
          <w:sz w:val="20"/>
        </w:rPr>
      </w:pPr>
      <w:r>
        <w:rPr>
          <w:rFonts w:ascii="Times New Roman;sans-serif" w:hAnsi="Times New Roman;sans-serif"/>
          <w:b/>
          <w:i/>
          <w:color w:val="231F20"/>
          <w:sz w:val="20"/>
        </w:rPr>
        <w:t>Research and Development</w:t>
      </w:r>
    </w:p>
    <w:tbl>
      <w:tblPr>
        <w:tblW w:w="6927" w:type="dxa"/>
        <w:jc w:val="left"/>
        <w:tblInd w:w="0" w:type="dxa"/>
        <w:tblCellMar>
          <w:top w:w="28" w:type="dxa"/>
          <w:left w:w="28" w:type="dxa"/>
          <w:bottom w:w="28" w:type="dxa"/>
          <w:right w:w="28" w:type="dxa"/>
        </w:tblCellMar>
      </w:tblPr>
      <w:tblGrid>
        <w:gridCol w:w="879"/>
        <w:gridCol w:w="772"/>
        <w:gridCol w:w="778"/>
        <w:gridCol w:w="240"/>
        <w:gridCol w:w="463"/>
        <w:gridCol w:w="309"/>
        <w:gridCol w:w="124"/>
        <w:gridCol w:w="124"/>
        <w:gridCol w:w="124"/>
        <w:gridCol w:w="240"/>
        <w:gridCol w:w="463"/>
        <w:gridCol w:w="309"/>
        <w:gridCol w:w="109"/>
        <w:gridCol w:w="109"/>
        <w:gridCol w:w="109"/>
        <w:gridCol w:w="211"/>
        <w:gridCol w:w="406"/>
        <w:gridCol w:w="109"/>
        <w:gridCol w:w="109"/>
        <w:gridCol w:w="109"/>
        <w:gridCol w:w="109"/>
        <w:gridCol w:w="203"/>
        <w:gridCol w:w="203"/>
        <w:gridCol w:w="316"/>
      </w:tblGrid>
      <w:tr>
        <w:trPr/>
        <w:tc>
          <w:tcPr>
            <w:tcW w:w="87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0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Research and development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 xml:space="preserve">As a percentage of net sales </w:t>
            </w:r>
          </w:p>
        </w:tc>
        <w:tc>
          <w:tcPr>
            <w:tcW w:w="7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2.7 </w:t>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3.0 </w:t>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54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 xml:space="preserve">Research and development expense for the three months ended March 31, 2023 remained relatively flat as compared to the three months ended March 31, 2022. </w:t>
      </w:r>
    </w:p>
    <w:p>
      <w:pPr>
        <w:pStyle w:val="TextBody"/>
        <w:spacing w:lineRule="auto" w:line="288" w:before="240" w:after="283"/>
        <w:ind w:left="0" w:right="0" w:firstLine="540"/>
        <w:rPr>
          <w:rFonts w:ascii="Times New Roman;sans-serif" w:hAnsi="Times New Roman;sans-serif"/>
          <w:b/>
          <w:i/>
          <w:color w:val="231F20"/>
          <w:sz w:val="20"/>
        </w:rPr>
      </w:pPr>
      <w:r>
        <w:rPr>
          <w:rFonts w:ascii="Times New Roman;sans-serif" w:hAnsi="Times New Roman;sans-serif"/>
          <w:b/>
          <w:i/>
          <w:color w:val="231F20"/>
          <w:sz w:val="20"/>
        </w:rPr>
        <w:t>General and Administrative</w:t>
      </w:r>
    </w:p>
    <w:tbl>
      <w:tblPr>
        <w:tblW w:w="7036" w:type="dxa"/>
        <w:jc w:val="left"/>
        <w:tblInd w:w="0" w:type="dxa"/>
        <w:tblCellMar>
          <w:top w:w="28" w:type="dxa"/>
          <w:left w:w="28" w:type="dxa"/>
          <w:bottom w:w="28" w:type="dxa"/>
          <w:right w:w="28" w:type="dxa"/>
        </w:tblCellMar>
      </w:tblPr>
      <w:tblGrid>
        <w:gridCol w:w="879"/>
        <w:gridCol w:w="772"/>
        <w:gridCol w:w="779"/>
        <w:gridCol w:w="219"/>
        <w:gridCol w:w="530"/>
        <w:gridCol w:w="281"/>
        <w:gridCol w:w="113"/>
        <w:gridCol w:w="113"/>
        <w:gridCol w:w="113"/>
        <w:gridCol w:w="219"/>
        <w:gridCol w:w="530"/>
        <w:gridCol w:w="281"/>
        <w:gridCol w:w="109"/>
        <w:gridCol w:w="109"/>
        <w:gridCol w:w="109"/>
        <w:gridCol w:w="211"/>
        <w:gridCol w:w="406"/>
        <w:gridCol w:w="109"/>
        <w:gridCol w:w="109"/>
        <w:gridCol w:w="109"/>
        <w:gridCol w:w="109"/>
        <w:gridCol w:w="255"/>
        <w:gridCol w:w="256"/>
        <w:gridCol w:w="316"/>
      </w:tblGrid>
      <w:tr>
        <w:trPr/>
        <w:tc>
          <w:tcPr>
            <w:tcW w:w="87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0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General and administrative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 xml:space="preserve">As a percentage of net sales </w:t>
            </w:r>
          </w:p>
        </w:tc>
        <w:tc>
          <w:tcPr>
            <w:tcW w:w="7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35.2 </w:t>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34.8 </w:t>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54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for the three months ended March 31, 2023 increased $4.1 million, or 15.7%, compared to the three months ended March 31, 2022. The increase is primarily due to an increase in software expenses, including certain contract termination costs, and professional services fees, including patent litigation expenses, partially offset by lower recruiting related expenses. </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Interest Income and Change in Fair Value of Warrant Liabilities</w:t>
      </w:r>
    </w:p>
    <w:tbl>
      <w:tblPr>
        <w:tblW w:w="7908" w:type="dxa"/>
        <w:jc w:val="left"/>
        <w:tblInd w:w="0" w:type="dxa"/>
        <w:tblCellMar>
          <w:top w:w="28" w:type="dxa"/>
          <w:left w:w="28" w:type="dxa"/>
          <w:bottom w:w="28" w:type="dxa"/>
          <w:right w:w="28" w:type="dxa"/>
        </w:tblCellMar>
      </w:tblPr>
      <w:tblGrid>
        <w:gridCol w:w="1251"/>
        <w:gridCol w:w="1097"/>
        <w:gridCol w:w="1102"/>
        <w:gridCol w:w="266"/>
        <w:gridCol w:w="266"/>
        <w:gridCol w:w="266"/>
        <w:gridCol w:w="266"/>
        <w:gridCol w:w="266"/>
        <w:gridCol w:w="266"/>
        <w:gridCol w:w="293"/>
        <w:gridCol w:w="293"/>
        <w:gridCol w:w="266"/>
        <w:gridCol w:w="109"/>
        <w:gridCol w:w="109"/>
        <w:gridCol w:w="109"/>
        <w:gridCol w:w="211"/>
        <w:gridCol w:w="511"/>
        <w:gridCol w:w="109"/>
        <w:gridCol w:w="109"/>
        <w:gridCol w:w="109"/>
        <w:gridCol w:w="109"/>
        <w:gridCol w:w="154"/>
        <w:gridCol w:w="154"/>
        <w:gridCol w:w="217"/>
      </w:tblGrid>
      <w:tr>
        <w:trPr/>
        <w:tc>
          <w:tcPr>
            <w:tcW w:w="1251"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7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7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3450"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income</w:t>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(4.3)</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231F20"/>
              </w:rPr>
            </w:pPr>
            <w:r>
              <w:rPr>
                <w:color w:val="231F2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50"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Change in fair value of warrant liabilities</w:t>
            </w:r>
          </w:p>
        </w:tc>
        <w:tc>
          <w:tcPr>
            <w:tcW w:w="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9.1 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(52.1)</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N/M - Not meaningful</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Interest income for the three months ended March 31, 2023 increased $4.3 million compared to the three months ended March 31, 2022 primarily due to higher interest earned on investment in money market funds.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During the three months ended March 31, 2023, the Company recognized expense of $9.1 million due to the change in the fair value of the warrant liabilities compared to income of $52.1 million for the three months ended March 31, 2022, primarily driven by the fluctuation of the Company’s stock price.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Our primary sources of capital have been funded by (i) cash flow from operating activities, (ii) net proceeds received from the consummation of the Business Combination, (iii) net proceeds received from the Notes (as defined below), and (iv) net proceeds received from the exercise of Public and Private Placement Warrants. As of March 31, 2023, we had cash and cash equivalents of approximately $532.3 million. A revolving credit facility of $50 million is also available as a source of capital. As of March 31, 2023, the revolving credit facility remains undrawn and there is no outstanding balance thereunder.</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240" w:after="283"/>
        <w:rPr/>
      </w:pPr>
      <w:r>
        <w:rPr/>
      </w:r>
    </w:p>
    <w:p>
      <w:pPr>
        <w:pStyle w:val="TextBody"/>
        <w:spacing w:before="60" w:after="283"/>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Our operating cash flows result primarily from cash received from sales of Delivery Systems and Consumables, offset primarily by cash payments made for products and services, employee compensation, payment processing and related transaction costs, operating leases, marketing expenses, and interest payments on our long-term obligations. Cash received from our customers and other activities generally corresponds to our net sales.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Our sources of liquidity and cash flows are used to fund ongoing operations, research and development projects for new products, services, and technologies, and provide ongoing support services for our providers and customers. Over the next year, we anticipate that we will use our liquidity and cash flows from our operations to fund our growth. In addition,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 xml:space="preserve">Based on our sources of capital (including the cash consideration received from the consummation of the Business Combination and the cash received from the issuance of the Notes), management believes that we have sufficient liquidity to satisfy our anticipated working capital requirements for our ongoing operations and obligations for at least the next twelve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 </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 xml:space="preserve">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 </w:t>
      </w:r>
    </w:p>
    <w:p>
      <w:pPr>
        <w:pStyle w:val="TextBody"/>
        <w:spacing w:before="0" w:after="0"/>
        <w:rPr/>
      </w:pPr>
      <w:r>
        <w:rPr/>
      </w:r>
    </w:p>
    <w:p>
      <w:pPr>
        <w:pStyle w:val="TextBody"/>
        <w:spacing w:lineRule="auto" w:line="288" w:before="0" w:after="0"/>
        <w:ind w:left="0" w:right="0" w:firstLine="18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Amended and Restated Credit Facility</w:t>
      </w:r>
    </w:p>
    <w:p>
      <w:pPr>
        <w:pStyle w:val="TextBody"/>
        <w:spacing w:before="0" w:after="0"/>
        <w:ind w:left="0" w:right="0" w:firstLine="18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 xml:space="preserve">On November 14, 2022, the Company, as successor by assumption to Hydrafacial (formerly known as Edge Systems LLC), a California limited liability company, entered into an Amended and Restated Credit Agreement (as it may be further amended, restated, supplemented or modified from time to time, the “Credit Agreement”) with JPMorgan Chase Bank, N.A. (the “Administrative Agent”). The Credit Agreement provides for a $50 million revolving credit facility with a maturity date of November 14, 2027. In addition, the Company has the ability from time to time to increase the revolving commitments or enter into one or more tranches of term loans up to an additional aggregate amount not to exceed $50 million, subject to receipt of lender commitments and certain conditions precedent. As of March 31, 2023, the Credit Agreement remains undrawn and there is no outstanding balance under the revolving credit facility. </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The Credit Agreement contains various restrictive covenants subject to certain exceptions, including limitations on the Company’s ability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financial covenants, including maintaining a leverage ratio of no greater than 3.00 to 1.00 and maintaining a fixed charge coverage ratio of not less than 1.15 to 1.00. As of March 31, 2023, the Company was in compliance with all restricted and financial covenants of the Credit Agreement.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240" w:after="283"/>
        <w:rPr/>
      </w:pPr>
      <w:r>
        <w:rPr/>
      </w:r>
    </w:p>
    <w:p>
      <w:pPr>
        <w:pStyle w:val="TextBody"/>
        <w:spacing w:before="60" w:after="283"/>
        <w:rPr/>
      </w:pPr>
      <w:r>
        <w:rPr/>
      </w:r>
    </w:p>
    <w:p>
      <w:pPr>
        <w:pStyle w:val="TextBody"/>
        <w:spacing w:lineRule="auto" w:line="288" w:before="0" w:after="0"/>
        <w:ind w:left="0" w:right="0" w:firstLine="18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Convertible Senior Notes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On September 14, 2021, the Company issued an aggregate of $750 million in principal amount of its 1.25% Convertible Senior Notes due 2026 (the “Notes”). The Notes were issued pursuant to, and are governed by, an indenture dated as of September 14, 2021, between the Company and U.S. Bank National Association, as trustee.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 million principal amount of Notes. The Notes issued on September 14, 2021 include the $100 million principal amount of Notes issued pursuant to the full exercise by the initial purchasers of such option.</w:t>
      </w:r>
    </w:p>
    <w:p>
      <w:pPr>
        <w:pStyle w:val="TextBody"/>
        <w:spacing w:before="0" w:after="0"/>
        <w:ind w:left="0" w:right="0" w:firstLine="180"/>
        <w:rPr/>
      </w:pPr>
      <w:r>
        <w:rPr/>
      </w:r>
    </w:p>
    <w:p>
      <w:pPr>
        <w:pStyle w:val="TextBody"/>
        <w:spacing w:lineRule="auto" w:line="288" w:before="0" w:after="0"/>
        <w:ind w:left="0" w:right="0" w:firstLine="18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Capped Call Transactions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On September 9, 2021, in connection with the pricing of the offering of Notes, the Company entered into privately negotiated capped call transactions (the “Base Capped Call Transactions”).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common stock on September 9, 2021. The cost of the Capped Call Transactions was $90.2 million.</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pStyle w:val="TextBody"/>
        <w:spacing w:before="0" w:after="0"/>
        <w:rPr/>
      </w:pPr>
      <w:r>
        <w:rPr/>
      </w:r>
    </w:p>
    <w:p>
      <w:pPr>
        <w:pStyle w:val="TextBody"/>
        <w:spacing w:lineRule="auto" w:line="288" w:before="0" w:after="0"/>
        <w:ind w:left="0" w:right="0" w:firstLine="180"/>
        <w:rPr>
          <w:rFonts w:ascii="Times New Roman;sans-serif" w:hAnsi="Times New Roman;sans-serif"/>
          <w:b/>
          <w:i/>
          <w:color w:val="000000"/>
          <w:sz w:val="20"/>
        </w:rPr>
      </w:pPr>
      <w:r>
        <w:rPr>
          <w:rFonts w:ascii="Times New Roman;sans-serif" w:hAnsi="Times New Roman;sans-serif"/>
          <w:b/>
          <w:i/>
          <w:color w:val="000000"/>
          <w:sz w:val="20"/>
        </w:rPr>
        <w:t>Known Trends or Uncertainties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 xml:space="preserve">The majority of our customers are in the medical, (dermatologists and plastic surgeons), aesthetician, and beauty retail industry. Although we have not seen any significant reduction in revenues to date due to consolidations, we have seen some consolidation in our industry during economic downturns. These consolidations have not had a negative effect on our total sales; however, should consolidations and downsizing in the industry continue to occur, those events could adversely impact our revenues and earnings going forward. </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the extent to which the uncertainty around the timing, speed and recovery from the adverse impacts of the COVID-19 pandemic impacts our business going forward will depend on numerous factors we cannot reliably predict, including further governmental actions in the countries in which we operate, such as whether China enacts another sporadic and/or zero-tolerance COVID-19 policy, and the other macro challenges we are facing, as well as the impact of any governmental actions on the economy, including the possibility of recession or financial market instability. These factors may adversely impact consumer, business, and government spending as well as customers' ability to pay for our products and services on an ongoing basis. </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 xml:space="preserve">As a result, if economic and social conditions or the degree of uncertainty or volatility worsen, or the adverse conditions previously described are further prolonged, our growth rate could be affected by consolidation and downsizing in the medical, esthetician, and beauty retail industry. We are continuing to monitor these and other risks that may affect our business so that we can respond appropriately.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240" w:after="283"/>
        <w:rPr/>
      </w:pPr>
      <w:r>
        <w:rPr/>
      </w:r>
    </w:p>
    <w:p>
      <w:pPr>
        <w:pStyle w:val="TextBody"/>
        <w:spacing w:before="60" w:after="283"/>
        <w:rPr/>
      </w:pPr>
      <w:r>
        <w:rPr/>
      </w:r>
    </w:p>
    <w:p>
      <w:pPr>
        <w:pStyle w:val="TextBody"/>
        <w:spacing w:before="0" w:after="0"/>
        <w:rPr/>
      </w:pPr>
      <w:r>
        <w:rPr/>
      </w:r>
    </w:p>
    <w:p>
      <w:pPr>
        <w:pStyle w:val="TextBody"/>
        <w:spacing w:lineRule="auto" w:line="288" w:before="0" w:after="0"/>
        <w:rPr>
          <w:rFonts w:ascii="Times New Roman;sans-serif" w:hAnsi="Times New Roman;sans-serif"/>
          <w:b/>
          <w:color w:val="231F20"/>
          <w:sz w:val="20"/>
        </w:rPr>
      </w:pPr>
      <w:r>
        <w:rPr>
          <w:rFonts w:ascii="Times New Roman;sans-serif" w:hAnsi="Times New Roman;sans-serif"/>
          <w:b/>
          <w:color w:val="231F20"/>
          <w:sz w:val="20"/>
        </w:rPr>
        <w:t>Cash Flows</w:t>
      </w:r>
    </w:p>
    <w:p>
      <w:pPr>
        <w:pStyle w:val="TextBody"/>
        <w:spacing w:before="0" w:after="0"/>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activities from our statements of cash flows. Amounts may not sum due to rounding.</w:t>
      </w:r>
    </w:p>
    <w:tbl>
      <w:tblPr>
        <w:tblW w:w="6787" w:type="dxa"/>
        <w:jc w:val="left"/>
        <w:tblInd w:w="0" w:type="dxa"/>
        <w:tblCellMar>
          <w:top w:w="28" w:type="dxa"/>
          <w:left w:w="28" w:type="dxa"/>
          <w:bottom w:w="28" w:type="dxa"/>
          <w:right w:w="28" w:type="dxa"/>
        </w:tblCellMar>
      </w:tblPr>
      <w:tblGrid>
        <w:gridCol w:w="1491"/>
        <w:gridCol w:w="1314"/>
        <w:gridCol w:w="1320"/>
        <w:gridCol w:w="230"/>
        <w:gridCol w:w="672"/>
        <w:gridCol w:w="119"/>
        <w:gridCol w:w="119"/>
        <w:gridCol w:w="119"/>
        <w:gridCol w:w="119"/>
        <w:gridCol w:w="230"/>
        <w:gridCol w:w="672"/>
        <w:gridCol w:w="119"/>
        <w:gridCol w:w="109"/>
        <w:gridCol w:w="154"/>
      </w:tblGrid>
      <w:tr>
        <w:trPr/>
        <w:tc>
          <w:tcPr>
            <w:tcW w:w="1491"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23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(Dollars in millions)</w:t>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Cash and cash equivalents at beginning of period</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Operating activities:</w:t>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64" w:before="1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Net (loss) income </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Non-cash adjustments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Changes in working capital</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cash flows used in operating activities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cash flows used in investing activities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Net cash flows used in financing activities </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change in cash and cash equivalents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Effect of foreign currency translation</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Cash and cash equivalents at end of period</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i/>
          <w:color w:val="231F20"/>
          <w:sz w:val="20"/>
        </w:rPr>
      </w:pPr>
      <w:r>
        <w:rPr>
          <w:rFonts w:ascii="Times New Roman;sans-serif" w:hAnsi="Times New Roman;sans-serif"/>
          <w:b/>
          <w:i/>
          <w:color w:val="231F20"/>
          <w:sz w:val="20"/>
        </w:rPr>
        <w:t>Operating Activities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Net cash used in operating activities for the three months ended March 31, 2023 was $13.0 million, compared to $38.5 million for the three months ended March 31, 2022. The decrease in cash used in operating activities was primarily related to lower working capital usage, and the net impact of the current year net loss and other non-cash adjustments, which was primarily impacted by the change in fair value of the Private Placement Warrants.</w:t>
      </w:r>
    </w:p>
    <w:p>
      <w:pPr>
        <w:pStyle w:val="TextBody"/>
        <w:spacing w:before="0" w:after="0"/>
        <w:rPr/>
      </w:pPr>
      <w:r>
        <w:rPr/>
      </w:r>
    </w:p>
    <w:p>
      <w:pPr>
        <w:pStyle w:val="TextBody"/>
        <w:spacing w:lineRule="auto" w:line="288" w:before="0" w:after="0"/>
        <w:rPr>
          <w:rFonts w:ascii="Times New Roman;sans-serif" w:hAnsi="Times New Roman;sans-serif"/>
          <w:b/>
          <w:i/>
          <w:color w:val="231F20"/>
          <w:sz w:val="20"/>
        </w:rPr>
      </w:pPr>
      <w:r>
        <w:rPr>
          <w:rFonts w:ascii="Times New Roman;sans-serif" w:hAnsi="Times New Roman;sans-serif"/>
          <w:b/>
          <w:i/>
          <w:color w:val="231F20"/>
          <w:sz w:val="20"/>
        </w:rPr>
        <w:t>Investing Activities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Net cash used in investing activities for the three months ended March 31, 2023 was $21.7 million, compared to $3.4 million for the three months ended March 31, 2022. The increase in cash used in investing activities was primarily related to the cash payment associated with the asset acquisitions of Esthetic Medical Inc. and Anacapa Aesthetics LLC for $16.9 million.</w:t>
      </w:r>
    </w:p>
    <w:p>
      <w:pPr>
        <w:pStyle w:val="TextBody"/>
        <w:spacing w:before="0" w:after="0"/>
        <w:rPr/>
      </w:pPr>
      <w:r>
        <w:rPr/>
      </w:r>
    </w:p>
    <w:p>
      <w:pPr>
        <w:pStyle w:val="TextBody"/>
        <w:spacing w:lineRule="auto" w:line="288" w:before="0" w:after="0"/>
        <w:rPr>
          <w:rFonts w:ascii="Times New Roman;sans-serif" w:hAnsi="Times New Roman;sans-serif"/>
          <w:b/>
          <w:i/>
          <w:color w:val="231F20"/>
          <w:sz w:val="20"/>
        </w:rPr>
      </w:pPr>
      <w:r>
        <w:rPr>
          <w:rFonts w:ascii="Times New Roman;sans-serif" w:hAnsi="Times New Roman;sans-serif"/>
          <w:b/>
          <w:i/>
          <w:color w:val="231F20"/>
          <w:sz w:val="20"/>
        </w:rPr>
        <w:t>Financing Activities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Net cash used in financing activities for the three months ended March 31, 2023 was $2.2 million, compared to $0.8 million for the three months ended March 31, 2022. The increase in cash used in financing activities was primarily related to payments associated with tax withholdings on vested share-based payment awards.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There has been no change to our critical accounting policies as included in our Annual Report on Form 10-K for the fiscal year ended December 31, 2022.</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 xml:space="preserve">See Part I, Item 1 "Financial Statements—Note 14 to the Consolidated Financial Statements—New Accounting Pronouncements" of this Quarterly Report on Form 10-Q.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 xml:space="preserve">Market risks relating to our operations result primarily from changes in interest rates, foreign currency, and inflation risk. There were no material changes to our market risks disclosed in our Annual Report on Form 10-K for the fiscal year ended December 31, 2022.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Based on an evaluation under the supervision and with the participation of the Company’s management, the Company’s principal executive officer and principal financial officer have concluded that the Company’s disclosure controls and procedures as defined in Rules 13a-15(e) and 15d-15(e) under the the Securities Exchange Act of 1934, as amended (the “Exchange Act”) were effective as of March 31, 2023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principal executive officer and principal financial officer, as appropriate to allow timely decisions regarding required disclosure.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Inherent Limitations over Internal Controls</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 xml:space="preserve">The Company’s management, including our principal executive officer and principal financial officer,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There have been no changes in our internal control over financial reporting that occurred during the quarter ended March 31, 2023 , which were identified in connection with management’s evaluation required by paragraph (d) of Rules 13a-15 and 15d-15 under the Exchange Act,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description of our material pending legal proceedings, see Note 10, Commitments and Contingencies, to our condensed consolidated financial statements included in Part I, Item 1 of this Quarterly Report on Form 10-Q.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Please carefully consider the information set forth in this Quarterly Report on Form 10-Q and the risk factors discussed in Part I, “Item 1A. Risk Factors” in our Annual Report on Form 10-K for the year ended December 31, 2022, filed with the SEC on March 1, 2023 (the “Annual Report”), which could materially affect our business, financial condition, or future results. The risks described in our Annual Report, as well as other risks and uncertainties, could materially and adversely affect our business, results of operations, and financial condition, which in turn could materially and adversely affect the trading price of shares of our Class A Common Stock. Except as set forth below, there have been no material updates or changes to the risk factors previously disclosed in our Annual Report; provided, however, additional risks not currently known or currently material to us may also harm our business</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We maintain our cash at financial institutions, often in balances that exceed federally insured limits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is held in accounts at U.S. banking institutions that we believe are of high quality. Cash held in deposit accounts may exceed the Federal Deposit Insurance Corporation (“FDIC”) insurance limits. If such banking institutions fail, we could lose all or a portion of those amounts held in excess of such insurance limitations. While the FDIC took control of two such banking institutions, Silicon Valley Bank (“SVB”) on March 10, 2023 and Signature Bank (“Signature”) on March 12, 2023, we did not have any accounts with SVB or Signature, and therefore, did not experience any direct risk of loss. Any material loss, individually or in the aggregate, from a similarly failed banking relationship above FDIC insurance limits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February 28, 2023 (the “Closing Date”), the Company consummated the transactions as previously reported by the Company on a Current Report on Form 8-K filed with the Securities and Exchange Commission on February 28, 2023, under that certain Stock Purchase Agreement, dated February 27, 2023, by and among Edge Systems Intermediate, LLC (the “Buyer”), an indirect, wholly-owned subsidiary of the Company, Dr. Lawrence Groop (“Seller”), Kristin Groop (“Mrs. Groop”), and Esthetic Education, LLC, a company wholly-owned by Mrs. Groop.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the Closing Date, the Buyer acquired all of the outstanding shares of Esthetic Medical Inc. from Seller in exchange for (i) a cash payment of $11.8 million; and (ii) 109,625 shares of Class A Common Stock of the Company (the “Company Shares”).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issued the Company Shares to Seller in reliance upon the exemption from registration provided by Section 4(a)(2) of the Securities Act of 1933, as amended, for transactions not involving a public offering.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Purchase of Equity Securities by Issuer and Affiliated Purchasers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March 31, 2023, no purchases of the Company’s equity securities were made by the Company or any affiliated purchasers.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76" w:before="12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ind w:left="0" w:right="0" w:firstLine="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 on Form 10-Q.</w:t>
      </w:r>
    </w:p>
    <w:tbl>
      <w:tblPr>
        <w:tblW w:w="10205" w:type="dxa"/>
        <w:jc w:val="left"/>
        <w:tblInd w:w="0" w:type="dxa"/>
        <w:tblCellMar>
          <w:top w:w="28" w:type="dxa"/>
          <w:left w:w="28" w:type="dxa"/>
          <w:bottom w:w="28" w:type="dxa"/>
          <w:right w:w="28" w:type="dxa"/>
        </w:tblCellMar>
      </w:tblPr>
      <w:tblGrid>
        <w:gridCol w:w="248"/>
        <w:gridCol w:w="159"/>
        <w:gridCol w:w="163"/>
        <w:gridCol w:w="109"/>
        <w:gridCol w:w="109"/>
        <w:gridCol w:w="109"/>
        <w:gridCol w:w="1393"/>
        <w:gridCol w:w="1124"/>
        <w:gridCol w:w="1128"/>
        <w:gridCol w:w="109"/>
        <w:gridCol w:w="109"/>
        <w:gridCol w:w="109"/>
        <w:gridCol w:w="196"/>
        <w:gridCol w:w="196"/>
        <w:gridCol w:w="197"/>
        <w:gridCol w:w="109"/>
        <w:gridCol w:w="109"/>
        <w:gridCol w:w="109"/>
        <w:gridCol w:w="262"/>
        <w:gridCol w:w="241"/>
        <w:gridCol w:w="166"/>
        <w:gridCol w:w="109"/>
        <w:gridCol w:w="109"/>
        <w:gridCol w:w="109"/>
        <w:gridCol w:w="246"/>
        <w:gridCol w:w="246"/>
        <w:gridCol w:w="247"/>
        <w:gridCol w:w="109"/>
        <w:gridCol w:w="109"/>
        <w:gridCol w:w="109"/>
        <w:gridCol w:w="413"/>
        <w:gridCol w:w="372"/>
        <w:gridCol w:w="256"/>
        <w:gridCol w:w="109"/>
        <w:gridCol w:w="109"/>
        <w:gridCol w:w="109"/>
        <w:gridCol w:w="286"/>
        <w:gridCol w:w="286"/>
        <w:gridCol w:w="418"/>
      </w:tblGrid>
      <w:tr>
        <w:trPr/>
        <w:tc>
          <w:tcPr>
            <w:tcW w:w="24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10205" w:type="dxa"/>
            <w:gridSpan w:val="3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tc>
      </w:tr>
      <w:tr>
        <w:trPr/>
        <w:tc>
          <w:tcPr>
            <w:tcW w:w="5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Exhibit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5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Agreement and Plan of Merger, dated as of December 8, 2020, by and among Vesper Healthcare Acquisition Corp., Hydrate Merger Sub I, Inc., Hydrate Merger Sub II, LLC, LCP Edge Intermediate, Inc. and LCP Edge Holdco, LLC, in its capacity as the Stockholders’ Representative</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9,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2.2***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Stock Purchase Agreement by and among Dr. Lawrence Groop, Kristin Groop, Esthetic Education, LLC, and Edge Systems Intermediate, LLC, dated as of February 27, 2023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Second Amended and Restated Certificate of Incorporation of The Beauty Health Company</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10,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Amended and Restated Bylaws of The Beauty Health Company</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10,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4.1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Indenture, dated as of September 14, 2021, between The Beauty Health Company and U.S. Bank National Association, as trustee</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14,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4.2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 xml:space="preserve">Form of certificate representing the 1.25% Convertible Senior Notes due 2026 (included as Exhibit A to Exhibit 4.1) </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14,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First Amendment to The Beauty Health Company Executive Severance Plan</w:t>
              </w:r>
            </w:hyperlink>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Promotion Offer Letter with Brad Hauser, dated April 7, 2023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19,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ex311-2023q110xq.htm">
              <w:r>
                <w:rPr>
                  <w:rStyle w:val="InternetLink"/>
                  <w:rFonts w:ascii="Times New Roman;sans-serif" w:hAnsi="Times New Roman;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ex311-2023q110xq.htm">
              <w:r>
                <w:rPr>
                  <w:rStyle w:val="InternetLink"/>
                  <w:rFonts w:ascii="Times New Roman;sans-serif" w:hAnsi="Times New Roman;sans-serif"/>
                  <w:b w:val="false"/>
                  <w:color w:val="0000FF"/>
                  <w:sz w:val="20"/>
                  <w:u w:val="single"/>
                </w:rPr>
                <w:t>Certification of Principal Executive Officer Pursuant to Securities Exchange Act Rules 13a-14(a),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5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312-2023q110xq.htm">
              <w:r>
                <w:rPr>
                  <w:rStyle w:val="InternetLink"/>
                  <w:rFonts w:ascii="Times New Roman;sans-serif" w:hAnsi="Times New Roman;sans-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312-2023q110xq.htm">
              <w:r>
                <w:rPr>
                  <w:rStyle w:val="InternetLink"/>
                  <w:rFonts w:ascii="Times New Roman;sans-serif" w:hAnsi="Times New Roman;sans-serif"/>
                  <w:b w:val="false"/>
                  <w:color w:val="0000FF"/>
                  <w:sz w:val="20"/>
                  <w:u w:val="single"/>
                </w:rPr>
                <w:t>Certification of Principal Financial Officer Pursuant to Securities Exchange Act Rules 13a-14(a),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5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ex321-2023q110xq.htm">
              <w:r>
                <w:rPr>
                  <w:rStyle w:val="InternetLink"/>
                  <w:rFonts w:ascii="Times New Roman;sans-serif" w:hAnsi="Times New Roman;sans-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ex321-2023q110xq.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5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322-2023q110xq.htm">
              <w:r>
                <w:rPr>
                  <w:rStyle w:val="InternetLink"/>
                  <w:rFonts w:ascii="Times New Roman;sans-serif" w:hAnsi="Times New Roman;sans-serif"/>
                  <w:b w:val="false"/>
                  <w:color w:val="0000FF"/>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322-2023q110xq.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5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5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5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5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5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49"/>
        <w:gridCol w:w="217"/>
        <w:gridCol w:w="221"/>
        <w:gridCol w:w="109"/>
        <w:gridCol w:w="109"/>
        <w:gridCol w:w="109"/>
        <w:gridCol w:w="1266"/>
        <w:gridCol w:w="1247"/>
        <w:gridCol w:w="1251"/>
        <w:gridCol w:w="109"/>
        <w:gridCol w:w="109"/>
        <w:gridCol w:w="109"/>
        <w:gridCol w:w="200"/>
        <w:gridCol w:w="200"/>
        <w:gridCol w:w="201"/>
        <w:gridCol w:w="109"/>
        <w:gridCol w:w="109"/>
        <w:gridCol w:w="109"/>
        <w:gridCol w:w="184"/>
        <w:gridCol w:w="184"/>
        <w:gridCol w:w="186"/>
        <w:gridCol w:w="109"/>
        <w:gridCol w:w="109"/>
        <w:gridCol w:w="109"/>
        <w:gridCol w:w="250"/>
        <w:gridCol w:w="250"/>
        <w:gridCol w:w="251"/>
        <w:gridCol w:w="109"/>
        <w:gridCol w:w="109"/>
        <w:gridCol w:w="109"/>
        <w:gridCol w:w="257"/>
        <w:gridCol w:w="257"/>
        <w:gridCol w:w="259"/>
        <w:gridCol w:w="109"/>
        <w:gridCol w:w="109"/>
        <w:gridCol w:w="109"/>
        <w:gridCol w:w="323"/>
        <w:gridCol w:w="323"/>
        <w:gridCol w:w="467"/>
      </w:tblGrid>
      <w:tr>
        <w:trPr/>
        <w:tc>
          <w:tcPr>
            <w:tcW w:w="24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r>
      <w:tr>
        <w:trPr/>
        <w:tc>
          <w:tcPr>
            <w:tcW w:w="10205" w:type="dxa"/>
            <w:gridSpan w:val="3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tc>
      </w:tr>
      <w:tr>
        <w:trPr/>
        <w:tc>
          <w:tcPr>
            <w:tcW w:w="6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Exhibit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68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 attachments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spacing w:lineRule="auto" w:line="26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    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 </w:t>
      </w:r>
    </w:p>
    <w:p>
      <w:pPr>
        <w:pStyle w:val="TextBody"/>
        <w:spacing w:lineRule="auto" w:line="26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pStyle w:val="TextBody"/>
        <w:spacing w:lineRule="auto" w:line="26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Portions of this exhibit have been redacted in compliance with Regulation S-K Item 601(b)(10).</w:t>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r>
    </w:p>
    <w:tbl>
      <w:tblPr>
        <w:tblW w:w="7721" w:type="dxa"/>
        <w:jc w:val="left"/>
        <w:tblInd w:w="0" w:type="dxa"/>
        <w:tblCellMar>
          <w:top w:w="28" w:type="dxa"/>
          <w:left w:w="28" w:type="dxa"/>
          <w:bottom w:w="28" w:type="dxa"/>
          <w:right w:w="28" w:type="dxa"/>
        </w:tblCellMar>
      </w:tblPr>
      <w:tblGrid>
        <w:gridCol w:w="200"/>
        <w:gridCol w:w="177"/>
        <w:gridCol w:w="178"/>
        <w:gridCol w:w="414"/>
        <w:gridCol w:w="414"/>
        <w:gridCol w:w="417"/>
        <w:gridCol w:w="519"/>
        <w:gridCol w:w="519"/>
        <w:gridCol w:w="519"/>
        <w:gridCol w:w="1266"/>
        <w:gridCol w:w="1266"/>
        <w:gridCol w:w="1832"/>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THE BEAUTY HEALTH COMPANY</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c>
          <w:tcPr>
            <w:tcW w:w="15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Stanleick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Stanleick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c>
          <w:tcPr>
            <w:tcW w:w="15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Liyuan Woo</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Liyuan Woo</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 and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PURSUANT TO RULE 13A-14(A) UNDER THE SECURITIES EXCHANGE ACT OF 1934, AS ADOPTED PURSUANT TO SECTION 302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Andrew Stanleick, certify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Beauty Health Company;</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tbl>
      <w:tblPr>
        <w:tblW w:w="5336" w:type="dxa"/>
        <w:jc w:val="left"/>
        <w:tblInd w:w="0" w:type="dxa"/>
        <w:tblCellMar>
          <w:top w:w="28" w:type="dxa"/>
          <w:left w:w="28" w:type="dxa"/>
          <w:bottom w:w="28" w:type="dxa"/>
          <w:right w:w="28" w:type="dxa"/>
        </w:tblCellMar>
      </w:tblPr>
      <w:tblGrid>
        <w:gridCol w:w="200"/>
        <w:gridCol w:w="177"/>
        <w:gridCol w:w="178"/>
        <w:gridCol w:w="414"/>
        <w:gridCol w:w="414"/>
        <w:gridCol w:w="416"/>
        <w:gridCol w:w="109"/>
        <w:gridCol w:w="109"/>
        <w:gridCol w:w="109"/>
        <w:gridCol w:w="939"/>
        <w:gridCol w:w="939"/>
        <w:gridCol w:w="1332"/>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Stanleick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Stanleick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 PURSUANT TO RULE 13A-14(A) UNDER THE SECURITIES EXCHANGE ACT OF 1934, AS ADOPTED PURSUANT TO SECTION 302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Liyuan Woo, certify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Beauty Health Company;</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tbl>
      <w:tblPr>
        <w:tblW w:w="5891" w:type="dxa"/>
        <w:jc w:val="left"/>
        <w:tblInd w:w="0" w:type="dxa"/>
        <w:tblCellMar>
          <w:top w:w="28" w:type="dxa"/>
          <w:left w:w="28" w:type="dxa"/>
          <w:bottom w:w="28" w:type="dxa"/>
          <w:right w:w="28" w:type="dxa"/>
        </w:tblCellMar>
      </w:tblPr>
      <w:tblGrid>
        <w:gridCol w:w="200"/>
        <w:gridCol w:w="177"/>
        <w:gridCol w:w="178"/>
        <w:gridCol w:w="414"/>
        <w:gridCol w:w="414"/>
        <w:gridCol w:w="416"/>
        <w:gridCol w:w="109"/>
        <w:gridCol w:w="109"/>
        <w:gridCol w:w="109"/>
        <w:gridCol w:w="1100"/>
        <w:gridCol w:w="1100"/>
        <w:gridCol w:w="1565"/>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Liyuan Woo</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Liyuan Woo</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and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18 U.S.C. SECTION 1350 AS ADOPTED PURSUANT TO SECTION 906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The Beauty Health Company (the “Company”) on Form 10-Q for the quarterly period ended March 31, 2023, as filed with the Securities and Exchange Commission (the “Report”), I, Andrew Stanleick, President and Chief Executive Officer of the Company, certify, pursuant to 18 U.S.C. §1350, as added by §906 of the Sarbanes-Oxley Act of 2002, that, to my knowledge: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tbl>
      <w:tblPr>
        <w:tblW w:w="5336" w:type="dxa"/>
        <w:jc w:val="left"/>
        <w:tblInd w:w="0" w:type="dxa"/>
        <w:tblCellMar>
          <w:top w:w="28" w:type="dxa"/>
          <w:left w:w="28" w:type="dxa"/>
          <w:bottom w:w="28" w:type="dxa"/>
          <w:right w:w="28" w:type="dxa"/>
        </w:tblCellMar>
      </w:tblPr>
      <w:tblGrid>
        <w:gridCol w:w="200"/>
        <w:gridCol w:w="177"/>
        <w:gridCol w:w="178"/>
        <w:gridCol w:w="414"/>
        <w:gridCol w:w="414"/>
        <w:gridCol w:w="416"/>
        <w:gridCol w:w="109"/>
        <w:gridCol w:w="109"/>
        <w:gridCol w:w="109"/>
        <w:gridCol w:w="939"/>
        <w:gridCol w:w="939"/>
        <w:gridCol w:w="1332"/>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Stanleick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Stanleick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ind w:left="0" w:right="0" w:firstLine="5424"/>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18 U.S.C. SECTION 1350 AS ADOPTED PURSUANT TO SECTION 906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The Beauty Health Company (the “Company”) on Form 10-Q for the quarterly period ended March 31, 2023, as filed with the Securities and Exchange Commission (the “Report”), I, Liyuan Woo, Chief Financial Officer of the Company, certify, pursuant to 18 U.S.C. §1350, as added by §906 of the Sarbanes-Oxley Act of 2002, that, to my knowledge: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tbl>
      <w:tblPr>
        <w:tblW w:w="5891" w:type="dxa"/>
        <w:jc w:val="left"/>
        <w:tblInd w:w="0" w:type="dxa"/>
        <w:tblCellMar>
          <w:top w:w="28" w:type="dxa"/>
          <w:left w:w="28" w:type="dxa"/>
          <w:bottom w:w="28" w:type="dxa"/>
          <w:right w:w="28" w:type="dxa"/>
        </w:tblCellMar>
      </w:tblPr>
      <w:tblGrid>
        <w:gridCol w:w="200"/>
        <w:gridCol w:w="177"/>
        <w:gridCol w:w="178"/>
        <w:gridCol w:w="414"/>
        <w:gridCol w:w="414"/>
        <w:gridCol w:w="416"/>
        <w:gridCol w:w="109"/>
        <w:gridCol w:w="109"/>
        <w:gridCol w:w="109"/>
        <w:gridCol w:w="1100"/>
        <w:gridCol w:w="1100"/>
        <w:gridCol w:w="1565"/>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Liyuan Woo</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Liyuan Woo</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and Financial Officer)</w:t>
            </w:r>
          </w:p>
        </w:tc>
      </w:tr>
    </w:tbl>
    <w:p>
      <w:pPr>
        <w:pStyle w:val="TextBody"/>
        <w:ind w:left="0" w:right="0" w:firstLine="5424"/>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18093/000121390020041690/ea131234ex2-1_vesperhealth.htm" TargetMode="External"/><Relationship Id="rId3" Type="http://schemas.openxmlformats.org/officeDocument/2006/relationships/hyperlink" Target="http://www.sec.gov/Archives/edgar/data/1818093/000121390020041690/ea131234ex2-1_vesperhealth.htm" TargetMode="External"/><Relationship Id="rId4" Type="http://schemas.openxmlformats.org/officeDocument/2006/relationships/hyperlink" Target="https://www.sec.gov/Archives/edgar/data/1818093/000181809323000003/exhibit21-beautyhealthesth.htm" TargetMode="External"/><Relationship Id="rId5" Type="http://schemas.openxmlformats.org/officeDocument/2006/relationships/hyperlink" Target="https://www.sec.gov/Archives/edgar/data/1818093/000181809323000003/exhibit21-beautyhealthesth.htm" TargetMode="External"/><Relationship Id="rId6" Type="http://schemas.openxmlformats.org/officeDocument/2006/relationships/hyperlink" Target="http://www.sec.gov/Archives/edgar/data/1818093/000119312521156433/d422189dex31.htm" TargetMode="External"/><Relationship Id="rId7" Type="http://schemas.openxmlformats.org/officeDocument/2006/relationships/hyperlink" Target="http://www.sec.gov/Archives/edgar/data/1818093/000119312521156433/d422189dex31.htm" TargetMode="External"/><Relationship Id="rId8" Type="http://schemas.openxmlformats.org/officeDocument/2006/relationships/hyperlink" Target="http://www.sec.gov/Archives/edgar/data/1818093/000119312521156433/d422189dex32.htm" TargetMode="External"/><Relationship Id="rId9" Type="http://schemas.openxmlformats.org/officeDocument/2006/relationships/hyperlink" Target="http://www.sec.gov/Archives/edgar/data/1818093/000119312521156433/d422189dex32.htm" TargetMode="External"/><Relationship Id="rId10" Type="http://schemas.openxmlformats.org/officeDocument/2006/relationships/hyperlink" Target="http://www.sec.gov/Archives/edgar/data/1818093/000181809321000062/exhibit41-convdebtclosing.htm" TargetMode="External"/><Relationship Id="rId11" Type="http://schemas.openxmlformats.org/officeDocument/2006/relationships/hyperlink" Target="http://www.sec.gov/Archives/edgar/data/1818093/000181809321000062/exhibit41-convdebtclosing.htm" TargetMode="External"/><Relationship Id="rId12" Type="http://schemas.openxmlformats.org/officeDocument/2006/relationships/hyperlink" Target="http://www.sec.gov/Archives/edgar/data/1818093/000181809321000062/exhibit41-convdebtclosing.htm" TargetMode="External"/><Relationship Id="rId13" Type="http://schemas.openxmlformats.org/officeDocument/2006/relationships/hyperlink" Target="http://www.sec.gov/Archives/edgar/data/1818093/000181809321000062/exhibit41-convdebtclosing.htm" TargetMode="External"/><Relationship Id="rId14" Type="http://schemas.openxmlformats.org/officeDocument/2006/relationships/hyperlink" Target="https://www.sec.gov/Archives/edgar/data/1818093/000181809323000013/axex101firstamendmenttoexe.htm" TargetMode="External"/><Relationship Id="rId15" Type="http://schemas.openxmlformats.org/officeDocument/2006/relationships/hyperlink" Target="https://www.sec.gov/Archives/edgar/data/1818093/000181809323000013/axex101firstamendmenttoexe.htm" TargetMode="External"/><Relationship Id="rId16" Type="http://schemas.openxmlformats.org/officeDocument/2006/relationships/hyperlink" Target="https://www.sec.gov/Archives/edgar/data/1818093/000181809323000014/axex101hauserpromotionlett.htm" TargetMode="External"/><Relationship Id="rId17" Type="http://schemas.openxmlformats.org/officeDocument/2006/relationships/hyperlink" Target="https://www.sec.gov/Archives/edgar/data/1818093/000181809323000014/axex101hauserpromotionlett.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14502</Words>
  <CharactersWithSpaces>93710</CharactersWithSpaces>
  <Paragraphs>1713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