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SkinHealth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 Class A</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05/15/2026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Capricorn Fund Managers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spacing w:before="0" w:after="283"/>
              <w:jc w:val="left"/>
              <w:rPr/>
            </w:pPr>
            <w:r>
              <w:rPr/>
              <w:t xml:space="preserve">Citizenship or Place of Organization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22,276,935.00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22,276,935.00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22,276,935.00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SkinHealth Systems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3600 E. BURNETT STREET, 3600 E. BURNETT STREET, LONG BEACH, CALIFORNIA, 90815.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Capricorn Fund Managers Limited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Malta House, 36-38 Piccadilly, London, W1J 0DP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United Kingdom</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 Class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22276935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17.2%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22276935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22276935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Item 10.</w:t>
            </w:r>
          </w:p>
        </w:tc>
        <w:tc>
          <w:tcPr>
            <w:tcW w:w="9038" w:type="dxa"/>
            <w:tcBorders/>
            <w:vAlign w:val="center"/>
          </w:tcPr>
          <w:p>
            <w:pPr>
              <w:pStyle w:val="TableContents"/>
              <w:bidi w:val="0"/>
              <w:spacing w:before="0" w:after="283"/>
              <w:jc w:val="left"/>
              <w:rPr/>
            </w:pPr>
            <w:r>
              <w:rPr/>
              <w:t>Certifications:</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Foreign investment advisor - registered &amp; regulated with the FCA is substantially comparable to the regulatory scheme applicable to the functionally equivalent U.S. institution(s). I also undertake to furnish to the Commission staff, upon request, information that would otherwise be disclosed in a Schedule 13D.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48" w:type="dxa"/>
        <w:jc w:val="left"/>
        <w:tblInd w:w="0" w:type="dxa"/>
        <w:tblLayout w:type="fixed"/>
        <w:tblCellMar>
          <w:top w:w="28" w:type="dxa"/>
          <w:left w:w="28" w:type="dxa"/>
          <w:bottom w:w="28" w:type="dxa"/>
          <w:right w:w="28" w:type="dxa"/>
        </w:tblCellMar>
      </w:tblPr>
      <w:tblGrid>
        <w:gridCol w:w="3174"/>
        <w:gridCol w:w="3174"/>
      </w:tblGrid>
      <w:tr>
        <w:trPr/>
        <w:tc>
          <w:tcPr>
            <w:tcW w:w="3174" w:type="dxa"/>
            <w:tcBorders/>
            <w:vAlign w:val="center"/>
          </w:tcPr>
          <w:p>
            <w:pPr>
              <w:pStyle w:val="TableContents"/>
              <w:bidi w:val="0"/>
              <w:spacing w:before="0" w:after="0"/>
              <w:jc w:val="lef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0"/>
                    <w:jc w:val="left"/>
                    <w:rPr/>
                  </w:pPr>
                  <w:r>
                    <w:rPr/>
                    <w:t>Capricorn Fund Managers Ltd</w:t>
                  </w:r>
                </w:p>
              </w:tc>
            </w:tr>
          </w:tbl>
          <w:p>
            <w:pPr>
              <w:pStyle w:val="TableContents"/>
              <w:bidi w:val="0"/>
              <w:spacing w:before="0" w:after="283"/>
              <w:jc w:val="left"/>
              <w:rPr/>
            </w:pPr>
            <w:r>
              <w:rPr/>
            </w:r>
          </w:p>
        </w:tc>
        <w:tc>
          <w:tcPr>
            <w:tcW w:w="31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0"/>
        <w:gridCol w:w="4505"/>
      </w:tblGrid>
      <w:tr>
        <w:trPr/>
        <w:tc>
          <w:tcPr>
            <w:tcW w:w="57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Parth R Karia</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Head of Risk</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5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796</Words>
  <Characters>4132</Characters>
  <CharactersWithSpaces>4921</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