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499110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524510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UNITED STATES</w:t>
      </w:r>
    </w:p>
    <w:p>
      <w:pPr>
        <w:spacing w:after="0" w:line="3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SECURITIES AND EXCHANGE COMMISSION</w:t>
      </w:r>
    </w:p>
    <w:p>
      <w:pPr>
        <w:spacing w:after="0" w:line="11"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135255</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8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27940</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56" w:lineRule="exact"/>
        <w:rPr>
          <w:sz w:val="24"/>
          <w:szCs w:val="24"/>
          <w:color w:val="auto"/>
        </w:rPr>
      </w:pPr>
    </w:p>
    <w:p>
      <w:pPr>
        <w:ind w:left="3860" w:right="1460" w:hanging="2383"/>
        <w:spacing w:after="0" w:line="292" w:lineRule="auto"/>
        <w:tabs>
          <w:tab w:leader="none" w:pos="1684" w:val="left"/>
        </w:tabs>
        <w:numPr>
          <w:ilvl w:val="1"/>
          <w:numId w:val="1"/>
        </w:numPr>
        <w:rPr>
          <w:rFonts w:ascii="MS PGothic" w:cs="MS PGothic" w:eastAsia="MS PGothic" w:hAnsi="MS PGothic"/>
          <w:sz w:val="19"/>
          <w:szCs w:val="19"/>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26" w:lineRule="exact"/>
        <w:rPr>
          <w:rFonts w:ascii="MS PGothic" w:cs="MS PGothic" w:eastAsia="MS PGothic" w:hAnsi="MS PGothic"/>
          <w:sz w:val="19"/>
          <w:szCs w:val="19"/>
          <w:color w:val="auto"/>
        </w:rPr>
      </w:pPr>
    </w:p>
    <w:p>
      <w:pPr>
        <w:jc w:val="center"/>
        <w:ind w:left="3660" w:right="1500" w:hanging="2195"/>
        <w:spacing w:after="0" w:line="311" w:lineRule="auto"/>
        <w:tabs>
          <w:tab w:leader="none" w:pos="165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144145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30" w:lineRule="exact"/>
        <w:rPr>
          <w:sz w:val="24"/>
          <w:szCs w:val="24"/>
          <w:color w:val="auto"/>
        </w:rPr>
      </w:pPr>
    </w:p>
    <w:p>
      <w:pPr>
        <w:ind w:left="3420"/>
        <w:spacing w:after="0"/>
        <w:rPr>
          <w:sz w:val="20"/>
          <w:szCs w:val="20"/>
          <w:color w:val="auto"/>
        </w:rPr>
      </w:pPr>
      <w:r>
        <w:rPr>
          <w:rFonts w:ascii="Arial" w:cs="Arial" w:eastAsia="Arial" w:hAnsi="Arial"/>
          <w:sz w:val="35"/>
          <w:szCs w:val="35"/>
          <w:b w:val="1"/>
          <w:bCs w:val="1"/>
          <w:color w:val="auto"/>
        </w:rPr>
        <w:t>The Beauty Health Company</w:t>
      </w:r>
    </w:p>
    <w:p>
      <w:pPr>
        <w:spacing w:after="0" w:line="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86360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420" w:type="dxa"/>
            <w:vAlign w:val="bottom"/>
            <w:gridSpan w:val="3"/>
          </w:tcPr>
          <w:p>
            <w:pPr>
              <w:ind w:left="2260"/>
              <w:spacing w:after="0"/>
              <w:rPr>
                <w:sz w:val="20"/>
                <w:szCs w:val="20"/>
                <w:color w:val="auto"/>
              </w:rPr>
            </w:pPr>
            <w:r>
              <w:rPr>
                <w:rFonts w:ascii="Arial" w:cs="Arial" w:eastAsia="Arial" w:hAnsi="Arial"/>
                <w:sz w:val="18"/>
                <w:szCs w:val="18"/>
                <w:b w:val="1"/>
                <w:bCs w:val="1"/>
                <w:color w:val="auto"/>
              </w:rPr>
              <w:t>Delaware</w:t>
            </w:r>
          </w:p>
        </w:tc>
        <w:tc>
          <w:tcPr>
            <w:tcW w:w="1580" w:type="dxa"/>
            <w:vAlign w:val="bottom"/>
          </w:tcPr>
          <w:p>
            <w:pPr>
              <w:spacing w:after="0"/>
              <w:rPr>
                <w:sz w:val="19"/>
                <w:szCs w:val="19"/>
                <w:color w:val="auto"/>
              </w:rPr>
            </w:pPr>
          </w:p>
        </w:tc>
        <w:tc>
          <w:tcPr>
            <w:tcW w:w="4240" w:type="dxa"/>
            <w:vAlign w:val="bottom"/>
            <w:gridSpan w:val="4"/>
          </w:tcPr>
          <w:p>
            <w:pPr>
              <w:jc w:val="right"/>
              <w:ind w:right="1878"/>
              <w:spacing w:after="0"/>
              <w:rPr>
                <w:sz w:val="20"/>
                <w:szCs w:val="20"/>
                <w:color w:val="auto"/>
              </w:rPr>
            </w:pPr>
            <w:r>
              <w:rPr>
                <w:rFonts w:ascii="Arial" w:cs="Arial" w:eastAsia="Arial" w:hAnsi="Arial"/>
                <w:sz w:val="18"/>
                <w:szCs w:val="18"/>
                <w:b w:val="1"/>
                <w:bCs w:val="1"/>
                <w:color w:val="auto"/>
              </w:rPr>
              <w:t>85-1908962</w:t>
            </w:r>
          </w:p>
        </w:tc>
      </w:tr>
      <w:tr>
        <w:trPr>
          <w:trHeight w:val="174"/>
        </w:trPr>
        <w:tc>
          <w:tcPr>
            <w:tcW w:w="5420" w:type="dxa"/>
            <w:vAlign w:val="bottom"/>
            <w:gridSpan w:val="3"/>
          </w:tcPr>
          <w:p>
            <w:pPr>
              <w:ind w:left="1580"/>
              <w:spacing w:after="0" w:line="174" w:lineRule="exact"/>
              <w:rPr>
                <w:sz w:val="20"/>
                <w:szCs w:val="20"/>
                <w:color w:val="auto"/>
              </w:rPr>
            </w:pPr>
            <w:r>
              <w:rPr>
                <w:rFonts w:ascii="Arial" w:cs="Arial" w:eastAsia="Arial" w:hAnsi="Arial"/>
                <w:sz w:val="18"/>
                <w:szCs w:val="18"/>
                <w:color w:val="auto"/>
              </w:rPr>
              <w:t>(State or other jurisdiction of</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jc w:val="center"/>
              <w:ind w:right="898"/>
              <w:spacing w:after="0" w:line="174" w:lineRule="exact"/>
              <w:rPr>
                <w:sz w:val="20"/>
                <w:szCs w:val="20"/>
                <w:color w:val="auto"/>
              </w:rPr>
            </w:pPr>
            <w:r>
              <w:rPr>
                <w:rFonts w:ascii="Arial" w:cs="Arial" w:eastAsia="Arial" w:hAnsi="Arial"/>
                <w:sz w:val="18"/>
                <w:szCs w:val="18"/>
                <w:color w:val="auto"/>
                <w:w w:val="92"/>
              </w:rPr>
              <w:t>(I.R.S. Employer Identification No.)</w:t>
            </w:r>
          </w:p>
        </w:tc>
      </w:tr>
      <w:tr>
        <w:trPr>
          <w:trHeight w:val="223"/>
        </w:trPr>
        <w:tc>
          <w:tcPr>
            <w:tcW w:w="5420" w:type="dxa"/>
            <w:vAlign w:val="bottom"/>
            <w:gridSpan w:val="3"/>
          </w:tcPr>
          <w:p>
            <w:pPr>
              <w:ind w:left="1560"/>
              <w:spacing w:after="0"/>
              <w:rPr>
                <w:sz w:val="20"/>
                <w:szCs w:val="20"/>
                <w:color w:val="auto"/>
              </w:rPr>
            </w:pPr>
            <w:r>
              <w:rPr>
                <w:rFonts w:ascii="Arial" w:cs="Arial" w:eastAsia="Arial" w:hAnsi="Arial"/>
                <w:sz w:val="18"/>
                <w:szCs w:val="18"/>
                <w:color w:val="auto"/>
              </w:rPr>
              <w:t>incorporation or organization)</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01"/>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231F20"/>
                <w:w w:val="88"/>
              </w:rPr>
              <w:t>2165 Spring Street</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9"/>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231F20"/>
                <w:w w:val="88"/>
              </w:rPr>
              <w:t>Long Beach, CA 90806</w:t>
            </w:r>
          </w:p>
        </w:tc>
        <w:tc>
          <w:tcPr>
            <w:tcW w:w="1580" w:type="dxa"/>
            <w:vAlign w:val="bottom"/>
          </w:tcPr>
          <w:p>
            <w:pPr>
              <w:spacing w:after="0"/>
              <w:rPr>
                <w:sz w:val="19"/>
                <w:szCs w:val="19"/>
                <w:color w:val="auto"/>
              </w:rPr>
            </w:pPr>
          </w:p>
        </w:tc>
        <w:tc>
          <w:tcPr>
            <w:tcW w:w="4240" w:type="dxa"/>
            <w:vAlign w:val="bottom"/>
            <w:gridSpan w:val="4"/>
          </w:tcPr>
          <w:p>
            <w:pPr>
              <w:jc w:val="right"/>
              <w:ind w:right="1738"/>
              <w:spacing w:after="0"/>
              <w:rPr>
                <w:sz w:val="20"/>
                <w:szCs w:val="20"/>
                <w:color w:val="auto"/>
              </w:rPr>
            </w:pPr>
            <w:r>
              <w:rPr>
                <w:rFonts w:ascii="Arial" w:cs="Arial" w:eastAsia="Arial" w:hAnsi="Arial"/>
                <w:sz w:val="18"/>
                <w:szCs w:val="18"/>
                <w:b w:val="1"/>
                <w:bCs w:val="1"/>
                <w:color w:val="231F20"/>
              </w:rPr>
              <w:t>(800) 603-4996</w:t>
            </w:r>
          </w:p>
        </w:tc>
      </w:tr>
      <w:tr>
        <w:trPr>
          <w:trHeight w:val="225"/>
        </w:trPr>
        <w:tc>
          <w:tcPr>
            <w:tcW w:w="5420" w:type="dxa"/>
            <w:vAlign w:val="bottom"/>
            <w:gridSpan w:val="3"/>
          </w:tcPr>
          <w:p>
            <w:pPr>
              <w:jc w:val="center"/>
              <w:spacing w:after="0"/>
              <w:rPr>
                <w:sz w:val="20"/>
                <w:szCs w:val="20"/>
                <w:color w:val="auto"/>
              </w:rPr>
            </w:pPr>
            <w:r>
              <w:rPr>
                <w:rFonts w:ascii="Arial" w:cs="Arial" w:eastAsia="Arial" w:hAnsi="Arial"/>
                <w:sz w:val="18"/>
                <w:szCs w:val="18"/>
                <w:color w:val="231F20"/>
                <w:w w:val="91"/>
              </w:rPr>
              <w:t>(Address of principal executive offices, including zip code)</w:t>
            </w:r>
          </w:p>
        </w:tc>
        <w:tc>
          <w:tcPr>
            <w:tcW w:w="1580" w:type="dxa"/>
            <w:vAlign w:val="bottom"/>
          </w:tcPr>
          <w:p>
            <w:pPr>
              <w:spacing w:after="0"/>
              <w:rPr>
                <w:sz w:val="19"/>
                <w:szCs w:val="19"/>
                <w:color w:val="auto"/>
              </w:rPr>
            </w:pPr>
          </w:p>
        </w:tc>
        <w:tc>
          <w:tcPr>
            <w:tcW w:w="4240" w:type="dxa"/>
            <w:vAlign w:val="bottom"/>
            <w:gridSpan w:val="4"/>
          </w:tcPr>
          <w:p>
            <w:pPr>
              <w:jc w:val="center"/>
              <w:ind w:right="418"/>
              <w:spacing w:after="0"/>
              <w:rPr>
                <w:sz w:val="20"/>
                <w:szCs w:val="20"/>
                <w:color w:val="auto"/>
              </w:rPr>
            </w:pPr>
            <w:r>
              <w:rPr>
                <w:rFonts w:ascii="Arial" w:cs="Arial" w:eastAsia="Arial" w:hAnsi="Arial"/>
                <w:sz w:val="18"/>
                <w:szCs w:val="18"/>
                <w:color w:val="231F20"/>
                <w:w w:val="88"/>
              </w:rPr>
              <w:t>Registrant's telephone number, including area code</w:t>
            </w:r>
          </w:p>
        </w:tc>
      </w:tr>
      <w:tr>
        <w:trPr>
          <w:trHeight w:val="120"/>
        </w:trPr>
        <w:tc>
          <w:tcPr>
            <w:tcW w:w="398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403"/>
        </w:trPr>
        <w:tc>
          <w:tcPr>
            <w:tcW w:w="11240" w:type="dxa"/>
            <w:vAlign w:val="bottom"/>
            <w:gridSpan w:val="8"/>
          </w:tcPr>
          <w:p>
            <w:pPr>
              <w:ind w:left="3620"/>
              <w:spacing w:after="0"/>
              <w:rPr>
                <w:sz w:val="20"/>
                <w:szCs w:val="20"/>
                <w:color w:val="auto"/>
              </w:rPr>
            </w:pPr>
            <w:r>
              <w:rPr>
                <w:rFonts w:ascii="Arial" w:cs="Arial" w:eastAsia="Arial" w:hAnsi="Arial"/>
                <w:sz w:val="18"/>
                <w:szCs w:val="18"/>
                <w:b w:val="1"/>
                <w:bCs w:val="1"/>
                <w:color w:val="231F20"/>
              </w:rPr>
              <w:t>Securities registered pursuant to Section 12(b) of the Act:</w:t>
            </w:r>
          </w:p>
        </w:tc>
      </w:tr>
      <w:tr>
        <w:trPr>
          <w:trHeight w:val="202"/>
        </w:trPr>
        <w:tc>
          <w:tcPr>
            <w:tcW w:w="5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Title of each class</w:t>
            </w:r>
          </w:p>
        </w:tc>
        <w:tc>
          <w:tcPr>
            <w:tcW w:w="1580" w:type="dxa"/>
            <w:vAlign w:val="bottom"/>
          </w:tcPr>
          <w:p>
            <w:pPr>
              <w:jc w:val="center"/>
              <w:ind w:left="261"/>
              <w:spacing w:after="0"/>
              <w:rPr>
                <w:sz w:val="20"/>
                <w:szCs w:val="20"/>
                <w:color w:val="auto"/>
              </w:rPr>
            </w:pPr>
            <w:r>
              <w:rPr>
                <w:rFonts w:ascii="Arial" w:cs="Arial" w:eastAsia="Arial" w:hAnsi="Arial"/>
                <w:sz w:val="14"/>
                <w:szCs w:val="14"/>
                <w:b w:val="1"/>
                <w:bCs w:val="1"/>
                <w:color w:val="auto"/>
                <w:w w:val="91"/>
              </w:rPr>
              <w:t>Trading Symbol(s)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5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3"/>
        </w:trPr>
        <w:tc>
          <w:tcPr>
            <w:tcW w:w="5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100" w:type="dxa"/>
            <w:vAlign w:val="bottom"/>
          </w:tcPr>
          <w:p>
            <w:pPr>
              <w:spacing w:after="0"/>
              <w:rPr>
                <w:sz w:val="19"/>
                <w:szCs w:val="19"/>
                <w:color w:val="auto"/>
              </w:rPr>
            </w:pPr>
          </w:p>
        </w:tc>
        <w:tc>
          <w:tcPr>
            <w:tcW w:w="1580" w:type="dxa"/>
            <w:vAlign w:val="bottom"/>
          </w:tcPr>
          <w:p>
            <w:pPr>
              <w:jc w:val="center"/>
              <w:ind w:left="241"/>
              <w:spacing w:after="0"/>
              <w:rPr>
                <w:sz w:val="20"/>
                <w:szCs w:val="20"/>
                <w:color w:val="auto"/>
              </w:rPr>
            </w:pPr>
            <w:r>
              <w:rPr>
                <w:rFonts w:ascii="Arial" w:cs="Arial" w:eastAsia="Arial" w:hAnsi="Arial"/>
                <w:sz w:val="18"/>
                <w:szCs w:val="18"/>
                <w:b w:val="1"/>
                <w:bCs w:val="1"/>
                <w:color w:val="auto"/>
                <w:w w:val="97"/>
              </w:rPr>
              <w:t>SKIN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Capital Market</w:t>
            </w:r>
          </w:p>
        </w:tc>
      </w:tr>
    </w:tbl>
    <w:p>
      <w:pPr>
        <w:spacing w:after="0" w:line="143" w:lineRule="exact"/>
        <w:rPr>
          <w:sz w:val="24"/>
          <w:szCs w:val="24"/>
          <w:color w:val="auto"/>
        </w:rPr>
      </w:pPr>
    </w:p>
    <w:p>
      <w:pPr>
        <w:ind w:right="5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right="20"/>
        <w:spacing w:after="0" w:line="25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0" w:lineRule="exact"/>
        <w:rPr>
          <w:sz w:val="24"/>
          <w:szCs w:val="24"/>
          <w:color w:val="auto"/>
        </w:rPr>
      </w:pPr>
    </w:p>
    <w:p>
      <w:pPr>
        <w:ind w:right="140"/>
        <w:spacing w:after="0" w:line="22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2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5" w:lineRule="exact"/>
        <w:rPr>
          <w:sz w:val="24"/>
          <w:szCs w:val="24"/>
          <w:color w:val="auto"/>
        </w:rPr>
      </w:pPr>
    </w:p>
    <w:p>
      <w:pPr>
        <w:ind w:right="180"/>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2022, there were 143,201,041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BEAUTY HEALTH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Page</w:t>
            </w:r>
          </w:p>
        </w:tc>
      </w:tr>
      <w:tr>
        <w:trPr>
          <w:trHeight w:val="193"/>
        </w:trPr>
        <w:tc>
          <w:tcPr>
            <w:tcW w:w="10620" w:type="dxa"/>
            <w:vAlign w:val="bottom"/>
            <w:tcBorders>
              <w:left w:val="single" w:sz="8" w:color="CCEEFF"/>
            </w:tcBorders>
            <w:gridSpan w:val="16"/>
            <w:shd w:val="clear" w:color="auto" w:fill="CCEEFF"/>
          </w:tcPr>
          <w:p>
            <w:pPr>
              <w:ind w:left="20"/>
              <w:spacing w:after="0"/>
              <w:rPr>
                <w:sz w:val="20"/>
                <w:szCs w:val="20"/>
                <w:color w:val="auto"/>
              </w:rPr>
            </w:pPr>
            <w:r>
              <w:rPr>
                <w:rFonts w:ascii="Arial" w:cs="Arial" w:eastAsia="Arial" w:hAnsi="Arial"/>
                <w:sz w:val="16"/>
                <w:szCs w:val="16"/>
                <w:color w:val="auto"/>
              </w:rPr>
              <w:t>PART I—FINANCIAL INFORMATION</w:t>
            </w: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Financial Statements</w:t>
            </w:r>
          </w:p>
        </w:tc>
        <w:tc>
          <w:tcPr>
            <w:tcW w:w="360" w:type="dxa"/>
            <w:vAlign w:val="bottom"/>
            <w:gridSpan w:val="2"/>
          </w:tcPr>
          <w:p>
            <w:pPr>
              <w:jc w:val="center"/>
              <w:ind w:left="172"/>
              <w:spacing w:after="0" w:line="186" w:lineRule="exact"/>
              <w:rPr>
                <w:sz w:val="20"/>
                <w:szCs w:val="20"/>
                <w:color w:val="auto"/>
              </w:rPr>
            </w:pPr>
            <w:r>
              <w:rPr>
                <w:rFonts w:ascii="Arial" w:cs="Arial" w:eastAsia="Arial" w:hAnsi="Arial"/>
                <w:sz w:val="18"/>
                <w:szCs w:val="18"/>
                <w:color w:val="0000FF"/>
                <w:w w:val="99"/>
              </w:rPr>
              <w:t>3</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Condensed Consolidated Balance Sheets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Arial" w:cs="Arial" w:eastAsia="Arial" w:hAnsi="Arial"/>
                <w:sz w:val="18"/>
                <w:szCs w:val="18"/>
                <w:color w:val="0000FF"/>
                <w:w w:val="99"/>
              </w:rPr>
              <w:t>3</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Condensed Consolidated Statements of Comprehensive Income (Loss) (Unaudited)</w:t>
            </w:r>
          </w:p>
        </w:tc>
        <w:tc>
          <w:tcPr>
            <w:tcW w:w="360" w:type="dxa"/>
            <w:vAlign w:val="bottom"/>
            <w:gridSpan w:val="2"/>
          </w:tcPr>
          <w:p>
            <w:pPr>
              <w:jc w:val="center"/>
              <w:ind w:left="172"/>
              <w:spacing w:after="0" w:line="186" w:lineRule="exact"/>
              <w:rPr>
                <w:sz w:val="20"/>
                <w:szCs w:val="20"/>
                <w:color w:val="auto"/>
              </w:rPr>
            </w:pPr>
            <w:r>
              <w:rPr>
                <w:rFonts w:ascii="Arial" w:cs="Arial" w:eastAsia="Arial" w:hAnsi="Arial"/>
                <w:sz w:val="18"/>
                <w:szCs w:val="18"/>
                <w:color w:val="0000FF"/>
                <w:w w:val="99"/>
              </w:rPr>
              <w:t>4</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Arial" w:cs="Arial" w:eastAsia="Arial" w:hAnsi="Arial"/>
                <w:sz w:val="18"/>
                <w:szCs w:val="18"/>
                <w:color w:val="0000FF"/>
                <w:w w:val="99"/>
              </w:rPr>
              <w:t>5</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Condensed Consolidated Statements of Cash Flows (Unaudited)</w:t>
            </w:r>
          </w:p>
        </w:tc>
        <w:tc>
          <w:tcPr>
            <w:tcW w:w="360" w:type="dxa"/>
            <w:vAlign w:val="bottom"/>
            <w:gridSpan w:val="2"/>
          </w:tcPr>
          <w:p>
            <w:pPr>
              <w:jc w:val="center"/>
              <w:ind w:left="172"/>
              <w:spacing w:after="0" w:line="186" w:lineRule="exact"/>
              <w:rPr>
                <w:sz w:val="20"/>
                <w:szCs w:val="20"/>
                <w:color w:val="auto"/>
              </w:rPr>
            </w:pPr>
            <w:r>
              <w:rPr>
                <w:rFonts w:ascii="Arial" w:cs="Arial" w:eastAsia="Arial" w:hAnsi="Arial"/>
                <w:sz w:val="18"/>
                <w:szCs w:val="18"/>
                <w:color w:val="0000FF"/>
                <w:w w:val="99"/>
              </w:rPr>
              <w:t>7</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Notes to Condensed Consolidated Financial Statements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Arial" w:cs="Arial" w:eastAsia="Arial" w:hAnsi="Arial"/>
                <w:sz w:val="18"/>
                <w:szCs w:val="18"/>
                <w:color w:val="0000FF"/>
                <w:w w:val="99"/>
              </w:rPr>
              <w:t>9</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26</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360" w:type="dxa"/>
            <w:vAlign w:val="bottom"/>
            <w:gridSpan w:val="2"/>
            <w:shd w:val="clear" w:color="auto" w:fill="CCEEFF"/>
          </w:tcPr>
          <w:p>
            <w:pPr>
              <w:jc w:val="center"/>
              <w:ind w:left="92"/>
              <w:spacing w:after="0" w:line="195" w:lineRule="exact"/>
              <w:rPr>
                <w:sz w:val="20"/>
                <w:szCs w:val="20"/>
                <w:color w:val="auto"/>
              </w:rPr>
            </w:pPr>
            <w:r>
              <w:rPr>
                <w:rFonts w:ascii="Arial" w:cs="Arial" w:eastAsia="Arial" w:hAnsi="Arial"/>
                <w:sz w:val="18"/>
                <w:szCs w:val="18"/>
                <w:color w:val="0000FF"/>
                <w:w w:val="89"/>
              </w:rPr>
              <w:t>38</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Controls and Procedures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39</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222"/>
        </w:trPr>
        <w:tc>
          <w:tcPr>
            <w:tcW w:w="10620" w:type="dxa"/>
            <w:vAlign w:val="bottom"/>
            <w:tcBorders>
              <w:left w:val="single" w:sz="8" w:color="CCEEFF"/>
            </w:tcBorders>
            <w:gridSpan w:val="16"/>
            <w:shd w:val="clear" w:color="auto" w:fill="CCEEFF"/>
          </w:tcPr>
          <w:p>
            <w:pPr>
              <w:ind w:left="20"/>
              <w:spacing w:after="0"/>
              <w:rPr>
                <w:sz w:val="20"/>
                <w:szCs w:val="20"/>
                <w:color w:val="auto"/>
              </w:rPr>
            </w:pPr>
            <w:r>
              <w:rPr>
                <w:rFonts w:ascii="Arial" w:cs="Arial" w:eastAsia="Arial" w:hAnsi="Arial"/>
                <w:sz w:val="16"/>
                <w:szCs w:val="16"/>
                <w:color w:val="auto"/>
              </w:rPr>
              <w:t>PART II—OTHER INFORMATION</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Legal Proceedings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41</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Item 1A.</w:t>
            </w: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Risk Factors</w:t>
            </w:r>
          </w:p>
        </w:tc>
        <w:tc>
          <w:tcPr>
            <w:tcW w:w="360" w:type="dxa"/>
            <w:vAlign w:val="bottom"/>
            <w:gridSpan w:val="2"/>
            <w:shd w:val="clear" w:color="auto" w:fill="CCEEFF"/>
          </w:tcPr>
          <w:p>
            <w:pPr>
              <w:jc w:val="center"/>
              <w:ind w:left="92"/>
              <w:spacing w:after="0" w:line="195" w:lineRule="exact"/>
              <w:rPr>
                <w:sz w:val="20"/>
                <w:szCs w:val="20"/>
                <w:color w:val="auto"/>
              </w:rPr>
            </w:pPr>
            <w:r>
              <w:rPr>
                <w:rFonts w:ascii="Arial" w:cs="Arial" w:eastAsia="Arial" w:hAnsi="Arial"/>
                <w:sz w:val="18"/>
                <w:szCs w:val="18"/>
                <w:color w:val="0000FF"/>
                <w:w w:val="89"/>
              </w:rPr>
              <w:t>41</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Unregistered Sales of Equity Securities and Use of Proceeds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41</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Defaults Upon Senior Securities</w:t>
            </w:r>
          </w:p>
        </w:tc>
        <w:tc>
          <w:tcPr>
            <w:tcW w:w="360" w:type="dxa"/>
            <w:vAlign w:val="bottom"/>
            <w:gridSpan w:val="2"/>
            <w:shd w:val="clear" w:color="auto" w:fill="CCEEFF"/>
          </w:tcPr>
          <w:p>
            <w:pPr>
              <w:jc w:val="center"/>
              <w:ind w:left="92"/>
              <w:spacing w:after="0" w:line="195" w:lineRule="exact"/>
              <w:rPr>
                <w:sz w:val="20"/>
                <w:szCs w:val="20"/>
                <w:color w:val="auto"/>
              </w:rPr>
            </w:pPr>
            <w:r>
              <w:rPr>
                <w:rFonts w:ascii="Arial" w:cs="Arial" w:eastAsia="Arial" w:hAnsi="Arial"/>
                <w:sz w:val="18"/>
                <w:szCs w:val="18"/>
                <w:color w:val="0000FF"/>
                <w:w w:val="89"/>
              </w:rPr>
              <w:t>42</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Mine Safety Disclosures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42</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Item 5.</w:t>
            </w:r>
          </w:p>
        </w:tc>
        <w:tc>
          <w:tcPr>
            <w:tcW w:w="9440" w:type="dxa"/>
            <w:vAlign w:val="bottom"/>
            <w:gridSpan w:val="14"/>
            <w:shd w:val="clear" w:color="auto" w:fill="CCEEFF"/>
          </w:tcPr>
          <w:p>
            <w:pPr>
              <w:ind w:left="80"/>
              <w:spacing w:after="0" w:line="195" w:lineRule="exact"/>
              <w:rPr>
                <w:sz w:val="20"/>
                <w:szCs w:val="20"/>
                <w:color w:val="auto"/>
              </w:rPr>
            </w:pPr>
            <w:r>
              <w:rPr>
                <w:rFonts w:ascii="Arial" w:cs="Arial" w:eastAsia="Arial" w:hAnsi="Arial"/>
                <w:sz w:val="18"/>
                <w:szCs w:val="18"/>
                <w:color w:val="0000FF"/>
              </w:rPr>
              <w:t>Other Information</w:t>
            </w:r>
          </w:p>
        </w:tc>
        <w:tc>
          <w:tcPr>
            <w:tcW w:w="360" w:type="dxa"/>
            <w:vAlign w:val="bottom"/>
            <w:gridSpan w:val="2"/>
            <w:shd w:val="clear" w:color="auto" w:fill="CCEEFF"/>
          </w:tcPr>
          <w:p>
            <w:pPr>
              <w:jc w:val="center"/>
              <w:ind w:left="92"/>
              <w:spacing w:after="0" w:line="195" w:lineRule="exact"/>
              <w:rPr>
                <w:sz w:val="20"/>
                <w:szCs w:val="20"/>
                <w:color w:val="auto"/>
              </w:rPr>
            </w:pPr>
            <w:r>
              <w:rPr>
                <w:rFonts w:ascii="Arial" w:cs="Arial" w:eastAsia="Arial" w:hAnsi="Arial"/>
                <w:sz w:val="18"/>
                <w:szCs w:val="18"/>
                <w:color w:val="0000FF"/>
                <w:w w:val="89"/>
              </w:rPr>
              <w:t>42</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95"/>
        </w:trPr>
        <w:tc>
          <w:tcPr>
            <w:tcW w:w="1180" w:type="dxa"/>
            <w:vAlign w:val="bottom"/>
            <w:gridSpan w:val="2"/>
          </w:tcPr>
          <w:p>
            <w:pPr>
              <w:ind w:left="240"/>
              <w:spacing w:after="0" w:line="186" w:lineRule="exact"/>
              <w:rPr>
                <w:sz w:val="20"/>
                <w:szCs w:val="20"/>
                <w:color w:val="auto"/>
              </w:rPr>
            </w:pPr>
            <w:r>
              <w:rPr>
                <w:rFonts w:ascii="Arial" w:cs="Arial" w:eastAsia="Arial" w:hAnsi="Arial"/>
                <w:sz w:val="18"/>
                <w:szCs w:val="18"/>
                <w:color w:val="auto"/>
              </w:rPr>
              <w:t>Item 6.</w:t>
            </w:r>
          </w:p>
        </w:tc>
        <w:tc>
          <w:tcPr>
            <w:tcW w:w="9440" w:type="dxa"/>
            <w:vAlign w:val="bottom"/>
            <w:gridSpan w:val="14"/>
          </w:tcPr>
          <w:p>
            <w:pPr>
              <w:ind w:left="80"/>
              <w:spacing w:after="0" w:line="186" w:lineRule="exact"/>
              <w:rPr>
                <w:sz w:val="20"/>
                <w:szCs w:val="20"/>
                <w:color w:val="auto"/>
              </w:rPr>
            </w:pPr>
            <w:r>
              <w:rPr>
                <w:rFonts w:ascii="Arial" w:cs="Arial" w:eastAsia="Arial" w:hAnsi="Arial"/>
                <w:sz w:val="18"/>
                <w:szCs w:val="18"/>
                <w:color w:val="0000FF"/>
              </w:rPr>
              <w:t>Exhibits</w:t>
            </w:r>
          </w:p>
        </w:tc>
        <w:tc>
          <w:tcPr>
            <w:tcW w:w="360" w:type="dxa"/>
            <w:vAlign w:val="bottom"/>
            <w:gridSpan w:val="2"/>
          </w:tcPr>
          <w:p>
            <w:pPr>
              <w:jc w:val="center"/>
              <w:ind w:left="92"/>
              <w:spacing w:after="0" w:line="186" w:lineRule="exact"/>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6"/>
                <w:szCs w:val="16"/>
                <w:color w:val="auto"/>
              </w:rPr>
            </w:pPr>
          </w:p>
        </w:tc>
      </w:tr>
      <w:tr>
        <w:trPr>
          <w:trHeight w:val="195"/>
        </w:trPr>
        <w:tc>
          <w:tcPr>
            <w:tcW w:w="1180" w:type="dxa"/>
            <w:vAlign w:val="bottom"/>
            <w:tcBorders>
              <w:left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8"/>
                <w:szCs w:val="18"/>
                <w:color w:val="0000FF"/>
                <w:w w:val="97"/>
              </w:rPr>
              <w:t>SIGNATURES</w:t>
            </w:r>
          </w:p>
        </w:tc>
        <w:tc>
          <w:tcPr>
            <w:tcW w:w="8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Cash and cash equivalents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684,208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901,886</w:t>
            </w:r>
          </w:p>
        </w:tc>
        <w:tc>
          <w:tcPr>
            <w:tcW w:w="0" w:type="dxa"/>
            <w:vAlign w:val="bottom"/>
          </w:tcPr>
          <w:p>
            <w:pPr>
              <w:spacing w:after="0"/>
              <w:rPr>
                <w:sz w:val="1"/>
                <w:szCs w:val="1"/>
                <w:color w:val="auto"/>
              </w:rPr>
            </w:pPr>
          </w:p>
        </w:tc>
      </w:tr>
      <w:tr>
        <w:trPr>
          <w:trHeight w:val="186"/>
        </w:trPr>
        <w:tc>
          <w:tcPr>
            <w:tcW w:w="7260" w:type="dxa"/>
            <w:vAlign w:val="bottom"/>
          </w:tcPr>
          <w:p>
            <w:pPr>
              <w:ind w:left="340"/>
              <w:spacing w:after="0" w:line="187" w:lineRule="exact"/>
              <w:rPr>
                <w:sz w:val="20"/>
                <w:szCs w:val="20"/>
                <w:color w:val="auto"/>
              </w:rPr>
            </w:pPr>
            <w:r>
              <w:rPr>
                <w:rFonts w:ascii="Arial" w:cs="Arial" w:eastAsia="Arial" w:hAnsi="Arial"/>
                <w:sz w:val="18"/>
                <w:szCs w:val="18"/>
                <w:color w:val="231F20"/>
              </w:rPr>
              <w:t>Accounts receivable, net of allowances for doubtful accounts of $2,894 and $2,681 at</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Pr>
          <w:p>
            <w:pPr>
              <w:ind w:left="580"/>
              <w:spacing w:after="0"/>
              <w:rPr>
                <w:sz w:val="20"/>
                <w:szCs w:val="20"/>
                <w:color w:val="auto"/>
              </w:rPr>
            </w:pPr>
            <w:r>
              <w:rPr>
                <w:rFonts w:ascii="Arial" w:cs="Arial" w:eastAsia="Arial" w:hAnsi="Arial"/>
                <w:sz w:val="18"/>
                <w:szCs w:val="18"/>
                <w:color w:val="231F20"/>
              </w:rPr>
              <w:t>September 30, 2022 and December 31, 2021, respectively</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83,983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46,824</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Prepaid expenses and other current assets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12,322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Income tax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4,599</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Inventories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101,706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Total current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892,432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1,000,892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and equipment,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16,183</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Right-of-use assets,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14,292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14,992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56,010</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122,748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123,694</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income tax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10,331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6,705</w:t>
            </w: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231F20"/>
              </w:rPr>
              <w:t>TOTAL ASSETS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1,104,795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Accounts payable</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231F20"/>
              </w:rPr>
              <w:t>32,576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29,049</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28,662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Other accrued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17,111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14,722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Lease liabilities, current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3,712</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Income tax payable</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76,438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76,437</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8"/>
                <w:szCs w:val="18"/>
                <w:color w:val="231F20"/>
              </w:rPr>
              <w:t>Lease liabilities, non-current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11,389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12,781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income tax liabilities,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3,561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Warrant liabilities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22,295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93,816</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Convertible senior notes, net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733,086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729,914</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231F20"/>
              </w:rPr>
              <w:t>TOTAL LIABILITIES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846,886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916,509</w:t>
            </w:r>
          </w:p>
        </w:tc>
        <w:tc>
          <w:tcPr>
            <w:tcW w:w="0" w:type="dxa"/>
            <w:vAlign w:val="bottom"/>
          </w:tcPr>
          <w:p>
            <w:pPr>
              <w:spacing w:after="0"/>
              <w:rPr>
                <w:sz w:val="1"/>
                <w:szCs w:val="1"/>
                <w:color w:val="auto"/>
              </w:rPr>
            </w:pPr>
          </w:p>
        </w:tc>
      </w:tr>
      <w:tr>
        <w:trPr>
          <w:trHeight w:val="206"/>
        </w:trPr>
        <w:tc>
          <w:tcPr>
            <w:tcW w:w="7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(Note 13)</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Stockholders’ equity:</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260" w:type="dxa"/>
            <w:vAlign w:val="bottom"/>
            <w:shd w:val="clear" w:color="auto" w:fill="CCEEFF"/>
          </w:tcPr>
          <w:p>
            <w:pPr>
              <w:ind w:left="340"/>
              <w:spacing w:after="0" w:line="187" w:lineRule="exact"/>
              <w:rPr>
                <w:sz w:val="20"/>
                <w:szCs w:val="20"/>
                <w:color w:val="auto"/>
              </w:rPr>
            </w:pPr>
            <w:r>
              <w:rPr>
                <w:rFonts w:ascii="Arial" w:cs="Arial" w:eastAsia="Arial" w:hAnsi="Arial"/>
                <w:sz w:val="18"/>
                <w:szCs w:val="18"/>
                <w:color w:val="231F20"/>
                <w:w w:val="92"/>
              </w:rPr>
              <w:t>Class A Common Stock, $0.0001 par value; 320,000,000 shares authorized; 143,201,041 and</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60" w:type="dxa"/>
            <w:vAlign w:val="bottom"/>
            <w:shd w:val="clear" w:color="auto" w:fill="CCEEFF"/>
          </w:tcPr>
          <w:p>
            <w:pPr>
              <w:ind w:left="500"/>
              <w:spacing w:after="0" w:line="172" w:lineRule="exact"/>
              <w:rPr>
                <w:sz w:val="20"/>
                <w:szCs w:val="20"/>
                <w:color w:val="auto"/>
              </w:rPr>
            </w:pPr>
            <w:r>
              <w:rPr>
                <w:rFonts w:ascii="Arial" w:cs="Arial" w:eastAsia="Arial" w:hAnsi="Arial"/>
                <w:sz w:val="18"/>
                <w:szCs w:val="18"/>
                <w:color w:val="231F20"/>
                <w:w w:val="91"/>
              </w:rPr>
              <w:t>150,598,047 shares issued and outstanding at September 30, 2022 and December 31, 2021,</w:t>
            </w:r>
          </w:p>
        </w:tc>
        <w:tc>
          <w:tcPr>
            <w:tcW w:w="22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16</w:t>
            </w:r>
          </w:p>
        </w:tc>
        <w:tc>
          <w:tcPr>
            <w:tcW w:w="0" w:type="dxa"/>
            <w:vAlign w:val="bottom"/>
          </w:tcPr>
          <w:p>
            <w:pPr>
              <w:spacing w:after="0"/>
              <w:rPr>
                <w:sz w:val="1"/>
                <w:szCs w:val="1"/>
                <w:color w:val="auto"/>
              </w:rPr>
            </w:pPr>
          </w:p>
        </w:tc>
      </w:tr>
      <w:tr>
        <w:trPr>
          <w:trHeight w:val="224"/>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respectively</w:t>
            </w:r>
          </w:p>
        </w:tc>
        <w:tc>
          <w:tcPr>
            <w:tcW w:w="2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260" w:type="dxa"/>
            <w:vAlign w:val="bottom"/>
          </w:tcPr>
          <w:p>
            <w:pPr>
              <w:ind w:left="340"/>
              <w:spacing w:after="0" w:line="187" w:lineRule="exact"/>
              <w:rPr>
                <w:sz w:val="20"/>
                <w:szCs w:val="20"/>
                <w:color w:val="auto"/>
              </w:rPr>
            </w:pPr>
            <w:r>
              <w:rPr>
                <w:rFonts w:ascii="Arial" w:cs="Arial" w:eastAsia="Arial" w:hAnsi="Arial"/>
                <w:sz w:val="18"/>
                <w:szCs w:val="18"/>
                <w:color w:val="231F20"/>
                <w:w w:val="98"/>
              </w:rPr>
              <w:t>Preferred Stock, $0.0001 par value; 1,000,000 shares authorized; no shares issued and</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Pr>
          <w:p>
            <w:pPr>
              <w:ind w:left="500"/>
              <w:spacing w:after="0"/>
              <w:rPr>
                <w:sz w:val="20"/>
                <w:szCs w:val="20"/>
                <w:color w:val="auto"/>
              </w:rPr>
            </w:pPr>
            <w:r>
              <w:rPr>
                <w:rFonts w:ascii="Arial" w:cs="Arial" w:eastAsia="Arial" w:hAnsi="Arial"/>
                <w:sz w:val="18"/>
                <w:szCs w:val="18"/>
                <w:color w:val="231F20"/>
              </w:rPr>
              <w:t>outstanding at September 30, 2022 and December 31, 2021</w:t>
            </w:r>
          </w:p>
        </w:tc>
        <w:tc>
          <w:tcPr>
            <w:tcW w:w="2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Additional paid-in capital</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722,250</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Accumulated other comprehensive loss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(6,725)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(1,257)</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(378,143)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(418,712)</w:t>
            </w:r>
          </w:p>
        </w:tc>
        <w:tc>
          <w:tcPr>
            <w:tcW w:w="0" w:type="dxa"/>
            <w:vAlign w:val="bottom"/>
          </w:tcPr>
          <w:p>
            <w:pPr>
              <w:spacing w:after="0"/>
              <w:rPr>
                <w:sz w:val="1"/>
                <w:szCs w:val="1"/>
                <w:color w:val="auto"/>
              </w:rPr>
            </w:pPr>
          </w:p>
        </w:tc>
      </w:tr>
      <w:tr>
        <w:trPr>
          <w:trHeight w:val="219"/>
        </w:trPr>
        <w:tc>
          <w:tcPr>
            <w:tcW w:w="7260" w:type="dxa"/>
            <w:vAlign w:val="bottom"/>
          </w:tcPr>
          <w:p>
            <w:pPr>
              <w:ind w:left="500"/>
              <w:spacing w:after="0"/>
              <w:rPr>
                <w:sz w:val="20"/>
                <w:szCs w:val="20"/>
                <w:color w:val="auto"/>
              </w:rPr>
            </w:pPr>
            <w:r>
              <w:rPr>
                <w:rFonts w:ascii="Arial" w:cs="Arial" w:eastAsia="Arial" w:hAnsi="Arial"/>
                <w:sz w:val="18"/>
                <w:szCs w:val="18"/>
                <w:b w:val="1"/>
                <w:bCs w:val="1"/>
                <w:color w:val="231F20"/>
              </w:rPr>
              <w:t>Total stockholders’ equity</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257,909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302,297</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231F20"/>
              </w:rPr>
              <w:t>LIABILITIES AND STOCKHOLDERS’ EQUITY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1,104,795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5"/>
          </w:tcPr>
          <w:p>
            <w:pPr>
              <w:ind w:left="280"/>
              <w:spacing w:after="0"/>
              <w:rPr>
                <w:sz w:val="20"/>
                <w:szCs w:val="20"/>
                <w:color w:val="auto"/>
              </w:rPr>
            </w:pPr>
            <w:r>
              <w:rPr>
                <w:rFonts w:ascii="Arial" w:cs="Arial" w:eastAsia="Arial" w:hAnsi="Arial"/>
                <w:sz w:val="14"/>
                <w:szCs w:val="14"/>
                <w:b w:val="1"/>
                <w:bCs w:val="1"/>
                <w:color w:val="231F20"/>
              </w:rPr>
              <w:t>Three Months Ended September 30,</w:t>
            </w:r>
          </w:p>
        </w:tc>
        <w:tc>
          <w:tcPr>
            <w:tcW w:w="340" w:type="dxa"/>
            <w:vAlign w:val="bottom"/>
          </w:tcPr>
          <w:p>
            <w:pPr>
              <w:spacing w:after="0"/>
              <w:rPr>
                <w:sz w:val="15"/>
                <w:szCs w:val="15"/>
                <w:color w:val="auto"/>
              </w:rPr>
            </w:pPr>
          </w:p>
        </w:tc>
        <w:tc>
          <w:tcPr>
            <w:tcW w:w="27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231F20"/>
              </w:rPr>
              <w:t>Nine Months Ended September 30,</w:t>
            </w:r>
          </w:p>
        </w:tc>
      </w:tr>
      <w:tr>
        <w:trPr>
          <w:trHeight w:val="38"/>
        </w:trPr>
        <w:tc>
          <w:tcPr>
            <w:tcW w:w="49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5"/>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2021</w:t>
            </w:r>
          </w:p>
        </w:tc>
      </w:t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sales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88,792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267,743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182,197</w:t>
            </w:r>
          </w:p>
        </w:tc>
      </w:tr>
      <w:tr>
        <w:trPr>
          <w:trHeight w:val="22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27,217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22,072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82,577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57,131</w:t>
            </w:r>
          </w:p>
        </w:tc>
      </w:tr>
      <w:tr>
        <w:trPr>
          <w:trHeight w:val="23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231F20"/>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61,575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46,075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185,166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125,066</w:t>
            </w:r>
          </w:p>
        </w:tc>
      </w:tr>
      <w:tr>
        <w:trPr>
          <w:trHeight w:val="205"/>
        </w:trPr>
        <w:tc>
          <w:tcPr>
            <w:tcW w:w="4920" w:type="dxa"/>
            <w:vAlign w:val="bottom"/>
          </w:tcPr>
          <w:p>
            <w:pPr>
              <w:ind w:left="20"/>
              <w:spacing w:after="0" w:line="204" w:lineRule="exact"/>
              <w:rPr>
                <w:sz w:val="20"/>
                <w:szCs w:val="20"/>
                <w:color w:val="auto"/>
              </w:rPr>
            </w:pPr>
            <w:r>
              <w:rPr>
                <w:rFonts w:ascii="Arial" w:cs="Arial" w:eastAsia="Arial" w:hAnsi="Arial"/>
                <w:sz w:val="18"/>
                <w:szCs w:val="18"/>
                <w:color w:val="231F20"/>
              </w:rPr>
              <w:t>Operating expenses: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Selling and marketing</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39,767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30,451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121,055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74,530</w:t>
            </w:r>
          </w:p>
        </w:tc>
      </w:tr>
      <w:tr>
        <w:trPr>
          <w:trHeight w:val="251"/>
        </w:trPr>
        <w:tc>
          <w:tcPr>
            <w:tcW w:w="4920" w:type="dxa"/>
            <w:vAlign w:val="bottom"/>
          </w:tcPr>
          <w:p>
            <w:pPr>
              <w:ind w:left="440"/>
              <w:spacing w:after="0"/>
              <w:rPr>
                <w:sz w:val="20"/>
                <w:szCs w:val="20"/>
                <w:color w:val="auto"/>
              </w:rPr>
            </w:pPr>
            <w:r>
              <w:rPr>
                <w:rFonts w:ascii="Arial" w:cs="Arial" w:eastAsia="Arial" w:hAnsi="Arial"/>
                <w:sz w:val="18"/>
                <w:szCs w:val="18"/>
                <w:color w:val="231F20"/>
              </w:rPr>
              <w:t>Research and development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2,167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1,880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6,320</w:t>
            </w: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23,782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19,200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77,628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73,643</w:t>
            </w:r>
          </w:p>
        </w:tc>
      </w:tr>
      <w:tr>
        <w:trPr>
          <w:trHeight w:val="218"/>
        </w:trPr>
        <w:tc>
          <w:tcPr>
            <w:tcW w:w="49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231F20"/>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65,716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51,531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205,681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154,493</w:t>
            </w:r>
          </w:p>
        </w:tc>
      </w:tr>
      <w:tr>
        <w:trPr>
          <w:trHeight w:val="29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from operations</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(4,141)</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(5,456)</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(20,515)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(29,427)</w:t>
            </w:r>
          </w:p>
        </w:tc>
      </w:tr>
      <w:tr>
        <w:trPr>
          <w:trHeight w:val="205"/>
        </w:trPr>
        <w:tc>
          <w:tcPr>
            <w:tcW w:w="4920" w:type="dxa"/>
            <w:vAlign w:val="bottom"/>
          </w:tcPr>
          <w:p>
            <w:pPr>
              <w:ind w:left="20"/>
              <w:spacing w:after="0" w:line="204" w:lineRule="exact"/>
              <w:rPr>
                <w:sz w:val="20"/>
                <w:szCs w:val="20"/>
                <w:color w:val="auto"/>
              </w:rPr>
            </w:pPr>
            <w:r>
              <w:rPr>
                <w:rFonts w:ascii="Arial" w:cs="Arial" w:eastAsia="Arial" w:hAnsi="Arial"/>
                <w:sz w:val="18"/>
                <w:szCs w:val="18"/>
                <w:color w:val="231F20"/>
              </w:rPr>
              <w:t>Other (income) expense: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Interest expense, net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9,997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8,289</w:t>
            </w:r>
          </w:p>
        </w:tc>
      </w:tr>
      <w:tr>
        <w:trPr>
          <w:trHeight w:val="251"/>
        </w:trPr>
        <w:tc>
          <w:tcPr>
            <w:tcW w:w="4920" w:type="dxa"/>
            <w:vAlign w:val="bottom"/>
          </w:tcPr>
          <w:p>
            <w:pPr>
              <w:ind w:left="440"/>
              <w:spacing w:after="0"/>
              <w:rPr>
                <w:sz w:val="20"/>
                <w:szCs w:val="20"/>
                <w:color w:val="auto"/>
              </w:rPr>
            </w:pPr>
            <w:r>
              <w:rPr>
                <w:rFonts w:ascii="Arial" w:cs="Arial" w:eastAsia="Arial" w:hAnsi="Arial"/>
                <w:sz w:val="18"/>
                <w:szCs w:val="18"/>
                <w:color w:val="231F20"/>
              </w:rPr>
              <w:t>Other (income) expense,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(2,509)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4,290</w:t>
            </w: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Change in fair value of warrant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(4,284)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199,306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(71,521)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271,333</w:t>
            </w:r>
          </w:p>
        </w:tc>
      </w:tr>
      <w:tr>
        <w:trPr>
          <w:trHeight w:val="251"/>
        </w:trPr>
        <w:tc>
          <w:tcPr>
            <w:tcW w:w="4920" w:type="dxa"/>
            <w:vAlign w:val="bottom"/>
          </w:tcPr>
          <w:p>
            <w:pPr>
              <w:ind w:left="440"/>
              <w:spacing w:after="0"/>
              <w:rPr>
                <w:sz w:val="20"/>
                <w:szCs w:val="20"/>
                <w:color w:val="auto"/>
              </w:rPr>
            </w:pPr>
            <w:r>
              <w:rPr>
                <w:rFonts w:ascii="Arial" w:cs="Arial" w:eastAsia="Arial" w:hAnsi="Arial"/>
                <w:sz w:val="18"/>
                <w:szCs w:val="18"/>
                <w:color w:val="231F20"/>
              </w:rPr>
              <w:t>Change in fair value of earn-out shares liability</w:t>
            </w: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10,575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47,100</w:t>
            </w: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Foreign currency transaction (gain) loss, net</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663</w:t>
            </w:r>
          </w:p>
        </w:tc>
      </w:tr>
      <w:tr>
        <w:trPr>
          <w:trHeight w:val="218"/>
        </w:trPr>
        <w:tc>
          <w:tcPr>
            <w:tcW w:w="4920" w:type="dxa"/>
            <w:vAlign w:val="bottom"/>
          </w:tcPr>
          <w:p>
            <w:pPr>
              <w:ind w:left="820"/>
              <w:spacing w:after="0"/>
              <w:rPr>
                <w:sz w:val="20"/>
                <w:szCs w:val="20"/>
                <w:color w:val="auto"/>
              </w:rPr>
            </w:pPr>
            <w:r>
              <w:rPr>
                <w:rFonts w:ascii="Arial" w:cs="Arial" w:eastAsia="Arial" w:hAnsi="Arial"/>
                <w:sz w:val="18"/>
                <w:szCs w:val="18"/>
                <w:color w:val="231F20"/>
              </w:rPr>
              <w:t>Total other (income)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(3,451)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210,818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(62,954)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331,675</w:t>
            </w:r>
          </w:p>
        </w:tc>
      </w:tr>
      <w:tr>
        <w:trPr>
          <w:trHeight w:val="29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Income (loss) before provision for income taxes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(216,274)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42,439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(361,102)</w:t>
            </w:r>
          </w:p>
        </w:tc>
      </w:tr>
      <w:tr>
        <w:trPr>
          <w:trHeight w:val="251"/>
        </w:trPr>
        <w:tc>
          <w:tcPr>
            <w:tcW w:w="4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231F20"/>
              </w:rPr>
              <w:t>Income tax (benefit) expense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(821)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(1,129)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(3,305)</w:t>
            </w:r>
          </w:p>
        </w:tc>
      </w:tr>
      <w:tr>
        <w:trPr>
          <w:trHeight w:val="29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income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(215,145)</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(357,797)</w:t>
            </w:r>
          </w:p>
        </w:tc>
      </w:tr>
      <w:tr>
        <w:trPr>
          <w:trHeight w:val="205"/>
        </w:trPr>
        <w:tc>
          <w:tcPr>
            <w:tcW w:w="4920" w:type="dxa"/>
            <w:vAlign w:val="bottom"/>
          </w:tcPr>
          <w:p>
            <w:pPr>
              <w:ind w:left="20"/>
              <w:spacing w:after="0" w:line="205" w:lineRule="exact"/>
              <w:rPr>
                <w:sz w:val="20"/>
                <w:szCs w:val="20"/>
                <w:color w:val="auto"/>
              </w:rPr>
            </w:pPr>
            <w:r>
              <w:rPr>
                <w:rFonts w:ascii="Arial" w:cs="Arial" w:eastAsia="Arial" w:hAnsi="Arial"/>
                <w:sz w:val="18"/>
                <w:szCs w:val="18"/>
                <w:b w:val="1"/>
                <w:bCs w:val="1"/>
                <w:color w:val="231F20"/>
              </w:rPr>
              <w:t>Comprehensive income (loss), net of tax:</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(1,818)</w:t>
            </w:r>
          </w:p>
        </w:tc>
      </w:tr>
      <w:tr>
        <w:trPr>
          <w:trHeight w:val="271"/>
        </w:trPr>
        <w:tc>
          <w:tcPr>
            <w:tcW w:w="4920" w:type="dxa"/>
            <w:vAlign w:val="bottom"/>
          </w:tcPr>
          <w:p>
            <w:pPr>
              <w:ind w:left="20"/>
              <w:spacing w:after="0"/>
              <w:rPr>
                <w:sz w:val="20"/>
                <w:szCs w:val="20"/>
                <w:color w:val="auto"/>
              </w:rPr>
            </w:pPr>
            <w:r>
              <w:rPr>
                <w:rFonts w:ascii="Arial" w:cs="Arial" w:eastAsia="Arial" w:hAnsi="Arial"/>
                <w:sz w:val="18"/>
                <w:szCs w:val="18"/>
                <w:b w:val="1"/>
                <w:bCs w:val="1"/>
                <w:color w:val="231F20"/>
              </w:rPr>
              <w:t>Comprehensive income (loss)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(1,505)</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(216,682)</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35,101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(359,615)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492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231F20"/>
              </w:rPr>
              <w:t>Net income (loss)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51"/>
        </w:trPr>
        <w:tc>
          <w:tcPr>
            <w:tcW w:w="4920" w:type="dxa"/>
            <w:vAlign w:val="bottom"/>
          </w:tcPr>
          <w:p>
            <w:pPr>
              <w:ind w:left="440"/>
              <w:spacing w:after="0"/>
              <w:rPr>
                <w:sz w:val="20"/>
                <w:szCs w:val="20"/>
                <w:color w:val="auto"/>
              </w:rPr>
            </w:pPr>
            <w:r>
              <w:rPr>
                <w:rFonts w:ascii="Arial" w:cs="Arial" w:eastAsia="Arial" w:hAnsi="Arial"/>
                <w:sz w:val="18"/>
                <w:szCs w:val="18"/>
                <w:color w:val="231F20"/>
              </w:rPr>
              <w:t>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0.00</w:t>
            </w:r>
          </w:p>
        </w:tc>
        <w:tc>
          <w:tcPr>
            <w:tcW w:w="8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(1.63)</w:t>
            </w:r>
          </w:p>
        </w:tc>
        <w:tc>
          <w:tcPr>
            <w:tcW w:w="8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0.27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(4.10)</w:t>
            </w: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(4.10)</w:t>
            </w:r>
          </w:p>
        </w:tc>
      </w:tr>
      <w:tr>
        <w:trPr>
          <w:trHeight w:val="224"/>
        </w:trPr>
        <w:tc>
          <w:tcPr>
            <w:tcW w:w="4920" w:type="dxa"/>
            <w:vAlign w:val="bottom"/>
          </w:tcPr>
          <w:p>
            <w:pPr>
              <w:ind w:left="20"/>
              <w:spacing w:after="0"/>
              <w:rPr>
                <w:sz w:val="20"/>
                <w:szCs w:val="20"/>
                <w:color w:val="auto"/>
              </w:rPr>
            </w:pPr>
            <w:r>
              <w:rPr>
                <w:rFonts w:ascii="Arial" w:cs="Arial" w:eastAsia="Arial" w:hAnsi="Arial"/>
                <w:sz w:val="18"/>
                <w:szCs w:val="18"/>
                <w:color w:val="231F20"/>
              </w:rPr>
              <w:t>Weighted average common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8"/>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2"/>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Basic</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150,788,695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132,306,346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150,706,795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87,219,681</w:t>
            </w:r>
          </w:p>
        </w:tc>
      </w:tr>
      <w:tr>
        <w:trPr>
          <w:trHeight w:val="251"/>
        </w:trPr>
        <w:tc>
          <w:tcPr>
            <w:tcW w:w="4920" w:type="dxa"/>
            <w:vAlign w:val="bottom"/>
          </w:tcPr>
          <w:p>
            <w:pPr>
              <w:ind w:left="440"/>
              <w:spacing w:after="0"/>
              <w:rPr>
                <w:sz w:val="20"/>
                <w:szCs w:val="20"/>
                <w:color w:val="auto"/>
              </w:rPr>
            </w:pPr>
            <w:r>
              <w:rPr>
                <w:rFonts w:ascii="Arial" w:cs="Arial" w:eastAsia="Arial" w:hAnsi="Arial"/>
                <w:sz w:val="18"/>
                <w:szCs w:val="18"/>
                <w:color w:val="231F20"/>
              </w:rPr>
              <w:t>Diluted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151,417,710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132,306,346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152,018,246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87,219,681</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3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Legacy Common</w:t>
            </w:r>
          </w:p>
        </w:tc>
        <w:tc>
          <w:tcPr>
            <w:tcW w:w="12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Legacy Preferred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196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vMerge w:val="restart"/>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Additional</w:t>
            </w:r>
          </w:p>
        </w:tc>
        <w:tc>
          <w:tcPr>
            <w:tcW w:w="880" w:type="dxa"/>
            <w:vAlign w:val="bottom"/>
            <w:gridSpan w:val="3"/>
            <w:vMerge w:val="restart"/>
          </w:tcPr>
          <w:p>
            <w:pPr>
              <w:jc w:val="center"/>
              <w:ind w:right="80"/>
              <w:spacing w:after="0" w:line="155" w:lineRule="exact"/>
              <w:rPr>
                <w:sz w:val="20"/>
                <w:szCs w:val="20"/>
                <w:color w:val="auto"/>
              </w:rPr>
            </w:pPr>
            <w:r>
              <w:rPr>
                <w:rFonts w:ascii="Arial" w:cs="Arial" w:eastAsia="Arial" w:hAnsi="Arial"/>
                <w:sz w:val="14"/>
                <w:szCs w:val="14"/>
                <w:b w:val="1"/>
                <w:bCs w:val="1"/>
                <w:color w:val="auto"/>
                <w:w w:val="87"/>
              </w:rPr>
              <w:t>Receivable</w:t>
            </w:r>
          </w:p>
        </w:tc>
        <w:tc>
          <w:tcPr>
            <w:tcW w:w="100" w:type="dxa"/>
            <w:vAlign w:val="bottom"/>
          </w:tcPr>
          <w:p>
            <w:pPr>
              <w:spacing w:after="0"/>
              <w:rPr>
                <w:sz w:val="7"/>
                <w:szCs w:val="7"/>
                <w:color w:val="auto"/>
              </w:rPr>
            </w:pPr>
          </w:p>
        </w:tc>
        <w:tc>
          <w:tcPr>
            <w:tcW w:w="1000" w:type="dxa"/>
            <w:vAlign w:val="bottom"/>
            <w:gridSpan w:val="2"/>
            <w:vMerge w:val="restart"/>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920" w:type="dxa"/>
            <w:vAlign w:val="bottom"/>
            <w:gridSpan w:val="3"/>
            <w:vMerge w:val="restart"/>
          </w:tcPr>
          <w:p>
            <w:pPr>
              <w:jc w:val="right"/>
              <w:ind w:right="42"/>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left="242"/>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Stockholders’Equity</w:t>
            </w: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2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7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89"/>
              </w:rPr>
              <w:t>from</w:t>
            </w:r>
          </w:p>
        </w:tc>
        <w:tc>
          <w:tcPr>
            <w:tcW w:w="11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6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vMerge w:val="restart"/>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Stockholder</w:t>
            </w:r>
          </w:p>
        </w:tc>
        <w:tc>
          <w:tcPr>
            <w:tcW w:w="80" w:type="dxa"/>
            <w:vAlign w:val="bottom"/>
            <w:vMerge w:val="restart"/>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Deficit</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22"/>
              <w:spacing w:after="0" w:line="139"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47"/>
        </w:trPr>
        <w:tc>
          <w:tcPr>
            <w:tcW w:w="19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02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(29,960)</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w w:val="97"/>
              </w:rPr>
              <w:t>Retroactive application of</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7"/>
              </w:rPr>
              <w:t>(54,358)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(931)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35,501,743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recapitalization</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6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rPr>
              <w:t>Adjusted balance,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35,501,743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13,952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(29,960)</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beginning of period</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6"/>
                <w:szCs w:val="16"/>
                <w:color w:val="auto"/>
                <w:w w:val="91"/>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rPr>
              <w:t>Foreign currency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1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translation adjustment</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BALANCE, March 31, 2021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35,501,743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(33,205)</w:t>
            </w: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rPr>
              <w:t>Reverse recapitalization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89,827,310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183,301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183,864</w:t>
            </w:r>
          </w:p>
        </w:tc>
        <w:tc>
          <w:tcPr>
            <w:tcW w:w="0" w:type="dxa"/>
            <w:vAlign w:val="bottom"/>
          </w:tcPr>
          <w:p>
            <w:pPr>
              <w:spacing w:after="0"/>
              <w:rPr>
                <w:sz w:val="1"/>
                <w:szCs w:val="1"/>
                <w:color w:val="auto"/>
              </w:rPr>
            </w:pPr>
          </w:p>
        </w:tc>
      </w:tr>
      <w:tr>
        <w:trPr>
          <w:trHeight w:val="206"/>
        </w:trPr>
        <w:tc>
          <w:tcPr>
            <w:tcW w:w="1960" w:type="dxa"/>
            <w:vAlign w:val="bottom"/>
          </w:tcPr>
          <w:p>
            <w:pPr>
              <w:ind w:left="340"/>
              <w:spacing w:after="0"/>
              <w:rPr>
                <w:sz w:val="20"/>
                <w:szCs w:val="20"/>
                <w:color w:val="auto"/>
              </w:rPr>
            </w:pPr>
            <w:r>
              <w:rPr>
                <w:rFonts w:ascii="Arial" w:cs="Arial" w:eastAsia="Arial" w:hAnsi="Arial"/>
                <w:sz w:val="16"/>
                <w:szCs w:val="16"/>
                <w:color w:val="auto"/>
              </w:rPr>
              <w:t>transaction, net</w:t>
            </w:r>
          </w:p>
        </w:tc>
        <w:tc>
          <w:tcPr>
            <w:tcW w:w="7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Issuance of Class A</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Common Stock in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w w:val="89"/>
              </w:rPr>
              <w:t>connection with business</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110,726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6"/>
                <w:szCs w:val="16"/>
                <w:color w:val="auto"/>
                <w:w w:val="91"/>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(139,378)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(139,378)</w:t>
            </w: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rPr>
              <w:t>Foreign currency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6"/>
        </w:trPr>
        <w:tc>
          <w:tcPr>
            <w:tcW w:w="1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translation adjustment</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125,439,779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202,352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(186,256)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line="149" w:lineRule="exact"/>
              <w:rPr>
                <w:sz w:val="20"/>
                <w:szCs w:val="20"/>
                <w:color w:val="auto"/>
              </w:rPr>
            </w:pPr>
            <w:r>
              <w:rPr>
                <w:rFonts w:ascii="Arial" w:cs="Arial" w:eastAsia="Arial" w:hAnsi="Arial"/>
                <w:sz w:val="16"/>
                <w:szCs w:val="16"/>
                <w:color w:val="auto"/>
              </w:rPr>
              <w:t>Issuance of Class A</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340"/>
              <w:spacing w:after="0" w:line="159" w:lineRule="exact"/>
              <w:rPr>
                <w:sz w:val="20"/>
                <w:szCs w:val="20"/>
                <w:color w:val="auto"/>
              </w:rPr>
            </w:pPr>
            <w:r>
              <w:rPr>
                <w:rFonts w:ascii="Arial" w:cs="Arial" w:eastAsia="Arial" w:hAnsi="Arial"/>
                <w:sz w:val="16"/>
                <w:szCs w:val="16"/>
                <w:color w:val="auto"/>
              </w:rPr>
              <w:t>Common Stock in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340"/>
              <w:spacing w:after="0" w:line="159" w:lineRule="exact"/>
              <w:rPr>
                <w:sz w:val="20"/>
                <w:szCs w:val="20"/>
                <w:color w:val="auto"/>
              </w:rPr>
            </w:pPr>
            <w:r>
              <w:rPr>
                <w:rFonts w:ascii="Arial" w:cs="Arial" w:eastAsia="Arial" w:hAnsi="Arial"/>
                <w:sz w:val="16"/>
                <w:szCs w:val="16"/>
                <w:color w:val="auto"/>
                <w:w w:val="89"/>
              </w:rPr>
              <w:t>connection with business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479,373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7,784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7,784</w:t>
            </w:r>
          </w:p>
        </w:tc>
        <w:tc>
          <w:tcPr>
            <w:tcW w:w="0" w:type="dxa"/>
            <w:vAlign w:val="bottom"/>
          </w:tcPr>
          <w:p>
            <w:pPr>
              <w:spacing w:after="0"/>
              <w:rPr>
                <w:sz w:val="1"/>
                <w:szCs w:val="1"/>
                <w:color w:val="auto"/>
              </w:rPr>
            </w:pPr>
          </w:p>
        </w:tc>
      </w:tr>
      <w:tr>
        <w:trPr>
          <w:trHeight w:val="206"/>
        </w:trPr>
        <w:tc>
          <w:tcPr>
            <w:tcW w:w="1960" w:type="dxa"/>
            <w:vAlign w:val="bottom"/>
          </w:tcPr>
          <w:p>
            <w:pPr>
              <w:ind w:left="340"/>
              <w:spacing w:after="0"/>
              <w:rPr>
                <w:sz w:val="20"/>
                <w:szCs w:val="20"/>
                <w:color w:val="auto"/>
              </w:rPr>
            </w:pPr>
            <w:r>
              <w:rPr>
                <w:rFonts w:ascii="Arial" w:cs="Arial" w:eastAsia="Arial" w:hAnsi="Arial"/>
                <w:sz w:val="16"/>
                <w:szCs w:val="16"/>
                <w:color w:val="auto"/>
              </w:rPr>
              <w:t>acquisitions</w:t>
            </w:r>
          </w:p>
        </w:tc>
        <w:tc>
          <w:tcPr>
            <w:tcW w:w="7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Issuance of Earn-out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136,574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136,575</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rPr>
              <w:t>Reverse recapitalization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70,860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06"/>
        </w:trPr>
        <w:tc>
          <w:tcPr>
            <w:tcW w:w="1960" w:type="dxa"/>
            <w:vAlign w:val="bottom"/>
          </w:tcPr>
          <w:p>
            <w:pPr>
              <w:ind w:left="340"/>
              <w:spacing w:after="0"/>
              <w:rPr>
                <w:sz w:val="20"/>
                <w:szCs w:val="20"/>
                <w:color w:val="auto"/>
              </w:rPr>
            </w:pPr>
            <w:r>
              <w:rPr>
                <w:rFonts w:ascii="Arial" w:cs="Arial" w:eastAsia="Arial" w:hAnsi="Arial"/>
                <w:sz w:val="16"/>
                <w:szCs w:val="16"/>
                <w:color w:val="auto"/>
              </w:rPr>
              <w:t>transaction, net</w:t>
            </w:r>
          </w:p>
        </w:tc>
        <w:tc>
          <w:tcPr>
            <w:tcW w:w="7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8"/>
              </w:rPr>
              <w:t>Purchase of capped calls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related to Convertible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Senior Notes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0" w:type="dxa"/>
            <w:vAlign w:val="bottom"/>
          </w:tcPr>
          <w:p>
            <w:pPr>
              <w:spacing w:after="0"/>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6"/>
                <w:szCs w:val="16"/>
                <w:color w:val="auto"/>
                <w:w w:val="91"/>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(215,145)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(215,145)</w:t>
            </w: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line="162" w:lineRule="exact"/>
              <w:rPr>
                <w:sz w:val="20"/>
                <w:szCs w:val="20"/>
                <w:color w:val="auto"/>
              </w:rPr>
            </w:pPr>
            <w:r>
              <w:rPr>
                <w:rFonts w:ascii="Arial" w:cs="Arial" w:eastAsia="Arial" w:hAnsi="Arial"/>
                <w:sz w:val="16"/>
                <w:szCs w:val="16"/>
                <w:color w:val="auto"/>
              </w:rPr>
              <w:t>Foreign currency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06"/>
        </w:trPr>
        <w:tc>
          <w:tcPr>
            <w:tcW w:w="1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translation adjustment</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BALANCE, September 30,</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133,490,012</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260,908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(401,401)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(142,055)</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180"/>
              <w:spacing w:after="0" w:line="182" w:lineRule="exact"/>
              <w:rPr>
                <w:sz w:val="20"/>
                <w:szCs w:val="20"/>
                <w:color w:val="auto"/>
              </w:rPr>
            </w:pPr>
            <w:r>
              <w:rPr>
                <w:rFonts w:ascii="Arial" w:cs="Arial" w:eastAsia="Arial" w:hAnsi="Arial"/>
                <w:sz w:val="16"/>
                <w:szCs w:val="16"/>
                <w:color w:val="auto"/>
              </w:rPr>
              <w:t>2021</w:t>
            </w:r>
          </w:p>
        </w:tc>
        <w:tc>
          <w:tcPr>
            <w:tcW w:w="7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94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Additional Paid-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5"/>
                <w:szCs w:val="5"/>
                <w:color w:val="auto"/>
              </w:rPr>
            </w:pPr>
          </w:p>
        </w:tc>
        <w:tc>
          <w:tcPr>
            <w:tcW w:w="1120" w:type="dxa"/>
            <w:vAlign w:val="bottom"/>
            <w:gridSpan w:val="2"/>
            <w:vMerge w:val="restart"/>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right"/>
              <w:spacing w:after="0" w:line="142" w:lineRule="exact"/>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 Capital</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2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150,598,047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722,250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(418,712)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302,297</w:t>
            </w: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6"/>
                <w:szCs w:val="16"/>
                <w:color w:val="auto"/>
                <w:w w:val="94"/>
              </w:rPr>
              <w:t>Issuance of common stock for vesting of restricted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40" w:type="dxa"/>
            <w:vAlign w:val="bottom"/>
          </w:tcPr>
          <w:p>
            <w:pPr>
              <w:ind w:left="340"/>
              <w:spacing w:after="0"/>
              <w:rPr>
                <w:sz w:val="20"/>
                <w:szCs w:val="20"/>
                <w:color w:val="auto"/>
              </w:rPr>
            </w:pPr>
            <w:r>
              <w:rPr>
                <w:rFonts w:ascii="Arial" w:cs="Arial" w:eastAsia="Arial" w:hAnsi="Arial"/>
                <w:sz w:val="16"/>
                <w:szCs w:val="16"/>
                <w:color w:val="auto"/>
              </w:rPr>
              <w:t>units</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w:t>
            </w:r>
          </w:p>
        </w:tc>
        <w:tc>
          <w:tcPr>
            <w:tcW w:w="0" w:type="dxa"/>
            <w:vAlign w:val="bottom"/>
          </w:tcPr>
          <w:p>
            <w:pPr>
              <w:spacing w:after="0"/>
              <w:rPr>
                <w:sz w:val="1"/>
                <w:szCs w:val="1"/>
                <w:color w:val="auto"/>
              </w:rPr>
            </w:pPr>
          </w:p>
        </w:tc>
      </w:tr>
      <w:tr>
        <w:trPr>
          <w:trHeight w:val="210"/>
        </w:trPr>
        <w:tc>
          <w:tcPr>
            <w:tcW w:w="39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32,507</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150,603,231</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729,299</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(386,205)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341,708</w:t>
            </w:r>
          </w:p>
        </w:tc>
        <w:tc>
          <w:tcPr>
            <w:tcW w:w="0" w:type="dxa"/>
            <w:vAlign w:val="bottom"/>
          </w:tcPr>
          <w:p>
            <w:pPr>
              <w:spacing w:after="0"/>
              <w:rPr>
                <w:sz w:val="1"/>
                <w:szCs w:val="1"/>
                <w:color w:val="auto"/>
              </w:rPr>
            </w:pPr>
          </w:p>
        </w:tc>
      </w:tr>
      <w:tr>
        <w:trPr>
          <w:trHeight w:val="165"/>
        </w:trPr>
        <w:tc>
          <w:tcPr>
            <w:tcW w:w="39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6"/>
              </w:rPr>
              <w:t>Issuance of Class A Common Stock in connection with</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acquisition</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6"/>
                <w:szCs w:val="16"/>
                <w:color w:val="auto"/>
              </w:rPr>
              <w:t>Issuance of common stock pursuant to equity</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252,536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40" w:type="dxa"/>
            <w:vAlign w:val="bottom"/>
          </w:tcPr>
          <w:p>
            <w:pPr>
              <w:ind w:left="340"/>
              <w:spacing w:after="0"/>
              <w:rPr>
                <w:sz w:val="20"/>
                <w:szCs w:val="20"/>
                <w:color w:val="auto"/>
              </w:rPr>
            </w:pPr>
            <w:r>
              <w:rPr>
                <w:rFonts w:ascii="Arial" w:cs="Arial" w:eastAsia="Arial" w:hAnsi="Arial"/>
                <w:sz w:val="16"/>
                <w:szCs w:val="16"/>
                <w:color w:val="auto"/>
              </w:rPr>
              <w:t>compensation plan</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6"/>
                <w:szCs w:val="16"/>
                <w:color w:val="auto"/>
              </w:rPr>
              <w:t>Shares withheld for tax withholdings on vested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(29,475)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6"/>
        </w:trPr>
        <w:tc>
          <w:tcPr>
            <w:tcW w:w="3940" w:type="dxa"/>
            <w:vAlign w:val="bottom"/>
          </w:tcPr>
          <w:p>
            <w:pPr>
              <w:ind w:left="340"/>
              <w:spacing w:after="0"/>
              <w:rPr>
                <w:sz w:val="20"/>
                <w:szCs w:val="20"/>
                <w:color w:val="auto"/>
              </w:rPr>
            </w:pPr>
            <w:r>
              <w:rPr>
                <w:rFonts w:ascii="Arial" w:cs="Arial" w:eastAsia="Arial" w:hAnsi="Arial"/>
                <w:sz w:val="16"/>
                <w:szCs w:val="16"/>
                <w:color w:val="auto"/>
              </w:rPr>
              <w:t>awards</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08"/>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150,855,025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735,682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352,335</w:t>
            </w: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6"/>
                <w:szCs w:val="16"/>
                <w:color w:val="auto"/>
              </w:rPr>
              <w:t>Issuance of common stock pursuant to equity</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64,775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40" w:type="dxa"/>
            <w:vAlign w:val="bottom"/>
          </w:tcPr>
          <w:p>
            <w:pPr>
              <w:ind w:left="340"/>
              <w:spacing w:after="0"/>
              <w:rPr>
                <w:sz w:val="20"/>
                <w:szCs w:val="20"/>
                <w:color w:val="auto"/>
              </w:rPr>
            </w:pPr>
            <w:r>
              <w:rPr>
                <w:rFonts w:ascii="Arial" w:cs="Arial" w:eastAsia="Arial" w:hAnsi="Arial"/>
                <w:sz w:val="16"/>
                <w:szCs w:val="16"/>
                <w:color w:val="auto"/>
              </w:rPr>
              <w:t>compensation plan</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9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Shares withheld for tax withholdings on vested stock</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awards</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80"/>
              <w:spacing w:after="0"/>
              <w:rPr>
                <w:sz w:val="20"/>
                <w:szCs w:val="20"/>
                <w:color w:val="auto"/>
              </w:rPr>
            </w:pPr>
            <w:r>
              <w:rPr>
                <w:rFonts w:ascii="Arial" w:cs="Arial" w:eastAsia="Arial" w:hAnsi="Arial"/>
                <w:sz w:val="16"/>
                <w:szCs w:val="16"/>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(7,692,308)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w w:val="91"/>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165"/>
        </w:trPr>
        <w:tc>
          <w:tcPr>
            <w:tcW w:w="39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7"/>
              </w:rPr>
              <w:t>Purchase of equity forward contract in connection with</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accelerated share repurchase</w:t>
            </w: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0"/>
        </w:trPr>
        <w:tc>
          <w:tcPr>
            <w:tcW w:w="39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33"/>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143,201,041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257,909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231F20"/>
        </w:rPr>
        <w:t>(in thousands)</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231F20"/>
                <w:w w:val="99"/>
              </w:rPr>
              <w:t>Nine Months Ended September 30,</w:t>
            </w:r>
          </w:p>
        </w:tc>
      </w:tr>
      <w:tr>
        <w:trPr>
          <w:trHeight w:val="199"/>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41"/>
              <w:spacing w:after="0"/>
              <w:rPr>
                <w:sz w:val="20"/>
                <w:szCs w:val="20"/>
                <w:color w:val="auto"/>
              </w:rPr>
            </w:pPr>
            <w:r>
              <w:rPr>
                <w:rFonts w:ascii="Arial" w:cs="Arial" w:eastAsia="Arial" w:hAnsi="Arial"/>
                <w:sz w:val="14"/>
                <w:szCs w:val="14"/>
                <w:b w:val="1"/>
                <w:bCs w:val="1"/>
                <w:color w:val="231F20"/>
              </w:rPr>
              <w:t>2022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Arial" w:cs="Arial" w:eastAsia="Arial" w:hAnsi="Arial"/>
                <w:sz w:val="14"/>
                <w:szCs w:val="14"/>
                <w:b w:val="1"/>
                <w:bCs w:val="1"/>
                <w:color w:val="231F20"/>
              </w:rPr>
              <w:t>2021</w:t>
            </w:r>
          </w:p>
        </w:tc>
      </w:tr>
      <w:tr>
        <w:trPr>
          <w:trHeight w:val="24"/>
        </w:trPr>
        <w:tc>
          <w:tcPr>
            <w:tcW w:w="7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2"/>
        </w:trPr>
        <w:tc>
          <w:tcPr>
            <w:tcW w:w="7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b w:val="1"/>
                <w:bCs w:val="1"/>
                <w:color w:val="231F20"/>
              </w:rPr>
              <w:t>Cash flows from operating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Net income (loss)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(357,797)</w:t>
            </w: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231F20"/>
              </w:rPr>
              <w:t>Adjustments to reconcile net income (loss) to net cash from operating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Depreciation of property and equipment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Amortization of capitalized software</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Provision for doubtful accounts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Non-cash lease expense</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3,547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intangible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r>
      <w:tr>
        <w:trPr>
          <w:trHeight w:val="209"/>
        </w:trPr>
        <w:tc>
          <w:tcPr>
            <w:tcW w:w="7920" w:type="dxa"/>
            <w:vAlign w:val="bottom"/>
          </w:tcPr>
          <w:p>
            <w:pPr>
              <w:ind w:left="420"/>
              <w:spacing w:after="0"/>
              <w:rPr>
                <w:sz w:val="20"/>
                <w:szCs w:val="20"/>
                <w:color w:val="auto"/>
              </w:rPr>
            </w:pPr>
            <w:r>
              <w:rPr>
                <w:rFonts w:ascii="Arial" w:cs="Arial" w:eastAsia="Arial" w:hAnsi="Arial"/>
                <w:sz w:val="16"/>
                <w:szCs w:val="16"/>
                <w:color w:val="231F20"/>
              </w:rPr>
              <w:t>Amortization of other assets</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deferred financing costs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w:t>
            </w:r>
          </w:p>
        </w:tc>
      </w:tr>
      <w:tr>
        <w:trPr>
          <w:trHeight w:val="209"/>
        </w:trPr>
        <w:tc>
          <w:tcPr>
            <w:tcW w:w="7920" w:type="dxa"/>
            <w:vAlign w:val="bottom"/>
          </w:tcPr>
          <w:p>
            <w:pPr>
              <w:ind w:left="420"/>
              <w:spacing w:after="0"/>
              <w:rPr>
                <w:sz w:val="20"/>
                <w:szCs w:val="20"/>
                <w:color w:val="auto"/>
              </w:rPr>
            </w:pPr>
            <w:r>
              <w:rPr>
                <w:rFonts w:ascii="Arial" w:cs="Arial" w:eastAsia="Arial" w:hAnsi="Arial"/>
                <w:sz w:val="16"/>
                <w:szCs w:val="16"/>
                <w:color w:val="231F20"/>
              </w:rPr>
              <w:t>Stock-based compensation</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20,876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8,624</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Loss on sale and disposal of long-lived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In-kind interest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4,130</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Deferred income tax benefit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Change in fair value of earn-out shares liability</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47,100</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Change in fair value adjustment of warrant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271,333</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Debt prepayment expense</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debt issuance costs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231F20"/>
              </w:rPr>
              <w:t>Changes in operating assets and liabilities: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Accounts receivable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(17,290)</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Prepaid expense and 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(4,503)</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Income taxes receivable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Inventory</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(69,340)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(2,499)</w:t>
            </w:r>
          </w:p>
        </w:tc>
      </w:tr>
      <w:tr>
        <w:trPr>
          <w:trHeight w:val="215"/>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Other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Accounts payable</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7,059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(8,048)</w:t>
            </w:r>
          </w:p>
        </w:tc>
      </w:tr>
      <w:tr>
        <w:trPr>
          <w:trHeight w:val="214"/>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Accrued payroll and other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15,624</w:t>
            </w:r>
          </w:p>
        </w:tc>
      </w:tr>
      <w:tr>
        <w:trPr>
          <w:trHeight w:val="210"/>
        </w:trPr>
        <w:tc>
          <w:tcPr>
            <w:tcW w:w="7920" w:type="dxa"/>
            <w:vAlign w:val="bottom"/>
          </w:tcPr>
          <w:p>
            <w:pPr>
              <w:ind w:left="420"/>
              <w:spacing w:after="0"/>
              <w:rPr>
                <w:sz w:val="20"/>
                <w:szCs w:val="20"/>
                <w:color w:val="auto"/>
              </w:rPr>
            </w:pPr>
            <w:r>
              <w:rPr>
                <w:rFonts w:ascii="Arial" w:cs="Arial" w:eastAsia="Arial" w:hAnsi="Arial"/>
                <w:sz w:val="16"/>
                <w:szCs w:val="16"/>
                <w:color w:val="231F20"/>
              </w:rPr>
              <w:t>Other long-term liabilities</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792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Lease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231F20"/>
              </w:rPr>
              <w:t>Income taxes payable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r>
      <w:tr>
        <w:trPr>
          <w:trHeight w:val="208"/>
        </w:trPr>
        <w:tc>
          <w:tcPr>
            <w:tcW w:w="7920" w:type="dxa"/>
            <w:vAlign w:val="bottom"/>
            <w:shd w:val="clear" w:color="auto" w:fill="CCEEFF"/>
          </w:tcPr>
          <w:p>
            <w:pPr>
              <w:ind w:left="820"/>
              <w:spacing w:after="0"/>
              <w:rPr>
                <w:sz w:val="20"/>
                <w:szCs w:val="20"/>
                <w:color w:val="auto"/>
              </w:rPr>
            </w:pPr>
            <w:r>
              <w:rPr>
                <w:rFonts w:ascii="Arial" w:cs="Arial" w:eastAsia="Arial" w:hAnsi="Arial"/>
                <w:sz w:val="16"/>
                <w:szCs w:val="16"/>
                <w:color w:val="231F20"/>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(31,640)</w:t>
            </w:r>
          </w:p>
        </w:tc>
      </w:tr>
      <w:tr>
        <w:trPr>
          <w:trHeight w:val="188"/>
        </w:trPr>
        <w:tc>
          <w:tcPr>
            <w:tcW w:w="7920" w:type="dxa"/>
            <w:vAlign w:val="bottom"/>
          </w:tcPr>
          <w:p>
            <w:pPr>
              <w:ind w:left="60"/>
              <w:spacing w:after="0"/>
              <w:rPr>
                <w:sz w:val="20"/>
                <w:szCs w:val="20"/>
                <w:color w:val="auto"/>
              </w:rPr>
            </w:pPr>
            <w:r>
              <w:rPr>
                <w:rFonts w:ascii="Arial" w:cs="Arial" w:eastAsia="Arial" w:hAnsi="Arial"/>
                <w:sz w:val="16"/>
                <w:szCs w:val="16"/>
                <w:b w:val="1"/>
                <w:bCs w:val="1"/>
                <w:color w:val="231F20"/>
              </w:rPr>
              <w:t>Cash flows used in investing activities: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
        </w:trPr>
        <w:tc>
          <w:tcPr>
            <w:tcW w:w="7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9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Capital expenditures for intangible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10"/>
        </w:trPr>
        <w:tc>
          <w:tcPr>
            <w:tcW w:w="7920" w:type="dxa"/>
            <w:vAlign w:val="bottom"/>
          </w:tcPr>
          <w:p>
            <w:pPr>
              <w:ind w:left="440"/>
              <w:spacing w:after="0"/>
              <w:rPr>
                <w:sz w:val="20"/>
                <w:szCs w:val="20"/>
                <w:color w:val="auto"/>
              </w:rPr>
            </w:pPr>
            <w:r>
              <w:rPr>
                <w:rFonts w:ascii="Arial" w:cs="Arial" w:eastAsia="Arial" w:hAnsi="Arial"/>
                <w:sz w:val="16"/>
                <w:szCs w:val="16"/>
                <w:color w:val="231F20"/>
              </w:rPr>
              <w:t>Capital expenditures for property and equipment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(4,857)</w:t>
            </w:r>
          </w:p>
        </w:tc>
      </w:tr>
      <w:tr>
        <w:trPr>
          <w:trHeight w:val="215"/>
        </w:trPr>
        <w:tc>
          <w:tcPr>
            <w:tcW w:w="79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Cash paid for business acquisitions, net of cash acquired</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(22,896)</w:t>
            </w:r>
          </w:p>
        </w:tc>
      </w:tr>
      <w:tr>
        <w:trPr>
          <w:trHeight w:val="210"/>
        </w:trPr>
        <w:tc>
          <w:tcPr>
            <w:tcW w:w="7920" w:type="dxa"/>
            <w:vAlign w:val="bottom"/>
          </w:tcPr>
          <w:p>
            <w:pPr>
              <w:ind w:left="440"/>
              <w:spacing w:after="0"/>
              <w:rPr>
                <w:sz w:val="20"/>
                <w:szCs w:val="20"/>
                <w:color w:val="auto"/>
              </w:rPr>
            </w:pPr>
            <w:r>
              <w:rPr>
                <w:rFonts w:ascii="Arial" w:cs="Arial" w:eastAsia="Arial" w:hAnsi="Arial"/>
                <w:sz w:val="16"/>
                <w:szCs w:val="16"/>
                <w:color w:val="231F20"/>
              </w:rPr>
              <w:t>Cash paid for asset acquisition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Repayment of notes receivables from shareholders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03"/>
        </w:trPr>
        <w:tc>
          <w:tcPr>
            <w:tcW w:w="7920" w:type="dxa"/>
            <w:vAlign w:val="bottom"/>
          </w:tcPr>
          <w:p>
            <w:pPr>
              <w:ind w:left="840"/>
              <w:spacing w:after="0"/>
              <w:rPr>
                <w:sz w:val="20"/>
                <w:szCs w:val="20"/>
                <w:color w:val="auto"/>
              </w:rPr>
            </w:pPr>
            <w:r>
              <w:rPr>
                <w:rFonts w:ascii="Arial" w:cs="Arial" w:eastAsia="Arial" w:hAnsi="Arial"/>
                <w:sz w:val="16"/>
                <w:szCs w:val="16"/>
                <w:color w:val="231F20"/>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(16,045)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(29,201)</w:t>
            </w:r>
          </w:p>
        </w:tc>
      </w:tr>
    </w:tbl>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CONDENSED CONSOLIDATED STATEMENTS OF CASH FLOWS (continued)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(in thousands)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231F20"/>
                <w:w w:val="98"/>
              </w:rPr>
              <w:t>Nine Months Ended September 30,</w:t>
            </w:r>
          </w:p>
        </w:tc>
      </w:tr>
      <w:tr>
        <w:trPr>
          <w:trHeight w:val="24"/>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231F20"/>
              </w:rPr>
              <w:t>2021</w:t>
            </w:r>
          </w:p>
        </w:tc>
      </w:tr>
      <w:tr>
        <w:trPr>
          <w:trHeight w:val="199"/>
        </w:trPr>
        <w:tc>
          <w:tcPr>
            <w:tcW w:w="81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231F20"/>
              </w:rPr>
              <w:t>Cash flows from financing activities: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8120" w:type="dxa"/>
            <w:vAlign w:val="bottom"/>
          </w:tcPr>
          <w:p>
            <w:pPr>
              <w:ind w:left="440"/>
              <w:spacing w:after="0"/>
              <w:rPr>
                <w:sz w:val="20"/>
                <w:szCs w:val="20"/>
                <w:color w:val="auto"/>
              </w:rPr>
            </w:pPr>
            <w:r>
              <w:rPr>
                <w:rFonts w:ascii="Arial" w:cs="Arial" w:eastAsia="Arial" w:hAnsi="Arial"/>
                <w:sz w:val="16"/>
                <w:szCs w:val="16"/>
                <w:color w:val="231F20"/>
              </w:rPr>
              <w:t>Repurchase of Class A Common Shares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Payment for equity forward contract in connection with accelerated share repurchase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20" w:type="dxa"/>
            <w:vAlign w:val="bottom"/>
          </w:tcPr>
          <w:p>
            <w:pPr>
              <w:ind w:left="440"/>
              <w:spacing w:after="0"/>
              <w:rPr>
                <w:sz w:val="20"/>
                <w:szCs w:val="20"/>
                <w:color w:val="auto"/>
              </w:rPr>
            </w:pPr>
            <w:r>
              <w:rPr>
                <w:rFonts w:ascii="Arial" w:cs="Arial" w:eastAsia="Arial" w:hAnsi="Arial"/>
                <w:sz w:val="16"/>
                <w:szCs w:val="16"/>
                <w:color w:val="231F20"/>
              </w:rPr>
              <w:t>Payment of contingent consideration related to acquisitions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Proceeds from issuance of convertible senior notes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r>
      <w:tr>
        <w:trPr>
          <w:trHeight w:val="209"/>
        </w:trPr>
        <w:tc>
          <w:tcPr>
            <w:tcW w:w="8120" w:type="dxa"/>
            <w:vAlign w:val="bottom"/>
          </w:tcPr>
          <w:p>
            <w:pPr>
              <w:ind w:left="440"/>
              <w:spacing w:after="0"/>
              <w:rPr>
                <w:sz w:val="20"/>
                <w:szCs w:val="20"/>
                <w:color w:val="auto"/>
              </w:rPr>
            </w:pPr>
            <w:r>
              <w:rPr>
                <w:rFonts w:ascii="Arial" w:cs="Arial" w:eastAsia="Arial" w:hAnsi="Arial"/>
                <w:sz w:val="16"/>
                <w:szCs w:val="16"/>
                <w:color w:val="231F20"/>
              </w:rPr>
              <w:t>Purchase of capped calls related to convertible senior notes</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(90,150)</w:t>
            </w:r>
          </w:p>
        </w:tc>
      </w:tr>
      <w:tr>
        <w:trPr>
          <w:trHeight w:val="215"/>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Proceeds from revolving facility</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0"/>
        </w:trPr>
        <w:tc>
          <w:tcPr>
            <w:tcW w:w="8120" w:type="dxa"/>
            <w:vAlign w:val="bottom"/>
          </w:tcPr>
          <w:p>
            <w:pPr>
              <w:ind w:left="440"/>
              <w:spacing w:after="0"/>
              <w:rPr>
                <w:sz w:val="20"/>
                <w:szCs w:val="20"/>
                <w:color w:val="auto"/>
              </w:rPr>
            </w:pPr>
            <w:r>
              <w:rPr>
                <w:rFonts w:ascii="Arial" w:cs="Arial" w:eastAsia="Arial" w:hAnsi="Arial"/>
                <w:sz w:val="16"/>
                <w:szCs w:val="16"/>
                <w:color w:val="231F20"/>
              </w:rPr>
              <w:t>Repayment of revolving facility</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4"/>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Payment of debt issuance costs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(21,341)</w:t>
            </w:r>
          </w:p>
        </w:tc>
      </w:tr>
      <w:tr>
        <w:trPr>
          <w:trHeight w:val="209"/>
        </w:trPr>
        <w:tc>
          <w:tcPr>
            <w:tcW w:w="8120" w:type="dxa"/>
            <w:vAlign w:val="bottom"/>
          </w:tcPr>
          <w:p>
            <w:pPr>
              <w:ind w:left="440"/>
              <w:spacing w:after="0"/>
              <w:rPr>
                <w:sz w:val="20"/>
                <w:szCs w:val="20"/>
                <w:color w:val="auto"/>
              </w:rPr>
            </w:pPr>
            <w:r>
              <w:rPr>
                <w:rFonts w:ascii="Arial" w:cs="Arial" w:eastAsia="Arial" w:hAnsi="Arial"/>
                <w:sz w:val="16"/>
                <w:szCs w:val="16"/>
                <w:color w:val="231F20"/>
              </w:rPr>
              <w:t>Repayment of term loan</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(225,486)</w:t>
            </w:r>
          </w:p>
        </w:tc>
      </w:tr>
      <w:tr>
        <w:trPr>
          <w:trHeight w:val="214"/>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Proceeds from Business Combination, net of transaction costs (See Note 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357,802</w:t>
            </w:r>
          </w:p>
        </w:tc>
      </w:tr>
      <w:tr>
        <w:trPr>
          <w:trHeight w:val="203"/>
        </w:trPr>
        <w:tc>
          <w:tcPr>
            <w:tcW w:w="81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231F20"/>
              </w:rPr>
              <w:t>Net cash (used in)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(102,763)</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770,825</w:t>
            </w:r>
          </w:p>
        </w:tc>
      </w:tr>
      <w:tr>
        <w:trPr>
          <w:trHeight w:val="208"/>
        </w:trPr>
        <w:tc>
          <w:tcPr>
            <w:tcW w:w="812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Net (decrease) increase in cash and cash equivalents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709,984</w:t>
            </w:r>
          </w:p>
        </w:tc>
      </w:tr>
      <w:tr>
        <w:trPr>
          <w:trHeight w:val="209"/>
        </w:trPr>
        <w:tc>
          <w:tcPr>
            <w:tcW w:w="8120" w:type="dxa"/>
            <w:vAlign w:val="bottom"/>
          </w:tcPr>
          <w:p>
            <w:pPr>
              <w:ind w:left="60"/>
              <w:spacing w:after="0"/>
              <w:rPr>
                <w:sz w:val="20"/>
                <w:szCs w:val="20"/>
                <w:color w:val="auto"/>
              </w:rPr>
            </w:pPr>
            <w:r>
              <w:rPr>
                <w:rFonts w:ascii="Arial" w:cs="Arial" w:eastAsia="Arial" w:hAnsi="Arial"/>
                <w:sz w:val="16"/>
                <w:szCs w:val="16"/>
                <w:color w:val="231F20"/>
              </w:rPr>
              <w:t>Effect of foreign currency translation on cash</w:t>
            </w:r>
          </w:p>
        </w:tc>
        <w:tc>
          <w:tcPr>
            <w:tcW w:w="2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2"/>
        </w:trPr>
        <w:tc>
          <w:tcPr>
            <w:tcW w:w="812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901,886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9,486</w:t>
            </w:r>
          </w:p>
        </w:tc>
      </w:tr>
      <w:tr>
        <w:trPr>
          <w:trHeight w:val="208"/>
        </w:trPr>
        <w:tc>
          <w:tcPr>
            <w:tcW w:w="8120" w:type="dxa"/>
            <w:vAlign w:val="bottom"/>
          </w:tcPr>
          <w:p>
            <w:pPr>
              <w:ind w:left="60"/>
              <w:spacing w:after="0"/>
              <w:rPr>
                <w:sz w:val="20"/>
                <w:szCs w:val="20"/>
                <w:color w:val="auto"/>
              </w:rPr>
            </w:pPr>
            <w:r>
              <w:rPr>
                <w:rFonts w:ascii="Arial" w:cs="Arial" w:eastAsia="Arial" w:hAnsi="Arial"/>
                <w:sz w:val="16"/>
                <w:szCs w:val="16"/>
                <w:color w:val="231F20"/>
              </w:rPr>
              <w:t>Cash and cash equivalents, end of period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684,208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718,622</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1"/>
        </w:trPr>
        <w:tc>
          <w:tcPr>
            <w:tcW w:w="8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120" w:type="dxa"/>
            <w:vAlign w:val="bottom"/>
          </w:tcPr>
          <w:p>
            <w:pPr>
              <w:ind w:left="60"/>
              <w:spacing w:after="0"/>
              <w:rPr>
                <w:sz w:val="20"/>
                <w:szCs w:val="20"/>
                <w:color w:val="auto"/>
              </w:rPr>
            </w:pPr>
            <w:r>
              <w:rPr>
                <w:rFonts w:ascii="Arial" w:cs="Arial" w:eastAsia="Arial" w:hAnsi="Arial"/>
                <w:sz w:val="16"/>
                <w:szCs w:val="16"/>
                <w:b w:val="1"/>
                <w:bCs w:val="1"/>
                <w:color w:val="231F20"/>
              </w:rPr>
              <w:t>Supplemental disclosures of cash flow information and non-cash investing and financing activities: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1"/>
        </w:trPr>
        <w:tc>
          <w:tcPr>
            <w:tcW w:w="812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Cash paid for interest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10,249</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231F20"/>
              </w:rPr>
              <w:t>Common stock issued for asset acquisition</w:t>
            </w:r>
          </w:p>
        </w:tc>
        <w:tc>
          <w:tcPr>
            <w:tcW w:w="2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2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Cash (received) paid for income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0"/>
        </w:trPr>
        <w:tc>
          <w:tcPr>
            <w:tcW w:w="8120" w:type="dxa"/>
            <w:vAlign w:val="bottom"/>
          </w:tcPr>
          <w:p>
            <w:pPr>
              <w:ind w:left="480"/>
              <w:spacing w:after="0"/>
              <w:rPr>
                <w:sz w:val="20"/>
                <w:szCs w:val="20"/>
                <w:color w:val="auto"/>
              </w:rPr>
            </w:pPr>
            <w:r>
              <w:rPr>
                <w:rFonts w:ascii="Arial" w:cs="Arial" w:eastAsia="Arial" w:hAnsi="Arial"/>
                <w:sz w:val="16"/>
                <w:szCs w:val="16"/>
                <w:color w:val="231F20"/>
              </w:rPr>
              <w:t>Capital expenditures included in accounts payable</w:t>
            </w:r>
          </w:p>
        </w:tc>
        <w:tc>
          <w:tcPr>
            <w:tcW w:w="2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15"/>
        </w:trPr>
        <w:tc>
          <w:tcPr>
            <w:tcW w:w="812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Common stock issued for business acquisitions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r>
      <w:tr>
        <w:trPr>
          <w:trHeight w:val="210"/>
        </w:trPr>
        <w:tc>
          <w:tcPr>
            <w:tcW w:w="8120" w:type="dxa"/>
            <w:vAlign w:val="bottom"/>
          </w:tcPr>
          <w:p>
            <w:pPr>
              <w:ind w:left="480"/>
              <w:spacing w:after="0"/>
              <w:rPr>
                <w:sz w:val="20"/>
                <w:szCs w:val="20"/>
                <w:color w:val="auto"/>
              </w:rPr>
            </w:pPr>
            <w:r>
              <w:rPr>
                <w:rFonts w:ascii="Arial" w:cs="Arial" w:eastAsia="Arial" w:hAnsi="Arial"/>
                <w:sz w:val="16"/>
                <w:szCs w:val="16"/>
                <w:color w:val="231F20"/>
              </w:rPr>
              <w:t>Issuance of earn-out shares</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136,575</w:t>
            </w:r>
          </w:p>
        </w:tc>
      </w:tr>
      <w:tr>
        <w:trPr>
          <w:trHeight w:val="214"/>
        </w:trPr>
        <w:tc>
          <w:tcPr>
            <w:tcW w:w="812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Trade receivables due from seller</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r>
      <w:tr>
        <w:trPr>
          <w:trHeight w:val="210"/>
        </w:trPr>
        <w:tc>
          <w:tcPr>
            <w:tcW w:w="8120" w:type="dxa"/>
            <w:vAlign w:val="bottom"/>
          </w:tcPr>
          <w:p>
            <w:pPr>
              <w:ind w:left="480"/>
              <w:spacing w:after="0"/>
              <w:rPr>
                <w:sz w:val="20"/>
                <w:szCs w:val="20"/>
                <w:color w:val="auto"/>
              </w:rPr>
            </w:pPr>
            <w:r>
              <w:rPr>
                <w:rFonts w:ascii="Arial" w:cs="Arial" w:eastAsia="Arial" w:hAnsi="Arial"/>
                <w:sz w:val="16"/>
                <w:szCs w:val="16"/>
                <w:color w:val="231F20"/>
              </w:rPr>
              <w:t>Notes payable to seller</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2,153</w:t>
            </w:r>
          </w:p>
        </w:tc>
      </w:tr>
      <w:tr>
        <w:trPr>
          <w:trHeight w:val="215"/>
        </w:trPr>
        <w:tc>
          <w:tcPr>
            <w:tcW w:w="812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Change in deferred tax liability due to reverse recapitalization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5320" w:right="2720" w:hanging="2593"/>
        <w:spacing w:after="0" w:line="25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0"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On May 4, 2021 (the “Closing Date”), the Company consummated the previously announced business combination pursuant to that certain Agreement and Plan of Merger, dated December 8, 2020 (the “Merger Agreement”), by and among Vesper Healthcare Acquisition Corp. (“Vesper”),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1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Vesper’s Second Amended and Restated Certificate of Incorporation.</w:t>
      </w:r>
    </w:p>
    <w:p>
      <w:pPr>
        <w:spacing w:after="0" w:line="217"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Unless the context otherwise requires, in this Quarterly Report on Form 10-Q,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References to “Vesper” refer to Vesper Healthcare Acquisition Corp. prior to the consummation of the Business Combination.</w:t>
      </w:r>
    </w:p>
    <w:p>
      <w:pPr>
        <w:spacing w:after="0" w:line="2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serums that are made with nourishing ingredients.</w:t>
      </w:r>
    </w:p>
    <w:p>
      <w:pPr>
        <w:spacing w:after="0" w:line="217"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 COVID-19 pandemic has had, and may continue to have adverse impacts on our business. As government authorities around the world continue to implement significant measures intended to control the spread of the virus and institute restrictions on commercial operations, while simultaneously implementing policies designed to reopen certain markets, we are working to ensure our compliance and maintain business continuity for essential operations.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250"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The accompanying unaudited interim financial statements have been prepared in accordance with the instructions to Form 10-Q and Article 10 of Regulation S-X. Accordingly, they do not include all information and footnotes required by accounting</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spacing w:after="0" w:line="21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notes thereto included in, or presented as exhibits to, the Company’s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0"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Information regarding the Company’s significant accounting policies is contained in Note 2, “Summary of Significant Accounting Policies”, to the consolidated financial statements included in the Company’s Annual Report on Form 10-K filed with the SEC on March 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4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October 2021, the Financial Accounting Standards Board (“FASB”) issued Accounting Standards Update (“ASU”) ASU 2021-08, Business Combinations (Topic 805), which primarily relates to the accounting for contract assets and contract liabilities from contracts with customers in a business combination. The standard will be effective for annual reporting periods beginning after December 31, 2022, including interim reporting periods within those periods, with early adoption permitted. We are currently evaluating the impact of adopting this new accounting guidance on our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 and Asset Acquisitions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 — Reverse Recapitalization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17" w:lineRule="exact"/>
        <w:rPr>
          <w:rFonts w:ascii="Arial" w:cs="Arial" w:eastAsia="Arial" w:hAnsi="Arial"/>
          <w:sz w:val="18"/>
          <w:szCs w:val="18"/>
          <w:color w:val="auto"/>
        </w:rPr>
      </w:pPr>
    </w:p>
    <w:p>
      <w:pPr>
        <w:ind w:left="640" w:right="2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 of Founder Shares.</w:t>
      </w:r>
    </w:p>
    <w:p>
      <w:pPr>
        <w:spacing w:after="0" w:line="217" w:lineRule="exact"/>
        <w:rPr>
          <w:rFonts w:ascii="Arial" w:cs="Arial" w:eastAsia="Arial" w:hAnsi="Arial"/>
          <w:sz w:val="18"/>
          <w:szCs w:val="18"/>
          <w:color w:val="auto"/>
        </w:rPr>
      </w:pPr>
    </w:p>
    <w:p>
      <w:pPr>
        <w:ind w:left="640" w:right="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214"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Immediately after giving effect to the Merger and the PIPE Investment, there were 125,329,053 shares of the Company’s Class A Common Stock issued and outstanding.</w:t>
      </w:r>
    </w:p>
    <w:p>
      <w:pPr>
        <w:spacing w:after="0" w:line="207" w:lineRule="exact"/>
        <w:rPr>
          <w:rFonts w:ascii="Arial" w:cs="Arial" w:eastAsia="Arial" w:hAnsi="Arial"/>
          <w:sz w:val="18"/>
          <w:szCs w:val="18"/>
          <w:color w:val="auto"/>
        </w:rPr>
      </w:pPr>
    </w:p>
    <w:p>
      <w:pPr>
        <w:ind w:left="640" w:right="20" w:hanging="316"/>
        <w:spacing w:after="0" w:line="300"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20"/>
        <w:spacing w:after="0" w:line="247" w:lineRule="auto"/>
        <w:rPr>
          <w:rFonts w:ascii="Arial" w:cs="Arial" w:eastAsia="Arial" w:hAnsi="Arial"/>
          <w:sz w:val="15"/>
          <w:szCs w:val="15"/>
          <w:color w:val="auto"/>
        </w:rPr>
      </w:pPr>
      <w:r>
        <w:rPr>
          <w:rFonts w:ascii="Arial" w:cs="Arial" w:eastAsia="Arial" w:hAnsi="Arial"/>
          <w:sz w:val="18"/>
          <w:szCs w:val="18"/>
          <w:color w:val="auto"/>
        </w:rPr>
        <w:t>$368 million, which consisted of cash payments made to the former shareholders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subject to a working capital adjustment of $0.9 million. The Company also issued 70,860 shares related to the working capital adjustment.</w:t>
      </w:r>
    </w:p>
    <w:p>
      <w:pPr>
        <w:spacing w:after="0" w:line="36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reconciles the elements of the Business Combination to the Company’s Consolidated Statements of Cash Flows and the Consolidated Statements of Stockholders’ Equity (Deficit) for the year ended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20" w:type="dxa"/>
            <w:vAlign w:val="bottom"/>
          </w:tcPr>
          <w:p>
            <w:pPr>
              <w:spacing w:after="0"/>
              <w:rPr>
                <w:sz w:val="15"/>
                <w:szCs w:val="15"/>
                <w:color w:val="auto"/>
              </w:rPr>
            </w:pPr>
          </w:p>
        </w:tc>
        <w:tc>
          <w:tcPr>
            <w:tcW w:w="2160" w:type="dxa"/>
            <w:vAlign w:val="bottom"/>
          </w:tcPr>
          <w:p>
            <w:pPr>
              <w:jc w:val="right"/>
              <w:ind w:right="714"/>
              <w:spacing w:after="0"/>
              <w:rPr>
                <w:sz w:val="20"/>
                <w:szCs w:val="20"/>
                <w:color w:val="auto"/>
              </w:rPr>
            </w:pPr>
            <w:r>
              <w:rPr>
                <w:rFonts w:ascii="Arial" w:cs="Arial" w:eastAsia="Arial" w:hAnsi="Arial"/>
                <w:sz w:val="14"/>
                <w:szCs w:val="14"/>
                <w:b w:val="1"/>
                <w:bCs w:val="1"/>
                <w:color w:val="auto"/>
              </w:rPr>
              <w:t>Recapitalization</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trust, net of redemptions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433,382</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Cash — PIPE</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to Former Parent</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(367,870)</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(56,976)</w:t>
            </w:r>
          </w:p>
        </w:tc>
        <w:tc>
          <w:tcPr>
            <w:tcW w:w="0" w:type="dxa"/>
            <w:vAlign w:val="bottom"/>
          </w:tcPr>
          <w:p>
            <w:pPr>
              <w:spacing w:after="0"/>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from net working capital adjustment related to acquisitions</w:t>
            </w:r>
          </w:p>
        </w:tc>
        <w:tc>
          <w:tcPr>
            <w:tcW w:w="4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9"/>
        </w:trPr>
        <w:tc>
          <w:tcPr>
            <w:tcW w:w="8660" w:type="dxa"/>
            <w:vAlign w:val="bottom"/>
          </w:tcPr>
          <w:p>
            <w:pPr>
              <w:ind w:left="20"/>
              <w:spacing w:after="0"/>
              <w:rPr>
                <w:sz w:val="20"/>
                <w:szCs w:val="20"/>
                <w:color w:val="auto"/>
              </w:rPr>
            </w:pPr>
            <w:r>
              <w:rPr>
                <w:rFonts w:ascii="Arial" w:cs="Arial" w:eastAsia="Arial" w:hAnsi="Arial"/>
                <w:sz w:val="18"/>
                <w:szCs w:val="18"/>
                <w:color w:val="auto"/>
              </w:rPr>
              <w:t>Net Cash Received from Business Combination</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357,634</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320"/>
              <w:spacing w:after="0"/>
              <w:rPr>
                <w:sz w:val="20"/>
                <w:szCs w:val="20"/>
                <w:color w:val="auto"/>
              </w:rPr>
            </w:pPr>
            <w:r>
              <w:rPr>
                <w:rFonts w:ascii="Arial" w:cs="Arial" w:eastAsia="Arial" w:hAnsi="Arial"/>
                <w:sz w:val="18"/>
                <w:szCs w:val="18"/>
                <w:color w:val="auto"/>
                <w:w w:val="90"/>
              </w:rPr>
              <w:t>The number of shares of Class A Common Stock issued following the consummation of the Business Combination:</w:t>
            </w: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8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jc w:val="right"/>
              <w:ind w:right="654"/>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prior to Business Combination</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c>
          <w:tcPr>
            <w:tcW w:w="0" w:type="dxa"/>
            <w:vAlign w:val="bottom"/>
          </w:tcPr>
          <w:p>
            <w:pPr>
              <w:spacing w:after="0"/>
              <w:rPr>
                <w:sz w:val="1"/>
                <w:szCs w:val="1"/>
                <w:color w:val="auto"/>
              </w:rPr>
            </w:pP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Vesper Class A Common Stock</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(2,672,690)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of Vesper</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43,327,310</w:t>
            </w:r>
          </w:p>
        </w:tc>
        <w:tc>
          <w:tcPr>
            <w:tcW w:w="0" w:type="dxa"/>
            <w:vAlign w:val="bottom"/>
          </w:tcPr>
          <w:p>
            <w:pPr>
              <w:spacing w:after="0"/>
              <w:rPr>
                <w:sz w:val="1"/>
                <w:szCs w:val="1"/>
                <w:color w:val="auto"/>
              </w:rPr>
            </w:pP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Founder shares (Vesper Class B Common Stock)</w:t>
            </w: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Shares</w:t>
            </w:r>
          </w:p>
        </w:tc>
        <w:tc>
          <w:tcPr>
            <w:tcW w:w="4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8"/>
        </w:trPr>
        <w:tc>
          <w:tcPr>
            <w:tcW w:w="8660" w:type="dxa"/>
            <w:vAlign w:val="bottom"/>
          </w:tcPr>
          <w:p>
            <w:pPr>
              <w:ind w:left="20"/>
              <w:spacing w:after="0"/>
              <w:rPr>
                <w:sz w:val="20"/>
                <w:szCs w:val="20"/>
                <w:color w:val="auto"/>
              </w:rPr>
            </w:pPr>
            <w:r>
              <w:rPr>
                <w:rFonts w:ascii="Arial" w:cs="Arial" w:eastAsia="Arial" w:hAnsi="Arial"/>
                <w:sz w:val="18"/>
                <w:szCs w:val="18"/>
                <w:color w:val="auto"/>
              </w:rPr>
              <w:t>Business Combination and PIPE shares</w:t>
            </w:r>
          </w:p>
        </w:tc>
        <w:tc>
          <w:tcPr>
            <w:tcW w:w="4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89,827,310</w:t>
            </w:r>
          </w:p>
        </w:tc>
        <w:tc>
          <w:tcPr>
            <w:tcW w:w="0" w:type="dxa"/>
            <w:vAlign w:val="bottom"/>
          </w:tcPr>
          <w:p>
            <w:pPr>
              <w:spacing w:after="0"/>
              <w:rPr>
                <w:sz w:val="1"/>
                <w:szCs w:val="1"/>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Legacy Hydrafacial shares </w:t>
            </w:r>
            <w:r>
              <w:rPr>
                <w:rFonts w:ascii="Arial" w:cs="Arial" w:eastAsia="Arial" w:hAnsi="Arial"/>
                <w:sz w:val="15"/>
                <w:szCs w:val="15"/>
                <w:color w:val="auto"/>
              </w:rPr>
              <w:t>(1)</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35,501,743</w:t>
            </w:r>
          </w:p>
        </w:tc>
        <w:tc>
          <w:tcPr>
            <w:tcW w:w="0" w:type="dxa"/>
            <w:vAlign w:val="bottom"/>
          </w:tcPr>
          <w:p>
            <w:pPr>
              <w:spacing w:after="0"/>
              <w:rPr>
                <w:sz w:val="1"/>
                <w:szCs w:val="1"/>
                <w:color w:val="auto"/>
              </w:rPr>
            </w:pP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 Class A Common Stock issued</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after Business Combination</w:t>
            </w:r>
          </w:p>
        </w:tc>
        <w:tc>
          <w:tcPr>
            <w:tcW w:w="42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125,399,913</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3" w:lineRule="exact"/>
        <w:rPr>
          <w:sz w:val="20"/>
          <w:szCs w:val="20"/>
          <w:color w:val="auto"/>
        </w:rPr>
      </w:pPr>
    </w:p>
    <w:p>
      <w:pPr>
        <w:ind w:left="320" w:right="480" w:hanging="314"/>
        <w:spacing w:after="0" w:line="284"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Distributor Acquisitions</w:t>
      </w:r>
    </w:p>
    <w:p>
      <w:pPr>
        <w:spacing w:after="0" w:line="244"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 xml:space="preserve">On June 4, 2021, the Company acquired </w:t>
      </w:r>
      <w:r>
        <w:rPr>
          <w:rFonts w:ascii="Arial" w:cs="Arial" w:eastAsia="Arial" w:hAnsi="Arial"/>
          <w:sz w:val="15"/>
          <w:szCs w:val="15"/>
          <w:color w:val="231F20"/>
        </w:rPr>
        <w:t>High Tech Laser, Australia Pty Ltd (“HTL”), a distributor of the Company’s products in Australia. On July 1,</w:t>
      </w:r>
      <w:r>
        <w:rPr>
          <w:rFonts w:ascii="Arial" w:cs="Arial" w:eastAsia="Arial" w:hAnsi="Arial"/>
          <w:sz w:val="15"/>
          <w:szCs w:val="15"/>
          <w:color w:val="auto"/>
        </w:rPr>
        <w:t xml:space="preserve"> </w:t>
      </w:r>
      <w:r>
        <w:rPr>
          <w:rFonts w:ascii="Arial" w:cs="Arial" w:eastAsia="Arial" w:hAnsi="Arial"/>
          <w:sz w:val="15"/>
          <w:szCs w:val="15"/>
          <w:color w:val="231F20"/>
        </w:rPr>
        <w:t>2021, the Company acquired Wigmore Medical 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 Cash paid for the four distributors totaled $23.7 million.</w:t>
      </w:r>
    </w:p>
    <w:p>
      <w:pPr>
        <w:spacing w:after="0" w:line="172"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w:t>
      </w:r>
    </w:p>
    <w:p>
      <w:pPr>
        <w:spacing w:after="0" w:line="151"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 xml:space="preserve">The Company finalized the valuation of assets acquired and liabilities assumed for the distributor acquisitions as of June 30, 2022. </w:t>
      </w:r>
      <w:r>
        <w:rPr>
          <w:rFonts w:ascii="Arial" w:cs="Arial" w:eastAsia="Arial" w:hAnsi="Arial"/>
          <w:sz w:val="18"/>
          <w:szCs w:val="18"/>
          <w:color w:val="231F20"/>
        </w:rPr>
        <w:t>The following table</w:t>
      </w:r>
      <w:r>
        <w:rPr>
          <w:rFonts w:ascii="Arial" w:cs="Arial" w:eastAsia="Arial" w:hAnsi="Arial"/>
          <w:sz w:val="18"/>
          <w:szCs w:val="18"/>
          <w:color w:val="auto"/>
        </w:rPr>
        <w:t xml:space="preserve"> </w:t>
      </w:r>
      <w:r>
        <w:rPr>
          <w:rFonts w:ascii="Arial" w:cs="Arial" w:eastAsia="Arial" w:hAnsi="Arial"/>
          <w:sz w:val="18"/>
          <w:szCs w:val="18"/>
          <w:color w:val="231F20"/>
        </w:rPr>
        <w:t>summarizes the consideration and fair values assigned to the assets acquired and liabilities</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231F20"/>
        </w:rPr>
        <w:t>assumed at the dates of acquisition for the Wigmore, Ecomedic and Sidermica acquisitions and summarizes the HTL acquisition after measurement period adjustments.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231F20"/>
              </w:rPr>
              <w:t>HTL</w:t>
            </w:r>
          </w:p>
        </w:tc>
        <w:tc>
          <w:tcPr>
            <w:tcW w:w="34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231F20"/>
              </w:rPr>
              <w:t xml:space="preserve">Wigmore </w:t>
            </w:r>
            <w:r>
              <w:rPr>
                <w:rFonts w:ascii="Arial" w:cs="Arial" w:eastAsia="Arial" w:hAnsi="Arial"/>
                <w:sz w:val="14"/>
                <w:szCs w:val="14"/>
                <w:color w:val="231F20"/>
              </w:rPr>
              <w:t>(2)</w:t>
            </w:r>
          </w:p>
        </w:tc>
        <w:tc>
          <w:tcPr>
            <w:tcW w:w="30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231F20"/>
              </w:rPr>
              <w:t xml:space="preserve">Ecomedic </w:t>
            </w:r>
            <w:r>
              <w:rPr>
                <w:rFonts w:ascii="Arial" w:cs="Arial" w:eastAsia="Arial" w:hAnsi="Arial"/>
                <w:sz w:val="14"/>
                <w:szCs w:val="14"/>
                <w:color w:val="231F20"/>
              </w:rPr>
              <w:t>(3)</w:t>
            </w:r>
          </w:p>
        </w:tc>
        <w:tc>
          <w:tcPr>
            <w:tcW w:w="280" w:type="dxa"/>
            <w:vAlign w:val="bottom"/>
          </w:tcPr>
          <w:p>
            <w:pPr>
              <w:spacing w:after="0"/>
              <w:rPr>
                <w:sz w:val="15"/>
                <w:szCs w:val="15"/>
                <w:color w:val="auto"/>
              </w:rPr>
            </w:pP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231F20"/>
              </w:rPr>
              <w:t xml:space="preserve">Sidermica </w:t>
            </w:r>
            <w:r>
              <w:rPr>
                <w:rFonts w:ascii="Arial" w:cs="Arial" w:eastAsia="Arial" w:hAnsi="Arial"/>
                <w:sz w:val="14"/>
                <w:szCs w:val="14"/>
                <w:color w:val="231F20"/>
              </w:rPr>
              <w:t>(4)</w:t>
            </w:r>
          </w:p>
        </w:tc>
      </w:tr>
      <w:tr>
        <w:trPr>
          <w:trHeight w:val="24"/>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Consideration paid: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Cash, net of cash acquired</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4,920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2,540</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11,338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6,861</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 xml:space="preserve">Class A Common Stock issued </w:t>
            </w:r>
            <w:r>
              <w:rPr>
                <w:rFonts w:ascii="Arial" w:cs="Arial" w:eastAsia="Arial" w:hAnsi="Arial"/>
                <w:sz w:val="15"/>
                <w:szCs w:val="15"/>
                <w:color w:val="231F20"/>
              </w:rPr>
              <w:t>(1)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Trade receivables due from seller</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2,336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1,679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1,581</w:t>
            </w:r>
          </w:p>
        </w:tc>
      </w:tr>
      <w:tr>
        <w:trPr>
          <w:trHeight w:val="225"/>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Notes payable to seller</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9"/>
        </w:trPr>
        <w:tc>
          <w:tcPr>
            <w:tcW w:w="36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7,504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5,332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21,683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9,257</w:t>
            </w:r>
          </w:p>
        </w:tc>
      </w:tr>
      <w:tr>
        <w:trPr>
          <w:trHeight w:val="206"/>
        </w:trPr>
        <w:tc>
          <w:tcPr>
            <w:tcW w:w="3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w w:val="88"/>
              </w:rPr>
              <w:t>Identifiable assets acquired and liabilities assumed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Accounts receivable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1,110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2,079</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15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1,657</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Non-compete agreement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Customer relationships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2,276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5,487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2,700</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Inventory and other assets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454</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Accounts payable</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(456)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Deferred tax liabilities, net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Accrued and 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r>
      <w:tr>
        <w:trPr>
          <w:trHeight w:val="219"/>
        </w:trPr>
        <w:tc>
          <w:tcPr>
            <w:tcW w:w="3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identifiable net assets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4,911</w:t>
            </w:r>
          </w:p>
        </w:tc>
      </w:tr>
      <w:tr>
        <w:trPr>
          <w:trHeight w:val="218"/>
        </w:trPr>
        <w:tc>
          <w:tcPr>
            <w:tcW w:w="3660" w:type="dxa"/>
            <w:vAlign w:val="bottom"/>
          </w:tcPr>
          <w:p>
            <w:pPr>
              <w:ind w:left="60"/>
              <w:spacing w:after="0" w:line="204" w:lineRule="exact"/>
              <w:rPr>
                <w:sz w:val="20"/>
                <w:szCs w:val="20"/>
                <w:color w:val="auto"/>
              </w:rPr>
            </w:pPr>
            <w:r>
              <w:rPr>
                <w:rFonts w:ascii="Arial" w:cs="Arial" w:eastAsia="Arial" w:hAnsi="Arial"/>
                <w:sz w:val="18"/>
                <w:szCs w:val="18"/>
                <w:color w:val="231F20"/>
              </w:rPr>
              <w:t>Goodwill</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4,766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2,191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17,451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4,346</w:t>
            </w:r>
          </w:p>
        </w:tc>
      </w:tr>
      <w:tr>
        <w:trPr>
          <w:trHeight w:val="20"/>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60" w:lineRule="exact"/>
        <w:rPr>
          <w:sz w:val="20"/>
          <w:szCs w:val="20"/>
          <w:color w:val="auto"/>
        </w:rPr>
      </w:pPr>
    </w:p>
    <w:p>
      <w:pPr>
        <w:ind w:left="320" w:right="500" w:hanging="314"/>
        <w:spacing w:after="0" w:line="267"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Class A Common Stock issued as consideration for the acquisitions was 110,726, 28,157, 401,021 and 50,195 shares for HTL, Wigmore, Ecomedic and Sidermica, respectively.</w:t>
      </w:r>
    </w:p>
    <w:p>
      <w:pPr>
        <w:spacing w:after="0" w:line="27" w:lineRule="exact"/>
        <w:rPr>
          <w:rFonts w:ascii="Arial" w:cs="Arial" w:eastAsia="Arial" w:hAnsi="Arial"/>
          <w:sz w:val="16"/>
          <w:szCs w:val="16"/>
          <w:color w:val="auto"/>
        </w:rPr>
      </w:pPr>
    </w:p>
    <w:p>
      <w:pPr>
        <w:ind w:left="320" w:right="180" w:hanging="314"/>
        <w:spacing w:after="0" w:line="253"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fourth quarter of 2021, adjustments were made to the Wigmore valuation pertaining to contingent consideration and intangible assets. Goodwill was adjusted due to an increase of $0.3 million in contingent consideration and a decrease of $1.0 million in intangible assets. Contingent consideration payments for the Wigmore acquisition were paid during the three months ended March 31, 2022.</w:t>
      </w:r>
    </w:p>
    <w:p>
      <w:pPr>
        <w:spacing w:after="0" w:line="1" w:lineRule="exact"/>
        <w:rPr>
          <w:rFonts w:ascii="Arial" w:cs="Arial" w:eastAsia="Arial" w:hAnsi="Arial"/>
          <w:sz w:val="16"/>
          <w:szCs w:val="16"/>
          <w:color w:val="auto"/>
        </w:rPr>
      </w:pPr>
    </w:p>
    <w:p>
      <w:pPr>
        <w:ind w:left="320" w:right="80" w:hanging="314"/>
        <w:spacing w:after="0" w:line="244"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first quarter of 2022, adjustments were made to the Ecomedic valuation pertaining to acquisition date tax liability. Goodwill was adjusted due to an increase of $0.2 million to acquisition date tax liability.</w:t>
      </w:r>
    </w:p>
    <w:p>
      <w:pPr>
        <w:spacing w:after="0" w:line="1" w:lineRule="exact"/>
        <w:rPr>
          <w:rFonts w:ascii="Arial" w:cs="Arial" w:eastAsia="Arial" w:hAnsi="Arial"/>
          <w:sz w:val="16"/>
          <w:szCs w:val="16"/>
          <w:color w:val="auto"/>
        </w:rPr>
      </w:pPr>
    </w:p>
    <w:p>
      <w:pPr>
        <w:ind w:left="320" w:right="80" w:hanging="314"/>
        <w:spacing w:after="0" w:line="332" w:lineRule="auto"/>
        <w:tabs>
          <w:tab w:leader="none" w:pos="346"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second quarter of 2022, adjustments were made to the Sidermica valuation pertaining to contingent consideration. Goodwill was adjusted due to an increase in contingent consideration of $1.98 million. Contingent consideration payments for the Sidermica acquisition were paid during the three months ended June 30, 2022.</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w:t>
      </w:r>
    </w:p>
    <w:p>
      <w:pPr>
        <w:spacing w:after="0" w:line="22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operating results of the distributor acquisitions from the dates of acquisitions through September 30, 2022 are included in the Condensed Consolidated Statements of Comprehensive Income (Loss). The operating results are not material to the consolidated financial statements, and, therefore, the Company has not presented pro forma results of operations for the distributor acquisitions.</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 of The Personalized Beauty Company, Inc. (“Mxt”)</w:t>
      </w:r>
    </w:p>
    <w:p>
      <w:pPr>
        <w:spacing w:after="0" w:line="244"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On April 12, 2022, the Company, through its indirect, wholly-owned subsidiary, Edge Systems Intermediate, LLC, acquired The Personalized Beauty Company, Inc., a Delaware corporation d.b.a. Mxt. Consideration paid in the aggregate was $1.5 million plus equity consideration of $0.5 million or 28,733 shares of the Company’s Class A Common Stock. Depending on the achievement of certain revenue milestones, the former Mxt shareholders are entitled to receive up to $30 million of earnout payments. The estimated fair value of the earnout was not material as of the acquisition date and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accounted for this transaction as an asset acquisition based on an evaluation of the U.S. GAAP guidance for business combinations and concluded that the Company acquired developed technology of $1.9 million and inventory of $0.1 million. The Company concluded that the developed technology acquired from Mxt comprised substantially all of the fair value of the gross assets acquired and that the assets acquired did not meet the definition of a business under the guidance for business combinations. The developed technology intangible asset is being amortized on a straight-line basis over 3 years and recorded in cost of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50"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 Typical payment terms provide for the customer to pay within 30 to 120 days, however, we provide an option for qualified customers to pay for delivery systems over 12 monthly installments.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Disaggregated Revenue</w:t>
      </w:r>
    </w:p>
    <w:p>
      <w:pPr>
        <w:spacing w:after="0" w:line="24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231F20"/>
        </w:rPr>
        <w:t>The Company generates revenue through manufacturing and selling Hydrafacial Delivery Systems (“</w:t>
      </w:r>
      <w:r>
        <w:rPr>
          <w:rFonts w:ascii="Arial" w:cs="Arial" w:eastAsia="Arial" w:hAnsi="Arial"/>
          <w:sz w:val="17"/>
          <w:szCs w:val="17"/>
          <w:i w:val="1"/>
          <w:iCs w:val="1"/>
          <w:color w:val="231F20"/>
        </w:rPr>
        <w:t>Delivery Systems</w:t>
      </w:r>
      <w:r>
        <w:rPr>
          <w:rFonts w:ascii="Arial" w:cs="Arial" w:eastAsia="Arial" w:hAnsi="Arial"/>
          <w:sz w:val="17"/>
          <w:szCs w:val="17"/>
          <w:color w:val="231F20"/>
        </w:rPr>
        <w:t>”). In conjunction with the sale of Delivery Systems, Hydrafacial also sells its serum solutions and consumables (collectively “</w:t>
      </w:r>
      <w:r>
        <w:rPr>
          <w:rFonts w:ascii="Arial" w:cs="Arial" w:eastAsia="Arial" w:hAnsi="Arial"/>
          <w:sz w:val="17"/>
          <w:szCs w:val="17"/>
          <w:i w:val="1"/>
          <w:iCs w:val="1"/>
          <w:color w:val="231F20"/>
        </w:rPr>
        <w:t>Consumables</w:t>
      </w:r>
      <w:r>
        <w:rPr>
          <w:rFonts w:ascii="Arial" w:cs="Arial" w:eastAsia="Arial" w:hAnsi="Arial"/>
          <w:sz w:val="17"/>
          <w:szCs w:val="17"/>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6"/>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5"/>
                <w:szCs w:val="15"/>
                <w:color w:val="auto"/>
              </w:rPr>
            </w:pPr>
          </w:p>
        </w:tc>
        <w:tc>
          <w:tcPr>
            <w:tcW w:w="2680" w:type="dxa"/>
            <w:vAlign w:val="bottom"/>
            <w:gridSpan w:val="7"/>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231F20"/>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49,094</w:t>
            </w:r>
          </w:p>
        </w:tc>
        <w:tc>
          <w:tcPr>
            <w:tcW w:w="8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gridSpan w:val="2"/>
          </w:tcPr>
          <w:p>
            <w:pPr>
              <w:jc w:val="right"/>
              <w:ind w:right="9"/>
              <w:spacing w:after="0"/>
              <w:rPr>
                <w:sz w:val="20"/>
                <w:szCs w:val="20"/>
                <w:color w:val="auto"/>
              </w:rPr>
            </w:pPr>
            <w:r>
              <w:rPr>
                <w:rFonts w:ascii="Arial" w:cs="Arial" w:eastAsia="Arial" w:hAnsi="Arial"/>
                <w:sz w:val="18"/>
                <w:szCs w:val="18"/>
                <w:color w:val="231F20"/>
              </w:rPr>
              <w:t>36,182</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231F20"/>
              </w:rPr>
              <w:t>155,524</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231F20"/>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96,798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39,698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231F20"/>
              </w:rPr>
              <w:t>31,965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231F20"/>
              </w:rPr>
              <w:t>112,219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85,399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260" w:type="dxa"/>
            <w:vAlign w:val="bottom"/>
          </w:tcPr>
          <w:p>
            <w:pPr>
              <w:ind w:left="980"/>
              <w:spacing w:after="0" w:line="204" w:lineRule="exact"/>
              <w:rPr>
                <w:sz w:val="20"/>
                <w:szCs w:val="20"/>
                <w:color w:val="auto"/>
              </w:rPr>
            </w:pPr>
            <w:r>
              <w:rPr>
                <w:rFonts w:ascii="Arial" w:cs="Arial" w:eastAsia="Arial" w:hAnsi="Arial"/>
                <w:sz w:val="18"/>
                <w:szCs w:val="18"/>
                <w:color w:val="231F20"/>
              </w:rPr>
              <w:t>Total net sales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88,792</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8"/>
                <w:szCs w:val="18"/>
                <w:color w:val="231F20"/>
              </w:rPr>
              <w:t>68,147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231F20"/>
              </w:rPr>
              <w:t>267,743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182,197</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17</w:t>
            </w:r>
            <w:r>
              <w:rPr>
                <w:rFonts w:ascii="Arial" w:cs="Arial" w:eastAsia="Arial" w:hAnsi="Arial"/>
                <w:sz w:val="18"/>
                <w:szCs w:val="18"/>
                <w:color w:val="231F20"/>
              </w:rPr>
              <w:t xml:space="preserve"> for revenue disaggregated by geographical region.</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5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260" w:type="dxa"/>
            <w:vAlign w:val="bottom"/>
          </w:tcPr>
          <w:p>
            <w:pPr>
              <w:spacing w:after="0"/>
              <w:rPr>
                <w:sz w:val="20"/>
                <w:szCs w:val="20"/>
                <w:color w:val="auto"/>
              </w:rPr>
            </w:pPr>
            <w:r>
              <w:rPr>
                <w:rFonts w:ascii="Arial" w:cs="Arial" w:eastAsia="Arial" w:hAnsi="Arial"/>
                <w:sz w:val="18"/>
                <w:szCs w:val="18"/>
                <w:b w:val="1"/>
                <w:bCs w:val="1"/>
                <w:color w:val="auto"/>
              </w:rPr>
              <w:t>Note 5 — Balance Sheet Components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260" w:type="dxa"/>
            <w:vAlign w:val="bottom"/>
          </w:tcPr>
          <w:p>
            <w:pPr>
              <w:ind w:left="320"/>
              <w:spacing w:after="0"/>
              <w:rPr>
                <w:sz w:val="20"/>
                <w:szCs w:val="20"/>
                <w:color w:val="auto"/>
              </w:rPr>
            </w:pPr>
            <w:r>
              <w:rPr>
                <w:rFonts w:ascii="Arial" w:cs="Arial" w:eastAsia="Arial" w:hAnsi="Arial"/>
                <w:sz w:val="18"/>
                <w:szCs w:val="18"/>
                <w:color w:val="231F20"/>
                <w:w w:val="99"/>
              </w:rPr>
              <w:t>Inventories consist of the following as of the periods indicated: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231F20"/>
              </w:rPr>
              <w:t>September 30, 2022</w:t>
            </w: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231F20"/>
              </w:rPr>
              <w:t>December 31, 2021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Raw materials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Finished goods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75,691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inventories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101,706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4"/>
            <w:vMerge w:val="restart"/>
          </w:tcPr>
          <w:p>
            <w:pPr>
              <w:ind w:left="320"/>
              <w:spacing w:after="0"/>
              <w:rPr>
                <w:sz w:val="20"/>
                <w:szCs w:val="20"/>
                <w:color w:val="auto"/>
              </w:rPr>
            </w:pPr>
            <w:r>
              <w:rPr>
                <w:rFonts w:ascii="Arial" w:cs="Arial" w:eastAsia="Arial" w:hAnsi="Arial"/>
                <w:sz w:val="18"/>
                <w:szCs w:val="18"/>
                <w:color w:val="231F20"/>
                <w:w w:val="95"/>
              </w:rPr>
              <w:t>Accrued payroll-related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7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sales commissions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Other accrued expenses consist of the following as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September 30, 2022</w:t>
            </w:r>
          </w:p>
        </w:tc>
        <w:tc>
          <w:tcPr>
            <w:tcW w:w="20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231F20"/>
                <w:w w:val="95"/>
              </w:rPr>
              <w:t>December 31, 2021</w:t>
            </w:r>
          </w:p>
        </w:tc>
      </w:tr>
      <w:tr>
        <w:trPr>
          <w:trHeight w:val="24"/>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778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Sales and VAT tax payables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5,817</w:t>
            </w:r>
          </w:p>
        </w:tc>
      </w:tr>
      <w:tr>
        <w:trPr>
          <w:trHeight w:val="225"/>
        </w:trPr>
        <w:tc>
          <w:tcPr>
            <w:tcW w:w="7780" w:type="dxa"/>
            <w:vAlign w:val="bottom"/>
          </w:tcPr>
          <w:p>
            <w:pPr>
              <w:ind w:left="60"/>
              <w:spacing w:after="0"/>
              <w:rPr>
                <w:sz w:val="20"/>
                <w:szCs w:val="20"/>
                <w:color w:val="auto"/>
              </w:rPr>
            </w:pPr>
            <w:r>
              <w:rPr>
                <w:rFonts w:ascii="Arial" w:cs="Arial" w:eastAsia="Arial" w:hAnsi="Arial"/>
                <w:sz w:val="18"/>
                <w:szCs w:val="18"/>
                <w:color w:val="231F20"/>
              </w:rPr>
              <w:t>Accrued interest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4,687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2,786</w:t>
            </w:r>
          </w:p>
        </w:tc>
      </w:tr>
      <w:tr>
        <w:trPr>
          <w:trHeight w:val="226"/>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Contingent consideration</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r>
      <w:tr>
        <w:trPr>
          <w:trHeight w:val="225"/>
        </w:trPr>
        <w:tc>
          <w:tcPr>
            <w:tcW w:w="7780" w:type="dxa"/>
            <w:vAlign w:val="bottom"/>
          </w:tcPr>
          <w:p>
            <w:pPr>
              <w:ind w:left="60"/>
              <w:spacing w:after="0"/>
              <w:rPr>
                <w:sz w:val="20"/>
                <w:szCs w:val="20"/>
                <w:color w:val="auto"/>
              </w:rPr>
            </w:pPr>
            <w:r>
              <w:rPr>
                <w:rFonts w:ascii="Arial" w:cs="Arial" w:eastAsia="Arial" w:hAnsi="Arial"/>
                <w:sz w:val="18"/>
                <w:szCs w:val="18"/>
                <w:color w:val="231F20"/>
              </w:rPr>
              <w:t>Note payable due seller</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2,144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2,153</w:t>
            </w:r>
          </w:p>
        </w:tc>
      </w:tr>
      <w:tr>
        <w:trPr>
          <w:trHeight w:val="226"/>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Royalty liabilities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1,074</w:t>
            </w:r>
          </w:p>
        </w:tc>
      </w:tr>
      <w:tr>
        <w:trPr>
          <w:trHeight w:val="225"/>
        </w:trPr>
        <w:tc>
          <w:tcPr>
            <w:tcW w:w="77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2,109</w:t>
            </w:r>
          </w:p>
        </w:tc>
      </w:tr>
      <w:tr>
        <w:trPr>
          <w:trHeight w:val="243"/>
        </w:trPr>
        <w:tc>
          <w:tcPr>
            <w:tcW w:w="778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other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17,111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14,722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5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Company does not own any real estate. The majority of the Company’s lease liability consists of the Company’s international office spaces and warehouses, all of which are classified as operating leases. The Company’s finance leases relate to leased equipment such as office and warehouse equipment. The finance lease balances are not material and are included in property and equipment, other accrued expenses, and other long-term liabilities of the Condensed Consolidated Balance Sheets. During the nine months ended September 30, 2022 the Company entered into leases for a new experience center in Paris for a right-of-use asset and lease liability of $1.1 million as of lease inception commencement date and an office in Frankfurt for a right-of-use asset and liability of $1.6 million as of lease inception commencement date.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5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2" w:lineRule="exact"/>
        <w:rPr>
          <w:sz w:val="20"/>
          <w:szCs w:val="20"/>
          <w:color w:val="auto"/>
        </w:rPr>
      </w:pPr>
    </w:p>
    <w:p>
      <w:pPr>
        <w:ind w:left="640" w:right="180"/>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ind w:left="640" w:right="620"/>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44"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The following table presents information about the Company’s assets and liabilities that are measured at fair value on a recurring basis at September 30, 2022, and indicates the fair value hierarchy of the valuation inputs the Company utilized to determine such fair value. As of the Business Combination date, the Private Placement Warrants were valued using the Public Warrant Price, and was considered to be a Level 2 financial instrument as of that date. As of September 30, 2022, the value of the Private Placement Warrants was determined using their redemption value because these Private Placement Warrants are subject to redemption if the reference value of the common stock, as defined, is between $10.00 and $18.00 per share. The Private Placement Warrants are classified as a Level 2 financial instrument. There were no Public Warrants outstanding as of September 30, 2022.</w:t>
      </w: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6"/>
          </w:tcPr>
          <w:p>
            <w:pPr>
              <w:ind w:left="40"/>
              <w:spacing w:after="0"/>
              <w:rPr>
                <w:sz w:val="20"/>
                <w:szCs w:val="20"/>
                <w:color w:val="auto"/>
              </w:rPr>
            </w:pPr>
            <w:r>
              <w:rPr>
                <w:rFonts w:ascii="Arial" w:cs="Arial" w:eastAsia="Arial" w:hAnsi="Arial"/>
                <w:sz w:val="14"/>
                <w:szCs w:val="14"/>
                <w:b w:val="1"/>
                <w:bCs w:val="1"/>
                <w:color w:val="231F20"/>
              </w:rPr>
              <w:t>Fair Value Measurements on a Recurring Basis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Level 1</w:t>
            </w:r>
          </w:p>
        </w:tc>
        <w:tc>
          <w:tcPr>
            <w:tcW w:w="140" w:type="dxa"/>
            <w:vAlign w:val="bottom"/>
          </w:tcPr>
          <w:p>
            <w:pPr>
              <w:spacing w:after="0"/>
              <w:rPr>
                <w:sz w:val="16"/>
                <w:szCs w:val="16"/>
                <w:color w:val="auto"/>
              </w:rPr>
            </w:pPr>
          </w:p>
        </w:tc>
        <w:tc>
          <w:tcPr>
            <w:tcW w:w="1860" w:type="dxa"/>
            <w:vAlign w:val="bottom"/>
            <w:gridSpan w:val="3"/>
          </w:tcPr>
          <w:p>
            <w:pPr>
              <w:ind w:left="420"/>
              <w:spacing w:after="0"/>
              <w:rPr>
                <w:sz w:val="20"/>
                <w:szCs w:val="20"/>
                <w:color w:val="auto"/>
              </w:rPr>
            </w:pPr>
            <w:r>
              <w:rPr>
                <w:rFonts w:ascii="Arial" w:cs="Arial" w:eastAsia="Arial" w:hAnsi="Arial"/>
                <w:sz w:val="14"/>
                <w:szCs w:val="14"/>
                <w:b w:val="1"/>
                <w:bCs w:val="1"/>
                <w:color w:val="231F20"/>
              </w:rPr>
              <w:t>Level 2</w:t>
            </w: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231F20"/>
              </w:rPr>
              <w:t>Level 3</w:t>
            </w:r>
          </w:p>
        </w:tc>
        <w:tc>
          <w:tcPr>
            <w:tcW w:w="1180" w:type="dxa"/>
            <w:vAlign w:val="bottom"/>
          </w:tcPr>
          <w:p>
            <w:pPr>
              <w:jc w:val="right"/>
              <w:ind w:right="538"/>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12"/>
        </w:trPr>
        <w:tc>
          <w:tcPr>
            <w:tcW w:w="4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color w:val="231F20"/>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Money market funds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642,445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86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231F20"/>
              </w:rPr>
              <w:t>—   $</w:t>
            </w:r>
          </w:p>
        </w:tc>
        <w:tc>
          <w:tcPr>
            <w:tcW w:w="16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231F20"/>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642,445</w:t>
            </w: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Warrant liability — Private Placement Warrants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22,295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22,295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Money Market Funds</w:t>
      </w:r>
    </w:p>
    <w:p>
      <w:pPr>
        <w:spacing w:after="0" w:line="24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Arial" w:cs="Arial" w:eastAsia="Arial" w:hAnsi="Arial"/>
          <w:sz w:val="18"/>
          <w:szCs w:val="18"/>
          <w:color w:val="231F20"/>
        </w:rPr>
        <w:t>September 30, 2022</w:t>
      </w:r>
      <w:r>
        <w:rPr>
          <w:rFonts w:ascii="Arial" w:cs="Arial" w:eastAsia="Arial" w:hAnsi="Arial"/>
          <w:sz w:val="18"/>
          <w:szCs w:val="18"/>
          <w:color w:val="auto"/>
        </w:rPr>
        <w:t>, the Company’s U.S. portfolio had no material exposure to money market funds with a fluctuating net asset value.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 Liabilities</w:t>
      </w:r>
    </w:p>
    <w:p>
      <w:pPr>
        <w:spacing w:after="0" w:line="244"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The Public Warrants and Private Placement Warrants (collectively, the “Warrants”) were accounted for as liabilities in accordance with ASC 815-40 and are presented within Warrant liabilities on the Company’s Condensed Consolidated Balance Sheets. The Warrants are measured at fair value at inception and on a recurring basis, with changes in fair value presented within change in fair value of warrant liabilities in the Company’s </w:t>
      </w:r>
      <w:r>
        <w:rPr>
          <w:rFonts w:ascii="Arial" w:cs="Arial" w:eastAsia="Arial" w:hAnsi="Arial"/>
          <w:sz w:val="15"/>
          <w:szCs w:val="15"/>
          <w:color w:val="231F20"/>
        </w:rPr>
        <w:t>Condensed Consolidated Statements of</w:t>
      </w:r>
      <w:r>
        <w:rPr>
          <w:rFonts w:ascii="Arial" w:cs="Arial" w:eastAsia="Arial" w:hAnsi="Arial"/>
          <w:sz w:val="15"/>
          <w:szCs w:val="15"/>
          <w:color w:val="auto"/>
        </w:rPr>
        <w:t xml:space="preserve"> </w:t>
      </w:r>
      <w:r>
        <w:rPr>
          <w:rFonts w:ascii="Arial" w:cs="Arial" w:eastAsia="Arial" w:hAnsi="Arial"/>
          <w:sz w:val="15"/>
          <w:szCs w:val="15"/>
          <w:color w:val="231F20"/>
        </w:rPr>
        <w:t>Comprehensive Income (Loss)</w:t>
      </w:r>
      <w:r>
        <w:rPr>
          <w:rFonts w:ascii="Arial" w:cs="Arial" w:eastAsia="Arial" w:hAnsi="Arial"/>
          <w:sz w:val="15"/>
          <w:szCs w:val="15"/>
          <w:color w:val="000000"/>
        </w:rPr>
        <w:t>. At</w:t>
      </w:r>
      <w:r>
        <w:rPr>
          <w:rFonts w:ascii="Arial" w:cs="Arial" w:eastAsia="Arial" w:hAnsi="Arial"/>
          <w:sz w:val="15"/>
          <w:szCs w:val="15"/>
          <w:color w:val="231F20"/>
        </w:rPr>
        <w:t xml:space="preserve"> September 30, 2022</w:t>
      </w:r>
      <w:r>
        <w:rPr>
          <w:rFonts w:ascii="Arial" w:cs="Arial" w:eastAsia="Arial" w:hAnsi="Arial"/>
          <w:sz w:val="15"/>
          <w:szCs w:val="15"/>
          <w:color w:val="000000"/>
        </w:rPr>
        <w:t>, the outstanding Private Placement Warrants was determined using their redemption value because</w:t>
      </w:r>
    </w:p>
    <w:p>
      <w:pPr>
        <w:spacing w:after="0" w:line="2" w:lineRule="exact"/>
        <w:rPr>
          <w:sz w:val="20"/>
          <w:szCs w:val="20"/>
          <w:color w:val="auto"/>
        </w:rPr>
      </w:pPr>
    </w:p>
    <w:p>
      <w:pPr>
        <w:ind w:right="640"/>
        <w:spacing w:after="0" w:line="255" w:lineRule="auto"/>
        <w:rPr>
          <w:sz w:val="20"/>
          <w:szCs w:val="20"/>
          <w:color w:val="auto"/>
        </w:rPr>
      </w:pPr>
      <w:r>
        <w:rPr>
          <w:rFonts w:ascii="Arial" w:cs="Arial" w:eastAsia="Arial" w:hAnsi="Arial"/>
          <w:sz w:val="18"/>
          <w:szCs w:val="18"/>
          <w:color w:val="auto"/>
        </w:rPr>
        <w:t xml:space="preserve">these Warrants are subject to redemption if the reference value of the common stock, as defined, is between $10.00 and $18.00 per share. The Private Placement Warrants are classified as a Level 2 financial instruments as of </w:t>
      </w:r>
      <w:r>
        <w:rPr>
          <w:rFonts w:ascii="Arial" w:cs="Arial" w:eastAsia="Arial" w:hAnsi="Arial"/>
          <w:sz w:val="18"/>
          <w:szCs w:val="18"/>
          <w:color w:val="231F20"/>
        </w:rPr>
        <w:t>September 30, 2022</w:t>
      </w:r>
      <w:r>
        <w:rPr>
          <w:rFonts w:ascii="Arial" w:cs="Arial" w:eastAsia="Arial" w:hAnsi="Arial"/>
          <w:sz w:val="18"/>
          <w:szCs w:val="18"/>
          <w:color w:val="auto"/>
        </w:rPr>
        <w:t xml:space="preserve">. There were no Public Warrants outstanding as of </w:t>
      </w:r>
      <w:r>
        <w:rPr>
          <w:rFonts w:ascii="Arial" w:cs="Arial" w:eastAsia="Arial" w:hAnsi="Arial"/>
          <w:sz w:val="18"/>
          <w:szCs w:val="18"/>
          <w:color w:val="231F20"/>
        </w:rPr>
        <w:t>September 30, 2022.</w:t>
      </w:r>
    </w:p>
    <w:p>
      <w:pPr>
        <w:spacing w:after="0" w:line="21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On October 4, 2021, the Company issued a press release stating that it would redeem all of the Public Warrants that remained outstanding following 5:00 p.m. New York City time on November 3, 2021, for a redemption price of $0.10 per Public Warrant. All 16.2 million outstanding Public Warrants were either exercised for cash or on a cashless basis or were redeemed. These outstanding Public Warrants that were exercised comprised 15.3 million Public Warrants issued in connection with the Vesper initial public offering and an additional 0.9 million warrants that became Public Warrants due to the sale of Private Placement Warrants. Approximately 16.1 million Public Warrants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In 2021, total cash proceeds generated from exercises of the Public Warrants were $185.4 million. In addition, 0.3 million Private Placement Warrants were exercised in 2021 for total cash proceeds of $3.0 million. As of September 30, 2022, the Company had approximately 7 million Private Placement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231F20"/>
              </w:rPr>
              <w:t>September 30, 2022</w:t>
            </w:r>
          </w:p>
        </w:tc>
        <w:tc>
          <w:tcPr>
            <w:tcW w:w="160" w:type="dxa"/>
            <w:vAlign w:val="bottom"/>
          </w:tcPr>
          <w:p>
            <w:pPr>
              <w:spacing w:after="0"/>
              <w:rPr>
                <w:sz w:val="14"/>
                <w:szCs w:val="14"/>
                <w:color w:val="auto"/>
              </w:rPr>
            </w:pPr>
          </w:p>
        </w:tc>
        <w:tc>
          <w:tcPr>
            <w:tcW w:w="14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231F20"/>
                <w:w w:val="93"/>
              </w:rPr>
              <w:t>December 31, 2021</w:t>
            </w:r>
          </w:p>
        </w:tc>
        <w:tc>
          <w:tcPr>
            <w:tcW w:w="0" w:type="dxa"/>
            <w:vAlign w:val="bottom"/>
          </w:tcPr>
          <w:p>
            <w:pPr>
              <w:spacing w:after="0"/>
              <w:rPr>
                <w:sz w:val="1"/>
                <w:szCs w:val="1"/>
                <w:color w:val="auto"/>
              </w:rPr>
            </w:pPr>
          </w:p>
        </w:tc>
      </w:tr>
      <w:tr>
        <w:trPr>
          <w:trHeight w:val="184"/>
        </w:trPr>
        <w:tc>
          <w:tcPr>
            <w:tcW w:w="4740" w:type="dxa"/>
            <w:vAlign w:val="bottom"/>
            <w:vMerge w:val="continue"/>
          </w:tcPr>
          <w:p>
            <w:pPr>
              <w:spacing w:after="0"/>
              <w:rPr>
                <w:sz w:val="15"/>
                <w:szCs w:val="15"/>
                <w:color w:val="auto"/>
              </w:rPr>
            </w:pPr>
          </w:p>
        </w:tc>
        <w:tc>
          <w:tcPr>
            <w:tcW w:w="3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1"/>
              </w:rPr>
              <w:t>(years)</w:t>
            </w: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40" w:type="dxa"/>
            <w:vAlign w:val="bottom"/>
            <w:tcBorders>
              <w:bottom w:val="single" w:sz="8" w:color="CCEEFF"/>
            </w:tcBorders>
          </w:tcPr>
          <w:p>
            <w:pPr>
              <w:spacing w:after="0"/>
              <w:rPr>
                <w:sz w:val="2"/>
                <w:szCs w:val="2"/>
                <w:color w:val="auto"/>
              </w:rPr>
            </w:pPr>
          </w:p>
        </w:tc>
        <w:tc>
          <w:tcPr>
            <w:tcW w:w="302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54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Furniture and fixtures</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4,074</w:t>
            </w:r>
          </w:p>
        </w:tc>
        <w:tc>
          <w:tcPr>
            <w:tcW w:w="0" w:type="dxa"/>
            <w:vAlign w:val="bottom"/>
          </w:tcPr>
          <w:p>
            <w:pPr>
              <w:spacing w:after="0"/>
              <w:rPr>
                <w:sz w:val="1"/>
                <w:szCs w:val="1"/>
                <w:color w:val="auto"/>
              </w:rPr>
            </w:pPr>
          </w:p>
        </w:tc>
      </w:tr>
      <w:tr>
        <w:trPr>
          <w:trHeight w:val="231"/>
        </w:trPr>
        <w:tc>
          <w:tcPr>
            <w:tcW w:w="4740" w:type="dxa"/>
            <w:vAlign w:val="bottom"/>
          </w:tcPr>
          <w:p>
            <w:pPr>
              <w:ind w:left="60"/>
              <w:spacing w:after="0"/>
              <w:rPr>
                <w:sz w:val="20"/>
                <w:szCs w:val="20"/>
                <w:color w:val="auto"/>
              </w:rPr>
            </w:pPr>
            <w:r>
              <w:rPr>
                <w:rFonts w:ascii="Arial" w:cs="Arial" w:eastAsia="Arial" w:hAnsi="Arial"/>
                <w:sz w:val="18"/>
                <w:szCs w:val="18"/>
                <w:color w:val="231F20"/>
              </w:rPr>
              <w:t>Computers and equipment</w:t>
            </w:r>
          </w:p>
        </w:tc>
        <w:tc>
          <w:tcPr>
            <w:tcW w:w="3020" w:type="dxa"/>
            <w:vAlign w:val="bottom"/>
          </w:tcPr>
          <w:p>
            <w:pPr>
              <w:jc w:val="center"/>
              <w:spacing w:after="0"/>
              <w:rPr>
                <w:sz w:val="20"/>
                <w:szCs w:val="20"/>
                <w:color w:val="auto"/>
              </w:rPr>
            </w:pPr>
            <w:r>
              <w:rPr>
                <w:rFonts w:ascii="Arial" w:cs="Arial" w:eastAsia="Arial" w:hAnsi="Arial"/>
                <w:sz w:val="18"/>
                <w:szCs w:val="18"/>
                <w:color w:val="231F20"/>
                <w:w w:val="92"/>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4,600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4,010</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Machinery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3,669</w:t>
            </w: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Arial" w:cs="Arial" w:eastAsia="Arial" w:hAnsi="Arial"/>
                <w:sz w:val="18"/>
                <w:szCs w:val="18"/>
                <w:color w:val="231F20"/>
              </w:rPr>
              <w:t>Autos and trucks</w:t>
            </w:r>
          </w:p>
        </w:tc>
        <w:tc>
          <w:tcPr>
            <w:tcW w:w="3020" w:type="dxa"/>
            <w:vAlign w:val="bottom"/>
          </w:tcPr>
          <w:p>
            <w:pPr>
              <w:jc w:val="center"/>
              <w:spacing w:after="0"/>
              <w:rPr>
                <w:sz w:val="20"/>
                <w:szCs w:val="20"/>
                <w:color w:val="auto"/>
              </w:rPr>
            </w:pPr>
            <w:r>
              <w:rPr>
                <w:rFonts w:ascii="Arial" w:cs="Arial" w:eastAsia="Arial" w:hAnsi="Arial"/>
                <w:sz w:val="18"/>
                <w:szCs w:val="18"/>
                <w:color w:val="231F20"/>
                <w:w w:val="99"/>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1,220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1,163</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Tooling</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9"/>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1,389</w:t>
            </w:r>
          </w:p>
        </w:tc>
        <w:tc>
          <w:tcPr>
            <w:tcW w:w="0" w:type="dxa"/>
            <w:vAlign w:val="bottom"/>
          </w:tcPr>
          <w:p>
            <w:pPr>
              <w:spacing w:after="0"/>
              <w:rPr>
                <w:sz w:val="1"/>
                <w:szCs w:val="1"/>
                <w:color w:val="auto"/>
              </w:rPr>
            </w:pPr>
          </w:p>
        </w:tc>
      </w:tr>
      <w:tr>
        <w:trPr>
          <w:trHeight w:val="186"/>
        </w:trPr>
        <w:tc>
          <w:tcPr>
            <w:tcW w:w="4740" w:type="dxa"/>
            <w:vAlign w:val="bottom"/>
          </w:tcPr>
          <w:p>
            <w:pPr>
              <w:ind w:left="60"/>
              <w:spacing w:after="0" w:line="187" w:lineRule="exact"/>
              <w:rPr>
                <w:sz w:val="20"/>
                <w:szCs w:val="20"/>
                <w:color w:val="auto"/>
              </w:rPr>
            </w:pPr>
            <w:r>
              <w:rPr>
                <w:rFonts w:ascii="Arial" w:cs="Arial" w:eastAsia="Arial" w:hAnsi="Arial"/>
                <w:sz w:val="18"/>
                <w:szCs w:val="18"/>
                <w:color w:val="231F20"/>
              </w:rPr>
              <w:t>Leasehold improvements</w:t>
            </w:r>
          </w:p>
        </w:tc>
        <w:tc>
          <w:tcPr>
            <w:tcW w:w="3100" w:type="dxa"/>
            <w:vAlign w:val="bottom"/>
            <w:gridSpan w:val="2"/>
          </w:tcPr>
          <w:p>
            <w:pPr>
              <w:jc w:val="center"/>
              <w:ind w:right="80"/>
              <w:spacing w:after="0" w:line="187" w:lineRule="exact"/>
              <w:rPr>
                <w:sz w:val="20"/>
                <w:szCs w:val="20"/>
                <w:color w:val="auto"/>
              </w:rPr>
            </w:pPr>
            <w:r>
              <w:rPr>
                <w:rFonts w:ascii="Arial" w:cs="Arial" w:eastAsia="Arial" w:hAnsi="Arial"/>
                <w:sz w:val="18"/>
                <w:szCs w:val="18"/>
                <w:color w:val="231F20"/>
                <w:w w:val="88"/>
              </w:rPr>
              <w:t>Shorter of remaining lease</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231F20"/>
                <w:w w:val="89"/>
              </w:rPr>
              <w:t>term or estimated useful life</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10,127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5,086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property and equipment</w:t>
            </w:r>
          </w:p>
        </w:tc>
        <w:tc>
          <w:tcPr>
            <w:tcW w:w="3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26,977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19,391</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line="204" w:lineRule="exact"/>
              <w:rPr>
                <w:sz w:val="20"/>
                <w:szCs w:val="20"/>
                <w:color w:val="auto"/>
              </w:rPr>
            </w:pPr>
            <w:r>
              <w:rPr>
                <w:rFonts w:ascii="Arial" w:cs="Arial" w:eastAsia="Arial" w:hAnsi="Arial"/>
                <w:sz w:val="18"/>
                <w:szCs w:val="18"/>
                <w:color w:val="231F20"/>
              </w:rPr>
              <w:t>Less: accumulated depreciation and amortization</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(11,221)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(8,561)</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Construction in progress</w:t>
            </w:r>
          </w:p>
        </w:tc>
        <w:tc>
          <w:tcPr>
            <w:tcW w:w="3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5,353</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line="204" w:lineRule="exact"/>
              <w:rPr>
                <w:sz w:val="20"/>
                <w:szCs w:val="20"/>
                <w:color w:val="auto"/>
              </w:rPr>
            </w:pPr>
            <w:r>
              <w:rPr>
                <w:rFonts w:ascii="Arial" w:cs="Arial" w:eastAsia="Arial" w:hAnsi="Arial"/>
                <w:sz w:val="18"/>
                <w:szCs w:val="18"/>
                <w:color w:val="231F20"/>
              </w:rPr>
              <w:t>Property and equipment, net</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18,099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16,183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During the three and nine months ended September 30, 2022, the Company recorded a loss on the disposal of property and equipment, net of $1.8 million. The loss on disposal of property and equipment, net was recorded in the condensed consolidated statements of comprehensive income (loss) primarily in general and administrative expense.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Depreciation expense was as follows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231F20"/>
                <w:w w:val="97"/>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Selling and marketing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260" w:type="dxa"/>
            <w:vAlign w:val="bottom"/>
          </w:tcPr>
          <w:p>
            <w:pPr>
              <w:ind w:left="280"/>
              <w:spacing w:after="0" w:line="204" w:lineRule="exact"/>
              <w:rPr>
                <w:sz w:val="20"/>
                <w:szCs w:val="20"/>
                <w:color w:val="auto"/>
              </w:rPr>
            </w:pPr>
            <w:r>
              <w:rPr>
                <w:rFonts w:ascii="Arial" w:cs="Arial" w:eastAsia="Arial" w:hAnsi="Arial"/>
                <w:sz w:val="18"/>
                <w:szCs w:val="18"/>
                <w:color w:val="231F20"/>
              </w:rPr>
              <w:t>Total depreciation expense</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2,001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1,028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5,269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2,446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September 30, 2022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231F20"/>
              </w:rPr>
              <w:t>Accumulated</w:t>
            </w:r>
          </w:p>
        </w:tc>
        <w:tc>
          <w:tcPr>
            <w:tcW w:w="200" w:type="dxa"/>
            <w:vAlign w:val="bottom"/>
          </w:tcPr>
          <w:p>
            <w:pPr>
              <w:spacing w:after="0"/>
              <w:rPr>
                <w:sz w:val="14"/>
                <w:szCs w:val="14"/>
                <w:color w:val="auto"/>
              </w:rPr>
            </w:pPr>
          </w:p>
        </w:tc>
        <w:tc>
          <w:tcPr>
            <w:tcW w:w="12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236"/>
              <w:spacing w:after="0"/>
              <w:rPr>
                <w:sz w:val="20"/>
                <w:szCs w:val="20"/>
                <w:color w:val="auto"/>
              </w:rPr>
            </w:pPr>
            <w:r>
              <w:rPr>
                <w:rFonts w:ascii="Arial" w:cs="Arial" w:eastAsia="Arial" w:hAnsi="Arial"/>
                <w:sz w:val="14"/>
                <w:szCs w:val="14"/>
                <w:b w:val="1"/>
                <w:bCs w:val="1"/>
                <w:color w:val="231F20"/>
              </w:rPr>
              <w:t>Amortization</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88"/>
              </w:rPr>
              <w:t>(Years)</w:t>
            </w:r>
          </w:p>
        </w:tc>
        <w:tc>
          <w:tcPr>
            <w:tcW w:w="0" w:type="dxa"/>
            <w:vAlign w:val="bottom"/>
          </w:tcPr>
          <w:p>
            <w:pPr>
              <w:spacing w:after="0"/>
              <w:rPr>
                <w:sz w:val="1"/>
                <w:szCs w:val="1"/>
                <w:color w:val="auto"/>
              </w:rPr>
            </w:pPr>
          </w:p>
        </w:tc>
      </w:tr>
      <w:tr>
        <w:trPr>
          <w:trHeight w:val="264"/>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Trademarks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10,839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6,889</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(707)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51</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11,005</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Arial" w:cs="Arial" w:eastAsia="Arial" w:hAnsi="Arial"/>
                <w:sz w:val="18"/>
                <w:szCs w:val="18"/>
                <w:color w:val="231F20"/>
              </w:rPr>
              <w:t>Developed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73,188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(51,825)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21,363</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3-8</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1,802</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6,706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5,515</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110,815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(64,190)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46,625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During the three and nine months ended September 30, 2022, the Company recorded a loss on the disposal of intangible assets of $2.9 million. The loss on disposal of intangible assets was recorded in the condensed consolidated statements of comprehensive income (loss) primarily in general and administrative expense.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2021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231F20"/>
                <w:w w:val="97"/>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2"/>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56"/>
              <w:spacing w:after="0" w:line="142"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gridSpan w:val="2"/>
          </w:tcPr>
          <w:p>
            <w:pPr>
              <w:jc w:val="right"/>
              <w:ind w:right="241"/>
              <w:spacing w:after="0"/>
              <w:rPr>
                <w:sz w:val="20"/>
                <w:szCs w:val="20"/>
                <w:color w:val="auto"/>
              </w:rPr>
            </w:pPr>
            <w:r>
              <w:rPr>
                <w:rFonts w:ascii="Arial" w:cs="Arial" w:eastAsia="Arial" w:hAnsi="Arial"/>
                <w:sz w:val="14"/>
                <w:szCs w:val="14"/>
                <w:b w:val="1"/>
                <w:bCs w:val="1"/>
                <w:color w:val="231F20"/>
              </w:rPr>
              <w:t>Amortization</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gridSpan w:val="4"/>
          </w:tcPr>
          <w:p>
            <w:pPr>
              <w:jc w:val="right"/>
              <w:ind w:right="452"/>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tcPr>
          <w:p>
            <w:pPr>
              <w:jc w:val="center"/>
              <w:ind w:right="116"/>
              <w:spacing w:after="0"/>
              <w:rPr>
                <w:sz w:val="20"/>
                <w:szCs w:val="20"/>
                <w:color w:val="auto"/>
              </w:rPr>
            </w:pPr>
            <w:r>
              <w:rPr>
                <w:rFonts w:ascii="Arial" w:cs="Arial" w:eastAsia="Arial" w:hAnsi="Arial"/>
                <w:sz w:val="14"/>
                <w:szCs w:val="14"/>
                <w:b w:val="1"/>
                <w:bCs w:val="1"/>
                <w:color w:val="231F20"/>
                <w:w w:val="88"/>
              </w:rPr>
              <w:t>(Years)</w:t>
            </w:r>
          </w:p>
        </w:tc>
        <w:tc>
          <w:tcPr>
            <w:tcW w:w="0" w:type="dxa"/>
            <w:vAlign w:val="bottom"/>
          </w:tcPr>
          <w:p>
            <w:pPr>
              <w:spacing w:after="0"/>
              <w:rPr>
                <w:sz w:val="1"/>
                <w:szCs w:val="1"/>
                <w:color w:val="auto"/>
              </w:rPr>
            </w:pPr>
          </w:p>
        </w:tc>
      </w:tr>
      <w:tr>
        <w:trPr>
          <w:trHeight w:val="264"/>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Trademarks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10,048</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(3,442)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66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6,606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Non-compete agreement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231F20"/>
              </w:rPr>
              <w:t>(139)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231F20"/>
              </w:rPr>
              <w:t>670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16"/>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Customer relationships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w w:val="83"/>
              </w:rPr>
              <w:t>14,234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Developed technology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231F20"/>
              </w:rPr>
              <w:t>(45,051)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231F20"/>
                <w:w w:val="83"/>
              </w:rPr>
              <w:t>25,849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16"/>
              <w:spacing w:after="0"/>
              <w:rPr>
                <w:sz w:val="20"/>
                <w:szCs w:val="20"/>
                <w:color w:val="auto"/>
              </w:rPr>
            </w:pPr>
            <w:r>
              <w:rPr>
                <w:rFonts w:ascii="Arial" w:cs="Arial" w:eastAsia="Arial" w:hAnsi="Arial"/>
                <w:sz w:val="18"/>
                <w:szCs w:val="18"/>
                <w:color w:val="231F20"/>
                <w:w w:val="99"/>
              </w:rPr>
              <w:t>8</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Patents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Capitalized software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31F20"/>
              </w:rPr>
              <w:t>(2,971)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231F20"/>
              </w:rPr>
              <w:t>6,896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ind w:right="136"/>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Total intangible assets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112,299</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(56,289)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6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w w:val="83"/>
              </w:rPr>
              <w:t>56,010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231F20"/>
                <w:w w:val="98"/>
              </w:rPr>
              <w:t>Amortization expense was as follows for the periods indicated: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6"/>
          </w:tcPr>
          <w:p>
            <w:pPr>
              <w:jc w:val="right"/>
              <w:ind w:right="301"/>
              <w:spacing w:after="0"/>
              <w:rPr>
                <w:sz w:val="20"/>
                <w:szCs w:val="20"/>
                <w:color w:val="auto"/>
              </w:rPr>
            </w:pPr>
            <w:r>
              <w:rPr>
                <w:rFonts w:ascii="Arial" w:cs="Arial" w:eastAsia="Arial" w:hAnsi="Arial"/>
                <w:sz w:val="14"/>
                <w:szCs w:val="14"/>
                <w:b w:val="1"/>
                <w:bCs w:val="1"/>
                <w:color w:val="231F20"/>
                <w:w w:val="96"/>
              </w:rPr>
              <w:t>Three Months Ended September 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7"/>
          </w:tcPr>
          <w:p>
            <w:pPr>
              <w:jc w:val="right"/>
              <w:ind w:right="336"/>
              <w:spacing w:after="0"/>
              <w:rPr>
                <w:sz w:val="20"/>
                <w:szCs w:val="20"/>
                <w:color w:val="auto"/>
              </w:rPr>
            </w:pPr>
            <w:r>
              <w:rPr>
                <w:rFonts w:ascii="Arial" w:cs="Arial" w:eastAsia="Arial" w:hAnsi="Arial"/>
                <w:sz w:val="14"/>
                <w:szCs w:val="14"/>
                <w:b w:val="1"/>
                <w:bCs w:val="1"/>
                <w:color w:val="231F20"/>
                <w:w w:val="99"/>
              </w:rPr>
              <w:t>Nine Months Ended September 30,</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231F20"/>
                <w:w w:val="89"/>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Arial" w:cs="Arial" w:eastAsia="Arial" w:hAnsi="Arial"/>
                <w:sz w:val="18"/>
                <w:szCs w:val="18"/>
                <w:color w:val="231F20"/>
              </w:rPr>
              <w:t>General and administrative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Selling and marketing</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8"/>
        </w:trPr>
        <w:tc>
          <w:tcPr>
            <w:tcW w:w="5240" w:type="dxa"/>
            <w:vAlign w:val="bottom"/>
          </w:tcPr>
          <w:p>
            <w:pPr>
              <w:ind w:left="280"/>
              <w:spacing w:after="0" w:line="204" w:lineRule="exact"/>
              <w:rPr>
                <w:sz w:val="20"/>
                <w:szCs w:val="20"/>
                <w:color w:val="auto"/>
              </w:rPr>
            </w:pPr>
            <w:r>
              <w:rPr>
                <w:rFonts w:ascii="Arial" w:cs="Arial" w:eastAsia="Arial" w:hAnsi="Arial"/>
                <w:sz w:val="18"/>
                <w:szCs w:val="18"/>
                <w:color w:val="231F20"/>
              </w:rPr>
              <w:t>Total amortization expense</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3,692</w:t>
            </w: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231F20"/>
                <w:w w:val="99"/>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231F20"/>
              </w:rPr>
              <w:t>3,503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6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231F20"/>
                <w:w w:val="83"/>
              </w:rPr>
              <w:t>11,063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9,354</w:t>
            </w:r>
          </w:p>
        </w:tc>
        <w:tc>
          <w:tcPr>
            <w:tcW w:w="0" w:type="dxa"/>
            <w:vAlign w:val="bottom"/>
          </w:tcPr>
          <w:p>
            <w:pPr>
              <w:spacing w:after="0"/>
              <w:rPr>
                <w:sz w:val="1"/>
                <w:szCs w:val="1"/>
                <w:color w:val="auto"/>
              </w:rPr>
            </w:pPr>
          </w:p>
        </w:tc>
      </w:tr>
      <w:tr>
        <w:trPr>
          <w:trHeight w:val="21"/>
        </w:trPr>
        <w:tc>
          <w:tcPr>
            <w:tcW w:w="5240" w:type="dxa"/>
            <w:vAlign w:val="bottom"/>
            <w:vMerge w:val="restart"/>
          </w:tcPr>
          <w:p>
            <w:pPr>
              <w:ind w:left="320"/>
              <w:spacing w:after="0"/>
              <w:rPr>
                <w:sz w:val="20"/>
                <w:szCs w:val="20"/>
                <w:color w:val="auto"/>
              </w:rPr>
            </w:pPr>
            <w:r>
              <w:rPr>
                <w:rFonts w:ascii="Arial" w:cs="Arial" w:eastAsia="Arial" w:hAnsi="Arial"/>
                <w:sz w:val="18"/>
                <w:szCs w:val="18"/>
                <w:color w:val="231F20"/>
              </w:rPr>
              <w:t>The changes in the carrying value of goodwill are as follows: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40" w:type="dxa"/>
            <w:vAlign w:val="bottom"/>
            <w:gridSpan w:val="9"/>
          </w:tcPr>
          <w:p>
            <w:pPr>
              <w:jc w:val="right"/>
              <w:ind w:right="836"/>
              <w:spacing w:after="0"/>
              <w:rPr>
                <w:sz w:val="20"/>
                <w:szCs w:val="20"/>
                <w:color w:val="auto"/>
              </w:rPr>
            </w:pPr>
            <w:r>
              <w:rPr>
                <w:rFonts w:ascii="Arial" w:cs="Arial" w:eastAsia="Arial" w:hAnsi="Arial"/>
                <w:sz w:val="14"/>
                <w:szCs w:val="14"/>
                <w:b w:val="1"/>
                <w:bCs w:val="1"/>
                <w:color w:val="231F20"/>
                <w:w w:val="91"/>
              </w:rPr>
              <w:t>Nine Months Ended September 30,</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231F20"/>
              </w:rPr>
              <w:t>2022</w:t>
            </w:r>
          </w:p>
        </w:tc>
        <w:tc>
          <w:tcPr>
            <w:tcW w:w="6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Beginning balance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8"/>
              </w:rPr>
              <w:t>123,694</w:t>
            </w:r>
          </w:p>
        </w:tc>
        <w:tc>
          <w:tcPr>
            <w:tcW w:w="5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98,531</w:t>
            </w:r>
          </w:p>
        </w:tc>
        <w:tc>
          <w:tcPr>
            <w:tcW w:w="0" w:type="dxa"/>
            <w:vAlign w:val="bottom"/>
          </w:tcPr>
          <w:p>
            <w:pPr>
              <w:spacing w:after="0"/>
              <w:rPr>
                <w:sz w:val="1"/>
                <w:szCs w:val="1"/>
                <w:color w:val="auto"/>
              </w:rPr>
            </w:pPr>
          </w:p>
        </w:tc>
      </w:tr>
      <w:tr>
        <w:trPr>
          <w:trHeight w:val="225"/>
        </w:trPr>
        <w:tc>
          <w:tcPr>
            <w:tcW w:w="5240" w:type="dxa"/>
            <w:vAlign w:val="bottom"/>
          </w:tcPr>
          <w:p>
            <w:pPr>
              <w:ind w:left="180"/>
              <w:spacing w:after="0"/>
              <w:rPr>
                <w:sz w:val="20"/>
                <w:szCs w:val="20"/>
                <w:color w:val="auto"/>
              </w:rPr>
            </w:pPr>
            <w:r>
              <w:rPr>
                <w:rFonts w:ascii="Arial" w:cs="Arial" w:eastAsia="Arial" w:hAnsi="Arial"/>
                <w:sz w:val="18"/>
                <w:szCs w:val="18"/>
                <w:color w:val="231F20"/>
              </w:rPr>
              <w:t>Measurement period 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231F20"/>
              </w:rPr>
              <w:t>2,154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25,304</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Foreign currency translation impact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(3,100)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(970)</w:t>
            </w:r>
          </w:p>
        </w:tc>
        <w:tc>
          <w:tcPr>
            <w:tcW w:w="0" w:type="dxa"/>
            <w:vAlign w:val="bottom"/>
          </w:tcPr>
          <w:p>
            <w:pPr>
              <w:spacing w:after="0"/>
              <w:rPr>
                <w:sz w:val="1"/>
                <w:szCs w:val="1"/>
                <w:color w:val="auto"/>
              </w:rPr>
            </w:pPr>
          </w:p>
        </w:tc>
      </w:tr>
      <w:tr>
        <w:trPr>
          <w:trHeight w:val="218"/>
        </w:trPr>
        <w:tc>
          <w:tcPr>
            <w:tcW w:w="5240" w:type="dxa"/>
            <w:vAlign w:val="bottom"/>
          </w:tcPr>
          <w:p>
            <w:pPr>
              <w:ind w:left="60"/>
              <w:spacing w:after="0" w:line="204" w:lineRule="exact"/>
              <w:rPr>
                <w:sz w:val="20"/>
                <w:szCs w:val="20"/>
                <w:color w:val="auto"/>
              </w:rPr>
            </w:pPr>
            <w:r>
              <w:rPr>
                <w:rFonts w:ascii="Arial" w:cs="Arial" w:eastAsia="Arial" w:hAnsi="Arial"/>
                <w:sz w:val="18"/>
                <w:szCs w:val="18"/>
                <w:color w:val="231F20"/>
              </w:rPr>
              <w:t>Ending balance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color w:val="231F20"/>
                <w:w w:val="99"/>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8"/>
              </w:rPr>
              <w:t>122,748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231F20"/>
                <w:w w:val="79"/>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122,865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 xml:space="preserve">The measurement period adjustments include a $0.2 million increase due to adjustment of acquisition date tax liability for Ecomedic and a $1.98 million increase due to contingent consideration paid to former owner of Sidermica during the </w:t>
      </w:r>
      <w:r>
        <w:rPr>
          <w:rFonts w:ascii="Arial" w:cs="Arial" w:eastAsia="Arial" w:hAnsi="Arial"/>
          <w:sz w:val="15"/>
          <w:szCs w:val="15"/>
          <w:color w:val="231F20"/>
        </w:rPr>
        <w:t>six months ended June 30, 2022</w:t>
      </w:r>
      <w:r>
        <w:rPr>
          <w:rFonts w:ascii="Arial" w:cs="Arial" w:eastAsia="Arial" w:hAnsi="Arial"/>
          <w:sz w:val="15"/>
          <w:szCs w:val="15"/>
          <w:color w:val="auto"/>
        </w:rPr>
        <w:t>. The Company finalized the valuation of assets acquired and liabilities assumed for the Ecomedic acquisition and all other distributor acquisitions as of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Credit Facility</w:t>
      </w:r>
    </w:p>
    <w:p>
      <w:pPr>
        <w:spacing w:after="0" w:line="244" w:lineRule="exact"/>
        <w:rPr>
          <w:sz w:val="20"/>
          <w:szCs w:val="20"/>
          <w:color w:val="auto"/>
        </w:rPr>
      </w:pPr>
    </w:p>
    <w:p>
      <w:pPr>
        <w:ind w:right="280" w:firstLine="318"/>
        <w:spacing w:after="0" w:line="312" w:lineRule="auto"/>
        <w:rPr>
          <w:sz w:val="20"/>
          <w:szCs w:val="20"/>
          <w:color w:val="auto"/>
        </w:rPr>
      </w:pPr>
      <w:r>
        <w:rPr>
          <w:rFonts w:ascii="Arial" w:cs="Arial" w:eastAsia="Arial" w:hAnsi="Arial"/>
          <w:sz w:val="15"/>
          <w:szCs w:val="15"/>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 as guarantors (the “Guarantors” and, together with the Borrower, the “Loan Parties”), and JPMorgan Chase Bank, N.A., as administrative agent.</w:t>
      </w:r>
    </w:p>
    <w:p>
      <w:pPr>
        <w:spacing w:after="0" w:line="17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Arial" w:cs="Arial" w:eastAsia="Arial" w:hAnsi="Arial"/>
          <w:sz w:val="18"/>
          <w:szCs w:val="18"/>
          <w:color w:val="231F20"/>
        </w:rPr>
        <w:t>September 30, 2022</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September 30, 2022 the Company was in compliance with all restricted and financial covenants.</w:t>
      </w:r>
    </w:p>
    <w:p>
      <w:pPr>
        <w:spacing w:after="0" w:line="183"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Arial" w:cs="Arial" w:eastAsia="Arial" w:hAnsi="Arial"/>
          <w:sz w:val="15"/>
          <w:szCs w:val="15"/>
          <w:color w:val="231F20"/>
        </w:rPr>
        <w:t>September 30, 2022</w:t>
      </w:r>
      <w:r>
        <w:rPr>
          <w:rFonts w:ascii="Arial" w:cs="Arial" w:eastAsia="Arial" w:hAnsi="Arial"/>
          <w:sz w:val="15"/>
          <w:szCs w:val="15"/>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Convertible Senior Notes</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0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2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The conversion price as of September 30, 2022 was $31.76 per share of common stock.</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Notes are redeemable, in whole or in part (subject to certain limitations described below), at the Company’s option at any time, and from time to</w:t>
      </w:r>
    </w:p>
    <w:p>
      <w:pPr>
        <w:spacing w:after="0" w:line="1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time, on or after October 6, 2024, and on or before the 40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2"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72"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183"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18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15"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231F20"/>
        </w:rPr>
        <w:t>The total amount of debt issuance costs of $21.3 million was recorded as a reduction to “Convertible senior notes, net” in the Company’s Condensed Consolidated Balance Sheets and are being amortized as interest expense over the term of the Notes using the effective interest method. During the three and nine months ended September 30, 2022, the Company recognized $1.1 million and $3.2 million in interest expense related to the amortization of the debt issuance costs related to the Notes, respectively. During the three and nine months ended September 30, 2021, the Company recognized $0.2 million in interest expense related to the amortization of the debt issuance costs related to the Notes.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is a summary of the Company’s Notes as of September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880"/>
              <w:spacing w:after="0"/>
              <w:rPr>
                <w:sz w:val="20"/>
                <w:szCs w:val="20"/>
                <w:color w:val="auto"/>
              </w:rPr>
            </w:pPr>
            <w:r>
              <w:rPr>
                <w:rFonts w:ascii="Arial" w:cs="Arial" w:eastAsia="Arial" w:hAnsi="Arial"/>
                <w:sz w:val="14"/>
                <w:szCs w:val="14"/>
                <w:b w:val="1"/>
                <w:bCs w:val="1"/>
                <w:color w:val="231F20"/>
              </w:rPr>
              <w:t>Fair Value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231F20"/>
                <w:w w:val="92"/>
              </w:rPr>
              <w:t>Unamortized Issuance</w:t>
            </w:r>
          </w:p>
        </w:tc>
        <w:tc>
          <w:tcPr>
            <w:tcW w:w="200" w:type="dxa"/>
            <w:vAlign w:val="bottom"/>
          </w:tcPr>
          <w:p>
            <w:pPr>
              <w:spacing w:after="0"/>
              <w:rPr>
                <w:sz w:val="2"/>
                <w:szCs w:val="2"/>
                <w:color w:val="auto"/>
              </w:rPr>
            </w:pPr>
          </w:p>
        </w:tc>
        <w:tc>
          <w:tcPr>
            <w:tcW w:w="1320" w:type="dxa"/>
            <w:vAlign w:val="bottom"/>
            <w:vMerge w:val="restart"/>
          </w:tcPr>
          <w:p>
            <w:pPr>
              <w:jc w:val="center"/>
              <w:ind w:right="243"/>
              <w:spacing w:after="0"/>
              <w:rPr>
                <w:sz w:val="20"/>
                <w:szCs w:val="20"/>
                <w:color w:val="auto"/>
              </w:rPr>
            </w:pPr>
            <w:r>
              <w:rPr>
                <w:rFonts w:ascii="Arial" w:cs="Arial" w:eastAsia="Arial" w:hAnsi="Arial"/>
                <w:sz w:val="14"/>
                <w:szCs w:val="14"/>
                <w:b w:val="1"/>
                <w:bCs w:val="1"/>
                <w:color w:val="231F20"/>
                <w:w w:val="95"/>
              </w:rPr>
              <w:t>Net Carrying</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140" w:type="dxa"/>
            <w:vAlign w:val="bottom"/>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Amount</w:t>
            </w:r>
          </w:p>
        </w:tc>
        <w:tc>
          <w:tcPr>
            <w:tcW w:w="15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Arial" w:cs="Arial" w:eastAsia="Arial" w:hAnsi="Arial"/>
                <w:sz w:val="14"/>
                <w:szCs w:val="14"/>
                <w:b w:val="1"/>
                <w:bCs w:val="1"/>
                <w:color w:val="231F20"/>
                <w:w w:val="94"/>
              </w:rPr>
              <w:t>Level</w:t>
            </w:r>
          </w:p>
        </w:tc>
        <w:tc>
          <w:tcPr>
            <w:tcW w:w="0" w:type="dxa"/>
            <w:vAlign w:val="bottom"/>
          </w:tcPr>
          <w:p>
            <w:pPr>
              <w:spacing w:after="0"/>
              <w:rPr>
                <w:sz w:val="1"/>
                <w:szCs w:val="1"/>
                <w:color w:val="auto"/>
              </w:rPr>
            </w:pPr>
          </w:p>
        </w:tc>
      </w:tr>
      <w:tr>
        <w:trPr>
          <w:trHeight w:val="189"/>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Arial" w:cs="Arial" w:eastAsia="Arial" w:hAnsi="Arial"/>
                <w:sz w:val="14"/>
                <w:szCs w:val="14"/>
                <w:b w:val="1"/>
                <w:bCs w:val="1"/>
                <w:color w:val="231F20"/>
                <w:w w:val="90"/>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750,000</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231F20"/>
            </w:tcBorders>
            <w:shd w:val="clear" w:color="auto" w:fill="CCEEFF"/>
          </w:tcPr>
          <w:p>
            <w:pPr>
              <w:jc w:val="right"/>
              <w:ind w:right="141"/>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16,914</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231F20"/>
            </w:tcBorders>
            <w:shd w:val="clear" w:color="auto" w:fill="CCEEFF"/>
          </w:tcPr>
          <w:p>
            <w:pPr>
              <w:jc w:val="right"/>
              <w:ind w:right="43"/>
              <w:spacing w:after="0"/>
              <w:rPr>
                <w:sz w:val="20"/>
                <w:szCs w:val="20"/>
                <w:color w:val="auto"/>
              </w:rPr>
            </w:pPr>
            <w:r>
              <w:rPr>
                <w:rFonts w:ascii="Arial" w:cs="Arial" w:eastAsia="Arial" w:hAnsi="Arial"/>
                <w:sz w:val="18"/>
                <w:szCs w:val="18"/>
                <w:color w:val="231F20"/>
              </w:rPr>
              <w:t>733,086</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231F20"/>
              </w:rPr>
              <w:t>603,750</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231F20"/>
            </w:tcBorders>
            <w:shd w:val="clear" w:color="auto" w:fill="CCEEFF"/>
          </w:tcPr>
          <w:p>
            <w:pPr>
              <w:spacing w:after="0"/>
              <w:rPr>
                <w:sz w:val="22"/>
                <w:szCs w:val="22"/>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Arial" w:cs="Arial" w:eastAsia="Arial" w:hAnsi="Arial"/>
                <w:sz w:val="18"/>
                <w:szCs w:val="18"/>
                <w:color w:val="231F20"/>
                <w:w w:val="92"/>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The Notes are carried at face value less the unamortized debt issuance costs on the Company’s Condensed Consolidated Balance Sheets. As of September 30, 2022, the estimated fair value of the Notes was approximately $604 million. The estimated fair value of the Notes was determined based on the actual bid price of the Notes on September 30, 2022.</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September 30, 2022, the remaining life of the Notes is approximately 4.0 years.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Capped Call Transactions</w:t>
      </w:r>
    </w:p>
    <w:p>
      <w:pPr>
        <w:spacing w:after="0" w:line="24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40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w:t>
      </w:r>
    </w:p>
    <w:p>
      <w:pPr>
        <w:spacing w:after="0" w:line="244"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231F20"/>
        </w:rPr>
        <w:t>In connection with the Closing of the Business Combination, all of Hydrafacial’s existing debt under its credit facilities were repaid and its credit facilities were extinguished. T</w:t>
      </w:r>
      <w:r>
        <w:rPr>
          <w:rFonts w:ascii="Arial" w:cs="Arial" w:eastAsia="Arial" w:hAnsi="Arial"/>
          <w:sz w:val="17"/>
          <w:szCs w:val="17"/>
          <w:color w:val="000000"/>
        </w:rPr>
        <w:t>he related write-off of the deferred financing costs totaled $2.3 million and prepayment penalties totaled $2.0 million in 2021. Both are</w:t>
      </w:r>
      <w:r>
        <w:rPr>
          <w:rFonts w:ascii="Arial" w:cs="Arial" w:eastAsia="Arial" w:hAnsi="Arial"/>
          <w:sz w:val="17"/>
          <w:szCs w:val="17"/>
          <w:color w:val="231F20"/>
        </w:rPr>
        <w:t xml:space="preserve"> </w:t>
      </w:r>
      <w:r>
        <w:rPr>
          <w:rFonts w:ascii="Arial" w:cs="Arial" w:eastAsia="Arial" w:hAnsi="Arial"/>
          <w:sz w:val="17"/>
          <w:szCs w:val="17"/>
          <w:color w:val="000000"/>
        </w:rPr>
        <w:t>included in the Other expense (income), net on the Company’s Consolidated Statements of Comprehensive Income (Loss).</w:t>
      </w:r>
    </w:p>
    <w:p>
      <w:pPr>
        <w:spacing w:after="0" w:line="19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231F20"/>
        </w:rPr>
        <w:t>Defer</w:t>
      </w:r>
      <w:r>
        <w:rPr>
          <w:rFonts w:ascii="Arial" w:cs="Arial" w:eastAsia="Arial" w:hAnsi="Arial"/>
          <w:sz w:val="18"/>
          <w:szCs w:val="18"/>
          <w:color w:val="000000"/>
        </w:rPr>
        <w:t>red financing costs expense for the</w:t>
      </w:r>
      <w:r>
        <w:rPr>
          <w:rFonts w:ascii="Arial" w:cs="Arial" w:eastAsia="Arial" w:hAnsi="Arial"/>
          <w:sz w:val="18"/>
          <w:szCs w:val="18"/>
          <w:color w:val="231F20"/>
        </w:rPr>
        <w:t xml:space="preserve"> nine months </w:t>
      </w:r>
      <w:r>
        <w:rPr>
          <w:rFonts w:ascii="Arial" w:cs="Arial" w:eastAsia="Arial" w:hAnsi="Arial"/>
          <w:sz w:val="18"/>
          <w:szCs w:val="18"/>
          <w:color w:val="000000"/>
        </w:rPr>
        <w:t>ended September 30, 2021 amounted to $0.5 million for the existing debt prior to the Closing of the</w:t>
      </w:r>
      <w:r>
        <w:rPr>
          <w:rFonts w:ascii="Arial" w:cs="Arial" w:eastAsia="Arial" w:hAnsi="Arial"/>
          <w:sz w:val="18"/>
          <w:szCs w:val="18"/>
          <w:color w:val="231F20"/>
        </w:rPr>
        <w:t xml:space="preserve"> </w:t>
      </w:r>
      <w:r>
        <w:rPr>
          <w:rFonts w:ascii="Arial" w:cs="Arial" w:eastAsia="Arial" w:hAnsi="Arial"/>
          <w:sz w:val="18"/>
          <w:szCs w:val="18"/>
          <w:color w:val="000000"/>
        </w:rPr>
        <w:t xml:space="preserve">Business Combination while issuance costs for the Notes amounted to </w:t>
      </w:r>
      <w:r>
        <w:rPr>
          <w:rFonts w:ascii="Arial" w:cs="Arial" w:eastAsia="Arial" w:hAnsi="Arial"/>
          <w:sz w:val="18"/>
          <w:szCs w:val="18"/>
          <w:color w:val="231F20"/>
        </w:rPr>
        <w:t>$0.2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 income tax (benefit) expense for the three months and nine months ended September 30, 2022 is $(0.8) million and $1.9 million, respectively</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income tax benefit for the three and nine months ended September 30, 2021 is $1.1 million and $3.3 million, respectively.</w:t>
      </w:r>
    </w:p>
    <w:p>
      <w:pPr>
        <w:spacing w:after="0" w:line="230" w:lineRule="exact"/>
        <w:rPr>
          <w:sz w:val="20"/>
          <w:szCs w:val="20"/>
          <w:color w:val="auto"/>
        </w:rPr>
      </w:pPr>
    </w:p>
    <w:p>
      <w:pPr>
        <w:ind w:right="60" w:firstLine="238"/>
        <w:spacing w:after="0" w:line="239" w:lineRule="auto"/>
        <w:rPr>
          <w:sz w:val="20"/>
          <w:szCs w:val="20"/>
          <w:color w:val="auto"/>
        </w:rPr>
      </w:pPr>
      <w:r>
        <w:rPr>
          <w:rFonts w:ascii="Arial" w:cs="Arial" w:eastAsia="Arial" w:hAnsi="Arial"/>
          <w:sz w:val="18"/>
          <w:szCs w:val="18"/>
          <w:color w:val="231F20"/>
        </w:rPr>
        <w:t xml:space="preserve">The effective tax rate for the three and nine months ended September 30, 2022 is 119.12% and (4.41%), compared to the federal statutory rate of 21.0%, is primarily due to the exclusion from taxable income of book income from the revaluation of warrant liabilities and adjustments for various non-deductible expenses for </w:t>
      </w:r>
      <w:r>
        <w:rPr>
          <w:rFonts w:ascii="Arial" w:cs="Arial" w:eastAsia="Arial" w:hAnsi="Arial"/>
          <w:sz w:val="18"/>
          <w:szCs w:val="18"/>
          <w:color w:val="000000"/>
        </w:rPr>
        <w:t>officer’s compensation and meals and entertainment.</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 effective tax rate for the three and nine months ended September 30, 2021 is 0.53% and 0.92%, which is lower than the federal statutory rate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231F20"/>
        </w:rPr>
        <w:t>21.0% primarily due to the increase in valuation allowance and non-deductible expense related to stock-based compensation, transaction costs and meals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entertainment.</w:t>
      </w:r>
    </w:p>
    <w:p>
      <w:pPr>
        <w:spacing w:after="0" w:line="232"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231F20"/>
        </w:rPr>
        <w:t>The Company has established a valuation allowance in the U.S. and Singapore against a portion of its deferred income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231F20"/>
        </w:rPr>
        <w:t>Additionally, the Company applies ASC 740, the accounting standard governing uncertainty in income taxes that prescribes rules for recognition, measurement and classification in the financial statements of tax positions taken or expected to be taken in a tax return. The Company has gross unrecognized tax benefits of $0.1 million and $0.2 million as of September 30, 2022 and December 31, 2021, respectively.</w:t>
      </w:r>
    </w:p>
    <w:p>
      <w:pPr>
        <w:spacing w:after="0" w:line="198"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Condensed Consolidated Financial Statements and related disclosures.</w:t>
      </w:r>
    </w:p>
    <w:p>
      <w:pPr>
        <w:spacing w:after="0" w:line="215"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The Inflation Reduction Act, signed into law on August 16, 2022, provides tax incentives for certain industries and imposes a 15% minimum tax on the book income of certain large corporations and a 1% excise tax on stock buybacks. The Company may be subject to the new excise tax on certain stock buybacks that occur after December 31, 2022. The Company does not anticipate a material impact from the Inflation Reduction Act on the Company's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Compensation expense attributable to net stock-based compensation was as follows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231F20"/>
                <w:w w:val="97"/>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General and administrative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80"/>
              <w:spacing w:after="0" w:line="205" w:lineRule="exact"/>
              <w:rPr>
                <w:sz w:val="20"/>
                <w:szCs w:val="20"/>
                <w:color w:val="auto"/>
              </w:rPr>
            </w:pPr>
            <w:r>
              <w:rPr>
                <w:rFonts w:ascii="Arial" w:cs="Arial" w:eastAsia="Arial" w:hAnsi="Arial"/>
                <w:sz w:val="18"/>
                <w:szCs w:val="18"/>
                <w:color w:val="231F20"/>
              </w:rPr>
              <w:t>Stock-based compensation expense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7,449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5,082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20,876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8,624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Restricted Stock Units (“RSUs”) and </w:t>
      </w:r>
      <w:r>
        <w:rPr>
          <w:rFonts w:ascii="Arial" w:cs="Arial" w:eastAsia="Arial" w:hAnsi="Arial"/>
          <w:sz w:val="18"/>
          <w:szCs w:val="18"/>
          <w:i w:val="1"/>
          <w:iCs w:val="1"/>
          <w:color w:val="231F20"/>
        </w:rPr>
        <w:t>Performance-based restricted stock units (“PSUs”)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equity award activity for the nine months ended September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231F20"/>
                <w:w w:val="93"/>
              </w:rPr>
              <w:t>Weighted Average Grant Date Fair</w:t>
            </w:r>
          </w:p>
        </w:tc>
      </w:tr>
      <w:tr>
        <w:trPr>
          <w:trHeight w:val="192"/>
        </w:trPr>
        <w:tc>
          <w:tcPr>
            <w:tcW w:w="5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231F20"/>
                <w:w w:val="90"/>
              </w:rPr>
              <w:t>Value</w:t>
            </w:r>
          </w:p>
        </w:tc>
        <w:tc>
          <w:tcPr>
            <w:tcW w:w="840" w:type="dxa"/>
            <w:vAlign w:val="bottom"/>
            <w:tcBorders>
              <w:bottom w:val="single" w:sz="8" w:color="auto"/>
            </w:tcBorders>
          </w:tcPr>
          <w:p>
            <w:pPr>
              <w:spacing w:after="0"/>
              <w:rPr>
                <w:sz w:val="16"/>
                <w:szCs w:val="16"/>
                <w:color w:val="auto"/>
              </w:rPr>
            </w:pPr>
          </w:p>
        </w:tc>
      </w:tr>
      <w:tr>
        <w:trPr>
          <w:trHeight w:val="192"/>
        </w:trPr>
        <w:tc>
          <w:tcPr>
            <w:tcW w:w="57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RSUs</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231F20"/>
              </w:rPr>
              <w:t>PSUs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231F20"/>
              </w:rPr>
              <w:t>RSUs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231F20"/>
              </w:rPr>
              <w:t>PSUs</w:t>
            </w:r>
          </w:p>
        </w:tc>
      </w:tr>
      <w:tr>
        <w:trPr>
          <w:trHeight w:val="225"/>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Outstanding -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380,775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975,000</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11.39</w:t>
            </w:r>
          </w:p>
        </w:tc>
      </w:tr>
      <w:tr>
        <w:trPr>
          <w:trHeight w:val="225"/>
        </w:trPr>
        <w:tc>
          <w:tcPr>
            <w:tcW w:w="576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500" w:type="dxa"/>
            <w:vAlign w:val="bottom"/>
          </w:tcPr>
          <w:p>
            <w:pPr>
              <w:jc w:val="right"/>
              <w:spacing w:after="0"/>
              <w:rPr>
                <w:sz w:val="20"/>
                <w:szCs w:val="20"/>
                <w:color w:val="auto"/>
              </w:rPr>
            </w:pPr>
            <w:r>
              <w:rPr>
                <w:rFonts w:ascii="Arial" w:cs="Arial" w:eastAsia="Arial" w:hAnsi="Arial"/>
                <w:sz w:val="18"/>
                <w:szCs w:val="18"/>
                <w:color w:val="231F20"/>
              </w:rPr>
              <w:t>2,724,851</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1,629,395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9.10</w:t>
            </w:r>
          </w:p>
        </w:tc>
      </w:tr>
      <w:tr>
        <w:trPr>
          <w:trHeight w:val="22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(187,727)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(388,691)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(209,738)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15.31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14.30</w:t>
            </w:r>
          </w:p>
        </w:tc>
      </w:tr>
      <w:tr>
        <w:trPr>
          <w:trHeight w:val="243"/>
        </w:trPr>
        <w:tc>
          <w:tcPr>
            <w:tcW w:w="57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Outstanding -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2,529,208</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2,394,657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231F20"/>
              </w:rPr>
              <w:t>14.74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231F20"/>
              </w:rPr>
              <w:t>9.58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231F20"/>
              </w:rPr>
              <w:t>Weighted 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0"/>
              </w:rPr>
              <w:t>Weighted Average</w:t>
            </w:r>
          </w:p>
        </w:tc>
        <w:tc>
          <w:tcPr>
            <w:tcW w:w="140" w:type="dxa"/>
            <w:vAlign w:val="bottom"/>
          </w:tcPr>
          <w:p>
            <w:pPr>
              <w:spacing w:after="0"/>
              <w:rPr>
                <w:sz w:val="14"/>
                <w:szCs w:val="14"/>
                <w:color w:val="auto"/>
              </w:rPr>
            </w:pPr>
          </w:p>
        </w:tc>
        <w:tc>
          <w:tcPr>
            <w:tcW w:w="1360" w:type="dxa"/>
            <w:vAlign w:val="bottom"/>
          </w:tcPr>
          <w:p>
            <w:pPr>
              <w:jc w:val="center"/>
              <w:ind w:right="61"/>
              <w:spacing w:after="0"/>
              <w:rPr>
                <w:sz w:val="20"/>
                <w:szCs w:val="20"/>
                <w:color w:val="auto"/>
              </w:rPr>
            </w:pPr>
            <w:r>
              <w:rPr>
                <w:rFonts w:ascii="Arial" w:cs="Arial" w:eastAsia="Arial" w:hAnsi="Arial"/>
                <w:sz w:val="14"/>
                <w:szCs w:val="14"/>
                <w:b w:val="1"/>
                <w:bCs w:val="1"/>
                <w:color w:val="231F20"/>
                <w:w w:val="92"/>
              </w:rPr>
              <w:t>Aggregate Intrinsic</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231F20"/>
              </w:rPr>
              <w:t>Number of Options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231F20"/>
                <w:w w:val="92"/>
              </w:rPr>
              <w:t>Remaining Contractual</w:t>
            </w:r>
          </w:p>
        </w:tc>
        <w:tc>
          <w:tcPr>
            <w:tcW w:w="140" w:type="dxa"/>
            <w:vAlign w:val="bottom"/>
          </w:tcPr>
          <w:p>
            <w:pPr>
              <w:spacing w:after="0"/>
              <w:rPr>
                <w:sz w:val="12"/>
                <w:szCs w:val="12"/>
                <w:color w:val="auto"/>
              </w:rPr>
            </w:pPr>
          </w:p>
        </w:tc>
        <w:tc>
          <w:tcPr>
            <w:tcW w:w="1360" w:type="dxa"/>
            <w:vAlign w:val="bottom"/>
          </w:tcPr>
          <w:p>
            <w:pPr>
              <w:jc w:val="center"/>
              <w:ind w:right="61"/>
              <w:spacing w:after="0" w:line="146" w:lineRule="exact"/>
              <w:rPr>
                <w:sz w:val="20"/>
                <w:szCs w:val="20"/>
                <w:color w:val="auto"/>
              </w:rPr>
            </w:pPr>
            <w:r>
              <w:rPr>
                <w:rFonts w:ascii="Arial" w:cs="Arial" w:eastAsia="Arial" w:hAnsi="Arial"/>
                <w:sz w:val="14"/>
                <w:szCs w:val="14"/>
                <w:b w:val="1"/>
                <w:bCs w:val="1"/>
                <w:color w:val="231F20"/>
                <w:w w:val="90"/>
              </w:rPr>
              <w:t>Value</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231F20"/>
              </w:rPr>
              <w:t>Exercise Price</w:t>
            </w: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3"/>
              </w:rPr>
              <w:t>Term (in years)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231F20"/>
                <w:w w:val="89"/>
              </w:rPr>
              <w:t>(in thousands)</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Outstanding - January 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6,785,020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15.64</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520" w:type="dxa"/>
            <w:vAlign w:val="bottom"/>
          </w:tcPr>
          <w:p>
            <w:pPr>
              <w:jc w:val="right"/>
              <w:spacing w:after="0"/>
              <w:rPr>
                <w:sz w:val="20"/>
                <w:szCs w:val="20"/>
                <w:color w:val="auto"/>
              </w:rPr>
            </w:pPr>
            <w:r>
              <w:rPr>
                <w:rFonts w:ascii="Arial" w:cs="Arial" w:eastAsia="Arial" w:hAnsi="Arial"/>
                <w:sz w:val="18"/>
                <w:szCs w:val="18"/>
                <w:color w:val="231F20"/>
              </w:rPr>
              <w:t>10,500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22.68</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Unvested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(951,500)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18.43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Vested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(39,050)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14.53</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Outstanding - September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5,804,970</w:t>
            </w:r>
          </w:p>
        </w:tc>
        <w:tc>
          <w:tcPr>
            <w:tcW w:w="2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231F20"/>
              </w:rPr>
              <w:t>$</w:t>
            </w:r>
          </w:p>
        </w:tc>
        <w:tc>
          <w:tcPr>
            <w:tcW w:w="1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rPr>
              <w:t>15.20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w w:val="99"/>
              </w:rPr>
              <w:t>$</w:t>
            </w:r>
          </w:p>
        </w:tc>
        <w:tc>
          <w:tcPr>
            <w:tcW w:w="1360" w:type="dxa"/>
            <w:vAlign w:val="bottom"/>
            <w:shd w:val="clear" w:color="auto" w:fill="CCEEFF"/>
          </w:tcPr>
          <w:p>
            <w:pPr>
              <w:ind w:left="1120"/>
              <w:spacing w:after="0" w:line="205" w:lineRule="exact"/>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231F20"/>
              </w:rPr>
              <w:t>Options Exercisable</w:t>
            </w:r>
          </w:p>
        </w:tc>
        <w:tc>
          <w:tcPr>
            <w:tcW w:w="1520" w:type="dxa"/>
            <w:vAlign w:val="bottom"/>
          </w:tcPr>
          <w:p>
            <w:pPr>
              <w:jc w:val="right"/>
              <w:spacing w:after="0"/>
              <w:rPr>
                <w:sz w:val="20"/>
                <w:szCs w:val="20"/>
                <w:color w:val="auto"/>
              </w:rPr>
            </w:pPr>
            <w:r>
              <w:rPr>
                <w:rFonts w:ascii="Arial" w:cs="Arial" w:eastAsia="Arial" w:hAnsi="Arial"/>
                <w:sz w:val="18"/>
                <w:szCs w:val="18"/>
                <w:color w:val="231F20"/>
              </w:rPr>
              <w:t>1,293,800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1360" w:type="dxa"/>
            <w:vAlign w:val="bottom"/>
          </w:tcPr>
          <w:p>
            <w:pPr>
              <w:jc w:val="right"/>
              <w:spacing w:after="0"/>
              <w:rPr>
                <w:sz w:val="20"/>
                <w:szCs w:val="20"/>
                <w:color w:val="auto"/>
              </w:rPr>
            </w:pPr>
            <w:r>
              <w:rPr>
                <w:rFonts w:ascii="Arial" w:cs="Arial" w:eastAsia="Arial" w:hAnsi="Arial"/>
                <w:sz w:val="18"/>
                <w:szCs w:val="18"/>
                <w:color w:val="231F20"/>
              </w:rPr>
              <w:t>13.79</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Options vested and expected to vest - September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5,804,970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15.20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0"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231F20"/>
        </w:rPr>
        <w:t>From time to time the Company may be involved in claims, legal actions and governmental proceedings that arise from its business operations. As of September 30, 2022, the Company was not a party to any legal proceedings or threatened legal proceedings, the adverse outcome of which, individually or in the aggregate, that it believes would have a material adverse effect on its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Concentrations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September 30, 2022, the Company had no customers that accounted for 10% or more of the Accounts receivable balance.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December 31, 2021, the Company had no customers that accounted for 10% or more of the Accounts receivable balance.</w:t>
      </w:r>
    </w:p>
    <w:p>
      <w:pPr>
        <w:spacing w:after="0" w:line="24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231F20"/>
        </w:rPr>
        <w:t>No single customer accounted for 10% or more of consolidated Net sales during the three and nine months ended September 30, 2022 and September 30,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Related-Party Transactions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Registration Rights Agreement</w:t>
      </w:r>
    </w:p>
    <w:p>
      <w:pPr>
        <w:spacing w:after="0" w:line="244" w:lineRule="exact"/>
        <w:rPr>
          <w:sz w:val="20"/>
          <w:szCs w:val="20"/>
          <w:color w:val="auto"/>
        </w:rPr>
      </w:pPr>
    </w:p>
    <w:p>
      <w:pPr>
        <w:ind w:right="520" w:firstLine="318"/>
        <w:spacing w:after="0" w:line="365" w:lineRule="auto"/>
        <w:rPr>
          <w:sz w:val="20"/>
          <w:szCs w:val="20"/>
          <w:color w:val="auto"/>
        </w:rPr>
      </w:pPr>
      <w:r>
        <w:rPr>
          <w:rFonts w:ascii="Arial" w:cs="Arial" w:eastAsia="Arial" w:hAnsi="Arial"/>
          <w:sz w:val="15"/>
          <w:szCs w:val="15"/>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3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81" w:lineRule="exact"/>
        <w:rPr>
          <w:sz w:val="20"/>
          <w:szCs w:val="20"/>
          <w:color w:val="auto"/>
        </w:rPr>
      </w:pPr>
    </w:p>
    <w:p>
      <w:pPr>
        <w:ind w:right="100" w:firstLine="318"/>
        <w:spacing w:after="0" w:line="304" w:lineRule="auto"/>
        <w:rPr>
          <w:sz w:val="20"/>
          <w:szCs w:val="20"/>
          <w:color w:val="auto"/>
        </w:rPr>
      </w:pPr>
      <w:r>
        <w:rPr>
          <w:rFonts w:ascii="Arial" w:cs="Arial" w:eastAsia="Arial" w:hAnsi="Arial"/>
          <w:sz w:val="15"/>
          <w:szCs w:val="15"/>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399"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their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Placement Warrants (as defined in the Registration Rights Agreement) or shares of common stock issuable upon the exercise thereof for 30 days following the Closing.</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Investor Rights Agreement</w:t>
      </w:r>
    </w:p>
    <w:p>
      <w:pPr>
        <w:spacing w:after="0" w:line="24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24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7"/>
          <w:szCs w:val="17"/>
          <w:color w:val="231F20"/>
        </w:rPr>
        <w:t>1.25%</w:t>
      </w:r>
      <w:r>
        <w:rPr>
          <w:rFonts w:ascii="Arial" w:cs="Arial" w:eastAsia="Arial" w:hAnsi="Arial"/>
          <w:sz w:val="17"/>
          <w:szCs w:val="17"/>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7"/>
          <w:szCs w:val="17"/>
          <w:color w:val="231F20"/>
        </w:rPr>
        <w:t>1%</w:t>
      </w:r>
      <w:r>
        <w:rPr>
          <w:rFonts w:ascii="Arial" w:cs="Arial" w:eastAsia="Arial" w:hAnsi="Arial"/>
          <w:sz w:val="17"/>
          <w:szCs w:val="17"/>
          <w:color w:val="auto"/>
        </w:rPr>
        <w:t xml:space="preserve"> and </w:t>
      </w:r>
      <w:r>
        <w:rPr>
          <w:rFonts w:ascii="Arial" w:cs="Arial" w:eastAsia="Arial" w:hAnsi="Arial"/>
          <w:sz w:val="17"/>
          <w:szCs w:val="17"/>
          <w:color w:val="231F20"/>
        </w:rPr>
        <w:t>2%</w:t>
      </w:r>
      <w:r>
        <w:rPr>
          <w:rFonts w:ascii="Arial" w:cs="Arial" w:eastAsia="Arial" w:hAnsi="Arial"/>
          <w:sz w:val="17"/>
          <w:szCs w:val="17"/>
          <w:color w:val="auto"/>
        </w:rPr>
        <w:t xml:space="preserve"> of the related transaction amount. Linden Capital Partners III also received a transaction fee upon the consummation of the Business Combination.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consummation of the Business Combination, on May 4, 2021, the Company, its subsidiary, Edge Systems LLC, and Linden Capital</w:t>
      </w:r>
    </w:p>
    <w:p>
      <w:pPr>
        <w:spacing w:after="0" w:line="51" w:lineRule="exact"/>
        <w:rPr>
          <w:sz w:val="20"/>
          <w:szCs w:val="20"/>
          <w:color w:val="auto"/>
        </w:rPr>
      </w:pPr>
    </w:p>
    <w:p>
      <w:pPr>
        <w:ind w:right="40" w:firstLine="6"/>
        <w:spacing w:after="0" w:line="305" w:lineRule="auto"/>
        <w:tabs>
          <w:tab w:leader="none" w:pos="221" w:val="left"/>
        </w:tabs>
        <w:numPr>
          <w:ilvl w:val="0"/>
          <w:numId w:val="6"/>
        </w:numPr>
        <w:rPr>
          <w:rFonts w:ascii="Arial" w:cs="Arial" w:eastAsia="Arial" w:hAnsi="Arial"/>
          <w:sz w:val="15"/>
          <w:szCs w:val="15"/>
          <w:color w:val="auto"/>
        </w:rPr>
      </w:pPr>
      <w:r>
        <w:rPr>
          <w:rFonts w:ascii="Arial" w:cs="Arial" w:eastAsia="Arial" w:hAnsi="Arial"/>
          <w:sz w:val="15"/>
          <w:szCs w:val="15"/>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Fee expired twelve months after the consummation of the Business Combination on May 4, 2022.</w:t>
      </w:r>
    </w:p>
    <w:p>
      <w:pPr>
        <w:spacing w:after="0" w:line="18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231F20"/>
        </w:rPr>
        <w:t>Hydrafacial recorded approximately $0.2 million of charges related to management services fees for the nine months ended September 30, 2021. There were no management fees during the three and nine months ended September 30, 2022. These amounts are included in General and administrative expenses on the Company’s Consolidated Statements of Comprehensive Income (Loss). In relation to the consummation of the Business Combination, $21.0 million in transaction fees was paid to the Former Parent. These amounts are included in General and administrative expenses on the Company’s Consolidated Statements of Comprehensive Income (Loss).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Miami Beach Office</w:t>
      </w:r>
    </w:p>
    <w:p>
      <w:pPr>
        <w:spacing w:after="0" w:line="244"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231F20"/>
        </w:rPr>
        <w:t>The Company maintains an office in Miami Beach, Florida, whereby the Company, on a monthly basis, reimburses an entity owned by the Company’s Executive Chairman that makes such office available to the Company for its employees and affiliates. Expense for this property was not material for the nine months ended September 30, 2022. No such expenses existed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Equity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w:t>
      </w:r>
    </w:p>
    <w:p>
      <w:pPr>
        <w:spacing w:after="0" w:line="24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231F20"/>
        </w:rPr>
        <w:t xml:space="preserve">The Company is authorized to issue 320,000,000 shares of Class A Common Stock, par value of $0.0001 per share. Holders of Class A Common Stock are entitled to </w:t>
      </w:r>
      <w:r>
        <w:rPr>
          <w:rFonts w:ascii="Arial" w:cs="Arial" w:eastAsia="Arial" w:hAnsi="Arial"/>
          <w:sz w:val="18"/>
          <w:szCs w:val="18"/>
          <w:color w:val="000000"/>
        </w:rPr>
        <w:t>one</w:t>
      </w:r>
      <w:r>
        <w:rPr>
          <w:rFonts w:ascii="Arial" w:cs="Arial" w:eastAsia="Arial" w:hAnsi="Arial"/>
          <w:sz w:val="18"/>
          <w:szCs w:val="18"/>
          <w:color w:val="231F20"/>
        </w:rPr>
        <w:t xml:space="preserve"> vote for each share. As of September 30, 2022 and December 31, 2021, there were 143,201,041 and 150,598,047, respectively, of Class A Common Stock issued and outstanding. The Class A Common Stock is entitled t</w:t>
      </w:r>
      <w:r>
        <w:rPr>
          <w:rFonts w:ascii="Arial" w:cs="Arial" w:eastAsia="Arial" w:hAnsi="Arial"/>
          <w:sz w:val="18"/>
          <w:szCs w:val="18"/>
          <w:color w:val="000000"/>
        </w:rPr>
        <w:t>o one vote pe</w:t>
      </w:r>
      <w:r>
        <w:rPr>
          <w:rFonts w:ascii="Arial" w:cs="Arial" w:eastAsia="Arial" w:hAnsi="Arial"/>
          <w:sz w:val="18"/>
          <w:szCs w:val="18"/>
          <w:color w:val="231F20"/>
        </w:rPr>
        <w:t>r share and all shares are outstanding. The Company has not declared or paid any dividends with respect to its Class A Common Stock</w:t>
      </w:r>
      <w:r>
        <w:rPr>
          <w:rFonts w:ascii="Arial" w:cs="Arial" w:eastAsia="Arial" w:hAnsi="Arial"/>
          <w:sz w:val="18"/>
          <w:szCs w:val="18"/>
          <w:color w:val="000000"/>
        </w:rPr>
        <w:t>.</w:t>
      </w:r>
    </w:p>
    <w:p>
      <w:pPr>
        <w:spacing w:after="0" w:line="217"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44"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On September 26, 2022, the Company’s board of directors approved a common stock repurchase program pursuant to which the Company may repurchase up to $200 million of its outstanding shares of Class A Common Stock. Under the share repurchase program, repurchases can be made from time to time using a variety of methods, which may include open market purchases, privately negotiated transactions, or accelerated share repurchase programs.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September 27, 2022, the Company entered into an accelerated share repurchase agreement with a financial institution to repurchase a total of</w:t>
      </w:r>
    </w:p>
    <w:p>
      <w:pPr>
        <w:spacing w:after="0" w:line="5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$100 million of Class A Common Stock. The Company made a payment of $100 million and in turn, received an initial delivery of approximately 7.7 million shares, which represented 80% of the payment amount divided by the Company’s closing stock price on September 26, 2022 and were immediately retired. The total number of shares that will be received under the accelerated share repurchase agreement will be based upon the average daily volume weighted average price of our Class A Common Stock during the repurchase period, less an agreed upon discount. The final settlement of the accelerated repurchase agreement may occur between November 28, 2022 and February 28, 2023.</w:t>
      </w:r>
    </w:p>
    <w:p>
      <w:pPr>
        <w:spacing w:after="0" w:line="20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accelerated share repurchase agreement is accounted for as a repurchase and retirement of shares and as an equity forward contract indexed to the Company’s Class A Common Stock. The equity forward contract is classified as an equity instrument under ASC 815 - 40, Contracts in Entity's Own Equity ("ASC 815 - 40"). The par value of the initial shares received is recorded as a reduction to the Company’s Class A Common Stock and the excess of par value is recognized as a reduction to additional paid in capital. The equity forward stock purchase contract is classified as an equity instrument and is recognized as a reduction to additional paid in capital.</w:t>
      </w:r>
    </w:p>
    <w:p>
      <w:pPr>
        <w:spacing w:after="0" w:line="22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initial delivery of approximately 7.7 million shares reduced the number of Class A Common Stock outstanding on the transaction date and, as a result, reduced the weighted average number of Class A Common Stock outstanding used to calculate basic income per share and diluted income per share for the three and nine month periods ended September 30, 2022.</w:t>
      </w:r>
    </w:p>
    <w:p>
      <w:pPr>
        <w:spacing w:after="0" w:line="21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performed analysis of the average of the daily volume-weighted average price of our Class A Common Stock since the transaction date and has determined, as of September 30, 2022, that the final settlement of shares of Class A Common Stock under the accelerated share repurchase agreement is anti-dilutive and therefore excluded from the calculation of diluted earnings per share.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2"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 is authorized to issue 1,000,000 shares of preferred stock with a par value of $0.0001 per share with such designations, voting and other</w:t>
      </w:r>
      <w:r>
        <w:rPr>
          <w:rFonts w:ascii="Arial" w:cs="Arial" w:eastAsia="Arial" w:hAnsi="Arial"/>
          <w:sz w:val="18"/>
          <w:szCs w:val="18"/>
          <w:color w:val="231F20"/>
        </w:rPr>
        <w:t xml:space="preserve"> </w:t>
      </w:r>
      <w:r>
        <w:rPr>
          <w:rFonts w:ascii="Arial" w:cs="Arial" w:eastAsia="Arial" w:hAnsi="Arial"/>
          <w:sz w:val="18"/>
          <w:szCs w:val="18"/>
          <w:color w:val="000000"/>
        </w:rPr>
        <w:t xml:space="preserve">rights and preferences as may be determined from time to time by the Company’s board of directors. At September 30, 2022 and </w:t>
      </w:r>
      <w:r>
        <w:rPr>
          <w:rFonts w:ascii="Arial" w:cs="Arial" w:eastAsia="Arial" w:hAnsi="Arial"/>
          <w:sz w:val="18"/>
          <w:szCs w:val="18"/>
          <w:color w:val="231F20"/>
        </w:rPr>
        <w:t>December 31, 2021</w:t>
      </w:r>
      <w:r>
        <w:rPr>
          <w:rFonts w:ascii="Arial" w:cs="Arial" w:eastAsia="Arial" w:hAnsi="Arial"/>
          <w:sz w:val="18"/>
          <w:szCs w:val="18"/>
          <w:color w:val="000000"/>
        </w:rPr>
        <w:t>, there were no shares of preferred stock issued or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Reporting</w:t>
      </w:r>
    </w:p>
    <w:p>
      <w:pPr>
        <w:spacing w:after="0" w:line="25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Net sales by geographic region were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231F20"/>
                <w:w w:val="97"/>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Americas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45,046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178,335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118,986</w:t>
            </w:r>
          </w:p>
        </w:tc>
        <w:tc>
          <w:tcPr>
            <w:tcW w:w="0" w:type="dxa"/>
            <w:vAlign w:val="bottom"/>
          </w:tcPr>
          <w:p>
            <w:pPr>
              <w:spacing w:after="0"/>
              <w:rPr>
                <w:sz w:val="1"/>
                <w:szCs w:val="1"/>
                <w:color w:val="auto"/>
              </w:rPr>
            </w:pP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Asia-Pacific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10,490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38,397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31,721</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Europe, the Middle East and Africa</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12,611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51,011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31,490</w:t>
            </w:r>
          </w:p>
        </w:tc>
        <w:tc>
          <w:tcPr>
            <w:tcW w:w="0" w:type="dxa"/>
            <w:vAlign w:val="bottom"/>
          </w:tcPr>
          <w:p>
            <w:pPr>
              <w:spacing w:after="0"/>
              <w:rPr>
                <w:sz w:val="1"/>
                <w:szCs w:val="1"/>
                <w:color w:val="auto"/>
              </w:rPr>
            </w:pPr>
          </w:p>
        </w:tc>
      </w:tr>
      <w:tr>
        <w:trPr>
          <w:trHeight w:val="218"/>
        </w:trPr>
        <w:tc>
          <w:tcPr>
            <w:tcW w:w="5260" w:type="dxa"/>
            <w:vAlign w:val="bottom"/>
          </w:tcPr>
          <w:p>
            <w:pPr>
              <w:ind w:left="60"/>
              <w:spacing w:after="0" w:line="204" w:lineRule="exact"/>
              <w:rPr>
                <w:sz w:val="20"/>
                <w:szCs w:val="20"/>
                <w:color w:val="auto"/>
              </w:rPr>
            </w:pPr>
            <w:r>
              <w:rPr>
                <w:rFonts w:ascii="Arial" w:cs="Arial" w:eastAsia="Arial" w:hAnsi="Arial"/>
                <w:sz w:val="18"/>
                <w:szCs w:val="18"/>
                <w:color w:val="231F20"/>
              </w:rPr>
              <w:t>Total net sales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88,792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68,147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267,743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182,197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As of September 30, 2022 and December 31, 2021 substantially all of the Company’s property and equipment were held in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Net Income (Loss) Attributable to Common Shareholders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table sets forth the calculation of both basic and diluted net income (loss) per share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20" w:type="dxa"/>
            <w:vAlign w:val="bottom"/>
          </w:tcPr>
          <w:p>
            <w:pPr>
              <w:spacing w:after="0"/>
              <w:rPr>
                <w:sz w:val="15"/>
                <w:szCs w:val="15"/>
                <w:color w:val="auto"/>
              </w:rPr>
            </w:pPr>
          </w:p>
        </w:tc>
        <w:tc>
          <w:tcPr>
            <w:tcW w:w="254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231F20"/>
                <w:w w:val="95"/>
              </w:rPr>
              <w:t>Nine Months Ended September 30,</w:t>
            </w:r>
          </w:p>
        </w:tc>
        <w:tc>
          <w:tcPr>
            <w:tcW w:w="0" w:type="dxa"/>
            <w:vAlign w:val="bottom"/>
          </w:tcPr>
          <w:p>
            <w:pPr>
              <w:spacing w:after="0"/>
              <w:rPr>
                <w:sz w:val="1"/>
                <w:szCs w:val="1"/>
                <w:color w:val="auto"/>
              </w:rPr>
            </w:pPr>
          </w:p>
        </w:tc>
      </w:tr>
      <w:tr>
        <w:trPr>
          <w:trHeight w:val="24"/>
        </w:trPr>
        <w:tc>
          <w:tcPr>
            <w:tcW w:w="55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32"/>
        </w:trPr>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Net income (loss) available to common shareholders - basic</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(215,145)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(357,797)</w:t>
            </w:r>
          </w:p>
        </w:tc>
        <w:tc>
          <w:tcPr>
            <w:tcW w:w="0" w:type="dxa"/>
            <w:vAlign w:val="bottom"/>
          </w:tcPr>
          <w:p>
            <w:pPr>
              <w:spacing w:after="0"/>
              <w:rPr>
                <w:sz w:val="1"/>
                <w:szCs w:val="1"/>
                <w:color w:val="auto"/>
              </w:rPr>
            </w:pPr>
          </w:p>
        </w:tc>
      </w:tr>
      <w:tr>
        <w:trPr>
          <w:trHeight w:val="225"/>
        </w:trPr>
        <w:tc>
          <w:tcPr>
            <w:tcW w:w="5500" w:type="dxa"/>
            <w:vAlign w:val="bottom"/>
          </w:tcPr>
          <w:p>
            <w:pPr>
              <w:ind w:left="60"/>
              <w:spacing w:after="0"/>
              <w:rPr>
                <w:sz w:val="20"/>
                <w:szCs w:val="20"/>
                <w:color w:val="auto"/>
              </w:rPr>
            </w:pPr>
            <w:r>
              <w:rPr>
                <w:rFonts w:ascii="Arial" w:cs="Arial" w:eastAsia="Arial" w:hAnsi="Arial"/>
                <w:sz w:val="18"/>
                <w:szCs w:val="18"/>
                <w:color w:val="231F20"/>
              </w:rPr>
              <w:t>Plus: Income (loss) on Private placement warrants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(71,521)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4"/>
        </w:trPr>
        <w:tc>
          <w:tcPr>
            <w:tcW w:w="5500" w:type="dxa"/>
            <w:vAlign w:val="bottom"/>
            <w:tcBorders>
              <w:top w:val="single" w:sz="8" w:color="CCEEFF"/>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income (loss) available to common shareholders - diluted</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(215,145)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(30,952)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(357,797)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Weighted average common shares outstanding - basic</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150,788,695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132,306,346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150,706,795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87,219,681</w:t>
            </w:r>
          </w:p>
        </w:tc>
        <w:tc>
          <w:tcPr>
            <w:tcW w:w="0" w:type="dxa"/>
            <w:vAlign w:val="bottom"/>
          </w:tcPr>
          <w:p>
            <w:pPr>
              <w:spacing w:after="0"/>
              <w:rPr>
                <w:sz w:val="1"/>
                <w:szCs w:val="1"/>
                <w:color w:val="auto"/>
              </w:rPr>
            </w:pPr>
          </w:p>
        </w:tc>
      </w:tr>
      <w:tr>
        <w:trPr>
          <w:trHeight w:val="225"/>
        </w:trPr>
        <w:tc>
          <w:tcPr>
            <w:tcW w:w="5500" w:type="dxa"/>
            <w:vAlign w:val="bottom"/>
          </w:tcPr>
          <w:p>
            <w:pPr>
              <w:ind w:left="60"/>
              <w:spacing w:after="0"/>
              <w:rPr>
                <w:sz w:val="20"/>
                <w:szCs w:val="20"/>
                <w:color w:val="auto"/>
              </w:rPr>
            </w:pPr>
            <w:r>
              <w:rPr>
                <w:rFonts w:ascii="Arial" w:cs="Arial" w:eastAsia="Arial" w:hAnsi="Arial"/>
                <w:sz w:val="18"/>
                <w:szCs w:val="18"/>
                <w:color w:val="231F20"/>
              </w:rPr>
              <w:t>Effect of dilutive shares: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231F20"/>
              </w:rPr>
              <w:t>Private placement warrants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629,015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1,311,451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8"/>
        </w:trPr>
        <w:tc>
          <w:tcPr>
            <w:tcW w:w="5500" w:type="dxa"/>
            <w:vAlign w:val="bottom"/>
          </w:tcPr>
          <w:p>
            <w:pPr>
              <w:ind w:left="60"/>
              <w:spacing w:after="0" w:line="204" w:lineRule="exact"/>
              <w:rPr>
                <w:sz w:val="20"/>
                <w:szCs w:val="20"/>
                <w:color w:val="auto"/>
              </w:rPr>
            </w:pPr>
            <w:r>
              <w:rPr>
                <w:rFonts w:ascii="Arial" w:cs="Arial" w:eastAsia="Arial" w:hAnsi="Arial"/>
                <w:sz w:val="18"/>
                <w:szCs w:val="18"/>
                <w:color w:val="231F20"/>
              </w:rPr>
              <w:t>Weighted average common shares outstanding - diluted</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151,417,710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99"/>
              </w:rPr>
              <w:t>132,306,346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152,018,246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87,219,681</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60"/>
              <w:spacing w:after="0"/>
              <w:rPr>
                <w:sz w:val="20"/>
                <w:szCs w:val="20"/>
                <w:color w:val="auto"/>
              </w:rPr>
            </w:pPr>
            <w:r>
              <w:rPr>
                <w:rFonts w:ascii="Arial" w:cs="Arial" w:eastAsia="Arial" w:hAnsi="Arial"/>
                <w:sz w:val="18"/>
                <w:szCs w:val="18"/>
                <w:color w:val="231F20"/>
              </w:rPr>
              <w:t>Basic net income (loss) per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0.00</w:t>
            </w:r>
          </w:p>
        </w:tc>
        <w:tc>
          <w:tcPr>
            <w:tcW w:w="10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(1.63)</w:t>
            </w:r>
          </w:p>
        </w:tc>
        <w:tc>
          <w:tcPr>
            <w:tcW w:w="10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0.27</w:t>
            </w:r>
          </w:p>
        </w:tc>
        <w:tc>
          <w:tcPr>
            <w:tcW w:w="10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231F20"/>
              </w:rPr>
              <w:t>(4.10)</w:t>
            </w:r>
          </w:p>
        </w:tc>
        <w:tc>
          <w:tcPr>
            <w:tcW w:w="0" w:type="dxa"/>
            <w:vAlign w:val="bottom"/>
          </w:tcPr>
          <w:p>
            <w:pPr>
              <w:spacing w:after="0"/>
              <w:rPr>
                <w:sz w:val="1"/>
                <w:szCs w:val="1"/>
                <w:color w:val="auto"/>
              </w:rPr>
            </w:pPr>
          </w:p>
        </w:tc>
      </w:tr>
      <w:tr>
        <w:trPr>
          <w:trHeight w:val="265"/>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Diluted net income (loss) per share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firstLine="318"/>
        <w:spacing w:after="0" w:line="249" w:lineRule="auto"/>
        <w:rPr>
          <w:sz w:val="20"/>
          <w:szCs w:val="20"/>
          <w:color w:val="auto"/>
        </w:rPr>
      </w:pPr>
      <w:r>
        <w:rPr>
          <w:rFonts w:ascii="Arial" w:cs="Arial" w:eastAsia="Arial" w:hAnsi="Arial"/>
          <w:sz w:val="18"/>
          <w:szCs w:val="18"/>
          <w:color w:val="auto"/>
        </w:rPr>
        <w:t>The following shares have been excluded from the calculation of the weighted average diluted shares outstanding as the effect would have been anti-dilutive or requisite performance conditions were not met: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5"/>
                <w:szCs w:val="15"/>
                <w:color w:val="auto"/>
              </w:rPr>
            </w:pPr>
          </w:p>
        </w:tc>
        <w:tc>
          <w:tcPr>
            <w:tcW w:w="3020" w:type="dxa"/>
            <w:vAlign w:val="bottom"/>
            <w:gridSpan w:val="4"/>
          </w:tcPr>
          <w:p>
            <w:pPr>
              <w:ind w:left="360"/>
              <w:spacing w:after="0"/>
              <w:rPr>
                <w:sz w:val="20"/>
                <w:szCs w:val="20"/>
                <w:color w:val="auto"/>
              </w:rPr>
            </w:pPr>
            <w:r>
              <w:rPr>
                <w:rFonts w:ascii="Arial" w:cs="Arial" w:eastAsia="Arial" w:hAnsi="Arial"/>
                <w:sz w:val="14"/>
                <w:szCs w:val="14"/>
                <w:b w:val="1"/>
                <w:bCs w:val="1"/>
                <w:color w:val="231F20"/>
              </w:rPr>
              <w:t>Three Months Ended September 30,</w:t>
            </w:r>
          </w:p>
        </w:tc>
        <w:tc>
          <w:tcPr>
            <w:tcW w:w="292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231F20"/>
              </w:rPr>
              <w:t>Nine Months Ended September 30,</w:t>
            </w:r>
          </w:p>
        </w:tc>
      </w:tr>
      <w:tr>
        <w:trPr>
          <w:trHeight w:val="24"/>
        </w:trPr>
        <w:tc>
          <w:tcPr>
            <w:tcW w:w="5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5"/>
        </w:trPr>
        <w:tc>
          <w:tcPr>
            <w:tcW w:w="53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2021</w:t>
            </w:r>
          </w:p>
        </w:tc>
      </w:tr>
      <w:tr>
        <w:trPr>
          <w:trHeight w:val="225"/>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Convertible Notes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23,614,425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11,807,213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23,614,425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7,871,475</w:t>
            </w:r>
          </w:p>
        </w:tc>
      </w:tr>
      <w:tr>
        <w:trPr>
          <w:trHeight w:val="225"/>
        </w:trPr>
        <w:tc>
          <w:tcPr>
            <w:tcW w:w="5300" w:type="dxa"/>
            <w:vAlign w:val="bottom"/>
          </w:tcPr>
          <w:p>
            <w:pPr>
              <w:ind w:left="60"/>
              <w:spacing w:after="0"/>
              <w:rPr>
                <w:sz w:val="20"/>
                <w:szCs w:val="20"/>
                <w:color w:val="auto"/>
              </w:rPr>
            </w:pPr>
            <w:r>
              <w:rPr>
                <w:rFonts w:ascii="Arial" w:cs="Arial" w:eastAsia="Arial" w:hAnsi="Arial"/>
                <w:sz w:val="18"/>
                <w:szCs w:val="18"/>
                <w:color w:val="231F20"/>
              </w:rPr>
              <w:t>RSUs</w:t>
            </w:r>
          </w:p>
        </w:tc>
        <w:tc>
          <w:tcPr>
            <w:tcW w:w="1420" w:type="dxa"/>
            <w:vAlign w:val="bottom"/>
          </w:tcPr>
          <w:p>
            <w:pPr>
              <w:jc w:val="right"/>
              <w:spacing w:after="0"/>
              <w:rPr>
                <w:sz w:val="20"/>
                <w:szCs w:val="20"/>
                <w:color w:val="auto"/>
              </w:rPr>
            </w:pPr>
            <w:r>
              <w:rPr>
                <w:rFonts w:ascii="Arial" w:cs="Arial" w:eastAsia="Arial" w:hAnsi="Arial"/>
                <w:sz w:val="18"/>
                <w:szCs w:val="18"/>
                <w:color w:val="231F20"/>
              </w:rPr>
              <w:t>2,529,208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200,247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2,529,208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133,498</w:t>
            </w:r>
          </w:p>
        </w:tc>
      </w:tr>
      <w:tr>
        <w:trPr>
          <w:trHeight w:val="226"/>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PSUs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2,394,657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2,394,657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r>
      <w:tr>
        <w:trPr>
          <w:trHeight w:val="225"/>
        </w:trPr>
        <w:tc>
          <w:tcPr>
            <w:tcW w:w="5300" w:type="dxa"/>
            <w:vAlign w:val="bottom"/>
          </w:tcPr>
          <w:p>
            <w:pPr>
              <w:ind w:left="60"/>
              <w:spacing w:after="0"/>
              <w:rPr>
                <w:sz w:val="20"/>
                <w:szCs w:val="20"/>
                <w:color w:val="auto"/>
              </w:rPr>
            </w:pPr>
            <w:r>
              <w:rPr>
                <w:rFonts w:ascii="Arial" w:cs="Arial" w:eastAsia="Arial" w:hAnsi="Arial"/>
                <w:sz w:val="18"/>
                <w:szCs w:val="18"/>
                <w:color w:val="231F20"/>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231F20"/>
              </w:rPr>
              <w:t>5,804,970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8,521,900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5,804,970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5,557,267</w:t>
            </w:r>
          </w:p>
        </w:tc>
      </w:tr>
      <w:tr>
        <w:trPr>
          <w:trHeight w:val="226"/>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Public and Private Warrants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24,666,666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16,444,444</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5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231F20"/>
        </w:rPr>
        <w:t>Other than as disclosed elsewhere, no subsequent events have occurred that would require recognition in the condensed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17"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w:t>
      </w:r>
    </w:p>
    <w:p>
      <w:pPr>
        <w:spacing w:after="0" w:line="172"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Important factors, among others, that may affect actual results or outcomes include the inability to recognize the anticipated benefits of the Business Combination; costs related to the Business Combination; The Beauty Health Company’s availability of cash for debt service and exposure to risk of default under debt obligations; The Beauty Health Company’s ability to manage growth; The Beauty Health Company’s ability to execute its business plan; potential litigation involving The Beauty Health Company; changes in applicable laws or regulations; the possibility that The Beauty Health Company may be adversely affected by other economic, business, and/or competitive factors; and the impact of the continuing COVID-19 pandemic on our business. The Beauty Health Company does not undertake any obligation to update or revise any forward-looking statements, whether as a result of new information, future events or otherwise, except as required by law.</w:t>
      </w:r>
    </w:p>
    <w:p>
      <w:pPr>
        <w:spacing w:after="0" w:line="212"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in our Quarterly Reports on Form 10-Q for the quarters ended March 31, 2022 and June 30, 2022 filed with the U.S. Securities and Exchange Commission (SEC) on May 10, 2022 and August 9, 2022, respectively, and also with our audited consolidated financial statements and notes thereto included in our Annual Report on Form 10-K for the fiscal year ended December 31, 2021 filed with the SEC on March 1, 2022.</w:t>
      </w:r>
    </w:p>
    <w:p>
      <w:pPr>
        <w:spacing w:after="0" w:line="2"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Unless the context otherwise requires, references to “</w:t>
      </w:r>
      <w:r>
        <w:rPr>
          <w:rFonts w:ascii="Arial" w:cs="Arial" w:eastAsia="Arial" w:hAnsi="Arial"/>
          <w:sz w:val="18"/>
          <w:szCs w:val="18"/>
          <w:i w:val="1"/>
          <w:iCs w:val="1"/>
          <w:color w:val="auto"/>
        </w:rPr>
        <w:t>Hydrafacial</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in this section are intended to mean the business and operations of The Beauty Health Company and its consolidated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Beauty Health Company is a global category-creating company focused on delivering beauty health experiences that help consumers reinvent their relationship with their skin, bodies and self-confidence. Our flagship brand, Hydrafacial, created the category of hydradermabrasion by using a patented Vortex-Fusion Delivery System to cleanse, extract, and hydrate the skin with proprietary solutions and serums. Hydrafacial provides a non-invasive and approachable skincare experience. Together, with our powerful community of aestheticians, consumers and partners, we are personalizing skin care solutions for all ages, genders, skin tones, and skin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Factors Affecting Our Performance</w:t>
      </w:r>
    </w:p>
    <w:p>
      <w:pPr>
        <w:spacing w:after="0" w:line="250"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We remain attentive to economic and geopolitical conditions that may materially impact our business. We continue to explore and implement risk mitigation strategies in the face of these unfolding conditions and remain agile in adopting to changing circumstances. Such conditions have or may have global implications which may impact the future performance of our business in unpredictable ways.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44" w:lineRule="exact"/>
        <w:rPr>
          <w:sz w:val="20"/>
          <w:szCs w:val="20"/>
          <w:color w:val="auto"/>
        </w:rPr>
      </w:pPr>
    </w:p>
    <w:p>
      <w:pPr>
        <w:jc w:val="both"/>
        <w:ind w:right="200" w:firstLine="318"/>
        <w:spacing w:after="0" w:line="300" w:lineRule="auto"/>
        <w:rPr>
          <w:sz w:val="20"/>
          <w:szCs w:val="20"/>
          <w:color w:val="auto"/>
        </w:rPr>
      </w:pPr>
      <w:r>
        <w:rPr>
          <w:rFonts w:ascii="Arial" w:cs="Arial" w:eastAsia="Arial" w:hAnsi="Arial"/>
          <w:sz w:val="15"/>
          <w:szCs w:val="15"/>
          <w:color w:val="231F20"/>
        </w:rPr>
        <w:t xml:space="preserve">The COVID-19 pandemic continues to disrupt business for us, our providers, and other companies with which we do business. Although many markets have recently shown encouraging signs of emergence from the pandemic, other markets and regions where we conduct business, </w:t>
      </w:r>
      <w:r>
        <w:rPr>
          <w:rFonts w:ascii="Arial" w:cs="Arial" w:eastAsia="Arial" w:hAnsi="Arial"/>
          <w:sz w:val="15"/>
          <w:szCs w:val="15"/>
          <w:color w:val="000000"/>
        </w:rPr>
        <w:t>particularly</w:t>
      </w:r>
      <w:r>
        <w:rPr>
          <w:rFonts w:ascii="Arial" w:cs="Arial" w:eastAsia="Arial" w:hAnsi="Arial"/>
          <w:sz w:val="15"/>
          <w:szCs w:val="15"/>
          <w:color w:val="231F20"/>
        </w:rPr>
        <w:t xml:space="preserve"> in China, have enacted sporadic and/or zero-tolerance COVID-19 policies leading to prolonged store closures and travel restrictions within those markets and regions.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231F20"/>
        </w:rPr>
        <w:t>Although we had strong performance during windows of re-opening, these COVID-related restrictions continued to negatively impact consumer traffic for our providers.</w:t>
      </w:r>
    </w:p>
    <w:p>
      <w:pPr>
        <w:spacing w:after="0" w:line="21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231F20"/>
        </w:rPr>
        <w:t>We anticipate that COVID-19 will continue to cause intermittent store closures and supply chain challenges. We are mindful that these trends may continue to impact the pace of recovery, and that such recovery may be non-linear until COVID-19 containment measures are discontinued across all regions and normal consumer traffic resumes on a consistent basis. We currently expect that in the short term, any easing of containment measures and recovery of the impacted sectors of the economy will be gradual and uneven, as regions face resurgence of COVID-19 and related uncertainties. As a result, we anticipate that consumer spending habits and consumer confidence will continue to shift, causing future sales and volume trends to be non-linear.</w:t>
      </w:r>
    </w:p>
    <w:p>
      <w:pPr>
        <w:spacing w:after="0" w:line="177"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Furthermore, the extent to which the COVID-19 pandemic impacts our business going forward will depend on numerous factors we cannot reliably predict, including but not limited to the duration and scope of the pandemic; businesses and individuals’ actions in response to the pandemic; government actions to certain pandemic impacts; and the impact on economic activity including the possibility of further financial market instability.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Inflation</w:t>
      </w:r>
    </w:p>
    <w:p>
      <w:pPr>
        <w:spacing w:after="0" w:line="24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231F20"/>
        </w:rPr>
        <w:t xml:space="preserve">During the three months ended September 30, 2022, we experienced the impact of inflation primarily on an increase in raw materials, shipping costs, and labor costs. We currently anticipate the impact of inflation to continue into the fourth quarter of 2022. To offset these trends, we plan to implement a range of mitigation strategies which could include price increases on our Delivery Systems and consumables, and/or accepting revenue in either U.S. dollar and/or local currency, as applicable. However, such </w:t>
      </w:r>
      <w:r>
        <w:rPr>
          <w:rFonts w:ascii="Arial" w:cs="Arial" w:eastAsia="Arial" w:hAnsi="Arial"/>
          <w:sz w:val="18"/>
          <w:szCs w:val="18"/>
          <w:color w:val="000000"/>
        </w:rPr>
        <w:t>measures</w:t>
      </w:r>
      <w:r>
        <w:rPr>
          <w:rFonts w:ascii="Arial" w:cs="Arial" w:eastAsia="Arial" w:hAnsi="Arial"/>
          <w:sz w:val="18"/>
          <w:szCs w:val="18"/>
          <w:color w:val="231F20"/>
        </w:rPr>
        <w:t xml:space="preserve"> may not fully offset the impact to our operating performance. After the resumption of more typical business conditions, the economics of developing, producing, launching, supporting and discontinuing products will continue to impact the timing of our sales and operating performance each period.</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Foreign Exchange Rates</w:t>
      </w:r>
    </w:p>
    <w:p>
      <w:pPr>
        <w:spacing w:after="0" w:line="24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 xml:space="preserve">Our operations outside of the United States account for a portion of our revenues and expenses. As a result, a portion of our total revenue and expenses are denominated in currencies other than the U.S. dollar. Recently, exchange rates between these currencies and the U.S. dollar have fluctuated significantly and may continue to do so in the future. Fluctuations in foreign exchange rates may have a significant impact on our operating results. During the three months ended September 30, 2022, fluctuations in the U.S. dollar relative to certain other foreign currencies – such as the </w:t>
      </w:r>
      <w:r>
        <w:rPr>
          <w:rFonts w:ascii="Arial" w:cs="Arial" w:eastAsia="Arial" w:hAnsi="Arial"/>
          <w:sz w:val="18"/>
          <w:szCs w:val="18"/>
          <w:color w:val="000000"/>
        </w:rPr>
        <w:t>Chinese Renminbi, British pound,</w:t>
      </w:r>
      <w:r>
        <w:rPr>
          <w:rFonts w:ascii="Arial" w:cs="Arial" w:eastAsia="Arial" w:hAnsi="Arial"/>
          <w:sz w:val="18"/>
          <w:szCs w:val="18"/>
          <w:color w:val="231F20"/>
        </w:rPr>
        <w:t xml:space="preserve"> </w:t>
      </w:r>
      <w:r>
        <w:rPr>
          <w:rFonts w:ascii="Arial" w:cs="Arial" w:eastAsia="Arial" w:hAnsi="Arial"/>
          <w:sz w:val="18"/>
          <w:szCs w:val="18"/>
          <w:color w:val="000000"/>
        </w:rPr>
        <w:t xml:space="preserve">Euro and, Australian dollar </w:t>
      </w:r>
      <w:r>
        <w:rPr>
          <w:rFonts w:ascii="Arial" w:cs="Arial" w:eastAsia="Arial" w:hAnsi="Arial"/>
          <w:sz w:val="18"/>
          <w:szCs w:val="18"/>
          <w:color w:val="231F20"/>
        </w:rPr>
        <w:t>– reduced our reported revenue and expenses, principally related to net sales, cost of sales, controllable fixed costs, and advertising</w:t>
      </w:r>
      <w:r>
        <w:rPr>
          <w:rFonts w:ascii="Arial" w:cs="Arial" w:eastAsia="Arial" w:hAnsi="Arial"/>
          <w:sz w:val="18"/>
          <w:szCs w:val="18"/>
          <w:color w:val="000000"/>
        </w:rPr>
        <w:t xml:space="preserve"> </w:t>
      </w:r>
      <w:r>
        <w:rPr>
          <w:rFonts w:ascii="Arial" w:cs="Arial" w:eastAsia="Arial" w:hAnsi="Arial"/>
          <w:sz w:val="18"/>
          <w:szCs w:val="18"/>
          <w:color w:val="231F20"/>
        </w:rPr>
        <w:t>and promotional costs.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Global Supply Chain Challenges</w:t>
      </w:r>
    </w:p>
    <w:p>
      <w:pPr>
        <w:spacing w:after="0" w:line="24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231F20"/>
        </w:rPr>
        <w:t>During the three months ended September 30, 2022, we experienced global supply chain challenges resulting from industry-wide component and/or raw material shortages and transportation delays. These challenges have negatively impacted order fill rates for our Delivery Systems and consumables, particularly in certain European and Asian countries.</w:t>
      </w:r>
    </w:p>
    <w:p>
      <w:pPr>
        <w:spacing w:after="0" w:line="215"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231F20"/>
        </w:rPr>
        <w:t>We continue to take steps to improve order fill rates and mitigate the impact of these constraints by working closely with our suppliers to ensure the availability of components and/or raw materials such as procuring components with longer lead times than typical. We expect these challenges to continue through the remainder of the fiscal year 2022.</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Regulation</w:t>
      </w:r>
    </w:p>
    <w:p>
      <w:pPr>
        <w:spacing w:after="0" w:line="244"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231F20"/>
        </w:rPr>
        <w:t>It remains unclear how governmental authorities, including the Food and Drug Administration (“FDA”) and foreign government authorities,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198" w:lineRule="exact"/>
        <w:rPr>
          <w:sz w:val="20"/>
          <w:szCs w:val="20"/>
          <w:color w:val="auto"/>
        </w:rPr>
      </w:pPr>
    </w:p>
    <w:p>
      <w:pPr>
        <w:ind w:right="240" w:firstLine="318"/>
        <w:spacing w:after="0" w:line="265" w:lineRule="auto"/>
        <w:rPr>
          <w:sz w:val="20"/>
          <w:szCs w:val="20"/>
          <w:color w:val="auto"/>
        </w:rPr>
      </w:pPr>
      <w:r>
        <w:rPr>
          <w:rFonts w:ascii="Arial" w:cs="Arial" w:eastAsia="Arial" w:hAnsi="Arial"/>
          <w:sz w:val="17"/>
          <w:szCs w:val="17"/>
          <w:color w:val="231F20"/>
        </w:rPr>
        <w:t>The uncertainty around the timing, speed, and duration of the recovery from the adverse impacts of the COVID-19 pandemic, including the impacts on our business of the ongoing restrictions in China, and the other macroeconomic challenges we are facing, will continue to affect our ability to grow sales profitably. We believe we can, to some extent, offset the impact of more ordinary challenges by continually developing and pursuing a diversified strategy with multiple engines of growth and by accelerating initiatives focused on areas of strength, discipline, and agility. As the current situation continues to progress, if economic and social conditions or the degree of uncertainty or volatility worsen, or the adverse conditions previously described are further prolonged, there could be a further negative effect on consumer confidence, demand, spending and willingness or ability to travel and, as a result, on our business. We are continuing to monitor these and other risks that may affect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50"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231F20"/>
              </w:rPr>
              <w:t>Three Months Ended September 30,</w:t>
            </w:r>
          </w:p>
        </w:tc>
        <w:tc>
          <w:tcPr>
            <w:tcW w:w="320" w:type="dxa"/>
            <w:vAlign w:val="bottom"/>
          </w:tcPr>
          <w:p>
            <w:pPr>
              <w:spacing w:after="0"/>
              <w:rPr>
                <w:sz w:val="15"/>
                <w:szCs w:val="15"/>
                <w:color w:val="auto"/>
              </w:rPr>
            </w:pPr>
          </w:p>
        </w:tc>
        <w:tc>
          <w:tcPr>
            <w:tcW w:w="28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231F20"/>
                <w:w w:val="99"/>
              </w:rPr>
              <w:t>Nine Months Ended September 30,</w:t>
            </w:r>
          </w:p>
        </w:tc>
        <w:tc>
          <w:tcPr>
            <w:tcW w:w="0" w:type="dxa"/>
            <w:vAlign w:val="bottom"/>
          </w:tcPr>
          <w:p>
            <w:pPr>
              <w:spacing w:after="0"/>
              <w:rPr>
                <w:sz w:val="1"/>
                <w:szCs w:val="1"/>
                <w:color w:val="auto"/>
              </w:rPr>
            </w:pPr>
          </w:p>
        </w:tc>
      </w:tr>
      <w:tr>
        <w:trPr>
          <w:trHeight w:val="24"/>
        </w:trPr>
        <w:tc>
          <w:tcPr>
            <w:tcW w:w="48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(dollars 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Delivery Systems net sales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96.8</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Consumables net sales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85.4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net sales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182.2</w:t>
            </w:r>
          </w:p>
        </w:tc>
        <w:tc>
          <w:tcPr>
            <w:tcW w:w="0" w:type="dxa"/>
            <w:vAlign w:val="bottom"/>
          </w:tcPr>
          <w:p>
            <w:pPr>
              <w:spacing w:after="0"/>
              <w:rPr>
                <w:sz w:val="1"/>
                <w:szCs w:val="1"/>
                <w:color w:val="auto"/>
              </w:rPr>
            </w:pPr>
          </w:p>
        </w:tc>
      </w:tr>
      <w:tr>
        <w:trPr>
          <w:trHeight w:val="218"/>
        </w:trPr>
        <w:tc>
          <w:tcPr>
            <w:tcW w:w="4860" w:type="dxa"/>
            <w:vAlign w:val="bottom"/>
          </w:tcPr>
          <w:p>
            <w:pPr>
              <w:ind w:left="60"/>
              <w:spacing w:after="0" w:line="204" w:lineRule="exact"/>
              <w:rPr>
                <w:sz w:val="20"/>
                <w:szCs w:val="20"/>
                <w:color w:val="auto"/>
              </w:rPr>
            </w:pPr>
            <w:r>
              <w:rPr>
                <w:rFonts w:ascii="Arial" w:cs="Arial" w:eastAsia="Arial" w:hAnsi="Arial"/>
                <w:sz w:val="18"/>
                <w:szCs w:val="18"/>
                <w:color w:val="231F20"/>
              </w:rPr>
              <w:t>Gross profit</w:t>
            </w: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61.6</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46.1</w:t>
            </w:r>
          </w:p>
        </w:tc>
        <w:tc>
          <w:tcPr>
            <w:tcW w:w="8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185.2</w:t>
            </w:r>
          </w:p>
        </w:tc>
        <w:tc>
          <w:tcPr>
            <w:tcW w:w="8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125.1</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Gross margin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231F20"/>
              </w:rPr>
              <w:t>67.6%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69.2%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231F20"/>
                <w:w w:val="90"/>
              </w:rPr>
              <w:t>68.6%</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Arial" w:cs="Arial" w:eastAsia="Arial" w:hAnsi="Arial"/>
                <w:sz w:val="18"/>
                <w:szCs w:val="18"/>
                <w:color w:val="231F20"/>
              </w:rPr>
              <w:t>Net income (loss)</w:t>
            </w: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0.1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(215.1)</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40.6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center"/>
              <w:ind w:left="513"/>
              <w:spacing w:after="0"/>
              <w:rPr>
                <w:sz w:val="20"/>
                <w:szCs w:val="20"/>
                <w:color w:val="auto"/>
              </w:rPr>
            </w:pPr>
            <w:r>
              <w:rPr>
                <w:rFonts w:ascii="Arial" w:cs="Arial" w:eastAsia="Arial" w:hAnsi="Arial"/>
                <w:sz w:val="18"/>
                <w:szCs w:val="18"/>
                <w:color w:val="231F20"/>
                <w:w w:val="91"/>
              </w:rPr>
              <w:t>(357.8)</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net income (loss)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Arial" w:cs="Arial" w:eastAsia="Arial" w:hAnsi="Arial"/>
                <w:sz w:val="18"/>
                <w:szCs w:val="18"/>
                <w:color w:val="231F20"/>
              </w:rPr>
              <w:t>Adjusted EBITDA</w:t>
            </w: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16.5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5.8</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31.4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24.2</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EBITDA margin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231F20"/>
              </w:rPr>
              <w:t>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11.7%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231F20"/>
                <w:w w:val="90"/>
              </w:rPr>
              <w:t>13.3%</w:t>
            </w:r>
          </w:p>
        </w:tc>
        <w:tc>
          <w:tcPr>
            <w:tcW w:w="0" w:type="dxa"/>
            <w:vAlign w:val="bottom"/>
          </w:tcPr>
          <w:p>
            <w:pPr>
              <w:spacing w:after="0"/>
              <w:rPr>
                <w:sz w:val="1"/>
                <w:szCs w:val="1"/>
                <w:color w:val="auto"/>
              </w:rPr>
            </w:pPr>
          </w:p>
        </w:tc>
      </w:tr>
      <w:tr>
        <w:trPr>
          <w:trHeight w:val="225"/>
        </w:trPr>
        <w:tc>
          <w:tcPr>
            <w:tcW w:w="4860" w:type="dxa"/>
            <w:vAlign w:val="bottom"/>
          </w:tcPr>
          <w:p>
            <w:pPr>
              <w:ind w:left="60"/>
              <w:spacing w:after="0"/>
              <w:rPr>
                <w:sz w:val="20"/>
                <w:szCs w:val="20"/>
                <w:color w:val="auto"/>
              </w:rPr>
            </w:pPr>
            <w:r>
              <w:rPr>
                <w:rFonts w:ascii="Arial" w:cs="Arial" w:eastAsia="Arial" w:hAnsi="Arial"/>
                <w:sz w:val="18"/>
                <w:szCs w:val="18"/>
                <w:color w:val="231F20"/>
              </w:rPr>
              <w:t>Adjusted gross profit</w:t>
            </w: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66.6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48.7</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196.3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133.0</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gross margin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231F20"/>
              </w:rPr>
              <w:t>71.5%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231F20"/>
                <w:w w:val="90"/>
              </w:rPr>
              <w:t>73.0%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Adjusted Net Income (Loss), Adjusted EBITDA (Loss) and Adjusted EBITDA Margin</w:t>
      </w:r>
    </w:p>
    <w:p>
      <w:pPr>
        <w:spacing w:after="0" w:line="2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231F20"/>
        </w:rPr>
        <w:t>Adjusted net income (loss), adjusted EBITDA (loss) and adjusted EBITDA margin are key performance measures that our management uses to assess our operating performance. See the section titled “</w:t>
      </w:r>
      <w:r>
        <w:rPr>
          <w:rFonts w:ascii="Arial" w:cs="Arial" w:eastAsia="Arial" w:hAnsi="Arial"/>
          <w:sz w:val="18"/>
          <w:szCs w:val="18"/>
          <w:i w:val="1"/>
          <w:iCs w:val="1"/>
          <w:color w:val="231F20"/>
        </w:rPr>
        <w:t>Non-GAAP Financial Measures—adjusted net income (loss), adjusted EBITDA (loss) and adjusted EBITDA</w:t>
      </w:r>
      <w:r>
        <w:rPr>
          <w:rFonts w:ascii="Arial" w:cs="Arial" w:eastAsia="Arial" w:hAnsi="Arial"/>
          <w:sz w:val="18"/>
          <w:szCs w:val="18"/>
          <w:color w:val="231F20"/>
        </w:rPr>
        <w:t xml:space="preserve"> </w:t>
      </w:r>
      <w:r>
        <w:rPr>
          <w:rFonts w:ascii="Arial" w:cs="Arial" w:eastAsia="Arial" w:hAnsi="Arial"/>
          <w:sz w:val="18"/>
          <w:szCs w:val="18"/>
          <w:i w:val="1"/>
          <w:iCs w:val="1"/>
          <w:color w:val="231F20"/>
        </w:rPr>
        <w:t>margin</w:t>
      </w:r>
      <w:r>
        <w:rPr>
          <w:rFonts w:ascii="Arial" w:cs="Arial" w:eastAsia="Arial" w:hAnsi="Arial"/>
          <w:sz w:val="18"/>
          <w:szCs w:val="18"/>
          <w:color w:val="231F20"/>
        </w:rPr>
        <w:t>” for information regarding our use of adjusted net income (loss) and adjusted EBITDA and reconciliations of adjusted net income (loss) and adjusted</w:t>
      </w:r>
      <w:r>
        <w:rPr>
          <w:rFonts w:ascii="Arial" w:cs="Arial" w:eastAsia="Arial" w:hAnsi="Arial"/>
          <w:sz w:val="18"/>
          <w:szCs w:val="18"/>
          <w:i w:val="1"/>
          <w:iCs w:val="1"/>
          <w:color w:val="231F20"/>
        </w:rPr>
        <w:t xml:space="preserve"> </w:t>
      </w:r>
      <w:r>
        <w:rPr>
          <w:rFonts w:ascii="Arial" w:cs="Arial" w:eastAsia="Arial" w:hAnsi="Arial"/>
          <w:sz w:val="18"/>
          <w:szCs w:val="18"/>
          <w:color w:val="231F20"/>
        </w:rPr>
        <w:t>EBITDA to net loss.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Adjusted Gross Profit and Adjusted Gross Margin</w:t>
      </w:r>
    </w:p>
    <w:p>
      <w:pPr>
        <w:spacing w:after="0" w:line="24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We use adjusted gross profit and adjusted gross margin to measure our profitability and ability to scale and leverage the costs of our Delivery Systems and Consumables sales. See the section titled “</w:t>
      </w:r>
      <w:r>
        <w:rPr>
          <w:rFonts w:ascii="Arial" w:cs="Arial" w:eastAsia="Arial" w:hAnsi="Arial"/>
          <w:sz w:val="18"/>
          <w:szCs w:val="18"/>
          <w:i w:val="1"/>
          <w:iCs w:val="1"/>
          <w:color w:val="231F20"/>
        </w:rPr>
        <w:t>Non-GAAP Financial Measures—adjusted gross profit and adjusted gross margin</w:t>
      </w:r>
      <w:r>
        <w:rPr>
          <w:rFonts w:ascii="Arial" w:cs="Arial" w:eastAsia="Arial" w:hAnsi="Arial"/>
          <w:sz w:val="18"/>
          <w:szCs w:val="18"/>
          <w:color w:val="231F20"/>
        </w:rPr>
        <w:t>” for information regarding our use of adjusted gross profit and a reconciliation of adjusted gross profit to gross profit.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Three Months Ended September 30, 2022 to Three Months Ended September 30, 2021</w:t>
      </w:r>
    </w:p>
    <w:p>
      <w:pPr>
        <w:spacing w:after="0" w:line="25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231F20"/>
        </w:rPr>
        <w:t>may be expected in the future. The results of operations data for the three and nine months ended September 30, 2022 and September 30, 2021 have been derived from the condensed consolidated financial statements included elsewhere in this Form 10-Q.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231F20"/>
              </w:rPr>
              <w:t>Three Months Ended September 30,</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231F20"/>
              </w:rPr>
              <w:t>% of Net Sales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25"/>
        </w:trPr>
        <w:tc>
          <w:tcPr>
            <w:tcW w:w="5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68.1</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30.7 %</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32.4</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69.3 %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67.6</w:t>
            </w:r>
          </w:p>
        </w:tc>
        <w:tc>
          <w:tcPr>
            <w:tcW w:w="0" w:type="dxa"/>
            <w:vAlign w:val="bottom"/>
          </w:tcPr>
          <w:p>
            <w:pPr>
              <w:spacing w:after="0"/>
              <w:rPr>
                <w:sz w:val="1"/>
                <w:szCs w:val="1"/>
                <w:color w:val="auto"/>
              </w:rPr>
            </w:pPr>
          </w:p>
        </w:tc>
      </w:tr>
      <w:tr>
        <w:trPr>
          <w:trHeight w:val="225"/>
        </w:trPr>
        <w:tc>
          <w:tcPr>
            <w:tcW w:w="5060" w:type="dxa"/>
            <w:vAlign w:val="bottom"/>
          </w:tcPr>
          <w:p>
            <w:pPr>
              <w:ind w:left="60"/>
              <w:spacing w:after="0"/>
              <w:rPr>
                <w:sz w:val="20"/>
                <w:szCs w:val="20"/>
                <w:color w:val="auto"/>
              </w:rPr>
            </w:pPr>
            <w:r>
              <w:rPr>
                <w:rFonts w:ascii="Arial" w:cs="Arial" w:eastAsia="Arial" w:hAnsi="Arial"/>
                <w:sz w:val="18"/>
                <w:szCs w:val="18"/>
                <w:color w:val="231F20"/>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44.8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44.7</w:t>
            </w:r>
          </w:p>
        </w:tc>
        <w:tc>
          <w:tcPr>
            <w:tcW w:w="0" w:type="dxa"/>
            <w:vAlign w:val="bottom"/>
          </w:tcPr>
          <w:p>
            <w:pPr>
              <w:spacing w:after="0"/>
              <w:rPr>
                <w:sz w:val="1"/>
                <w:szCs w:val="1"/>
                <w:color w:val="auto"/>
              </w:rPr>
            </w:pPr>
          </w:p>
        </w:tc>
      </w:tr>
      <w:tr>
        <w:trPr>
          <w:trHeight w:val="225"/>
        </w:trPr>
        <w:tc>
          <w:tcPr>
            <w:tcW w:w="5060" w:type="dxa"/>
            <w:vAlign w:val="bottom"/>
          </w:tcPr>
          <w:p>
            <w:pPr>
              <w:ind w:left="560"/>
              <w:spacing w:after="0"/>
              <w:rPr>
                <w:sz w:val="20"/>
                <w:szCs w:val="20"/>
                <w:color w:val="auto"/>
              </w:rPr>
            </w:pPr>
            <w:r>
              <w:rPr>
                <w:rFonts w:ascii="Arial" w:cs="Arial" w:eastAsia="Arial" w:hAnsi="Arial"/>
                <w:sz w:val="18"/>
                <w:szCs w:val="18"/>
                <w:color w:val="231F20"/>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1.9</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2.8</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26.8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19.2</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28.2</w:t>
            </w:r>
          </w:p>
        </w:tc>
        <w:tc>
          <w:tcPr>
            <w:tcW w:w="0" w:type="dxa"/>
            <w:vAlign w:val="bottom"/>
          </w:tcPr>
          <w:p>
            <w:pPr>
              <w:spacing w:after="0"/>
              <w:rPr>
                <w:sz w:val="1"/>
                <w:szCs w:val="1"/>
                <w:color w:val="auto"/>
              </w:rPr>
            </w:pPr>
          </w:p>
        </w:tc>
      </w:tr>
      <w:tr>
        <w:trPr>
          <w:trHeight w:val="218"/>
        </w:trPr>
        <w:tc>
          <w:tcPr>
            <w:tcW w:w="5060" w:type="dxa"/>
            <w:vAlign w:val="bottom"/>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65.7</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74.0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51.5</w:t>
            </w:r>
          </w:p>
        </w:tc>
        <w:tc>
          <w:tcPr>
            <w:tcW w:w="8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75.6</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Income (loss) from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231F20"/>
              </w:rPr>
              <w:t>(4.7)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231F20"/>
              </w:rPr>
              <w:t>(8.0)</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 (income) expense,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231F20"/>
              </w:rPr>
              <w:t>(3.9)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210.8</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309.4</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Income (loss) before provision for income tax</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231F20"/>
              </w:rPr>
              <w:t>(0.8)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231F20"/>
              </w:rPr>
              <w:t>(317.4)</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Income tax expense (benefit)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(0.8)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231F20"/>
              </w:rPr>
              <w:t>(0.9)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0.1 %</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(215.1)</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(315.7)%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231F20"/>
                <w:w w:val="95"/>
              </w:rPr>
              <w:t>Three Months Ended September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960"/>
              <w:spacing w:after="0"/>
              <w:rPr>
                <w:sz w:val="20"/>
                <w:szCs w:val="20"/>
                <w:color w:val="auto"/>
              </w:rPr>
            </w:pPr>
            <w:r>
              <w:rPr>
                <w:rFonts w:ascii="Arial" w:cs="Arial" w:eastAsia="Arial" w:hAnsi="Arial"/>
                <w:sz w:val="14"/>
                <w:szCs w:val="14"/>
                <w:b w:val="1"/>
                <w:bCs w:val="1"/>
                <w:color w:val="231F20"/>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Amount</w:t>
            </w:r>
          </w:p>
        </w:tc>
        <w:tc>
          <w:tcPr>
            <w:tcW w:w="1000" w:type="dxa"/>
            <w:vAlign w:val="bottom"/>
          </w:tcPr>
          <w:p>
            <w:pPr>
              <w:jc w:val="right"/>
              <w:ind w:right="55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49.1</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36.2</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12.9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35.7%</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line="204" w:lineRule="exact"/>
              <w:rPr>
                <w:sz w:val="20"/>
                <w:szCs w:val="20"/>
                <w:color w:val="auto"/>
              </w:rPr>
            </w:pPr>
            <w:r>
              <w:rPr>
                <w:rFonts w:ascii="Arial" w:cs="Arial" w:eastAsia="Arial" w:hAnsi="Arial"/>
                <w:sz w:val="18"/>
                <w:szCs w:val="18"/>
                <w:color w:val="231F20"/>
              </w:rPr>
              <w:t>Total net sales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88.8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20.7</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30.3%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231F20"/>
              </w:rPr>
              <w:t>Percentage of net sales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231F20"/>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231F20"/>
              </w:rPr>
              <w:t>53.1%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231F20"/>
              </w:rPr>
              <w:t>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231F20"/>
              </w:rPr>
              <w:t>46.9%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line="204" w:lineRule="exact"/>
              <w:rPr>
                <w:sz w:val="20"/>
                <w:szCs w:val="20"/>
                <w:color w:val="auto"/>
              </w:rPr>
            </w:pPr>
            <w:r>
              <w:rPr>
                <w:rFonts w:ascii="Arial" w:cs="Arial" w:eastAsia="Arial" w:hAnsi="Arial"/>
                <w:sz w:val="18"/>
                <w:szCs w:val="18"/>
                <w:color w:val="231F20"/>
              </w:rPr>
              <w:t>Total</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231F20"/>
              </w:rPr>
              <w:t>100.0%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231F20"/>
        </w:rPr>
        <w:t>Total net sales for the three months ended September 30, 2022 increased $20.7 million, or 30.3%, compared to the three months ended September 30, 2021. Delivery System sales for the three months ended September 30, 2022 increased $12.9 million, or 35.7%, compared to the three months ended September 30, 2021. Net sales for the three months ended September 30, 2022 increased primarily due to strength in Delivery Systems sales.</w:t>
      </w:r>
    </w:p>
    <w:p>
      <w:pPr>
        <w:spacing w:after="0" w:line="137"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231F20"/>
        </w:rPr>
        <w:t>There were 1,860 Delivery Systems units sold for the three months ended September 30, 2022. Delivery Systems units sold for the three months ended September 30, 2022 increased primarily due to the strong demand for the Company’s new Syndeo delivery system.</w:t>
      </w:r>
    </w:p>
    <w:p>
      <w:pPr>
        <w:spacing w:after="0" w:line="18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231F20"/>
        </w:rPr>
        <w:t>Consumables sales for the three months ended September 30, 2022 increased $7.7 million, or 24.2%, compared to the three months ended September 30, 2021. The increase in Consumables sales was primarily attributable to increased placements of delivery systems and the adjoining consumption of consumables during the three months ended September 30, 2022.</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5"/>
                <w:szCs w:val="15"/>
                <w:color w:val="auto"/>
              </w:rPr>
            </w:pPr>
          </w:p>
        </w:tc>
        <w:tc>
          <w:tcPr>
            <w:tcW w:w="1620" w:type="dxa"/>
            <w:vAlign w:val="bottom"/>
            <w:gridSpan w:val="3"/>
          </w:tcPr>
          <w:p>
            <w:pPr>
              <w:ind w:left="940"/>
              <w:spacing w:after="0"/>
              <w:rPr>
                <w:sz w:val="20"/>
                <w:szCs w:val="20"/>
                <w:color w:val="auto"/>
              </w:rPr>
            </w:pPr>
            <w:r>
              <w:rPr>
                <w:rFonts w:ascii="Arial" w:cs="Arial" w:eastAsia="Arial" w:hAnsi="Arial"/>
                <w:sz w:val="14"/>
                <w:szCs w:val="14"/>
                <w:b w:val="1"/>
                <w:bCs w:val="1"/>
                <w:color w:val="231F20"/>
              </w:rPr>
              <w:t>Change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Amount</w:t>
            </w:r>
          </w:p>
        </w:tc>
        <w:tc>
          <w:tcPr>
            <w:tcW w:w="980" w:type="dxa"/>
            <w:vAlign w:val="bottom"/>
          </w:tcPr>
          <w:p>
            <w:pPr>
              <w:jc w:val="right"/>
              <w:ind w:right="538"/>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231F20"/>
              </w:rPr>
              <w:t>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231F20"/>
              </w:rPr>
              <w:t>22.1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w w:val="99"/>
              </w:rPr>
              <w:t>$</w:t>
            </w:r>
          </w:p>
        </w:tc>
        <w:tc>
          <w:tcPr>
            <w:tcW w:w="11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231F20"/>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23.3%</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240" w:type="dxa"/>
            <w:vAlign w:val="bottom"/>
          </w:tcPr>
          <w:p>
            <w:pPr>
              <w:ind w:left="720"/>
              <w:spacing w:after="0"/>
              <w:rPr>
                <w:sz w:val="20"/>
                <w:szCs w:val="20"/>
                <w:color w:val="auto"/>
              </w:rPr>
            </w:pPr>
            <w:r>
              <w:rPr>
                <w:rFonts w:ascii="Arial" w:cs="Arial" w:eastAsia="Arial" w:hAnsi="Arial"/>
                <w:sz w:val="18"/>
                <w:szCs w:val="18"/>
                <w:color w:val="231F20"/>
              </w:rPr>
              <w:t>61.6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60" w:type="dxa"/>
            <w:vAlign w:val="bottom"/>
          </w:tcPr>
          <w:p>
            <w:pPr>
              <w:ind w:left="620"/>
              <w:spacing w:after="0"/>
              <w:rPr>
                <w:sz w:val="20"/>
                <w:szCs w:val="20"/>
                <w:color w:val="auto"/>
              </w:rPr>
            </w:pPr>
            <w:r>
              <w:rPr>
                <w:rFonts w:ascii="Arial" w:cs="Arial" w:eastAsia="Arial" w:hAnsi="Arial"/>
                <w:sz w:val="18"/>
                <w:szCs w:val="18"/>
                <w:color w:val="231F20"/>
              </w:rPr>
              <w:t>46.1</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231F20"/>
              </w:rPr>
              <w:t>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33.6%</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231F20"/>
                <w:w w:val="89"/>
              </w:rPr>
              <w:t>69.3 %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231F20"/>
                <w:w w:val="92"/>
              </w:rPr>
              <w:t>67.6 %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231F20"/>
        </w:rPr>
        <w:t>Cost of sales increased $5.1 million driven by and in conjunction with increased sales volume in delivery systems and consumables. Gross margin increased from 67.6% during the three months ended September 30, 2021 to 69.3% during the three</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231F20"/>
        </w:rPr>
        <w:t xml:space="preserve">months ended September 30, 2022, primarily due to fixed cost leverage associated with higher volume and stronger realized delivery systems pricing.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improvement in adjusted gross margin was driven by fixed cost leverage associated with higher volume and stronger realized delivery systems pricing, and a one-time write-off primarily related to the discontinued Glow &amp; Go pilot program, partly offset by headwinds from global supply chain challenges, inflationary pressures and foreign exchange rates.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1200" w:type="dxa"/>
            <w:vAlign w:val="bottom"/>
          </w:tcPr>
          <w:p>
            <w:pPr>
              <w:spacing w:after="0"/>
              <w:rPr>
                <w:sz w:val="15"/>
                <w:szCs w:val="15"/>
                <w:color w:val="auto"/>
              </w:rPr>
            </w:pP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61"/>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8"/>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Arial" w:cs="Arial" w:eastAsia="Arial" w:hAnsi="Arial"/>
                <w:sz w:val="14"/>
                <w:szCs w:val="14"/>
                <w:b w:val="1"/>
                <w:bCs w:val="1"/>
                <w:color w:val="231F20"/>
              </w:rPr>
              <w:t>Amount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74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231F20"/>
              </w:rPr>
              <w:t>Selling and marketing</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231F20"/>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231F20"/>
              </w:rPr>
              <w:t>30.5</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231F20"/>
                <w:w w:val="9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231F20"/>
              </w:rPr>
              <w:t>9.3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24"/>
        </w:trPr>
        <w:tc>
          <w:tcPr>
            <w:tcW w:w="460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80" w:type="dxa"/>
            <w:vAlign w:val="bottom"/>
          </w:tcPr>
          <w:p>
            <w:pPr>
              <w:spacing w:after="0"/>
              <w:rPr>
                <w:sz w:val="19"/>
                <w:szCs w:val="19"/>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231F20"/>
                <w:w w:val="89"/>
              </w:rPr>
              <w:t>44.8 %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520"/>
              <w:spacing w:after="0"/>
              <w:rPr>
                <w:sz w:val="20"/>
                <w:szCs w:val="20"/>
                <w:color w:val="auto"/>
              </w:rPr>
            </w:pPr>
            <w:r>
              <w:rPr>
                <w:rFonts w:ascii="Arial" w:cs="Arial" w:eastAsia="Arial" w:hAnsi="Arial"/>
                <w:sz w:val="18"/>
                <w:szCs w:val="18"/>
                <w:color w:val="231F20"/>
                <w:w w:val="92"/>
              </w:rPr>
              <w:t>44.7 %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40" w:firstLine="318"/>
        <w:spacing w:after="0" w:line="235" w:lineRule="auto"/>
        <w:rPr>
          <w:sz w:val="20"/>
          <w:szCs w:val="20"/>
          <w:color w:val="auto"/>
        </w:rPr>
      </w:pPr>
      <w:r>
        <w:rPr>
          <w:rFonts w:ascii="Arial" w:cs="Arial" w:eastAsia="Arial" w:hAnsi="Arial"/>
          <w:sz w:val="18"/>
          <w:szCs w:val="18"/>
          <w:color w:val="auto"/>
        </w:rPr>
        <w:t xml:space="preserve">Selling and marketing expense for the three months ended September 30, 2022 increased </w:t>
      </w:r>
      <w:r>
        <w:rPr>
          <w:rFonts w:ascii="Arial" w:cs="Arial" w:eastAsia="Arial" w:hAnsi="Arial"/>
          <w:sz w:val="18"/>
          <w:szCs w:val="18"/>
          <w:color w:val="231F20"/>
        </w:rPr>
        <w:t>$9.3 million</w:t>
      </w:r>
      <w:r>
        <w:rPr>
          <w:rFonts w:ascii="Arial" w:cs="Arial" w:eastAsia="Arial" w:hAnsi="Arial"/>
          <w:sz w:val="18"/>
          <w:szCs w:val="18"/>
          <w:color w:val="auto"/>
        </w:rPr>
        <w:t>, or 30.6%, compared to the three months ended September 30, 2021. The increase was driven by an increase in personnel-related expenses of $1.1 million resulting from an increase in headcount and commissions, and an increase in s</w:t>
      </w:r>
      <w:r>
        <w:rPr>
          <w:rFonts w:ascii="Arial" w:cs="Arial" w:eastAsia="Arial" w:hAnsi="Arial"/>
          <w:sz w:val="18"/>
          <w:szCs w:val="18"/>
          <w:color w:val="231F20"/>
        </w:rPr>
        <w:t>tock-based compensation expense of $2.5 million. The increase in selling and marketing expense was partially offset by a</w:t>
      </w:r>
      <w:r>
        <w:rPr>
          <w:rFonts w:ascii="Arial" w:cs="Arial" w:eastAsia="Arial" w:hAnsi="Arial"/>
          <w:sz w:val="18"/>
          <w:szCs w:val="18"/>
          <w:color w:val="auto"/>
        </w:rPr>
        <w:t xml:space="preserve"> </w:t>
      </w:r>
      <w:r>
        <w:rPr>
          <w:rFonts w:ascii="Arial" w:cs="Arial" w:eastAsia="Arial" w:hAnsi="Arial"/>
          <w:sz w:val="18"/>
          <w:szCs w:val="18"/>
          <w:color w:val="231F20"/>
        </w:rPr>
        <w:t xml:space="preserve">$2.6 million reduction in the accrual for estimated bonus expenses, which were originally accrued at 200% of target amounts. </w:t>
      </w:r>
      <w:r>
        <w:rPr>
          <w:rFonts w:ascii="Arial" w:cs="Arial" w:eastAsia="Arial" w:hAnsi="Arial"/>
          <w:sz w:val="18"/>
          <w:szCs w:val="18"/>
          <w:color w:val="000000"/>
        </w:rPr>
        <w:t>In addition,</w:t>
      </w:r>
      <w:r>
        <w:rPr>
          <w:rFonts w:ascii="Arial" w:cs="Arial" w:eastAsia="Arial" w:hAnsi="Arial"/>
          <w:sz w:val="18"/>
          <w:szCs w:val="18"/>
          <w:color w:val="231F20"/>
        </w:rPr>
        <w:t xml:space="preserve"> travel expenses </w:t>
      </w:r>
      <w:r>
        <w:rPr>
          <w:rFonts w:ascii="Arial" w:cs="Arial" w:eastAsia="Arial" w:hAnsi="Arial"/>
          <w:sz w:val="18"/>
          <w:szCs w:val="18"/>
          <w:color w:val="000000"/>
        </w:rPr>
        <w:t>increased by $1.5 million and marketing spend increased by $2.8 million due primarily to the investments in Americas and EMEA in key tradeshows and other marketing programs.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1200" w:type="dxa"/>
            <w:vAlign w:val="bottom"/>
          </w:tcPr>
          <w:p>
            <w:pPr>
              <w:spacing w:after="0"/>
              <w:rPr>
                <w:sz w:val="15"/>
                <w:szCs w:val="15"/>
                <w:color w:val="auto"/>
              </w:rPr>
            </w:pP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231F20"/>
              </w:rPr>
              <w:t>Amount</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231F20"/>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231F20"/>
              </w:rPr>
              <w:t>1.9</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231F20"/>
                <w:w w:val="9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231F20"/>
              </w:rPr>
              <w:t>0.3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4"/>
        </w:trPr>
        <w:tc>
          <w:tcPr>
            <w:tcW w:w="460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80" w:type="dxa"/>
            <w:vAlign w:val="bottom"/>
          </w:tcPr>
          <w:p>
            <w:pPr>
              <w:spacing w:after="0"/>
              <w:rPr>
                <w:sz w:val="19"/>
                <w:szCs w:val="19"/>
                <w:color w:val="auto"/>
              </w:rPr>
            </w:pPr>
          </w:p>
        </w:tc>
        <w:tc>
          <w:tcPr>
            <w:tcW w:w="1300" w:type="dxa"/>
            <w:vAlign w:val="bottom"/>
          </w:tcPr>
          <w:p>
            <w:pPr>
              <w:ind w:left="860"/>
              <w:spacing w:after="0"/>
              <w:rPr>
                <w:sz w:val="20"/>
                <w:szCs w:val="20"/>
                <w:color w:val="auto"/>
              </w:rPr>
            </w:pPr>
            <w:r>
              <w:rPr>
                <w:rFonts w:ascii="Arial" w:cs="Arial" w:eastAsia="Arial" w:hAnsi="Arial"/>
                <w:sz w:val="18"/>
                <w:szCs w:val="18"/>
                <w:color w:val="231F20"/>
                <w:w w:val="91"/>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231F20"/>
                <w:w w:val="91"/>
              </w:rPr>
              <w:t>2.8 %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240" w:firstLine="318"/>
        <w:spacing w:after="0" w:line="365" w:lineRule="auto"/>
        <w:rPr>
          <w:sz w:val="20"/>
          <w:szCs w:val="20"/>
          <w:color w:val="auto"/>
        </w:rPr>
      </w:pPr>
      <w:r>
        <w:rPr>
          <w:rFonts w:ascii="Arial" w:cs="Arial" w:eastAsia="Arial" w:hAnsi="Arial"/>
          <w:sz w:val="15"/>
          <w:szCs w:val="15"/>
          <w:color w:val="auto"/>
        </w:rPr>
        <w:t xml:space="preserve">Research and development expense for the three months ended September 30, 2022 increased </w:t>
      </w:r>
      <w:r>
        <w:rPr>
          <w:rFonts w:ascii="Arial" w:cs="Arial" w:eastAsia="Arial" w:hAnsi="Arial"/>
          <w:sz w:val="15"/>
          <w:szCs w:val="15"/>
          <w:color w:val="231F20"/>
        </w:rPr>
        <w:t>$0.3 million</w:t>
      </w:r>
      <w:r>
        <w:rPr>
          <w:rFonts w:ascii="Arial" w:cs="Arial" w:eastAsia="Arial" w:hAnsi="Arial"/>
          <w:sz w:val="15"/>
          <w:szCs w:val="15"/>
          <w:color w:val="auto"/>
        </w:rPr>
        <w:t>, or 15.3%, compared to the three months ended September 30, 2021. The increase was primarily due to increased spend in personnel of $0.3 million and certain product write-offs during the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1200" w:type="dxa"/>
            <w:vAlign w:val="bottom"/>
          </w:tcPr>
          <w:p>
            <w:pPr>
              <w:spacing w:after="0"/>
              <w:rPr>
                <w:sz w:val="15"/>
                <w:szCs w:val="15"/>
                <w:color w:val="auto"/>
              </w:rPr>
            </w:pPr>
          </w:p>
        </w:tc>
        <w:tc>
          <w:tcPr>
            <w:tcW w:w="1060" w:type="dxa"/>
            <w:vAlign w:val="bottom"/>
            <w:gridSpan w:val="3"/>
          </w:tcPr>
          <w:p>
            <w:pPr>
              <w:ind w:left="300"/>
              <w:spacing w:after="0"/>
              <w:rPr>
                <w:sz w:val="20"/>
                <w:szCs w:val="20"/>
                <w:color w:val="auto"/>
              </w:rPr>
            </w:pPr>
            <w:r>
              <w:rPr>
                <w:rFonts w:ascii="Arial" w:cs="Arial" w:eastAsia="Arial" w:hAnsi="Arial"/>
                <w:sz w:val="14"/>
                <w:szCs w:val="14"/>
                <w:b w:val="1"/>
                <w:bCs w:val="1"/>
                <w:color w:val="231F20"/>
              </w:rPr>
              <w:t>Change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231F20"/>
              </w:rPr>
              <w:t>Amount</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231F20"/>
              </w:rPr>
              <w:t>23.8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231F20"/>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color w:val="231F20"/>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6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231F20"/>
                <w:w w:val="92"/>
              </w:rPr>
              <w:t>26.8 %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231F20"/>
                <w:w w:val="89"/>
              </w:rPr>
              <w:t>28.2 %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 xml:space="preserve">General and administrative expense for the three months ended </w:t>
      </w:r>
      <w:r>
        <w:rPr>
          <w:rFonts w:ascii="Arial" w:cs="Arial" w:eastAsia="Arial" w:hAnsi="Arial"/>
          <w:sz w:val="18"/>
          <w:szCs w:val="18"/>
          <w:color w:val="000000"/>
        </w:rPr>
        <w:t>September 30, 2022</w:t>
      </w:r>
      <w:r>
        <w:rPr>
          <w:rFonts w:ascii="Arial" w:cs="Arial" w:eastAsia="Arial" w:hAnsi="Arial"/>
          <w:sz w:val="18"/>
          <w:szCs w:val="18"/>
          <w:color w:val="231F20"/>
        </w:rPr>
        <w:t xml:space="preserve"> increased $4.6 million, or 23.9%, compared to the three months ended September 30, 2021. This increase is primarily attributable to an increase of $0.3 million in stock-based compensation and $2.6 million in recruiting and other professional fees. The increase in general and administrative expense was partially offset by a $2.9 million reduction in the accrual for estimated bonus expenses, which were originally accrued at 200% of target amounts.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Other (Income) Expense, Net and Income Tax (Benefit) Expense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2920" w:type="dxa"/>
            <w:vAlign w:val="bottom"/>
            <w:gridSpan w:val="6"/>
          </w:tcPr>
          <w:p>
            <w:pPr>
              <w:ind w:left="320"/>
              <w:spacing w:after="0"/>
              <w:rPr>
                <w:sz w:val="20"/>
                <w:szCs w:val="20"/>
                <w:color w:val="auto"/>
              </w:rPr>
            </w:pPr>
            <w:r>
              <w:rPr>
                <w:rFonts w:ascii="Arial" w:cs="Arial" w:eastAsia="Arial" w:hAnsi="Arial"/>
                <w:sz w:val="14"/>
                <w:szCs w:val="14"/>
                <w:b w:val="1"/>
                <w:bCs w:val="1"/>
                <w:color w:val="231F20"/>
              </w:rPr>
              <w:t>Three Months Ended September 30,</w:t>
            </w:r>
          </w:p>
        </w:tc>
        <w:tc>
          <w:tcPr>
            <w:tcW w:w="1100" w:type="dxa"/>
            <w:vAlign w:val="bottom"/>
          </w:tcPr>
          <w:p>
            <w:pPr>
              <w:spacing w:after="0"/>
              <w:rPr>
                <w:sz w:val="15"/>
                <w:szCs w:val="15"/>
                <w:color w:val="auto"/>
              </w:rPr>
            </w:pPr>
          </w:p>
        </w:tc>
        <w:tc>
          <w:tcPr>
            <w:tcW w:w="1220" w:type="dxa"/>
            <w:vAlign w:val="bottom"/>
            <w:gridSpan w:val="3"/>
          </w:tcPr>
          <w:p>
            <w:pPr>
              <w:ind w:left="460"/>
              <w:spacing w:after="0"/>
              <w:rPr>
                <w:sz w:val="20"/>
                <w:szCs w:val="20"/>
                <w:color w:val="auto"/>
              </w:rPr>
            </w:pPr>
            <w:r>
              <w:rPr>
                <w:rFonts w:ascii="Arial" w:cs="Arial" w:eastAsia="Arial" w:hAnsi="Arial"/>
                <w:sz w:val="14"/>
                <w:szCs w:val="14"/>
                <w:b w:val="1"/>
                <w:bCs w:val="1"/>
                <w:color w:val="231F20"/>
              </w:rPr>
              <w:t>Change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231F20"/>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Amount</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Other (income) expense, net</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210.8</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8"/>
                <w:szCs w:val="18"/>
                <w:color w:val="231F20"/>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1"/>
              </w:rPr>
              <w:t>(214.3)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231F20"/>
              </w:rPr>
              <w:t>Income tax (benefit) expense</w:t>
            </w:r>
          </w:p>
        </w:tc>
        <w:tc>
          <w:tcPr>
            <w:tcW w:w="980" w:type="dxa"/>
            <w:vAlign w:val="bottom"/>
          </w:tcPr>
          <w:p>
            <w:pPr>
              <w:jc w:val="right"/>
              <w:ind w:right="801"/>
              <w:spacing w:after="0"/>
              <w:rPr>
                <w:sz w:val="20"/>
                <w:szCs w:val="20"/>
                <w:color w:val="auto"/>
              </w:rPr>
            </w:pPr>
            <w:r>
              <w:rPr>
                <w:rFonts w:ascii="Arial" w:cs="Arial" w:eastAsia="Arial" w:hAnsi="Arial"/>
                <w:sz w:val="18"/>
                <w:szCs w:val="18"/>
                <w:color w:val="231F20"/>
                <w:w w:val="79"/>
              </w:rPr>
              <w:t>$</w:t>
            </w:r>
          </w:p>
        </w:tc>
        <w:tc>
          <w:tcPr>
            <w:tcW w:w="480" w:type="dxa"/>
            <w:vAlign w:val="bottom"/>
          </w:tcPr>
          <w:p>
            <w:pPr>
              <w:jc w:val="right"/>
              <w:spacing w:after="0"/>
              <w:rPr>
                <w:sz w:val="20"/>
                <w:szCs w:val="20"/>
                <w:color w:val="auto"/>
              </w:rPr>
            </w:pPr>
            <w:r>
              <w:rPr>
                <w:rFonts w:ascii="Arial" w:cs="Arial" w:eastAsia="Arial" w:hAnsi="Arial"/>
                <w:sz w:val="18"/>
                <w:szCs w:val="18"/>
                <w:color w:val="231F20"/>
              </w:rPr>
              <w:t>(0.8)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980" w:type="dxa"/>
            <w:vAlign w:val="bottom"/>
          </w:tcPr>
          <w:p>
            <w:pPr>
              <w:jc w:val="right"/>
              <w:spacing w:after="0"/>
              <w:rPr>
                <w:sz w:val="20"/>
                <w:szCs w:val="20"/>
                <w:color w:val="auto"/>
              </w:rPr>
            </w:pPr>
            <w:r>
              <w:rPr>
                <w:rFonts w:ascii="Arial" w:cs="Arial" w:eastAsia="Arial" w:hAnsi="Arial"/>
                <w:sz w:val="18"/>
                <w:szCs w:val="18"/>
                <w:color w:val="231F20"/>
              </w:rPr>
              <w:t>(1.1)</w:t>
            </w:r>
          </w:p>
        </w:tc>
        <w:tc>
          <w:tcPr>
            <w:tcW w:w="80" w:type="dxa"/>
            <w:vAlign w:val="bottom"/>
          </w:tcPr>
          <w:p>
            <w:pPr>
              <w:spacing w:after="0"/>
              <w:rPr>
                <w:sz w:val="19"/>
                <w:szCs w:val="19"/>
                <w:color w:val="auto"/>
              </w:rPr>
            </w:pPr>
          </w:p>
        </w:tc>
        <w:tc>
          <w:tcPr>
            <w:tcW w:w="1100" w:type="dxa"/>
            <w:vAlign w:val="bottom"/>
          </w:tcPr>
          <w:p>
            <w:pPr>
              <w:jc w:val="right"/>
              <w:ind w:right="898"/>
              <w:spacing w:after="0"/>
              <w:rPr>
                <w:sz w:val="20"/>
                <w:szCs w:val="20"/>
                <w:color w:val="auto"/>
              </w:rPr>
            </w:pPr>
            <w:r>
              <w:rPr>
                <w:rFonts w:ascii="Arial" w:cs="Arial" w:eastAsia="Arial" w:hAnsi="Arial"/>
                <w:sz w:val="18"/>
                <w:szCs w:val="18"/>
                <w:color w:val="231F20"/>
                <w:w w:val="99"/>
              </w:rPr>
              <w:t>$</w:t>
            </w:r>
          </w:p>
        </w:tc>
        <w:tc>
          <w:tcPr>
            <w:tcW w:w="580" w:type="dxa"/>
            <w:vAlign w:val="bottom"/>
          </w:tcPr>
          <w:p>
            <w:pPr>
              <w:jc w:val="right"/>
              <w:spacing w:after="0"/>
              <w:rPr>
                <w:sz w:val="20"/>
                <w:szCs w:val="20"/>
                <w:color w:val="auto"/>
              </w:rPr>
            </w:pPr>
            <w:r>
              <w:rPr>
                <w:rFonts w:ascii="Arial" w:cs="Arial" w:eastAsia="Arial" w:hAnsi="Arial"/>
                <w:sz w:val="18"/>
                <w:szCs w:val="18"/>
                <w:color w:val="231F20"/>
              </w:rPr>
              <w:t>0.3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231F20"/>
        </w:rPr>
        <w:t xml:space="preserve">Other income, net was $3.5 million for the three months ended </w:t>
      </w:r>
      <w:r>
        <w:rPr>
          <w:rFonts w:ascii="Arial" w:cs="Arial" w:eastAsia="Arial" w:hAnsi="Arial"/>
          <w:sz w:val="15"/>
          <w:szCs w:val="15"/>
          <w:color w:val="000000"/>
        </w:rPr>
        <w:t>September 30, 2022</w:t>
      </w:r>
      <w:r>
        <w:rPr>
          <w:rFonts w:ascii="Arial" w:cs="Arial" w:eastAsia="Arial" w:hAnsi="Arial"/>
          <w:sz w:val="15"/>
          <w:szCs w:val="15"/>
          <w:color w:val="231F20"/>
        </w:rPr>
        <w:t xml:space="preserve"> compared to other expense of $210.8 million for the three months ended September 30, 2021. The change was primarily driven by the changes in the fair values of our warrants and earn-out shares issued on July 15, 2021. During the three months ended September 30, 2022 the Company recognized other income of $4.3 million due to the change in the fair value of the warrant liabilities compared to an expense of $199.3 million for the three months ended September 30, 2021. In addition, during the three months ended September 30, 2021 the Company recognized a $10.6 million expense for the change in the fair value of the earn-out shares liability.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Nine Months Ended September 30, 2022 to Nine Months Ended September 30, 2021</w:t>
      </w:r>
    </w:p>
    <w:p>
      <w:pPr>
        <w:spacing w:after="0" w:line="250"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and nine months ended September 30, 2022 and September 30, 2021 have been derived from the condensed consolidated financial statements included elsewhere in this Form 10-Q. Amounts and percentages may not foot due to rounding.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5"/>
          </w:tcPr>
          <w:p>
            <w:pPr>
              <w:ind w:left="520"/>
              <w:spacing w:after="0"/>
              <w:rPr>
                <w:sz w:val="20"/>
                <w:szCs w:val="20"/>
                <w:color w:val="auto"/>
              </w:rPr>
            </w:pPr>
            <w:r>
              <w:rPr>
                <w:rFonts w:ascii="Arial" w:cs="Arial" w:eastAsia="Arial" w:hAnsi="Arial"/>
                <w:sz w:val="14"/>
                <w:szCs w:val="14"/>
                <w:b w:val="1"/>
                <w:bCs w:val="1"/>
                <w:color w:val="231F20"/>
              </w:rPr>
              <w:t>Nine Months Ended September 30,</w:t>
            </w:r>
          </w:p>
        </w:tc>
        <w:tc>
          <w:tcPr>
            <w:tcW w:w="1540" w:type="dxa"/>
            <w:vAlign w:val="bottom"/>
          </w:tcPr>
          <w:p>
            <w:pPr>
              <w:spacing w:after="0"/>
              <w:rPr>
                <w:sz w:val="15"/>
                <w:szCs w:val="15"/>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5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(in millions)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4"/>
                <w:szCs w:val="14"/>
                <w:b w:val="1"/>
                <w:bCs w:val="1"/>
                <w:color w:val="231F20"/>
              </w:rPr>
              <w:t>2022</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231F20"/>
              </w:rPr>
              <w:t>% of Net Sales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4"/>
                <w:szCs w:val="14"/>
                <w:b w:val="1"/>
                <w:bCs w:val="1"/>
                <w:color w:val="231F20"/>
              </w:rPr>
              <w:t>2021</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231F20"/>
              </w:rPr>
              <w:t>% of Net Sales</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267.7</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100.0 %</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182.2</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100.0 %</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82.6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57.1</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31.4</w:t>
            </w:r>
          </w:p>
        </w:tc>
      </w:tr>
      <w:tr>
        <w:trPr>
          <w:trHeight w:val="218"/>
        </w:trPr>
        <w:tc>
          <w:tcPr>
            <w:tcW w:w="5100" w:type="dxa"/>
            <w:vAlign w:val="bottom"/>
          </w:tcPr>
          <w:p>
            <w:pPr>
              <w:ind w:left="560"/>
              <w:spacing w:after="0" w:line="204" w:lineRule="exact"/>
              <w:rPr>
                <w:sz w:val="20"/>
                <w:szCs w:val="20"/>
                <w:color w:val="auto"/>
              </w:rPr>
            </w:pPr>
            <w:r>
              <w:rPr>
                <w:rFonts w:ascii="Arial" w:cs="Arial" w:eastAsia="Arial" w:hAnsi="Arial"/>
                <w:sz w:val="18"/>
                <w:szCs w:val="18"/>
                <w:color w:val="231F20"/>
              </w:rPr>
              <w:t>Gross profit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185.2</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69.2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125.1</w:t>
            </w:r>
          </w:p>
        </w:tc>
        <w:tc>
          <w:tcPr>
            <w:tcW w:w="8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68.6</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5100" w:type="dxa"/>
            <w:vAlign w:val="bottom"/>
          </w:tcPr>
          <w:p>
            <w:pPr>
              <w:ind w:left="560"/>
              <w:spacing w:after="0"/>
              <w:rPr>
                <w:sz w:val="20"/>
                <w:szCs w:val="20"/>
                <w:color w:val="auto"/>
              </w:rPr>
            </w:pPr>
            <w:r>
              <w:rPr>
                <w:rFonts w:ascii="Arial" w:cs="Arial" w:eastAsia="Arial" w:hAnsi="Arial"/>
                <w:sz w:val="18"/>
                <w:szCs w:val="18"/>
                <w:color w:val="231F20"/>
              </w:rPr>
              <w:t>Selling and marketing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121.1</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74.5</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40.9</w:t>
            </w:r>
          </w:p>
        </w:tc>
      </w:tr>
      <w:tr>
        <w:trPr>
          <w:trHeight w:val="22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3.5</w:t>
            </w:r>
          </w:p>
        </w:tc>
      </w:tr>
      <w:tr>
        <w:trPr>
          <w:trHeight w:val="225"/>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77.6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231F20"/>
              </w:rPr>
              <w:t>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73.6</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40.4</w:t>
            </w:r>
          </w:p>
        </w:tc>
      </w:tr>
      <w:tr>
        <w:trPr>
          <w:trHeight w:val="219"/>
        </w:trPr>
        <w:tc>
          <w:tcPr>
            <w:tcW w:w="5100" w:type="dxa"/>
            <w:vAlign w:val="bottom"/>
            <w:shd w:val="clear" w:color="auto" w:fill="CCEEFF"/>
          </w:tcPr>
          <w:p>
            <w:pPr>
              <w:ind w:left="880"/>
              <w:spacing w:after="0" w:line="205" w:lineRule="exact"/>
              <w:rPr>
                <w:sz w:val="20"/>
                <w:szCs w:val="20"/>
                <w:color w:val="auto"/>
              </w:rPr>
            </w:pPr>
            <w:r>
              <w:rPr>
                <w:rFonts w:ascii="Arial" w:cs="Arial" w:eastAsia="Arial" w:hAnsi="Arial"/>
                <w:sz w:val="18"/>
                <w:szCs w:val="18"/>
                <w:color w:val="231F20"/>
              </w:rPr>
              <w:t>Total 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84.8</w:t>
            </w: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(20.5)</w:t>
            </w:r>
          </w:p>
        </w:tc>
        <w:tc>
          <w:tcPr>
            <w:tcW w:w="100" w:type="dxa"/>
            <w:vAlign w:val="bottom"/>
          </w:tcPr>
          <w:p>
            <w:pPr>
              <w:spacing w:after="0"/>
              <w:rPr>
                <w:sz w:val="19"/>
                <w:szCs w:val="19"/>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231F20"/>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(29.4)</w:t>
            </w:r>
          </w:p>
        </w:tc>
        <w:tc>
          <w:tcPr>
            <w:tcW w:w="80" w:type="dxa"/>
            <w:vAlign w:val="bottom"/>
          </w:tcPr>
          <w:p>
            <w:pPr>
              <w:spacing w:after="0"/>
              <w:rPr>
                <w:sz w:val="19"/>
                <w:szCs w:val="19"/>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231F20"/>
              </w:rPr>
              <w:t>(16.2)</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(63.0)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231F20"/>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331.7</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182.0</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Income (loss) before provision for income tax</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42.4</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(361.1)</w:t>
            </w:r>
          </w:p>
        </w:tc>
        <w:tc>
          <w:tcPr>
            <w:tcW w:w="80" w:type="dxa"/>
            <w:vAlign w:val="bottom"/>
          </w:tcPr>
          <w:p>
            <w:pPr>
              <w:spacing w:after="0"/>
              <w:rPr>
                <w:sz w:val="18"/>
                <w:szCs w:val="18"/>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231F20"/>
              </w:rPr>
              <w:t>(198.2)</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231F20"/>
              </w:rPr>
              <w:t>(1.8)</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Net income (loss)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40.6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15.2 %</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(357.8)</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(196.4)%</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Net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231F20"/>
                <w:w w:val="96"/>
              </w:rPr>
              <w:t>Nine Months Ended September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960"/>
              <w:spacing w:after="0"/>
              <w:rPr>
                <w:sz w:val="20"/>
                <w:szCs w:val="20"/>
                <w:color w:val="auto"/>
              </w:rPr>
            </w:pPr>
            <w:r>
              <w:rPr>
                <w:rFonts w:ascii="Arial" w:cs="Arial" w:eastAsia="Arial" w:hAnsi="Arial"/>
                <w:sz w:val="14"/>
                <w:szCs w:val="14"/>
                <w:b w:val="1"/>
                <w:bCs w:val="1"/>
                <w:color w:val="231F20"/>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Amount</w:t>
            </w:r>
          </w:p>
        </w:tc>
        <w:tc>
          <w:tcPr>
            <w:tcW w:w="1000" w:type="dxa"/>
            <w:vAlign w:val="bottom"/>
          </w:tcPr>
          <w:p>
            <w:pPr>
              <w:jc w:val="right"/>
              <w:ind w:right="55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155.5</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96.8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58.7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60.7%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shd w:val="clear" w:color="auto" w:fill="CCEEFF"/>
          </w:tcPr>
          <w:p>
            <w:pPr>
              <w:jc w:val="center"/>
              <w:ind w:right="3374"/>
              <w:spacing w:after="0"/>
              <w:rPr>
                <w:sz w:val="20"/>
                <w:szCs w:val="20"/>
                <w:color w:val="auto"/>
              </w:rPr>
            </w:pPr>
            <w:r>
              <w:rPr>
                <w:rFonts w:ascii="Arial" w:cs="Arial" w:eastAsia="Arial" w:hAnsi="Arial"/>
                <w:sz w:val="18"/>
                <w:szCs w:val="18"/>
                <w:color w:val="231F20"/>
                <w:w w:val="85"/>
              </w:rPr>
              <w:t>Consumables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31.4%</w:t>
            </w: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line="204" w:lineRule="exact"/>
              <w:rPr>
                <w:sz w:val="20"/>
                <w:szCs w:val="20"/>
                <w:color w:val="auto"/>
              </w:rPr>
            </w:pPr>
            <w:r>
              <w:rPr>
                <w:rFonts w:ascii="Arial" w:cs="Arial" w:eastAsia="Arial" w:hAnsi="Arial"/>
                <w:sz w:val="18"/>
                <w:szCs w:val="18"/>
                <w:color w:val="231F20"/>
              </w:rPr>
              <w:t>Total net sales</w:t>
            </w: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267.7</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182.2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85.5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47.0%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231F20"/>
              </w:rPr>
              <w:t>Percentage of net sales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26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231F20"/>
              </w:rPr>
              <w:t>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53.1%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Consumables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231F20"/>
              </w:rPr>
              <w:t>41.9%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jc w:val="center"/>
              <w:ind w:right="3394"/>
              <w:spacing w:after="0" w:line="204" w:lineRule="exact"/>
              <w:rPr>
                <w:sz w:val="20"/>
                <w:szCs w:val="20"/>
                <w:color w:val="auto"/>
              </w:rPr>
            </w:pPr>
            <w:r>
              <w:rPr>
                <w:rFonts w:ascii="Arial" w:cs="Arial" w:eastAsia="Arial" w:hAnsi="Arial"/>
                <w:sz w:val="18"/>
                <w:szCs w:val="18"/>
                <w:color w:val="231F20"/>
                <w:w w:val="89"/>
              </w:rPr>
              <w:t>Total</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 xml:space="preserve">Total net sales for the nine months ended </w:t>
      </w:r>
      <w:r>
        <w:rPr>
          <w:rFonts w:ascii="Arial" w:cs="Arial" w:eastAsia="Arial" w:hAnsi="Arial"/>
          <w:sz w:val="18"/>
          <w:szCs w:val="18"/>
          <w:color w:val="000000"/>
        </w:rPr>
        <w:t>September 30, 2022</w:t>
      </w:r>
      <w:r>
        <w:rPr>
          <w:rFonts w:ascii="Arial" w:cs="Arial" w:eastAsia="Arial" w:hAnsi="Arial"/>
          <w:sz w:val="18"/>
          <w:szCs w:val="18"/>
          <w:color w:val="231F20"/>
        </w:rPr>
        <w:t xml:space="preserve"> increased $85.5 million, or 47.0%, compared to the nine months ended September 30, 2021. Delivery Systems sales for the nine months ended </w:t>
      </w:r>
      <w:r>
        <w:rPr>
          <w:rFonts w:ascii="Arial" w:cs="Arial" w:eastAsia="Arial" w:hAnsi="Arial"/>
          <w:sz w:val="18"/>
          <w:szCs w:val="18"/>
          <w:color w:val="000000"/>
        </w:rPr>
        <w:t>September 30, 2022</w:t>
      </w:r>
      <w:r>
        <w:rPr>
          <w:rFonts w:ascii="Arial" w:cs="Arial" w:eastAsia="Arial" w:hAnsi="Arial"/>
          <w:sz w:val="18"/>
          <w:szCs w:val="18"/>
          <w:color w:val="231F20"/>
        </w:rPr>
        <w:t xml:space="preserve"> increased $58.7 million, or 60.7%, compared to the nine months ended September 30, 2021. Net sales for the nine months ended September 30, 2021 increased primarily due to strength in Delivery Systems sales. Consumables sales for the nine months ended </w:t>
      </w:r>
      <w:r>
        <w:rPr>
          <w:rFonts w:ascii="Arial" w:cs="Arial" w:eastAsia="Arial" w:hAnsi="Arial"/>
          <w:sz w:val="18"/>
          <w:szCs w:val="18"/>
          <w:color w:val="000000"/>
        </w:rPr>
        <w:t>September 30, 2022</w:t>
      </w:r>
      <w:r>
        <w:rPr>
          <w:rFonts w:ascii="Arial" w:cs="Arial" w:eastAsia="Arial" w:hAnsi="Arial"/>
          <w:sz w:val="18"/>
          <w:szCs w:val="18"/>
          <w:color w:val="231F20"/>
        </w:rPr>
        <w:t xml:space="preserve"> increased $26.8 million, or 31.4%, compared to the nine months ended September 30, 2021. The increase in Consumables sales was primarily attributable to increased placements of delivery systems and the adjoining consumption of consumables during the nine months ended September 30, 2022.</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231F20"/>
              </w:rPr>
              <w:t>Nine Months Ended September 30,</w:t>
            </w:r>
          </w:p>
        </w:tc>
        <w:tc>
          <w:tcPr>
            <w:tcW w:w="280" w:type="dxa"/>
            <w:vAlign w:val="bottom"/>
          </w:tcPr>
          <w:p>
            <w:pPr>
              <w:spacing w:after="0"/>
              <w:rPr>
                <w:sz w:val="15"/>
                <w:szCs w:val="15"/>
                <w:color w:val="auto"/>
              </w:rPr>
            </w:pPr>
          </w:p>
        </w:tc>
        <w:tc>
          <w:tcPr>
            <w:tcW w:w="1600" w:type="dxa"/>
            <w:vAlign w:val="bottom"/>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231F20"/>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00" w:type="dxa"/>
            <w:vAlign w:val="bottom"/>
          </w:tcPr>
          <w:p>
            <w:pPr>
              <w:jc w:val="right"/>
              <w:ind w:right="538"/>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3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231F20"/>
              </w:rPr>
              <w:t>82.6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231F20"/>
              </w:rPr>
              <w:t>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44.5%</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320" w:type="dxa"/>
            <w:vAlign w:val="bottom"/>
          </w:tcPr>
          <w:p>
            <w:pPr>
              <w:jc w:val="right"/>
              <w:ind w:right="132"/>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ind w:right="139"/>
              <w:spacing w:after="0"/>
              <w:rPr>
                <w:sz w:val="20"/>
                <w:szCs w:val="20"/>
                <w:color w:val="auto"/>
              </w:rPr>
            </w:pPr>
            <w:r>
              <w:rPr>
                <w:rFonts w:ascii="Arial" w:cs="Arial" w:eastAsia="Arial" w:hAnsi="Arial"/>
                <w:sz w:val="18"/>
                <w:szCs w:val="18"/>
                <w:color w:val="231F20"/>
              </w:rPr>
              <w:t>185.2</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231F20"/>
              </w:rPr>
              <w:t>125.1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60.1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48.1%</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69.2 %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231F20"/>
        </w:rPr>
        <w:t xml:space="preserve">Gross margin improved to 69.2% during the nine months ended </w:t>
      </w:r>
      <w:r>
        <w:rPr>
          <w:rFonts w:ascii="Arial" w:cs="Arial" w:eastAsia="Arial" w:hAnsi="Arial"/>
          <w:sz w:val="18"/>
          <w:szCs w:val="18"/>
          <w:color w:val="000000"/>
        </w:rPr>
        <w:t>September 30, 2022, driven by fixed cost leverage associated with higher volume and</w:t>
      </w:r>
      <w:r>
        <w:rPr>
          <w:rFonts w:ascii="Arial" w:cs="Arial" w:eastAsia="Arial" w:hAnsi="Arial"/>
          <w:sz w:val="18"/>
          <w:szCs w:val="18"/>
          <w:color w:val="231F20"/>
        </w:rPr>
        <w:t xml:space="preserve"> </w:t>
      </w:r>
      <w:r>
        <w:rPr>
          <w:rFonts w:ascii="Arial" w:cs="Arial" w:eastAsia="Arial" w:hAnsi="Arial"/>
          <w:sz w:val="18"/>
          <w:szCs w:val="18"/>
          <w:color w:val="000000"/>
        </w:rPr>
        <w:t>stronger realized delivery systems pricing, and a one-time write-off primarily related to the discontinued Glow &amp; Go pilot program, partly offset by headwinds from global supply chain challenges, inflationary pressures and foreign exchange rates.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231F20"/>
              </w:rPr>
              <w:t>Nine Months Ended September 30,</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gridSpan w:val="3"/>
          </w:tcPr>
          <w:p>
            <w:pPr>
              <w:jc w:val="right"/>
              <w:ind w:right="138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231F20"/>
              </w:rPr>
              <w:t>121.1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231F20"/>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46.6</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62.4 %</w:t>
            </w: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45.2 %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231F20"/>
                <w:w w:val="89"/>
              </w:rPr>
              <w:t>40.9 %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231F20"/>
        </w:rPr>
        <w:t xml:space="preserve">Selling and marketing expense for the nine months ended September 30, 2022 increased $46.6 million, or 62.4%, compared to the nine months ended September 30, 2021. Compared to the nine months ended September 30, 2021 the </w:t>
      </w:r>
      <w:r>
        <w:rPr>
          <w:rFonts w:ascii="Arial" w:cs="Arial" w:eastAsia="Arial" w:hAnsi="Arial"/>
          <w:sz w:val="15"/>
          <w:szCs w:val="15"/>
          <w:color w:val="000000"/>
        </w:rPr>
        <w:t>year-over-year increase</w:t>
      </w:r>
      <w:r>
        <w:rPr>
          <w:rFonts w:ascii="Arial" w:cs="Arial" w:eastAsia="Arial" w:hAnsi="Arial"/>
          <w:sz w:val="15"/>
          <w:szCs w:val="15"/>
          <w:color w:val="231F20"/>
        </w:rPr>
        <w:t xml:space="preserve"> was due to an increase in sales commissions of $4.1 million, an increase in personnel-related expenses of $12.8 million, and an increase of stock-based compensation expense of $7.0 million. The increase in personnel-related expenses was partially offset by a $2.6 million reduction in the accrual for estimated bonus expenses, which were originally accrued at 200% of target amounts. Personnel-related training and travel expenses increased by $6.1 million due to the launch of Syndeo and advertising/promotional spend increased by $10.5 million due to investments in Americas and EMEA in key tradeshows and other marketing programs.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231F20"/>
              </w:rPr>
              <w:t>Nine Months Ended September 30,</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gridSpan w:val="3"/>
          </w:tcPr>
          <w:p>
            <w:pPr>
              <w:jc w:val="right"/>
              <w:ind w:right="138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231F20"/>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231F20"/>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8"/>
                <w:szCs w:val="18"/>
                <w:color w:val="231F20"/>
                <w:w w:val="7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231F20"/>
              </w:rPr>
              <w:t>7.0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6.3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108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231F20"/>
                <w:w w:val="86"/>
              </w:rPr>
              <w:t>2.6 %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231F20"/>
                <w:w w:val="91"/>
              </w:rPr>
              <w:t>3.5 %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231F20"/>
        </w:rPr>
        <w:t xml:space="preserve">Research and development expense for the nine months ended September 30, 2022 increased $0.7 million, or 10.7%, compared to the nine months ended September 30, 2021. </w:t>
      </w:r>
      <w:r>
        <w:rPr>
          <w:rFonts w:ascii="Arial" w:cs="Arial" w:eastAsia="Arial" w:hAnsi="Arial"/>
          <w:sz w:val="18"/>
          <w:szCs w:val="18"/>
          <w:color w:val="000000"/>
        </w:rPr>
        <w:t>The increase was primarily due to additional personnel-related expense which increased by $2.3 million year-over-year. There were</w:t>
      </w:r>
      <w:r>
        <w:rPr>
          <w:rFonts w:ascii="Arial" w:cs="Arial" w:eastAsia="Arial" w:hAnsi="Arial"/>
          <w:sz w:val="18"/>
          <w:szCs w:val="18"/>
          <w:color w:val="231F20"/>
        </w:rPr>
        <w:t xml:space="preserve"> </w:t>
      </w:r>
      <w:r>
        <w:rPr>
          <w:rFonts w:ascii="Arial" w:cs="Arial" w:eastAsia="Arial" w:hAnsi="Arial"/>
          <w:sz w:val="18"/>
          <w:szCs w:val="18"/>
          <w:color w:val="000000"/>
        </w:rPr>
        <w:t>additional investments into our data infrastructure which increased by $1.2 million, offset by a $3.5 million decrease in Syndeo research and development expenses.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231F20"/>
              </w:rPr>
              <w:t>Nine Months Ended September 30,</w:t>
            </w:r>
          </w:p>
        </w:tc>
        <w:tc>
          <w:tcPr>
            <w:tcW w:w="1200" w:type="dxa"/>
            <w:vAlign w:val="bottom"/>
          </w:tcPr>
          <w:p>
            <w:pPr>
              <w:spacing w:after="0"/>
              <w:rPr>
                <w:sz w:val="15"/>
                <w:szCs w:val="15"/>
                <w:color w:val="auto"/>
              </w:rPr>
            </w:pP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231F20"/>
              </w:rPr>
              <w:t>Amount</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3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231F20"/>
              </w:rPr>
              <w:t>77.6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231F20"/>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color w:val="231F20"/>
                <w:w w:val="7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231F20"/>
              </w:rPr>
              <w:t>4.0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30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231F20"/>
                <w:w w:val="92"/>
              </w:rPr>
              <w:t>29.0 %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231F20"/>
                <w:w w:val="89"/>
              </w:rPr>
              <w:t>40.4 %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231F20"/>
        </w:rPr>
        <w:t>General and administrative expense for the nine months ended September 30, 2022 increased $4.0 million, or 5.4%, compared to the nine months ended September 30, 2021. This increase is primarily attributable to an increase of $5.1 million in stock-based compensation, $5.6 million in personnel-related expenses, $7.7 million in recruiting and other professional fees, $2.7 million in legal fees, and $1.4 million in director and officer insurance, partially offset by a decrease in transaction costs of $28.4 million related to the consummation of the Business Combination. The increase in personnel-related expenses was partially offset by a $2.9 million reduction in the accrual for estimated bonus expenses, which were originally accrued at 200% of target amounts.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960" w:type="dxa"/>
            <w:vAlign w:val="bottom"/>
            <w:gridSpan w:val="6"/>
          </w:tcPr>
          <w:p>
            <w:pPr>
              <w:ind w:left="380"/>
              <w:spacing w:after="0"/>
              <w:rPr>
                <w:sz w:val="20"/>
                <w:szCs w:val="20"/>
                <w:color w:val="auto"/>
              </w:rPr>
            </w:pPr>
            <w:r>
              <w:rPr>
                <w:rFonts w:ascii="Arial" w:cs="Arial" w:eastAsia="Arial" w:hAnsi="Arial"/>
                <w:sz w:val="14"/>
                <w:szCs w:val="14"/>
                <w:b w:val="1"/>
                <w:bCs w:val="1"/>
                <w:color w:val="231F20"/>
              </w:rPr>
              <w:t>Nine Months Ended September 30,</w:t>
            </w:r>
          </w:p>
        </w:tc>
        <w:tc>
          <w:tcPr>
            <w:tcW w:w="320" w:type="dxa"/>
            <w:vAlign w:val="bottom"/>
          </w:tcPr>
          <w:p>
            <w:pPr>
              <w:spacing w:after="0"/>
              <w:rPr>
                <w:sz w:val="15"/>
                <w:szCs w:val="15"/>
                <w:color w:val="auto"/>
              </w:rPr>
            </w:pPr>
          </w:p>
        </w:tc>
        <w:tc>
          <w:tcPr>
            <w:tcW w:w="190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58"/>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Other (income) expense, net</w:t>
            </w:r>
          </w:p>
        </w:tc>
        <w:tc>
          <w:tcPr>
            <w:tcW w:w="960" w:type="dxa"/>
            <w:vAlign w:val="bottom"/>
            <w:tcBorders>
              <w:top w:val="single" w:sz="8" w:color="auto"/>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231F20"/>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331.7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231F20"/>
              </w:rPr>
              <w:t>Income tax expense (benefit)</w:t>
            </w:r>
          </w:p>
        </w:tc>
        <w:tc>
          <w:tcPr>
            <w:tcW w:w="960" w:type="dxa"/>
            <w:vAlign w:val="bottom"/>
          </w:tcPr>
          <w:p>
            <w:pPr>
              <w:jc w:val="right"/>
              <w:ind w:right="761"/>
              <w:spacing w:after="0"/>
              <w:rPr>
                <w:sz w:val="20"/>
                <w:szCs w:val="20"/>
                <w:color w:val="auto"/>
              </w:rPr>
            </w:pPr>
            <w:r>
              <w:rPr>
                <w:rFonts w:ascii="Arial" w:cs="Arial" w:eastAsia="Arial" w:hAnsi="Arial"/>
                <w:sz w:val="18"/>
                <w:szCs w:val="18"/>
                <w:color w:val="231F20"/>
                <w:w w:val="99"/>
              </w:rPr>
              <w:t>$</w:t>
            </w:r>
          </w:p>
        </w:tc>
        <w:tc>
          <w:tcPr>
            <w:tcW w:w="540" w:type="dxa"/>
            <w:vAlign w:val="bottom"/>
          </w:tcPr>
          <w:p>
            <w:pPr>
              <w:jc w:val="right"/>
              <w:spacing w:after="0"/>
              <w:rPr>
                <w:sz w:val="20"/>
                <w:szCs w:val="20"/>
                <w:color w:val="auto"/>
              </w:rPr>
            </w:pPr>
            <w:r>
              <w:rPr>
                <w:rFonts w:ascii="Arial" w:cs="Arial" w:eastAsia="Arial" w:hAnsi="Arial"/>
                <w:sz w:val="18"/>
                <w:szCs w:val="18"/>
                <w:color w:val="231F20"/>
              </w:rPr>
              <w:t>1.9</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(3.3)</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231F20"/>
        </w:rPr>
        <w:t>Other income, net, was $63.0 million for the nine months ended September 30, 2022 compared to other expense of $331.7 million for the nine months ended September 30, 2021. The change was primarily driven by the changes in the fair values of our warrant liabilities and earn-out share liabilities which were issued on July 15, 2021. During the nine months ended</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September 30, 2022, the Company recognized other income of $71.5 million due to the change in the fair value of the warrant liabilities versus a $271.3 million expense for nine months ended September 30, 2021. In addition, during the nine months ended September 30, 2021 the Company recognized a $47.1 million expense for the change in the fair value of the earn-out shares liability.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231F20"/>
        </w:rPr>
        <w:t xml:space="preserve">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w:t>
      </w:r>
      <w:r>
        <w:rPr>
          <w:rFonts w:ascii="Arial" w:cs="Arial" w:eastAsia="Arial" w:hAnsi="Arial"/>
          <w:sz w:val="15"/>
          <w:szCs w:val="15"/>
          <w:color w:val="000000"/>
        </w:rPr>
        <w:t>September 30, 2022</w:t>
      </w:r>
      <w:r>
        <w:rPr>
          <w:rFonts w:ascii="Arial" w:cs="Arial" w:eastAsia="Arial" w:hAnsi="Arial"/>
          <w:sz w:val="15"/>
          <w:szCs w:val="15"/>
          <w:color w:val="231F20"/>
        </w:rPr>
        <w:t xml:space="preserve">, we had cash and cash equivalents of approximately $684.2 million. A revolving credit facility of </w:t>
      </w:r>
      <w:r>
        <w:rPr>
          <w:rFonts w:ascii="Arial" w:cs="Arial" w:eastAsia="Arial" w:hAnsi="Arial"/>
          <w:sz w:val="15"/>
          <w:szCs w:val="15"/>
          <w:color w:val="000000"/>
        </w:rPr>
        <w:t>$50 million</w:t>
      </w:r>
      <w:r>
        <w:rPr>
          <w:rFonts w:ascii="Arial" w:cs="Arial" w:eastAsia="Arial" w:hAnsi="Arial"/>
          <w:sz w:val="15"/>
          <w:szCs w:val="15"/>
          <w:color w:val="231F20"/>
        </w:rPr>
        <w:t xml:space="preserve"> </w:t>
      </w:r>
      <w:r>
        <w:rPr>
          <w:rFonts w:ascii="Arial" w:cs="Arial" w:eastAsia="Arial" w:hAnsi="Arial"/>
          <w:sz w:val="15"/>
          <w:szCs w:val="15"/>
          <w:color w:val="000000"/>
        </w:rPr>
        <w:t>is also available as a source of capital. As of September 30, 2022, the revolving credit facility remains undrawn and there is no outstanding balance thereunder.</w:t>
      </w:r>
    </w:p>
    <w:p>
      <w:pPr>
        <w:spacing w:after="0" w:line="17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9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0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expect capital expenditures of up to $20.0 million for the year ending December 31, 2022. 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44" w:lineRule="exact"/>
        <w:rPr>
          <w:sz w:val="20"/>
          <w:szCs w:val="20"/>
          <w:color w:val="auto"/>
        </w:rPr>
      </w:pPr>
    </w:p>
    <w:p>
      <w:pPr>
        <w:ind w:right="40" w:firstLine="159"/>
        <w:spacing w:after="0" w:line="312" w:lineRule="auto"/>
        <w:rPr>
          <w:sz w:val="20"/>
          <w:szCs w:val="20"/>
          <w:color w:val="auto"/>
        </w:rPr>
      </w:pPr>
      <w:r>
        <w:rPr>
          <w:rFonts w:ascii="Arial" w:cs="Arial" w:eastAsia="Arial" w:hAnsi="Arial"/>
          <w:sz w:val="15"/>
          <w:szCs w:val="15"/>
          <w:color w:val="auto"/>
        </w:rPr>
        <w:t>On December 30, 2021, Hydrafacial LLC, a California limited liability company f.k.a. Edge Systems LLC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as guarantors (the “Guarantors” and, together with the Borrower, the “Loan Parties”),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Arial" w:cs="Arial" w:eastAsia="Arial" w:hAnsi="Arial"/>
          <w:sz w:val="18"/>
          <w:szCs w:val="18"/>
          <w:color w:val="231F20"/>
        </w:rPr>
        <w:t>September 30, 2022,</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1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12"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Arial" w:cs="Arial" w:eastAsia="Arial" w:hAnsi="Arial"/>
          <w:sz w:val="15"/>
          <w:szCs w:val="15"/>
          <w:color w:val="231F20"/>
        </w:rPr>
        <w:t>September 30, 2022</w:t>
      </w:r>
      <w:r>
        <w:rPr>
          <w:rFonts w:ascii="Arial" w:cs="Arial" w:eastAsia="Arial" w:hAnsi="Arial"/>
          <w:sz w:val="15"/>
          <w:szCs w:val="15"/>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On September 14, 2021, we issued $750 million aggregate principal amount of Notes in a private placement to qualified institutional buyers pursuant to Rule 144A under the Securities Act of 1933, as amended.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beginning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The net proceeds from the issuance of the Notes were approximately $638.7 million, net of capped call transaction costs of $90.2 million and debt issuance costs totaling $21.3 million. See Note 10 - Debt, to the Notes to the Condensed Consolidated Financial Statements included elsewhere in this report.</w:t>
      </w: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4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Capped call transactions cover the aggregate number of shares of our Class A Common Stock that will initially underlie the Notes, and generally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report.</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4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September 30, 2022, our material contractual obligations are approximately $37.5 million in interest-only payments related to the Notes, the Notes of $750 million, and $16.4 million in lease obligations.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Known Trends or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majority of our customers are in the medical, (dermatologists and plastic surgeons), aesthetician,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w:t>
      </w:r>
    </w:p>
    <w:p>
      <w:pPr>
        <w:spacing w:after="0" w:line="217"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Furthermore, during the nine months ended September 2022, we have experienced global supply chain disruptions and a significant inflationary impact, including higher interest rates and capital costs, increased shipping costs, supply shortages, increased costs of labor and strengthened U.S. dollar. In particular, we have seen increased costs associated with our global operations in foreign countries as a result of weakening exchange rates, as our international sales are primarily denominated in the local currency of such foreign country. Also, as a result of the invasion of Ukraine by Russia, we stopped selling and shipping products into our distributor in Russia, which has negatively impacted our overall net sales in the EMEA region. These impacts have created headwinds for our products and profits that we expect to continue through the remainder of the year.</w:t>
      </w:r>
    </w:p>
    <w:p>
      <w:pPr>
        <w:spacing w:after="0" w:line="206"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addition, the extent to which the uncertainty around the timing, speed and recovery from the adverse impacts of the COVID-19 pandemic impacts our business going forward will depend on numerous factors we cannot reliably predict, including further governmental actions in the countries in which we operate, such as China’s ongoing zero COVID policy, and the other macro challenges we are facing, as well as the impact of any governmental actions on the economy, including the possibility of recession or financial market instability. These factors may adversely impact consumer, business, and government spending as well as customers' ability to pay for our products and services on an ongoing basis.</w:t>
      </w:r>
    </w:p>
    <w:p>
      <w:pPr>
        <w:spacing w:after="0" w:line="207"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4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We do not maintain any off-balance sheet arrangements, transactions, obligations or other relationships with unconsolidated entities that would be expected to have a material current or future effect upon our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foot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231F20"/>
              </w:rPr>
              <w:t>Nine Months Ended September 30,</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beginning of period</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income (loss)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line="204" w:lineRule="exact"/>
              <w:rPr>
                <w:sz w:val="20"/>
                <w:szCs w:val="20"/>
                <w:color w:val="auto"/>
              </w:rPr>
            </w:pPr>
            <w:r>
              <w:rPr>
                <w:rFonts w:ascii="Arial" w:cs="Arial" w:eastAsia="Arial" w:hAnsi="Arial"/>
                <w:sz w:val="18"/>
                <w:szCs w:val="18"/>
                <w:color w:val="231F20"/>
              </w:rPr>
              <w:t>Net cash flows (used in) provided by operating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(101.2)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(31.6)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flows (used in) provided by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flows (used in) provided by financing activities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Net change in cash and cash equivalents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4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231F20"/>
        </w:rPr>
        <w:t xml:space="preserve">Net cash used in operating activities of $101.2 million for the nine months ended September 30, 2022 was primarily due to </w:t>
      </w:r>
      <w:r>
        <w:rPr>
          <w:rFonts w:ascii="Arial" w:cs="Arial" w:eastAsia="Arial" w:hAnsi="Arial"/>
          <w:sz w:val="18"/>
          <w:szCs w:val="18"/>
          <w:color w:val="000000"/>
        </w:rPr>
        <w:t>investment in inventory in</w:t>
      </w:r>
      <w:r>
        <w:rPr>
          <w:rFonts w:ascii="Arial" w:cs="Arial" w:eastAsia="Arial" w:hAnsi="Arial"/>
          <w:sz w:val="18"/>
          <w:szCs w:val="18"/>
          <w:color w:val="231F20"/>
        </w:rPr>
        <w:t xml:space="preserve"> </w:t>
      </w:r>
      <w:r>
        <w:rPr>
          <w:rFonts w:ascii="Arial" w:cs="Arial" w:eastAsia="Arial" w:hAnsi="Arial"/>
          <w:sz w:val="18"/>
          <w:szCs w:val="18"/>
          <w:color w:val="000000"/>
        </w:rPr>
        <w:t xml:space="preserve">relation to the global launch of Syndeo Delivery Systems, combined with a corresponding shift in the average collection period of receivables related to increased payment plan participation on delivery systems globally, as well as continued investments globally in people and systems to fuel future growth. The </w:t>
      </w:r>
      <w:r>
        <w:rPr>
          <w:rFonts w:ascii="Arial" w:cs="Arial" w:eastAsia="Arial" w:hAnsi="Arial"/>
          <w:sz w:val="18"/>
          <w:szCs w:val="18"/>
          <w:color w:val="231F20"/>
        </w:rPr>
        <w:t>net income of $40.6 million was driven by</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231F20"/>
        </w:rPr>
        <w:t>non-cash adjustments of $20.7 million, with the largest adjustment being the fair value adjustment to warrant liabilities. The decrease in working capital of $121.1 million was primarily due to the increase in accounts receivable of $40.6 million and the increase in inventory of $69.3 million.</w:t>
      </w:r>
    </w:p>
    <w:p>
      <w:pPr>
        <w:spacing w:after="0" w:line="18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231F20"/>
        </w:rPr>
        <w:t>Net cash used in operating activities of $31.6 million for the nine months ended September 30, 2021 was primarily due to an increase in accounts receivable of $17.3 million. The net loss of $357.8 million was driven by non-cash adjustments of $343.5 million, primarily related to fair value adjustments to earn-out shares and warrant liabilities, and a decrease in working capital of $17.4 million.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4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231F20"/>
        </w:rPr>
        <w:t>Cash used in investing activities for the nine months ended September 30, 2022 of $16.0 million was primarily related to $9.9 million in capital expenditures for property and equipment, $1.5 million in capital expenditures for the asset acquisition of Mxt and related developed technology, and $4.7 million in capitalized software.</w:t>
      </w:r>
    </w:p>
    <w:p>
      <w:pPr>
        <w:spacing w:after="0" w:line="215"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231F20"/>
        </w:rPr>
        <w:t>Cash used in investing activities for the nine months ended September 30, 2021 of $29.2 million was primarily related to our business acquisitions of distributors in Australia, Germany, Mexico and France with cash paid of $22.9 million, net of cash acquired, $4.9 million in capital expenditures and $2.2 million in capitalized software.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44" w:lineRule="exact"/>
        <w:rPr>
          <w:sz w:val="20"/>
          <w:szCs w:val="20"/>
          <w:color w:val="auto"/>
        </w:rPr>
      </w:pPr>
    </w:p>
    <w:p>
      <w:pPr>
        <w:jc w:val="both"/>
        <w:ind w:right="160" w:firstLine="318"/>
        <w:spacing w:after="0" w:line="277" w:lineRule="auto"/>
        <w:rPr>
          <w:sz w:val="20"/>
          <w:szCs w:val="20"/>
          <w:color w:val="auto"/>
        </w:rPr>
      </w:pPr>
      <w:r>
        <w:rPr>
          <w:rFonts w:ascii="Arial" w:cs="Arial" w:eastAsia="Arial" w:hAnsi="Arial"/>
          <w:sz w:val="17"/>
          <w:szCs w:val="17"/>
          <w:color w:val="231F20"/>
        </w:rPr>
        <w:t>There was $102.8 million used in financing activities for the nine months ended September 30, 2022 of which $100.0 million was used in relation to the accelerated stock repurchase and $2.8 million in relation to the distributor acquisitions of Wigmore and Sidermica. The Company did not withdraw from the line of credit and there were no transactions related to the warrants during the nine months ended September 30, 2022.</w:t>
      </w:r>
    </w:p>
    <w:p>
      <w:pPr>
        <w:spacing w:after="0" w:line="19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Net cash from financing activities of $770.8 million for the nine months ended September 30, 2021 was primarily related to proceeds received from the issuance of convertible senior notes and the Business Combination. The proceeds were offset by the payoff of long-term debt of $225.5 million and costs from our issuance of convertible senior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There has been no change to our critical accounting policies as included in our Annual Report on Form 10-K for the fiscal year ended December 31,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2</w:t>
      </w:r>
      <w:r>
        <w:rPr>
          <w:rFonts w:ascii="Arial" w:cs="Arial" w:eastAsia="Arial" w:hAnsi="Arial"/>
          <w:sz w:val="18"/>
          <w:szCs w:val="18"/>
          <w:color w:val="231F20"/>
        </w:rPr>
        <w:t xml:space="preserve"> of the notes to our Condensed Consolidated Financial Statements in the section titled “Summary of Significant Accounting Policies” in our Note </w:t>
      </w:r>
      <w:r>
        <w:rPr>
          <w:rFonts w:ascii="Arial" w:cs="Arial" w:eastAsia="Arial" w:hAnsi="Arial"/>
          <w:sz w:val="18"/>
          <w:szCs w:val="18"/>
          <w:color w:val="000000"/>
        </w:rPr>
        <w:t>2</w:t>
      </w:r>
      <w:r>
        <w:rPr>
          <w:rFonts w:ascii="Arial" w:cs="Arial" w:eastAsia="Arial" w:hAnsi="Arial"/>
          <w:sz w:val="18"/>
          <w:szCs w:val="18"/>
          <w:color w:val="231F20"/>
        </w:rPr>
        <w:t xml:space="preserve"> to our condensed consolidated financial statements included elsewhere in this Quarterly Report on Form 10-Q for a discussion about new accounting pronouncements adopted and not yet adopted.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Adjusted EBITDA and Adjusted EBITDA Margin</w:t>
      </w:r>
    </w:p>
    <w:p>
      <w:pPr>
        <w:spacing w:after="0" w:line="25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Adjusted net income (loss), adjusted EBITDA and adjusted EBITDA margin are key performance measures that we use to assess our operating performance. Because adjusted net income (loss), adjusted EBITDA and adjusted EBITDA margin facilitate internal comparisons of our historical operating performance on a more consistent basis, we use these measures for business planning purposes.</w:t>
      </w:r>
    </w:p>
    <w:p>
      <w:pPr>
        <w:spacing w:after="0" w:line="215"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operating leverage.</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calculate adjusted net income (loss)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20"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We calculate adjusted EBITDA as net income (loss) adjusted to exclude: change in fair value of Public and Private Placement Warrants, change in fair value of earn-out shares liability, other expense (income), net; interest expense; income tax benefit (expense); depreciation and amortization expense; stock-based compensation expense; foreign currency (gain) 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income (loss) to adjusted net income (loss) and adjusted EBITDA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19"/>
                <w:szCs w:val="19"/>
                <w:color w:val="auto"/>
              </w:rPr>
            </w:pPr>
          </w:p>
        </w:tc>
        <w:tc>
          <w:tcPr>
            <w:tcW w:w="320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231F20"/>
                <w:w w:val="92"/>
              </w:rPr>
              <w:t>Nine months ended September 30,</w:t>
            </w:r>
          </w:p>
        </w:tc>
      </w:tr>
      <w:tr>
        <w:trPr>
          <w:trHeight w:val="21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Unaudited (in thousands)</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231F20"/>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231F20"/>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231F20"/>
              </w:rPr>
              <w:t>2021</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(357,797)</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271,333</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Change in fair value of earn-out shares liability</w:t>
            </w: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47,100</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4,290</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 (1)</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Transaction related costs (2)</w:t>
            </w: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32,313</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non-recurring and one-time fees (3)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adjustment for income taxes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benefit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60" w:lineRule="exact"/>
        <w:rPr>
          <w:sz w:val="20"/>
          <w:szCs w:val="20"/>
          <w:color w:val="auto"/>
        </w:rPr>
      </w:pPr>
    </w:p>
    <w:p>
      <w:pPr>
        <w:ind w:left="320" w:right="280" w:hanging="314"/>
        <w:spacing w:after="0" w:line="251" w:lineRule="auto"/>
        <w:tabs>
          <w:tab w:leader="none" w:pos="34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quarterly management fees paid to the majority shareholder of Hydrafacial based on a pre-determined formula. Following the Business Combination, these fees are no longer paid.</w:t>
      </w:r>
    </w:p>
    <w:p>
      <w:pPr>
        <w:ind w:left="320" w:right="280" w:hanging="314"/>
        <w:spacing w:after="0" w:line="266" w:lineRule="auto"/>
        <w:tabs>
          <w:tab w:leader="none" w:pos="346"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nine months ended September 30, 2022, such amounts primarily represent direct costs incurred in relation to potential acquisitions. For the three months ended September 30, 2021, such amounts primarily represent direct costs incurred in relation to</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320" w:right="240"/>
        <w:spacing w:after="0" w:line="290" w:lineRule="auto"/>
        <w:rPr>
          <w:sz w:val="20"/>
          <w:szCs w:val="20"/>
          <w:color w:val="auto"/>
        </w:rPr>
      </w:pPr>
      <w:r>
        <w:rPr>
          <w:rFonts w:ascii="Arial" w:cs="Arial" w:eastAsia="Arial" w:hAnsi="Arial"/>
          <w:sz w:val="14"/>
          <w:szCs w:val="14"/>
          <w:color w:val="auto"/>
        </w:rPr>
        <w:t>potential acquisitions. For the nine months ended September 30, 2021, such amounts primarily represent direct costs incurred in relation to potential acquisitions, direct costs incurred with the Business Combination and to prepare Hydrafacial to be marketed for sale by Hydrafacial’s shareholders in previous periods.</w:t>
      </w:r>
    </w:p>
    <w:p>
      <w:pPr>
        <w:ind w:left="320" w:hanging="314"/>
        <w:spacing w:after="0" w:line="260" w:lineRule="auto"/>
        <w:tabs>
          <w:tab w:leader="none" w:pos="346"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September 30, 2022, such costs primarily represent a write-off related to the discontinued Glow &amp; Go pilot program. For the nine months ended September 30, 2022, such costs include the re-organization severance, other personnel costs related to executive recruiting, executive severance, a loss on fixed asset and Glow &amp; Go-related write-offs and a CEO sign-on bonus.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use adjusted gross profit and adjusted gross margin to measure profitability and the ability to scale and leverage the costs of Delivery Systems and Consumables. The continued growth of Delivery Systems is expected to improve adjusted gross margin, as additional Delivery Systems sold will increase our recurring Consumables net sales, which has higher margins.</w:t>
      </w:r>
    </w:p>
    <w:p>
      <w:pPr>
        <w:spacing w:after="0" w:line="215"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We believe adjusted gross profit and adjusted gross margin are useful measures to us and to our investors to assist in evaluating our operating performance because they provide consistency and direct comparability with past financial performance and between fiscal periods, as the metric eliminates the effects of amortization and depreciation and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reconciles gross profit to adjusted gross profit for the periods indicated. </w:t>
      </w:r>
      <w:r>
        <w:rPr>
          <w:rFonts w:ascii="Arial" w:cs="Arial" w:eastAsia="Arial" w:hAnsi="Arial"/>
          <w:sz w:val="15"/>
          <w:szCs w:val="15"/>
          <w:color w:val="231F20"/>
        </w:rPr>
        <w:t>Amounts and percentages may not foot due to rounding: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Three Months Ended September 30,</w:t>
            </w:r>
          </w:p>
        </w:tc>
        <w:tc>
          <w:tcPr>
            <w:tcW w:w="200" w:type="dxa"/>
            <w:vAlign w:val="bottom"/>
          </w:tcPr>
          <w:p>
            <w:pPr>
              <w:spacing w:after="0"/>
              <w:rPr>
                <w:sz w:val="19"/>
                <w:szCs w:val="19"/>
                <w:color w:val="auto"/>
              </w:rPr>
            </w:pPr>
          </w:p>
        </w:tc>
        <w:tc>
          <w:tcPr>
            <w:tcW w:w="300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r>
      <w:tr>
        <w:trPr>
          <w:trHeight w:val="21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182,197</w:t>
            </w: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27,217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82,577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57,131</w:t>
            </w: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125,066</w:t>
            </w: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68.6 %</w:t>
            </w: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 exclude the following: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Write-off of discontinued product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Stock-based compensation expense included in cost of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w w:val="92"/>
              </w:rPr>
              <w:t>Depreciation and amortization expense included in cost of sales</w:t>
            </w:r>
          </w:p>
        </w:tc>
        <w:tc>
          <w:tcPr>
            <w:tcW w:w="1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7,747</w:t>
            </w: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133,035</w:t>
            </w:r>
          </w:p>
        </w:tc>
      </w:tr>
      <w:tr>
        <w:trPr>
          <w:trHeight w:val="224"/>
        </w:trPr>
        <w:tc>
          <w:tcPr>
            <w:tcW w:w="476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6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Represents a one-time write-off primarily related to the discontinued Glow &amp; Go pilot program.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 xml:space="preserve">We had cash and cash equivalents of approximately </w:t>
      </w:r>
      <w:r>
        <w:rPr>
          <w:rFonts w:ascii="Arial" w:cs="Arial" w:eastAsia="Arial" w:hAnsi="Arial"/>
          <w:sz w:val="15"/>
          <w:szCs w:val="15"/>
          <w:color w:val="231F20"/>
        </w:rPr>
        <w:t>$684.2 million</w:t>
      </w:r>
      <w:r>
        <w:rPr>
          <w:rFonts w:ascii="Arial" w:cs="Arial" w:eastAsia="Arial" w:hAnsi="Arial"/>
          <w:sz w:val="15"/>
          <w:szCs w:val="15"/>
          <w:color w:val="auto"/>
        </w:rPr>
        <w:t xml:space="preserve"> as of September 30, 2022.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163"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We are primarily potentially exposed to changes in short-term interest rates with respect to our cost of borrowing under our Credit Agreement, from which we have yet to draw on. Our debt obligations related to the Notes are long-term in nature with fixed interest rates. We monitor our cost of borrowing, taking into account our funding requirements, and our expectations for short-term rates in the future. A hypothetical 10% change in the interest rate on our Credit Agreement for all periods presented would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0" w:lineRule="exact"/>
        <w:rPr>
          <w:sz w:val="20"/>
          <w:szCs w:val="20"/>
          <w:color w:val="auto"/>
        </w:rPr>
      </w:pPr>
    </w:p>
    <w:p>
      <w:pPr>
        <w:ind w:right="180" w:firstLine="318"/>
        <w:spacing w:after="0" w:line="267" w:lineRule="auto"/>
        <w:rPr>
          <w:sz w:val="20"/>
          <w:szCs w:val="20"/>
          <w:color w:val="auto"/>
        </w:rPr>
      </w:pPr>
      <w:r>
        <w:rPr>
          <w:rFonts w:ascii="Arial" w:cs="Arial" w:eastAsia="Arial" w:hAnsi="Arial"/>
          <w:sz w:val="17"/>
          <w:szCs w:val="17"/>
          <w:color w:val="auto"/>
        </w:rPr>
        <w:t>Our reporting currency is the U.S. dollar. Due to our international operations, we have foreign currency risks related to revenue and operating expenses denominated in currencies other than the U.S. dollar, primarily the China Renminbi, British pound, Euro and, Australian dollar. Our international sales contracts are primarily denominated in the local currency of the customer making the purchase. In addition, a portion of our operating expenses are incurred outside the United States and are denominated in foreign currencies. Increases in the relative value of the U.S. dollar to other currencies (e.g. unfavorable movement in the exchange rate between the U.S. dollar and the currencies in which we conduct sales in foreign countries) will negatively affect our revenue and net operating results as expressed in U.S. dollars.</w:t>
      </w:r>
    </w:p>
    <w:p>
      <w:pPr>
        <w:spacing w:after="0" w:line="206"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have experienced and may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198"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50"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While it is difficult to accurately measure the impact of inflation due to the imprecise nature of the estimates required, we have experienced the effects of inflation during the periods covered by this quarterly report on our results of operations and financial condition, and we expect to experience additional effects such as additional cost increases in the near future if inflation continues to persist. Additionally, because we purchase materials from our suppliers, we may be adversely impacted by their inability to adequately mitigate inflationary, industry, or economic pressures.</w:t>
      </w:r>
    </w:p>
    <w:p>
      <w:pPr>
        <w:spacing w:after="0" w:line="183" w:lineRule="exact"/>
        <w:rPr>
          <w:sz w:val="20"/>
          <w:szCs w:val="20"/>
          <w:color w:val="auto"/>
        </w:rPr>
      </w:pPr>
    </w:p>
    <w:p>
      <w:pPr>
        <w:jc w:val="both"/>
        <w:ind w:right="40" w:firstLine="318"/>
        <w:spacing w:after="0" w:line="277" w:lineRule="auto"/>
        <w:rPr>
          <w:sz w:val="20"/>
          <w:szCs w:val="20"/>
          <w:color w:val="auto"/>
        </w:rPr>
      </w:pPr>
      <w:r>
        <w:rPr>
          <w:rFonts w:ascii="Arial" w:cs="Arial" w:eastAsia="Arial" w:hAnsi="Arial"/>
          <w:sz w:val="17"/>
          <w:szCs w:val="17"/>
          <w:color w:val="auto"/>
        </w:rPr>
        <w:t>Furthermore,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580" w:firstLine="318"/>
        <w:spacing w:after="0" w:line="252" w:lineRule="auto"/>
        <w:rPr>
          <w:sz w:val="20"/>
          <w:szCs w:val="20"/>
          <w:color w:val="auto"/>
        </w:rPr>
      </w:pPr>
      <w:r>
        <w:rPr>
          <w:rFonts w:ascii="Arial" w:cs="Arial" w:eastAsia="Arial" w:hAnsi="Arial"/>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231F20"/>
        </w:rPr>
        <w:t>As required by Rules 13a-15 and 15d-15 under the Exchange Act, our Chief Executive Officer and Chief Financial Officer carried out an evaluation of the effectiveness of the design and operation of our disclosure controls and procedures as of September 30, 2022. Based upon their evaluation, our Chief Executive Officer and Chief Financial Officer concluded that, due to the material weaknesses that existed as of December 31, 2020 and continued to exist as of September 30, 2022, our disclosure controls and procedures (as defined in Rules 13a-15(e) and 15d-15(e) under the Exchange Act) were not effective.</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31F20"/>
        </w:rPr>
        <w:t>This was accordingly disclosed in our Annual Report on Form 10-K for the year ended December 31, 2021, Form 10-K/A for the year ended December 31, 2020 and in our Definitive Proxy Statement filed on April 7,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250"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231F20"/>
        </w:rPr>
        <w:t>In connection with the audit of Hydrafacial as of and for the year ended December 31, 2020, we previously identified material weaknesses in our internal control over financial reporting. The material weaknesses were related to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on a timely basis.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In response to the material weaknesses, management completed the following remediation actions:</w:t>
      </w:r>
    </w:p>
    <w:p>
      <w:pPr>
        <w:spacing w:after="0" w:line="244"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established a formal risk assessment process to identify and evaluate risks relevant to financial reporting objectives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implemented segregation of duties around the approval of journal entries and accounting processes</w:t>
      </w:r>
    </w:p>
    <w:p>
      <w:pPr>
        <w:spacing w:after="0" w:line="5" w:lineRule="exact"/>
        <w:rPr>
          <w:rFonts w:ascii="Arial" w:cs="Arial" w:eastAsia="Arial" w:hAnsi="Arial"/>
          <w:sz w:val="18"/>
          <w:szCs w:val="18"/>
          <w:color w:val="auto"/>
        </w:rPr>
      </w:pPr>
    </w:p>
    <w:p>
      <w:pPr>
        <w:ind w:left="640" w:right="82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implemented a training program addressing internal control over financial reporting, including educating control owners regarding the requirements of each control</w:t>
      </w:r>
    </w:p>
    <w:p>
      <w:pPr>
        <w:spacing w:after="0" w:line="218" w:lineRule="exact"/>
        <w:rPr>
          <w:sz w:val="20"/>
          <w:szCs w:val="20"/>
          <w:color w:val="auto"/>
        </w:rPr>
      </w:pPr>
    </w:p>
    <w:p>
      <w:pPr>
        <w:ind w:right="480" w:firstLine="318"/>
        <w:spacing w:after="0" w:line="365" w:lineRule="auto"/>
        <w:rPr>
          <w:sz w:val="20"/>
          <w:szCs w:val="20"/>
          <w:color w:val="auto"/>
        </w:rPr>
      </w:pPr>
      <w:r>
        <w:rPr>
          <w:rFonts w:ascii="Arial" w:cs="Arial" w:eastAsia="Arial" w:hAnsi="Arial"/>
          <w:sz w:val="15"/>
          <w:szCs w:val="15"/>
          <w:color w:val="231F20"/>
        </w:rPr>
        <w:t>We determined that the material weakness around lack of sufficient accounting resources continued to exist as of December 31, 2021. This material weakness may not allow for us to have proper segregation of duties and the ability to close our books and report our results on a timely basis.</w:t>
      </w:r>
    </w:p>
    <w:p>
      <w:pPr>
        <w:spacing w:after="0" w:line="13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231F20"/>
        </w:rPr>
        <w:t>We have begun the process of, and we are focused on, designing and implementing effective internal controls measures to improve our internal control over financial reporting and remediate the material weakness. Our efforts include a number of actions:</w:t>
      </w:r>
    </w:p>
    <w:p>
      <w:pPr>
        <w:spacing w:after="0" w:line="207" w:lineRule="exact"/>
        <w:rPr>
          <w:sz w:val="20"/>
          <w:szCs w:val="20"/>
          <w:color w:val="auto"/>
        </w:rPr>
      </w:pPr>
    </w:p>
    <w:p>
      <w:pPr>
        <w:ind w:left="640" w:right="20" w:hanging="316"/>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if appropriate;</w:t>
      </w:r>
    </w:p>
    <w:p>
      <w:pPr>
        <w:ind w:left="640" w:right="30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2"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designing and implementing information technology and application controls in our financially significant systems to address our relative information processing objectives</w:t>
      </w:r>
    </w:p>
    <w:p>
      <w:pPr>
        <w:spacing w:after="0" w:line="218"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231F20"/>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controls over financial reporting and will continue to diligently review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231F20"/>
        </w:rPr>
        <w:t>Other than the remediation efforts described in this Item 4, there have been no changes in our internal control over financial reporting during the quarter ended September 30, 2022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For a description of our material pending legal proceedings, see Note 13, Commitments and Contingencies, to our consolidated financial statements included in Part I, Item 1 of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Please carefully consider the information set forth in this Quarterly Report on Form 10-Q and the risk factors discussed in Part I, “Item 1A. Risk Factors” in our Annual Report on Form 10-K for the year ended December 31, 2021, filed with the SEC on March 1, 2022 (the “Annual Report”) and Part II “Item 1A. Risk Factors” in our Quarterly Reports on Form 10-Q for the quarters ended March 31, 2022 (the “2022 Quarterly Report”), which could materially affect our business, financial condition, or future results. The risks described in our Annual Report and the 2022 Quarterly Report, as well as other risks and uncertainties, could materially and adversely affect our business, results of operations, and financial condition, which in turn could materially and adversely affect the trading price of shares of our Class A Common Stock. Except as set forth below, there have been no material updates or changes to the risk factors previously disclosed in our Annual Report and 2022 Quarterly Reports; provided, however, additional risks not currently known or currently material to us may also harm our business.</w:t>
      </w:r>
    </w:p>
    <w:p>
      <w:pPr>
        <w:spacing w:after="0" w:line="22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b w:val="1"/>
          <w:bCs w:val="1"/>
          <w:i w:val="1"/>
          <w:iCs w:val="1"/>
          <w:color w:val="auto"/>
        </w:rPr>
        <w:t>There can be no assurance that we will continue to repurchase our shares of Class A Common Stock at all or that we will repurchase shares of Class A Common Stock at favorable prices.</w:t>
      </w:r>
    </w:p>
    <w:p>
      <w:pPr>
        <w:spacing w:after="0" w:line="194"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5"/>
          <w:szCs w:val="15"/>
          <w:color w:val="auto"/>
        </w:rPr>
        <w:t>On September 26, 2022, the Company’s board of directors approved a common stock repurchase program pursuant to which the Company may repurchase up to $200 million of its outstanding shares of Class A Common Stock, and as of September 30, 2022, the remaining value of shares that may be repurchased pursuant to such program was $100 million. On September 27, 2022, the Company entered into an accelerated share repurchase agreement with JPMorgan Chase Bank, National Association to repurchase an aggregate of up to $100.0 million of the Company’s Class A Common Stock. Our intent to continue to repurchase our shares is subject to capital availability and periodic determinations by our board of directors that share repurchases are in the best interest of our stockholders and are in compliance with all laws and agreements applicable to the declaration and payment of the repurchasing of shares by us. Future share repurchases may also be affected by, among other factors, our views on potential future capital requirements for investments in acquisitions and the funding of our research and development; legal risks; changes in federal, state, and international tax laws or corporate laws; contractual restrictions, such as financial or operating covenants in our debt arrangements; availability of onshore cash flow; and changes to our business model. We can provide no assurance that we will continue to repurchase shares of our Class A Common Stock at favorable prices, if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Purchase of Equity Securities by Issuer and Affiliated Purchasers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information related to our purchases of the Company's Class A Common Stock during the quarter ended September 30,</w:t>
      </w:r>
    </w:p>
    <w:p>
      <w:pPr>
        <w:sectPr>
          <w:pgSz w:w="11900" w:h="16838" w:orient="portrait"/>
          <w:cols w:equalWidth="0" w:num="1">
            <w:col w:w="11240"/>
          </w:cols>
          <w:pgMar w:left="320" w:top="127"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231F20"/>
        </w:rPr>
        <w:t>Period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July 1, 2022 through July 30, 2022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August 1, 2022 through August 31, 2022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September 1, 2022 through September 30, 2022</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231F20"/>
                <w:w w:val="91"/>
              </w:rPr>
              <w:t>Total Number of Shares</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231F20"/>
                <w:w w:val="96"/>
              </w:rPr>
              <w:t>Maximum Approximate Dollar</w:t>
            </w:r>
          </w:p>
        </w:tc>
        <w:tc>
          <w:tcPr>
            <w:tcW w:w="0" w:type="dxa"/>
            <w:vAlign w:val="bottom"/>
          </w:tcPr>
          <w:p>
            <w:pPr>
              <w:spacing w:after="0"/>
              <w:rPr>
                <w:sz w:val="1"/>
                <w:szCs w:val="1"/>
                <w:color w:val="auto"/>
              </w:rPr>
            </w:pPr>
          </w:p>
        </w:tc>
      </w:tr>
      <w:tr>
        <w:trPr>
          <w:trHeight w:val="146"/>
        </w:trPr>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231F20"/>
                <w:w w:val="93"/>
              </w:rPr>
              <w:t>Total 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231F20"/>
                <w:w w:val="89"/>
              </w:rPr>
              <w:t>Average Price Paid</w:t>
            </w:r>
          </w:p>
        </w:tc>
        <w:tc>
          <w:tcPr>
            <w:tcW w:w="2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right"/>
              <w:ind w:right="29"/>
              <w:spacing w:after="0" w:line="146" w:lineRule="exact"/>
              <w:rPr>
                <w:sz w:val="20"/>
                <w:szCs w:val="20"/>
                <w:color w:val="auto"/>
              </w:rPr>
            </w:pPr>
            <w:r>
              <w:rPr>
                <w:rFonts w:ascii="Arial" w:cs="Arial" w:eastAsia="Arial" w:hAnsi="Arial"/>
                <w:sz w:val="14"/>
                <w:szCs w:val="14"/>
                <w:b w:val="1"/>
                <w:bCs w:val="1"/>
                <w:color w:val="231F20"/>
                <w:w w:val="90"/>
              </w:rPr>
              <w:t>Value of Shares that May Yet</w:t>
            </w:r>
          </w:p>
        </w:tc>
        <w:tc>
          <w:tcPr>
            <w:tcW w:w="0" w:type="dxa"/>
            <w:vAlign w:val="bottom"/>
          </w:tcPr>
          <w:p>
            <w:pPr>
              <w:spacing w:after="0"/>
              <w:rPr>
                <w:sz w:val="1"/>
                <w:szCs w:val="1"/>
                <w:color w:val="auto"/>
              </w:rPr>
            </w:pPr>
          </w:p>
        </w:tc>
      </w:tr>
      <w:tr>
        <w:trPr>
          <w:trHeight w:val="146"/>
        </w:trPr>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231F20"/>
                <w:w w:val="91"/>
              </w:rPr>
              <w:t>Purchased as Part of a Publicly</w:t>
            </w:r>
          </w:p>
        </w:tc>
        <w:tc>
          <w:tcPr>
            <w:tcW w:w="80" w:type="dxa"/>
            <w:vAlign w:val="bottom"/>
          </w:tcPr>
          <w:p>
            <w:pPr>
              <w:spacing w:after="0"/>
              <w:rPr>
                <w:sz w:val="12"/>
                <w:szCs w:val="12"/>
                <w:color w:val="auto"/>
              </w:rPr>
            </w:pPr>
          </w:p>
        </w:tc>
        <w:tc>
          <w:tcPr>
            <w:tcW w:w="1860" w:type="dxa"/>
            <w:vAlign w:val="bottom"/>
          </w:tcPr>
          <w:p>
            <w:pPr>
              <w:jc w:val="right"/>
              <w:ind w:right="9"/>
              <w:spacing w:after="0" w:line="146" w:lineRule="exact"/>
              <w:rPr>
                <w:sz w:val="20"/>
                <w:szCs w:val="20"/>
                <w:color w:val="auto"/>
              </w:rPr>
            </w:pPr>
            <w:r>
              <w:rPr>
                <w:rFonts w:ascii="Arial" w:cs="Arial" w:eastAsia="Arial" w:hAnsi="Arial"/>
                <w:sz w:val="14"/>
                <w:szCs w:val="14"/>
                <w:b w:val="1"/>
                <w:bCs w:val="1"/>
                <w:color w:val="231F20"/>
                <w:w w:val="90"/>
              </w:rPr>
              <w:t>Be Purchased Under Publicly</w:t>
            </w:r>
          </w:p>
        </w:tc>
        <w:tc>
          <w:tcPr>
            <w:tcW w:w="0" w:type="dxa"/>
            <w:vAlign w:val="bottom"/>
          </w:tcPr>
          <w:p>
            <w:pPr>
              <w:spacing w:after="0"/>
              <w:rPr>
                <w:sz w:val="1"/>
                <w:szCs w:val="1"/>
                <w:color w:val="auto"/>
              </w:rPr>
            </w:pPr>
          </w:p>
        </w:tc>
      </w:tr>
      <w:tr>
        <w:trPr>
          <w:trHeight w:val="199"/>
        </w:trPr>
        <w:tc>
          <w:tcPr>
            <w:tcW w:w="1560" w:type="dxa"/>
            <w:vAlign w:val="bottom"/>
          </w:tcPr>
          <w:p>
            <w:pPr>
              <w:jc w:val="right"/>
              <w:ind w:right="389"/>
              <w:spacing w:after="0"/>
              <w:rPr>
                <w:sz w:val="20"/>
                <w:szCs w:val="20"/>
                <w:color w:val="auto"/>
              </w:rPr>
            </w:pPr>
            <w:r>
              <w:rPr>
                <w:rFonts w:ascii="Arial" w:cs="Arial" w:eastAsia="Arial" w:hAnsi="Arial"/>
                <w:sz w:val="14"/>
                <w:szCs w:val="14"/>
                <w:b w:val="1"/>
                <w:bCs w:val="1"/>
                <w:color w:val="231F20"/>
              </w:rPr>
              <w:t>Purchased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231F20"/>
                <w:w w:val="89"/>
              </w:rPr>
              <w:t>per Share</w:t>
            </w:r>
          </w:p>
        </w:tc>
        <w:tc>
          <w:tcPr>
            <w:tcW w:w="2200" w:type="dxa"/>
            <w:vAlign w:val="bottom"/>
            <w:gridSpan w:val="2"/>
          </w:tcPr>
          <w:p>
            <w:pPr>
              <w:jc w:val="center"/>
              <w:ind w:right="100"/>
              <w:spacing w:after="0" w:line="199" w:lineRule="exact"/>
              <w:rPr>
                <w:sz w:val="20"/>
                <w:szCs w:val="20"/>
                <w:color w:val="auto"/>
              </w:rPr>
            </w:pPr>
            <w:r>
              <w:rPr>
                <w:rFonts w:ascii="Arial" w:cs="Arial" w:eastAsia="Arial" w:hAnsi="Arial"/>
                <w:sz w:val="14"/>
                <w:szCs w:val="14"/>
                <w:b w:val="1"/>
                <w:bCs w:val="1"/>
                <w:color w:val="231F20"/>
                <w:w w:val="91"/>
              </w:rPr>
              <w:t xml:space="preserve">Announced Plan or Program </w:t>
            </w:r>
            <w:r>
              <w:rPr>
                <w:rFonts w:ascii="Arial" w:cs="Arial" w:eastAsia="Arial" w:hAnsi="Arial"/>
                <w:sz w:val="18"/>
                <w:szCs w:val="18"/>
                <w:b w:val="1"/>
                <w:bCs w:val="1"/>
                <w:color w:val="231F20"/>
                <w:w w:val="91"/>
                <w:vertAlign w:val="superscript"/>
              </w:rPr>
              <w:t>(1)</w:t>
            </w:r>
          </w:p>
        </w:tc>
        <w:tc>
          <w:tcPr>
            <w:tcW w:w="1940" w:type="dxa"/>
            <w:vAlign w:val="bottom"/>
            <w:gridSpan w:val="2"/>
          </w:tcPr>
          <w:p>
            <w:pPr>
              <w:ind w:left="20"/>
              <w:spacing w:after="0" w:line="199" w:lineRule="exact"/>
              <w:rPr>
                <w:sz w:val="20"/>
                <w:szCs w:val="20"/>
                <w:color w:val="auto"/>
              </w:rPr>
            </w:pPr>
            <w:r>
              <w:rPr>
                <w:rFonts w:ascii="Arial" w:cs="Arial" w:eastAsia="Arial" w:hAnsi="Arial"/>
                <w:sz w:val="14"/>
                <w:szCs w:val="14"/>
                <w:b w:val="1"/>
                <w:bCs w:val="1"/>
                <w:color w:val="231F20"/>
                <w:w w:val="91"/>
              </w:rPr>
              <w:t xml:space="preserve">Announced Plan or Program </w:t>
            </w:r>
            <w:r>
              <w:rPr>
                <w:rFonts w:ascii="Arial" w:cs="Arial" w:eastAsia="Arial" w:hAnsi="Arial"/>
                <w:sz w:val="18"/>
                <w:szCs w:val="18"/>
                <w:b w:val="1"/>
                <w:bCs w:val="1"/>
                <w:color w:val="231F20"/>
                <w:w w:val="91"/>
                <w:vertAlign w:val="superscript"/>
              </w:rPr>
              <w:t>(1)</w:t>
            </w:r>
          </w:p>
        </w:tc>
        <w:tc>
          <w:tcPr>
            <w:tcW w:w="0" w:type="dxa"/>
            <w:vAlign w:val="bottom"/>
          </w:tcPr>
          <w:p>
            <w:pPr>
              <w:spacing w:after="0"/>
              <w:rPr>
                <w:sz w:val="1"/>
                <w:szCs w:val="1"/>
                <w:color w:val="auto"/>
              </w:rPr>
            </w:pPr>
          </w:p>
        </w:tc>
      </w:tr>
      <w:tr>
        <w:trPr>
          <w:trHeight w:val="173"/>
        </w:trPr>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3"/>
        </w:trPr>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NA</w:t>
            </w:r>
          </w:p>
        </w:tc>
        <w:tc>
          <w:tcPr>
            <w:tcW w:w="22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9"/>
        </w:trPr>
        <w:tc>
          <w:tcPr>
            <w:tcW w:w="1560" w:type="dxa"/>
            <w:vAlign w:val="bottom"/>
          </w:tcPr>
          <w:p>
            <w:pPr>
              <w:jc w:val="right"/>
              <w:spacing w:after="0"/>
              <w:rPr>
                <w:sz w:val="20"/>
                <w:szCs w:val="20"/>
                <w:color w:val="auto"/>
              </w:rPr>
            </w:pPr>
            <w:r>
              <w:rPr>
                <w:rFonts w:ascii="Arial" w:cs="Arial" w:eastAsia="Arial" w:hAnsi="Arial"/>
                <w:sz w:val="14"/>
                <w:szCs w:val="14"/>
                <w:color w:val="auto"/>
              </w:rPr>
              <w:t>7,692,308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7,692,308</w:t>
            </w:r>
          </w:p>
        </w:tc>
        <w:tc>
          <w:tcPr>
            <w:tcW w:w="10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120,000,000</w:t>
            </w:r>
          </w:p>
        </w:tc>
        <w:tc>
          <w:tcPr>
            <w:tcW w:w="0" w:type="dxa"/>
            <w:vAlign w:val="bottom"/>
          </w:tcPr>
          <w:p>
            <w:pPr>
              <w:spacing w:after="0"/>
              <w:rPr>
                <w:sz w:val="1"/>
                <w:szCs w:val="1"/>
                <w:color w:val="auto"/>
              </w:rPr>
            </w:pPr>
          </w:p>
        </w:tc>
      </w:tr>
      <w:tr>
        <w:trPr>
          <w:trHeight w:val="24"/>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7,692,308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7,692,308</w:t>
            </w:r>
          </w:p>
        </w:tc>
        <w:tc>
          <w:tcPr>
            <w:tcW w:w="10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120,000,000</w:t>
            </w:r>
          </w:p>
        </w:tc>
        <w:tc>
          <w:tcPr>
            <w:tcW w:w="0" w:type="dxa"/>
            <w:vAlign w:val="bottom"/>
          </w:tcPr>
          <w:p>
            <w:pPr>
              <w:spacing w:after="0"/>
              <w:rPr>
                <w:sz w:val="1"/>
                <w:szCs w:val="1"/>
                <w:color w:val="auto"/>
              </w:rPr>
            </w:pP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-294005</wp:posOffset>
            </wp:positionV>
            <wp:extent cx="7134860" cy="126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-554990</wp:posOffset>
            </wp:positionV>
            <wp:extent cx="713486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28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6"/>
        <w:spacing w:after="0" w:line="277" w:lineRule="auto"/>
        <w:tabs>
          <w:tab w:leader="none" w:pos="176" w:val="left"/>
        </w:tabs>
        <w:numPr>
          <w:ilvl w:val="0"/>
          <w:numId w:val="11"/>
        </w:numPr>
        <w:rPr>
          <w:rFonts w:ascii="Arial" w:cs="Arial" w:eastAsia="Arial" w:hAnsi="Arial"/>
          <w:sz w:val="19"/>
          <w:szCs w:val="19"/>
          <w:b w:val="1"/>
          <w:bCs w:val="1"/>
          <w:color w:val="auto"/>
          <w:vertAlign w:val="superscript"/>
        </w:rPr>
      </w:pPr>
      <w:r>
        <w:rPr>
          <w:rFonts w:ascii="Arial" w:cs="Arial" w:eastAsia="Arial" w:hAnsi="Arial"/>
          <w:sz w:val="14"/>
          <w:szCs w:val="14"/>
          <w:color w:val="auto"/>
        </w:rPr>
        <w:t>On September 26, 2022, the Company’s Board of Directors approved a share repurchase program (“Share Repurchase Program”) that authorizes the repurchase of up to $200.0 million of shares of the Company’s Class A common stock. Under the Share Repurchase Program, repurchases can be made from time to time using a variety of methods, which may include open market purchases, privately negotiated transactions, accelerated share repurchase programs, or otherwise, all in accordance with the requirements of the Securities and Exchange Commission and other applicable legal requirements. The specific timing, price and size of purchases will depend on prevailing stock prices, general economic and market conditions, and other considerations. The Share Repurchase Program does not obligate the Company to acquire any particular amount of its Class A common stock, and the Share Repurchase Program may be suspended or discontinued at any time at the Company’s discretion.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EXHIBIT INDEX</w:t>
      </w:r>
    </w:p>
    <w:p>
      <w:pPr>
        <w:spacing w:after="0" w:line="45" w:lineRule="exact"/>
        <w:rPr>
          <w:sz w:val="20"/>
          <w:szCs w:val="20"/>
          <w:color w:val="auto"/>
        </w:rPr>
      </w:pPr>
    </w:p>
    <w:p>
      <w:pPr>
        <w:ind w:left="10640"/>
        <w:spacing w:after="0"/>
        <w:rPr>
          <w:sz w:val="20"/>
          <w:szCs w:val="20"/>
          <w:color w:val="auto"/>
        </w:rPr>
      </w:pPr>
      <w:r>
        <w:rPr>
          <w:rFonts w:ascii="Arial" w:cs="Arial" w:eastAsia="Arial" w:hAnsi="Arial"/>
          <w:sz w:val="15"/>
          <w:szCs w:val="15"/>
          <w:b w:val="1"/>
          <w:bCs w:val="1"/>
          <w:color w:val="auto"/>
        </w:rPr>
        <w:t>Filed</w:t>
      </w:r>
    </w:p>
    <w:p>
      <w:pPr>
        <w:sectPr>
          <w:pgSz w:w="11900" w:h="16838" w:orient="portrait"/>
          <w:cols w:equalWidth="0" w:num="1">
            <w:col w:w="11180"/>
          </w:cols>
          <w:pgMar w:left="320" w:top="127" w:right="39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00" w:type="dxa"/>
            <w:vAlign w:val="bottom"/>
            <w:gridSpan w:val="22"/>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00" w:type="dxa"/>
            <w:vAlign w:val="bottom"/>
            <w:tcBorders>
              <w:top w:val="single" w:sz="8" w:color="auto"/>
            </w:tcBorders>
            <w:gridSpan w:val="25"/>
          </w:tcPr>
          <w:p>
            <w:pPr>
              <w:spacing w:after="0" w:line="179"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Agreement and Plan of Merger, dated as of December 8, 2020,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5"/>
          </w:tcPr>
          <w:p>
            <w:pPr>
              <w:spacing w:after="0" w:line="152" w:lineRule="exact"/>
              <w:rPr>
                <w:rFonts w:ascii="Arial" w:cs="Arial" w:eastAsia="Arial" w:hAnsi="Arial"/>
                <w:sz w:val="17"/>
                <w:szCs w:val="17"/>
                <w:color w:val="0000FF"/>
                <w:w w:val="97"/>
              </w:rPr>
            </w:pPr>
            <w:hyperlink r:id="rId61">
              <w:r>
                <w:rPr>
                  <w:rFonts w:ascii="Arial" w:cs="Arial" w:eastAsia="Arial" w:hAnsi="Arial"/>
                  <w:sz w:val="17"/>
                  <w:szCs w:val="17"/>
                  <w:color w:val="0000FF"/>
                  <w:w w:val="97"/>
                </w:rPr>
                <w:t>among Vesper Healthcare Acquisition Corp., Hydrate Merger Sub I, Inc.,</w:t>
              </w:r>
            </w:hyperlink>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20" w:type="dxa"/>
            <w:vAlign w:val="bottom"/>
            <w:vMerge w:val="restart"/>
          </w:tcPr>
          <w:p>
            <w:pPr>
              <w:spacing w:after="0"/>
              <w:rPr>
                <w:rFonts w:ascii="Arial" w:cs="Arial" w:eastAsia="Arial" w:hAnsi="Arial"/>
                <w:sz w:val="18"/>
                <w:szCs w:val="18"/>
                <w:color w:val="0000FF"/>
                <w:w w:val="79"/>
              </w:rPr>
            </w:pPr>
            <w:hyperlink r:id="rId61">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18"/>
          </w:tcPr>
          <w:p>
            <w:pPr>
              <w:spacing w:after="0" w:line="165"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Hydrate Merger Sub II, LLC, LCP Edge Intermediate, Inc. and LCP Edge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 w:type="dxa"/>
            <w:vAlign w:val="bottom"/>
            <w:tcBorders>
              <w:bottom w:val="single" w:sz="8" w:color="0000FF"/>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9"/>
          </w:tcPr>
          <w:p>
            <w:pPr>
              <w:spacing w:after="0" w:line="152" w:lineRule="exact"/>
              <w:rPr>
                <w:rFonts w:ascii="Arial" w:cs="Arial" w:eastAsia="Arial" w:hAnsi="Arial"/>
                <w:sz w:val="17"/>
                <w:szCs w:val="17"/>
                <w:color w:val="0000FF"/>
                <w:w w:val="94"/>
              </w:rPr>
            </w:pPr>
            <w:hyperlink r:id="rId61">
              <w:r>
                <w:rPr>
                  <w:rFonts w:ascii="Arial" w:cs="Arial" w:eastAsia="Arial" w:hAnsi="Arial"/>
                  <w:sz w:val="17"/>
                  <w:szCs w:val="17"/>
                  <w:color w:val="0000FF"/>
                  <w:w w:val="94"/>
                </w:rPr>
                <w:t>Holdco, LLC, in its capacity as the Stockholders’ Representative</w:t>
              </w:r>
            </w:hyperlink>
          </w:p>
        </w:tc>
        <w:tc>
          <w:tcPr>
            <w:tcW w:w="6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23"/>
          </w:tcPr>
          <w:p>
            <w:pPr>
              <w:spacing w:after="0" w:line="205"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Second Amended and Restated Certificate of Incorporation of The Beauty</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0" w:type="dxa"/>
            <w:vAlign w:val="bottom"/>
            <w:gridSpan w:val="2"/>
          </w:tcPr>
          <w:p>
            <w:pPr>
              <w:ind w:left="20"/>
              <w:spacing w:after="0" w:line="179" w:lineRule="exact"/>
              <w:rPr>
                <w:rFonts w:ascii="Arial" w:cs="Arial" w:eastAsia="Arial" w:hAnsi="Arial"/>
                <w:sz w:val="18"/>
                <w:szCs w:val="18"/>
                <w:color w:val="0000FF"/>
                <w:w w:val="79"/>
              </w:rPr>
            </w:pPr>
            <w:hyperlink r:id="rId6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0000FF"/>
            </w:tcBorders>
            <w:gridSpan w:val="2"/>
          </w:tcPr>
          <w:p>
            <w:pPr>
              <w:spacing w:after="0" w:line="165" w:lineRule="exact"/>
              <w:rPr>
                <w:rFonts w:ascii="Arial" w:cs="Arial" w:eastAsia="Arial" w:hAnsi="Arial"/>
                <w:sz w:val="18"/>
                <w:szCs w:val="18"/>
                <w:color w:val="0000FF"/>
                <w:w w:val="87"/>
              </w:rPr>
            </w:pPr>
            <w:hyperlink r:id="rId62">
              <w:r>
                <w:rPr>
                  <w:rFonts w:ascii="Arial" w:cs="Arial" w:eastAsia="Arial" w:hAnsi="Arial"/>
                  <w:sz w:val="18"/>
                  <w:szCs w:val="18"/>
                  <w:color w:val="0000FF"/>
                  <w:w w:val="87"/>
                </w:rPr>
                <w:t>Health Company</w:t>
              </w:r>
            </w:hyperlink>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rFonts w:ascii="Arial" w:cs="Arial" w:eastAsia="Arial" w:hAnsi="Arial"/>
                <w:sz w:val="18"/>
                <w:szCs w:val="18"/>
                <w:color w:val="0000FF"/>
                <w:w w:val="79"/>
              </w:rPr>
            </w:pPr>
            <w:hyperlink r:id="rId6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0000FF"/>
              </w:rPr>
            </w:pPr>
            <w:hyperlink r:id="rId63">
              <w:r>
                <w:rPr>
                  <w:rFonts w:ascii="Arial" w:cs="Arial" w:eastAsia="Arial" w:hAnsi="Arial"/>
                  <w:sz w:val="18"/>
                  <w:szCs w:val="18"/>
                  <w:color w:val="0000FF"/>
                </w:rPr>
                <w:t>Amended and Restated Bylaws of The Beauty Health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Arial" w:cs="Arial" w:eastAsia="Arial" w:hAnsi="Arial"/>
                <w:sz w:val="18"/>
                <w:szCs w:val="18"/>
                <w:color w:val="0000FF"/>
                <w:w w:val="79"/>
              </w:rPr>
            </w:pPr>
            <w:hyperlink r:id="rId6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5"/>
          </w:tcPr>
          <w:p>
            <w:pPr>
              <w:spacing w:after="0" w:line="205"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Indenture, dated as of September 14, 2021, between The Beauty Health</w:t>
              </w:r>
            </w:hyperlink>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20" w:type="dxa"/>
            <w:vAlign w:val="bottom"/>
            <w:tcBorders>
              <w:bottom w:val="single" w:sz="8" w:color="0000FF"/>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7"/>
          </w:tcPr>
          <w:p>
            <w:pPr>
              <w:spacing w:after="0" w:line="139" w:lineRule="exact"/>
              <w:rPr>
                <w:rFonts w:ascii="Arial" w:cs="Arial" w:eastAsia="Arial" w:hAnsi="Arial"/>
                <w:sz w:val="15"/>
                <w:szCs w:val="15"/>
                <w:color w:val="0000FF"/>
              </w:rPr>
            </w:pPr>
            <w:hyperlink r:id="rId64">
              <w:r>
                <w:rPr>
                  <w:rFonts w:ascii="Arial" w:cs="Arial" w:eastAsia="Arial" w:hAnsi="Arial"/>
                  <w:sz w:val="15"/>
                  <w:szCs w:val="15"/>
                  <w:color w:val="0000FF"/>
                </w:rPr>
                <w:t>Company and U.S. Bank National Association, as trustee</w:t>
              </w:r>
            </w:hyperlink>
          </w:p>
        </w:tc>
        <w:tc>
          <w:tcPr>
            <w:tcW w:w="1000" w:type="dxa"/>
            <w:vAlign w:val="bottom"/>
            <w:tcBorders>
              <w:top w:val="single" w:sz="8" w:color="0000FF"/>
            </w:tcBorders>
            <w:gridSpan w:val="8"/>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17"/>
          </w:tcPr>
          <w:p>
            <w:pPr>
              <w:spacing w:after="0" w:line="199"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Form of certificate representing the 1.25% Convertible Senior Notes due</w:t>
              </w:r>
            </w:hyperlink>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0" w:type="dxa"/>
            <w:vAlign w:val="bottom"/>
            <w:gridSpan w:val="2"/>
          </w:tcPr>
          <w:p>
            <w:pPr>
              <w:ind w:left="20"/>
              <w:spacing w:after="0" w:line="179" w:lineRule="exact"/>
              <w:rPr>
                <w:rFonts w:ascii="Arial" w:cs="Arial" w:eastAsia="Arial" w:hAnsi="Arial"/>
                <w:sz w:val="18"/>
                <w:szCs w:val="18"/>
                <w:color w:val="0000FF"/>
                <w:w w:val="79"/>
              </w:rPr>
            </w:pPr>
            <w:hyperlink r:id="rId6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bottom w:val="single" w:sz="8" w:color="0000FF"/>
            </w:tcBorders>
            <w:gridSpan w:val="5"/>
          </w:tcPr>
          <w:p>
            <w:pPr>
              <w:spacing w:after="0" w:line="165"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2026 (included as Exhibit A to Exhibit 4.1)</w:t>
              </w:r>
            </w:hyperlink>
          </w:p>
        </w:tc>
        <w:tc>
          <w:tcPr>
            <w:tcW w:w="180" w:type="dxa"/>
            <w:vAlign w:val="bottom"/>
          </w:tcPr>
          <w:p>
            <w:pPr>
              <w:spacing w:after="0"/>
              <w:rPr>
                <w:sz w:val="15"/>
                <w:szCs w:val="15"/>
                <w:color w:val="auto"/>
              </w:rPr>
            </w:pPr>
          </w:p>
        </w:tc>
        <w:tc>
          <w:tcPr>
            <w:tcW w:w="13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25"/>
            <w:vMerge w:val="restart"/>
          </w:tcPr>
          <w:p>
            <w:pPr>
              <w:spacing w:after="0"/>
              <w:rPr>
                <w:rFonts w:ascii="Arial" w:cs="Arial" w:eastAsia="Arial" w:hAnsi="Arial"/>
                <w:sz w:val="18"/>
                <w:szCs w:val="18"/>
                <w:color w:val="0000FF"/>
                <w:w w:val="88"/>
              </w:rPr>
            </w:pPr>
            <w:hyperlink r:id="rId65">
              <w:r>
                <w:rPr>
                  <w:rFonts w:ascii="Arial" w:cs="Arial" w:eastAsia="Arial" w:hAnsi="Arial"/>
                  <w:sz w:val="18"/>
                  <w:szCs w:val="18"/>
                  <w:color w:val="0000FF"/>
                  <w:w w:val="88"/>
                </w:rPr>
                <w:t>Master Confirmation - Uncollared Accelerated Share Repurchase, dated as</w:t>
              </w:r>
            </w:hyperlink>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r:id="rId6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65">
              <w:r>
                <w:rPr>
                  <w:rFonts w:ascii="Arial" w:cs="Arial" w:eastAsia="Arial" w:hAnsi="Arial"/>
                  <w:sz w:val="17"/>
                  <w:szCs w:val="17"/>
                  <w:color w:val="0000FF"/>
                </w:rPr>
                <w:t>of September 27, 2022, between JPMorgan Chase Bank, National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6"/>
          </w:tcPr>
          <w:p>
            <w:pPr>
              <w:spacing w:after="0" w:line="165"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Association and The Beauty Health Company</w:t>
              </w:r>
            </w:hyperlink>
          </w:p>
        </w:tc>
        <w:tc>
          <w:tcPr>
            <w:tcW w:w="14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80" w:type="dxa"/>
            <w:vAlign w:val="bottom"/>
            <w:gridSpan w:val="6"/>
            <w:vMerge w:val="restart"/>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5"/>
          </w:tcPr>
          <w:p>
            <w:pPr>
              <w:spacing w:after="0" w:line="205" w:lineRule="exact"/>
              <w:rPr>
                <w:sz w:val="20"/>
                <w:szCs w:val="20"/>
                <w:color w:val="auto"/>
              </w:rPr>
            </w:pPr>
            <w:r>
              <w:rPr>
                <w:rFonts w:ascii="Arial" w:cs="Arial" w:eastAsia="Arial" w:hAnsi="Arial"/>
                <w:sz w:val="18"/>
                <w:szCs w:val="18"/>
                <w:color w:val="0000FF"/>
                <w:w w:val="91"/>
              </w:rPr>
              <w:t>Separation Agreement, dated as of August 3, 2022, between Hydrafacial</w:t>
            </w:r>
          </w:p>
        </w:tc>
        <w:tc>
          <w:tcPr>
            <w:tcW w:w="0" w:type="dxa"/>
            <w:vAlign w:val="bottom"/>
          </w:tcPr>
          <w:p>
            <w:pPr>
              <w:spacing w:after="0"/>
              <w:rPr>
                <w:sz w:val="1"/>
                <w:szCs w:val="1"/>
                <w:color w:val="auto"/>
              </w:rPr>
            </w:pPr>
          </w:p>
        </w:tc>
      </w:tr>
      <w:tr>
        <w:trPr>
          <w:trHeight w:val="152"/>
        </w:trPr>
        <w:tc>
          <w:tcPr>
            <w:tcW w:w="8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6"/>
          </w:tcPr>
          <w:p>
            <w:pPr>
              <w:spacing w:after="0" w:line="139" w:lineRule="exact"/>
              <w:rPr>
                <w:sz w:val="20"/>
                <w:szCs w:val="20"/>
                <w:color w:val="auto"/>
              </w:rPr>
            </w:pPr>
            <w:r>
              <w:rPr>
                <w:rFonts w:ascii="Arial" w:cs="Arial" w:eastAsia="Arial" w:hAnsi="Arial"/>
                <w:sz w:val="15"/>
                <w:szCs w:val="15"/>
                <w:color w:val="0000FF"/>
              </w:rPr>
              <w:t>LLC and Indra Pamamull</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12"/>
          </w:tcPr>
          <w:p>
            <w:pPr>
              <w:spacing w:after="0" w:line="199" w:lineRule="exact"/>
              <w:rPr>
                <w:sz w:val="20"/>
                <w:szCs w:val="20"/>
                <w:color w:val="auto"/>
              </w:rPr>
            </w:pPr>
            <w:r>
              <w:rPr>
                <w:rFonts w:ascii="Arial" w:cs="Arial" w:eastAsia="Arial" w:hAnsi="Arial"/>
                <w:sz w:val="18"/>
                <w:szCs w:val="18"/>
                <w:color w:val="0000FF"/>
                <w:w w:val="90"/>
              </w:rPr>
              <w:t>Certification of Principal Executive Officer Pursuant to Securities</w:t>
            </w:r>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3"/>
            <w:vMerge w:val="restart"/>
          </w:tcPr>
          <w:p>
            <w:pPr>
              <w:spacing w:after="0"/>
              <w:rPr>
                <w:sz w:val="20"/>
                <w:szCs w:val="20"/>
                <w:color w:val="auto"/>
              </w:rPr>
            </w:pPr>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5"/>
          </w:tcPr>
          <w:p>
            <w:pPr>
              <w:spacing w:after="0" w:line="152" w:lineRule="exact"/>
              <w:rPr>
                <w:sz w:val="20"/>
                <w:szCs w:val="20"/>
                <w:color w:val="auto"/>
              </w:rPr>
            </w:pPr>
            <w:r>
              <w:rPr>
                <w:rFonts w:ascii="Arial" w:cs="Arial" w:eastAsia="Arial" w:hAnsi="Arial"/>
                <w:sz w:val="17"/>
                <w:szCs w:val="17"/>
                <w:color w:val="0000FF"/>
                <w:w w:val="94"/>
              </w:rPr>
              <w:t>Exchange Act Rules 13a-14(a), as adopted Pursuant to Section 302 of the</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4"/>
          </w:tcPr>
          <w:p>
            <w:pPr>
              <w:spacing w:after="0" w:line="165" w:lineRule="exact"/>
              <w:rPr>
                <w:sz w:val="20"/>
                <w:szCs w:val="20"/>
                <w:color w:val="auto"/>
              </w:rPr>
            </w:pPr>
            <w:r>
              <w:rPr>
                <w:rFonts w:ascii="Arial" w:cs="Arial" w:eastAsia="Arial" w:hAnsi="Arial"/>
                <w:sz w:val="18"/>
                <w:szCs w:val="18"/>
                <w:color w:val="0000FF"/>
                <w:w w:val="88"/>
              </w:rPr>
              <w:t>Sarbanes-Oxley Act of 2002</w:t>
            </w:r>
          </w:p>
        </w:tc>
        <w:tc>
          <w:tcPr>
            <w:tcW w:w="3180" w:type="dxa"/>
            <w:vAlign w:val="bottom"/>
            <w:tcBorders>
              <w:top w:val="single" w:sz="8" w:color="0000FF"/>
            </w:tcBorders>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0"/>
              </w:rPr>
              <w:t>Certification of Principal Financial Officer Pursuant to Securities</w:t>
            </w:r>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3"/>
            <w:vMerge w:val="restart"/>
          </w:tcPr>
          <w:p>
            <w:pPr>
              <w:spacing w:after="0"/>
              <w:rPr>
                <w:sz w:val="20"/>
                <w:szCs w:val="20"/>
                <w:color w:val="auto"/>
              </w:rPr>
            </w:pPr>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5"/>
          </w:tcPr>
          <w:p>
            <w:pPr>
              <w:spacing w:after="0" w:line="152" w:lineRule="exact"/>
              <w:rPr>
                <w:sz w:val="20"/>
                <w:szCs w:val="20"/>
                <w:color w:val="auto"/>
              </w:rPr>
            </w:pPr>
            <w:r>
              <w:rPr>
                <w:rFonts w:ascii="Arial" w:cs="Arial" w:eastAsia="Arial" w:hAnsi="Arial"/>
                <w:sz w:val="17"/>
                <w:szCs w:val="17"/>
                <w:color w:val="0000FF"/>
                <w:w w:val="94"/>
              </w:rPr>
              <w:t>Exchange Act Rules 13a-14(a), as adopted Pursuant to Section 302 of the</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4"/>
          </w:tcPr>
          <w:p>
            <w:pPr>
              <w:spacing w:after="0" w:line="165" w:lineRule="exact"/>
              <w:rPr>
                <w:sz w:val="20"/>
                <w:szCs w:val="20"/>
                <w:color w:val="auto"/>
              </w:rPr>
            </w:pPr>
            <w:r>
              <w:rPr>
                <w:rFonts w:ascii="Arial" w:cs="Arial" w:eastAsia="Arial" w:hAnsi="Arial"/>
                <w:sz w:val="18"/>
                <w:szCs w:val="18"/>
                <w:color w:val="0000FF"/>
                <w:w w:val="88"/>
              </w:rPr>
              <w:t>Sarbanes-Oxley Act of 2002</w:t>
            </w:r>
          </w:p>
        </w:tc>
        <w:tc>
          <w:tcPr>
            <w:tcW w:w="3180" w:type="dxa"/>
            <w:vAlign w:val="bottom"/>
            <w:tcBorders>
              <w:top w:val="single" w:sz="8" w:color="0000FF"/>
            </w:tcBorders>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5"/>
          </w:tcPr>
          <w:p>
            <w:pPr>
              <w:spacing w:after="0" w:line="205" w:lineRule="exact"/>
              <w:rPr>
                <w:sz w:val="20"/>
                <w:szCs w:val="20"/>
                <w:color w:val="auto"/>
              </w:rPr>
            </w:pPr>
            <w:r>
              <w:rPr>
                <w:rFonts w:ascii="Arial" w:cs="Arial" w:eastAsia="Arial" w:hAnsi="Arial"/>
                <w:sz w:val="18"/>
                <w:szCs w:val="18"/>
                <w:color w:val="0000FF"/>
                <w:w w:val="91"/>
              </w:rPr>
              <w:t>Certification of Principal Executive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3"/>
            <w:vMerge w:val="restart"/>
          </w:tcPr>
          <w:p>
            <w:pPr>
              <w:spacing w:after="0"/>
              <w:rPr>
                <w:sz w:val="20"/>
                <w:szCs w:val="20"/>
                <w:color w:val="auto"/>
              </w:rPr>
            </w:pPr>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2" w:lineRule="exact"/>
              <w:rPr>
                <w:sz w:val="20"/>
                <w:szCs w:val="20"/>
                <w:color w:val="auto"/>
              </w:rPr>
            </w:pPr>
            <w:r>
              <w:rPr>
                <w:rFonts w:ascii="Arial" w:cs="Arial" w:eastAsia="Arial" w:hAnsi="Arial"/>
                <w:sz w:val="17"/>
                <w:szCs w:val="17"/>
                <w:color w:val="0000FF"/>
                <w:w w:val="96"/>
              </w:rPr>
              <w:t>1350, as adopted Pursuant to Section 906 of the Sarbanes-Oxley Act of</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Arial" w:cs="Arial" w:eastAsia="Arial" w:hAnsi="Arial"/>
                <w:sz w:val="18"/>
                <w:szCs w:val="18"/>
                <w:color w:val="0000FF"/>
                <w:w w:val="84"/>
              </w:rPr>
              <w:t>2002</w:t>
            </w:r>
          </w:p>
        </w:tc>
        <w:tc>
          <w:tcPr>
            <w:tcW w:w="8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5"/>
          </w:tcPr>
          <w:p>
            <w:pPr>
              <w:spacing w:after="0" w:line="205" w:lineRule="exact"/>
              <w:rPr>
                <w:sz w:val="20"/>
                <w:szCs w:val="20"/>
                <w:color w:val="auto"/>
              </w:rPr>
            </w:pPr>
            <w:r>
              <w:rPr>
                <w:rFonts w:ascii="Arial" w:cs="Arial" w:eastAsia="Arial" w:hAnsi="Arial"/>
                <w:sz w:val="18"/>
                <w:szCs w:val="18"/>
                <w:color w:val="0000FF"/>
                <w:w w:val="92"/>
              </w:rPr>
              <w:t>Certification of Principal Financial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3"/>
            <w:vMerge w:val="restart"/>
          </w:tcPr>
          <w:p>
            <w:pPr>
              <w:spacing w:after="0"/>
              <w:rPr>
                <w:sz w:val="20"/>
                <w:szCs w:val="20"/>
                <w:color w:val="auto"/>
              </w:rPr>
            </w:pPr>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19"/>
          </w:tcPr>
          <w:p>
            <w:pPr>
              <w:spacing w:after="0" w:line="152" w:lineRule="exact"/>
              <w:rPr>
                <w:sz w:val="20"/>
                <w:szCs w:val="20"/>
                <w:color w:val="auto"/>
              </w:rPr>
            </w:pPr>
            <w:r>
              <w:rPr>
                <w:rFonts w:ascii="Arial" w:cs="Arial" w:eastAsia="Arial" w:hAnsi="Arial"/>
                <w:sz w:val="17"/>
                <w:szCs w:val="17"/>
                <w:color w:val="0000FF"/>
                <w:w w:val="95"/>
              </w:rPr>
              <w:t>1350, as adopted Pursuant to Section 906 of the Sarbanes-Oxley Act of</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Arial" w:cs="Arial" w:eastAsia="Arial" w:hAnsi="Arial"/>
                <w:sz w:val="18"/>
                <w:szCs w:val="18"/>
                <w:color w:val="0000FF"/>
                <w:w w:val="84"/>
              </w:rPr>
              <w:t>2002</w:t>
            </w:r>
          </w:p>
        </w:tc>
        <w:tc>
          <w:tcPr>
            <w:tcW w:w="8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25"/>
          </w:tcPr>
          <w:p>
            <w:pPr>
              <w:spacing w:after="0" w:line="174" w:lineRule="exact"/>
              <w:rPr>
                <w:sz w:val="20"/>
                <w:szCs w:val="20"/>
                <w:color w:val="auto"/>
              </w:rPr>
            </w:pPr>
            <w:r>
              <w:rPr>
                <w:rFonts w:ascii="Arial" w:cs="Arial" w:eastAsia="Arial" w:hAnsi="Arial"/>
                <w:sz w:val="18"/>
                <w:szCs w:val="18"/>
                <w:color w:val="auto"/>
              </w:rPr>
              <w:t>Cover Page Interactive Data File (formatted as Inline XBRL and</w:t>
            </w:r>
          </w:p>
        </w:tc>
        <w:tc>
          <w:tcPr>
            <w:tcW w:w="0" w:type="dxa"/>
            <w:vAlign w:val="bottom"/>
          </w:tcPr>
          <w:p>
            <w:pPr>
              <w:spacing w:after="0"/>
              <w:rPr>
                <w:sz w:val="1"/>
                <w:szCs w:val="1"/>
                <w:color w:val="auto"/>
              </w:rPr>
            </w:pPr>
          </w:p>
        </w:tc>
      </w:tr>
      <w:tr>
        <w:trPr>
          <w:trHeight w:val="237"/>
        </w:trPr>
        <w:tc>
          <w:tcPr>
            <w:tcW w:w="600" w:type="dxa"/>
            <w:vAlign w:val="bottom"/>
            <w:gridSpan w:val="5"/>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5"/>
          </w:tcPr>
          <w:p>
            <w:pPr>
              <w:spacing w:after="0"/>
              <w:rPr>
                <w:sz w:val="20"/>
                <w:szCs w:val="20"/>
                <w:color w:val="auto"/>
              </w:rPr>
            </w:pPr>
            <w:r>
              <w:rPr>
                <w:rFonts w:ascii="Arial" w:cs="Arial" w:eastAsia="Arial" w:hAnsi="Arial"/>
                <w:sz w:val="18"/>
                <w:szCs w:val="18"/>
                <w:color w:val="auto"/>
              </w:rPr>
              <w:t>contained in Exhibit 101 attachments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-3936365</wp:posOffset>
            </wp:positionV>
            <wp:extent cx="7134860" cy="160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-3515995</wp:posOffset>
            </wp:positionV>
            <wp:extent cx="7134860"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-2859405</wp:posOffset>
            </wp:positionV>
            <wp:extent cx="7134860" cy="260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-2228215</wp:posOffset>
            </wp:positionV>
            <wp:extent cx="7134860" cy="370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-1487805</wp:posOffset>
            </wp:positionV>
            <wp:extent cx="7134860" cy="370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-974725</wp:posOffset>
            </wp:positionV>
            <wp:extent cx="713486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-688340</wp:posOffset>
            </wp:positionV>
            <wp:extent cx="7134860"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-402590</wp:posOffset>
            </wp:positionV>
            <wp:extent cx="713486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-4710430</wp:posOffset>
            </wp:positionV>
            <wp:extent cx="7134860" cy="48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4860" cy="48768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b w:val="1"/>
          <w:bCs w:val="1"/>
          <w:color w:val="auto"/>
        </w:rPr>
        <w:t>Form</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8-K</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8"/>
          <w:szCs w:val="18"/>
          <w:color w:val="auto"/>
        </w:rPr>
        <w:t>8-K</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8-K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File No.</w:t>
            </w: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747"/>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24"/>
                <w:szCs w:val="24"/>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December 9, 2020</w:t>
            </w:r>
          </w:p>
        </w:tc>
      </w:tr>
      <w:tr>
        <w:trPr>
          <w:trHeight w:val="424"/>
        </w:trPr>
        <w:tc>
          <w:tcPr>
            <w:tcW w:w="860" w:type="dxa"/>
            <w:vAlign w:val="bottom"/>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10, 2021</w:t>
            </w:r>
          </w:p>
        </w:tc>
      </w:tr>
      <w:tr>
        <w:trPr>
          <w:trHeight w:val="278"/>
        </w:trPr>
        <w:tc>
          <w:tcPr>
            <w:tcW w:w="860" w:type="dxa"/>
            <w:vAlign w:val="bottom"/>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10, 2021</w:t>
            </w:r>
          </w:p>
        </w:tc>
      </w:tr>
      <w:tr>
        <w:trPr>
          <w:trHeight w:val="411"/>
        </w:trPr>
        <w:tc>
          <w:tcPr>
            <w:tcW w:w="860" w:type="dxa"/>
            <w:vAlign w:val="bottom"/>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September 14, 2021</w:t>
            </w:r>
          </w:p>
        </w:tc>
      </w:tr>
      <w:tr>
        <w:trPr>
          <w:trHeight w:val="424"/>
        </w:trPr>
        <w:tc>
          <w:tcPr>
            <w:tcW w:w="860" w:type="dxa"/>
            <w:vAlign w:val="bottom"/>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September 14, 2021</w:t>
            </w:r>
          </w:p>
        </w:tc>
      </w:tr>
      <w:tr>
        <w:trPr>
          <w:trHeight w:val="609"/>
        </w:trPr>
        <w:tc>
          <w:tcPr>
            <w:tcW w:w="860" w:type="dxa"/>
            <w:vAlign w:val="bottom"/>
          </w:tcPr>
          <w:p>
            <w:pPr>
              <w:jc w:val="center"/>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September 27, 2022</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ectPr>
          <w:pgSz w:w="11900" w:h="16838" w:orient="portrait"/>
          <w:cols w:equalWidth="0" w:num="4">
            <w:col w:w="6280" w:space="220"/>
            <w:col w:w="420" w:space="220"/>
            <w:col w:w="3200" w:space="140"/>
            <w:col w:w="700"/>
          </w:cols>
          <w:pgMar w:left="320" w:top="127" w:right="3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320" w:right="80" w:hanging="314"/>
        <w:spacing w:after="0" w:line="242" w:lineRule="auto"/>
        <w:tabs>
          <w:tab w:leader="none" w:pos="2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320" w:hanging="314"/>
        <w:spacing w:after="0" w:line="237" w:lineRule="auto"/>
        <w:tabs>
          <w:tab w:leader="none" w:pos="28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ind w:left="260" w:hanging="254"/>
        <w:spacing w:after="0" w:line="237"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w:t>
      </w: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7900" w:type="dxa"/>
            <w:vAlign w:val="bottom"/>
            <w:gridSpan w:val="2"/>
          </w:tcPr>
          <w:p>
            <w:pPr>
              <w:jc w:val="center"/>
              <w:ind w:right="2172"/>
              <w:spacing w:after="0"/>
              <w:rPr>
                <w:sz w:val="20"/>
                <w:szCs w:val="20"/>
                <w:color w:val="auto"/>
              </w:rPr>
            </w:pPr>
            <w:r>
              <w:rPr>
                <w:rFonts w:ascii="Arial" w:cs="Arial" w:eastAsia="Arial" w:hAnsi="Arial"/>
                <w:sz w:val="18"/>
                <w:szCs w:val="18"/>
                <w:b w:val="1"/>
                <w:bCs w:val="1"/>
                <w:color w:val="auto"/>
                <w:w w:val="99"/>
              </w:rPr>
              <w:t>THE BEAUTY HEALTH COMPANY</w:t>
            </w:r>
          </w:p>
        </w:tc>
      </w:tr>
      <w:tr>
        <w:trPr>
          <w:trHeight w:val="478"/>
        </w:trPr>
        <w:tc>
          <w:tcPr>
            <w:tcW w:w="3100" w:type="dxa"/>
            <w:vAlign w:val="bottom"/>
          </w:tcPr>
          <w:p>
            <w:pPr>
              <w:spacing w:after="0"/>
              <w:rPr>
                <w:sz w:val="20"/>
                <w:szCs w:val="20"/>
                <w:color w:val="auto"/>
              </w:rPr>
            </w:pPr>
            <w:r>
              <w:rPr>
                <w:rFonts w:ascii="Arial" w:cs="Arial" w:eastAsia="Arial" w:hAnsi="Arial"/>
                <w:sz w:val="18"/>
                <w:szCs w:val="18"/>
                <w:color w:val="auto"/>
              </w:rPr>
              <w:t>Date: November 9, 2022</w:t>
            </w:r>
          </w:p>
        </w:tc>
        <w:tc>
          <w:tcPr>
            <w:tcW w:w="7900" w:type="dxa"/>
            <w:vAlign w:val="bottom"/>
            <w:gridSpan w:val="2"/>
          </w:tcPr>
          <w:p>
            <w:pPr>
              <w:ind w:left="1900"/>
              <w:spacing w:after="0"/>
              <w:rPr>
                <w:sz w:val="20"/>
                <w:szCs w:val="20"/>
                <w:color w:val="auto"/>
              </w:rPr>
            </w:pPr>
            <w:r>
              <w:rPr>
                <w:rFonts w:ascii="Arial" w:cs="Arial" w:eastAsia="Arial" w:hAnsi="Arial"/>
                <w:sz w:val="18"/>
                <w:szCs w:val="18"/>
                <w:color w:val="auto"/>
              </w:rPr>
              <w:t>By: /s/ Andrew Stanleick</w:t>
            </w:r>
          </w:p>
        </w:tc>
      </w:tr>
      <w:tr>
        <w:trPr>
          <w:trHeight w:val="20"/>
        </w:trPr>
        <w:tc>
          <w:tcPr>
            <w:tcW w:w="3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100" w:type="dxa"/>
            <w:vAlign w:val="bottom"/>
          </w:tcPr>
          <w:p>
            <w:pPr>
              <w:spacing w:after="0"/>
              <w:rPr>
                <w:sz w:val="18"/>
                <w:szCs w:val="18"/>
                <w:color w:val="auto"/>
              </w:rPr>
            </w:pPr>
          </w:p>
        </w:tc>
        <w:tc>
          <w:tcPr>
            <w:tcW w:w="7900" w:type="dxa"/>
            <w:vAlign w:val="bottom"/>
            <w:gridSpan w:val="2"/>
          </w:tcPr>
          <w:p>
            <w:pPr>
              <w:ind w:left="1680"/>
              <w:spacing w:after="0"/>
              <w:rPr>
                <w:sz w:val="20"/>
                <w:szCs w:val="20"/>
                <w:color w:val="auto"/>
              </w:rPr>
            </w:pPr>
            <w:r>
              <w:rPr>
                <w:rFonts w:ascii="Arial" w:cs="Arial" w:eastAsia="Arial" w:hAnsi="Arial"/>
                <w:sz w:val="18"/>
                <w:szCs w:val="18"/>
                <w:color w:val="auto"/>
              </w:rPr>
              <w:t>Name: Andrew Stanleick</w:t>
            </w:r>
          </w:p>
        </w:tc>
      </w:tr>
      <w:tr>
        <w:trPr>
          <w:trHeight w:val="225"/>
        </w:trPr>
        <w:tc>
          <w:tcPr>
            <w:tcW w:w="3100" w:type="dxa"/>
            <w:vAlign w:val="bottom"/>
          </w:tcPr>
          <w:p>
            <w:pPr>
              <w:spacing w:after="0"/>
              <w:rPr>
                <w:sz w:val="19"/>
                <w:szCs w:val="19"/>
                <w:color w:val="auto"/>
              </w:rPr>
            </w:pPr>
          </w:p>
        </w:tc>
        <w:tc>
          <w:tcPr>
            <w:tcW w:w="7900" w:type="dxa"/>
            <w:vAlign w:val="bottom"/>
            <w:gridSpan w:val="2"/>
          </w:tcPr>
          <w:p>
            <w:pPr>
              <w:jc w:val="center"/>
              <w:ind w:right="2152"/>
              <w:spacing w:after="0"/>
              <w:rPr>
                <w:sz w:val="20"/>
                <w:szCs w:val="20"/>
                <w:color w:val="auto"/>
              </w:rPr>
            </w:pPr>
            <w:r>
              <w:rPr>
                <w:rFonts w:ascii="Arial" w:cs="Arial" w:eastAsia="Arial" w:hAnsi="Arial"/>
                <w:sz w:val="18"/>
                <w:szCs w:val="18"/>
                <w:color w:val="auto"/>
                <w:w w:val="92"/>
              </w:rPr>
              <w:t>Title: Chief Executive Officer</w:t>
            </w:r>
          </w:p>
        </w:tc>
      </w:tr>
      <w:tr>
        <w:trPr>
          <w:trHeight w:val="225"/>
        </w:trPr>
        <w:tc>
          <w:tcPr>
            <w:tcW w:w="3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8"/>
        </w:trPr>
        <w:tc>
          <w:tcPr>
            <w:tcW w:w="3100" w:type="dxa"/>
            <w:vAlign w:val="bottom"/>
          </w:tcPr>
          <w:p>
            <w:pPr>
              <w:spacing w:after="0"/>
              <w:rPr>
                <w:sz w:val="20"/>
                <w:szCs w:val="20"/>
                <w:color w:val="auto"/>
              </w:rPr>
            </w:pPr>
            <w:r>
              <w:rPr>
                <w:rFonts w:ascii="Arial" w:cs="Arial" w:eastAsia="Arial" w:hAnsi="Arial"/>
                <w:sz w:val="18"/>
                <w:szCs w:val="18"/>
                <w:color w:val="auto"/>
              </w:rPr>
              <w:t>Date: November 9, 2022</w:t>
            </w:r>
          </w:p>
        </w:tc>
        <w:tc>
          <w:tcPr>
            <w:tcW w:w="7900" w:type="dxa"/>
            <w:vAlign w:val="bottom"/>
            <w:gridSpan w:val="2"/>
          </w:tcPr>
          <w:p>
            <w:pPr>
              <w:ind w:left="1900"/>
              <w:spacing w:after="0"/>
              <w:rPr>
                <w:sz w:val="20"/>
                <w:szCs w:val="20"/>
                <w:color w:val="auto"/>
              </w:rPr>
            </w:pPr>
            <w:r>
              <w:rPr>
                <w:rFonts w:ascii="Arial" w:cs="Arial" w:eastAsia="Arial" w:hAnsi="Arial"/>
                <w:sz w:val="18"/>
                <w:szCs w:val="18"/>
                <w:color w:val="auto"/>
              </w:rPr>
              <w:t>By: /s/ Liyuan Woo</w:t>
            </w:r>
          </w:p>
        </w:tc>
      </w:tr>
      <w:tr>
        <w:trPr>
          <w:trHeight w:val="20"/>
        </w:trPr>
        <w:tc>
          <w:tcPr>
            <w:tcW w:w="3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100" w:type="dxa"/>
            <w:vAlign w:val="bottom"/>
          </w:tcPr>
          <w:p>
            <w:pPr>
              <w:spacing w:after="0"/>
              <w:rPr>
                <w:sz w:val="18"/>
                <w:szCs w:val="18"/>
                <w:color w:val="auto"/>
              </w:rPr>
            </w:pPr>
          </w:p>
        </w:tc>
        <w:tc>
          <w:tcPr>
            <w:tcW w:w="7900" w:type="dxa"/>
            <w:vAlign w:val="bottom"/>
            <w:gridSpan w:val="2"/>
          </w:tcPr>
          <w:p>
            <w:pPr>
              <w:ind w:left="1680"/>
              <w:spacing w:after="0"/>
              <w:rPr>
                <w:sz w:val="20"/>
                <w:szCs w:val="20"/>
                <w:color w:val="auto"/>
              </w:rPr>
            </w:pPr>
            <w:r>
              <w:rPr>
                <w:rFonts w:ascii="Arial" w:cs="Arial" w:eastAsia="Arial" w:hAnsi="Arial"/>
                <w:sz w:val="18"/>
                <w:szCs w:val="18"/>
                <w:color w:val="auto"/>
              </w:rPr>
              <w:t>Name: Liyuan Woo</w:t>
            </w:r>
          </w:p>
        </w:tc>
      </w:tr>
      <w:tr>
        <w:trPr>
          <w:trHeight w:val="225"/>
        </w:trPr>
        <w:tc>
          <w:tcPr>
            <w:tcW w:w="3100" w:type="dxa"/>
            <w:vAlign w:val="bottom"/>
          </w:tcPr>
          <w:p>
            <w:pPr>
              <w:spacing w:after="0"/>
              <w:rPr>
                <w:sz w:val="19"/>
                <w:szCs w:val="19"/>
                <w:color w:val="auto"/>
              </w:rPr>
            </w:pPr>
          </w:p>
        </w:tc>
        <w:tc>
          <w:tcPr>
            <w:tcW w:w="7900" w:type="dxa"/>
            <w:vAlign w:val="bottom"/>
            <w:gridSpan w:val="2"/>
          </w:tcPr>
          <w:p>
            <w:pPr>
              <w:jc w:val="center"/>
              <w:ind w:right="2212"/>
              <w:spacing w:after="0"/>
              <w:rPr>
                <w:sz w:val="20"/>
                <w:szCs w:val="20"/>
                <w:color w:val="auto"/>
              </w:rPr>
            </w:pPr>
            <w:r>
              <w:rPr>
                <w:rFonts w:ascii="Arial" w:cs="Arial" w:eastAsia="Arial" w:hAnsi="Arial"/>
                <w:sz w:val="18"/>
                <w:szCs w:val="18"/>
                <w:color w:val="auto"/>
                <w:w w:val="92"/>
              </w:rPr>
              <w:t>Title: Chief Financial Officer</w:t>
            </w:r>
          </w:p>
        </w:tc>
      </w:tr>
      <w:tr>
        <w:trPr>
          <w:trHeight w:val="225"/>
        </w:trPr>
        <w:tc>
          <w:tcPr>
            <w:tcW w:w="3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Accounting Officer and Financial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CERTAIN INFORMATION, IDENTIFIED BY [*****],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Separation Agreement</w:t>
      </w:r>
      <w:r>
        <w:rPr>
          <w:rFonts w:ascii="Arial" w:cs="Arial" w:eastAsia="Arial" w:hAnsi="Arial"/>
          <w:sz w:val="18"/>
          <w:szCs w:val="18"/>
          <w:color w:val="auto"/>
        </w:rPr>
        <w:t>”) is entered into as of 3 August 2022 but shall be effective as of 8 June 2022 between:</w:t>
      </w:r>
    </w:p>
    <w:p>
      <w:pPr>
        <w:spacing w:after="0" w:line="217" w:lineRule="exact"/>
        <w:rPr>
          <w:sz w:val="20"/>
          <w:szCs w:val="20"/>
          <w:color w:val="auto"/>
        </w:rPr>
      </w:pPr>
    </w:p>
    <w:p>
      <w:pPr>
        <w:ind w:left="640" w:hanging="634"/>
        <w:spacing w:after="0" w:line="235"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HydraFacial LLC (f/k/a Edge Systems, LLC)</w:t>
      </w:r>
      <w:r>
        <w:rPr>
          <w:rFonts w:ascii="Arial" w:cs="Arial" w:eastAsia="Arial" w:hAnsi="Arial"/>
          <w:sz w:val="18"/>
          <w:szCs w:val="18"/>
          <w:color w:val="auto"/>
        </w:rPr>
        <w:t>, a company incorporated in the United States of America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2165 East Spring Street, Long Beach, CA 90806, USA (“</w:t>
      </w:r>
      <w:r>
        <w:rPr>
          <w:rFonts w:ascii="Arial" w:cs="Arial" w:eastAsia="Arial" w:hAnsi="Arial"/>
          <w:sz w:val="18"/>
          <w:szCs w:val="18"/>
          <w:b w:val="1"/>
          <w:bCs w:val="1"/>
          <w:color w:val="auto"/>
        </w:rPr>
        <w:t>HydraFacial</w:t>
      </w:r>
      <w:r>
        <w:rPr>
          <w:rFonts w:ascii="Arial" w:cs="Arial" w:eastAsia="Arial" w:hAnsi="Arial"/>
          <w:sz w:val="18"/>
          <w:szCs w:val="18"/>
          <w:color w:val="auto"/>
        </w:rPr>
        <w:t>”); and</w:t>
      </w:r>
    </w:p>
    <w:p>
      <w:pPr>
        <w:spacing w:after="0" w:line="177" w:lineRule="exact"/>
        <w:rPr>
          <w:rFonts w:ascii="Arial" w:cs="Arial" w:eastAsia="Arial" w:hAnsi="Arial"/>
          <w:sz w:val="18"/>
          <w:szCs w:val="18"/>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Indra Pamamull</w:t>
      </w:r>
      <w:r>
        <w:rPr>
          <w:rFonts w:ascii="Arial" w:cs="Arial" w:eastAsia="Arial" w:hAnsi="Arial"/>
          <w:sz w:val="18"/>
          <w:szCs w:val="18"/>
          <w:color w:val="auto"/>
        </w:rPr>
        <w:t>, a natural person with Passport/FIN No. [*****], residing at [*****]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82" w:lineRule="exact"/>
        <w:rPr>
          <w:sz w:val="20"/>
          <w:szCs w:val="20"/>
          <w:color w:val="auto"/>
        </w:rPr>
      </w:pPr>
    </w:p>
    <w:p>
      <w:pPr>
        <w:jc w:val="both"/>
        <w:ind w:left="640" w:hanging="634"/>
        <w:spacing w:after="0" w:line="228"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an employment agreement dated 4 August 2021 (“</w:t>
      </w:r>
      <w:r>
        <w:rPr>
          <w:rFonts w:ascii="Arial" w:cs="Arial" w:eastAsia="Arial" w:hAnsi="Arial"/>
          <w:sz w:val="18"/>
          <w:szCs w:val="18"/>
          <w:b w:val="1"/>
          <w:bCs w:val="1"/>
          <w:color w:val="auto"/>
        </w:rPr>
        <w:t>Employment Agreement</w:t>
      </w:r>
      <w:r>
        <w:rPr>
          <w:rFonts w:ascii="Arial" w:cs="Arial" w:eastAsia="Arial" w:hAnsi="Arial"/>
          <w:sz w:val="18"/>
          <w:szCs w:val="18"/>
          <w:color w:val="auto"/>
        </w:rPr>
        <w:t>”) entered into between the Employee and GoGlobal GEO Pte. Ltd., a company incorporated in Singapore with its registered office at [*****] (“</w:t>
      </w:r>
      <w:r>
        <w:rPr>
          <w:rFonts w:ascii="Arial" w:cs="Arial" w:eastAsia="Arial" w:hAnsi="Arial"/>
          <w:sz w:val="18"/>
          <w:szCs w:val="18"/>
          <w:b w:val="1"/>
          <w:bCs w:val="1"/>
          <w:color w:val="auto"/>
        </w:rPr>
        <w:t>GoGlobal GEO</w:t>
      </w:r>
      <w:r>
        <w:rPr>
          <w:rFonts w:ascii="Arial" w:cs="Arial" w:eastAsia="Arial" w:hAnsi="Arial"/>
          <w:sz w:val="18"/>
          <w:szCs w:val="18"/>
          <w:color w:val="auto"/>
        </w:rPr>
        <w:t>”), the Employee is employed by GoGlobal GEO for dedicated assignment as President of APAC for HydraFacial.</w:t>
      </w:r>
    </w:p>
    <w:p>
      <w:pPr>
        <w:spacing w:after="0" w:line="200" w:lineRule="exact"/>
        <w:rPr>
          <w:rFonts w:ascii="Arial" w:cs="Arial" w:eastAsia="Arial" w:hAnsi="Arial"/>
          <w:sz w:val="18"/>
          <w:szCs w:val="18"/>
          <w:color w:val="auto"/>
        </w:rPr>
      </w:pPr>
    </w:p>
    <w:p>
      <w:pPr>
        <w:ind w:left="640" w:hanging="634"/>
        <w:spacing w:after="0" w:line="222"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Clause 16 of the Employment Agreement, either party to the Employment Agreement may terminate the employment without cause by giving at least 6 months’ notice in writing.</w:t>
      </w:r>
    </w:p>
    <w:p>
      <w:pPr>
        <w:spacing w:after="0" w:line="191" w:lineRule="exact"/>
        <w:rPr>
          <w:rFonts w:ascii="Arial" w:cs="Arial" w:eastAsia="Arial" w:hAnsi="Arial"/>
          <w:sz w:val="18"/>
          <w:szCs w:val="18"/>
          <w:color w:val="auto"/>
        </w:rPr>
      </w:pPr>
    </w:p>
    <w:p>
      <w:pPr>
        <w:ind w:left="640" w:hanging="63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GoGlobal GEO has delivered to the Employee written notice of termination of employment of June 8, 2022 (“</w:t>
      </w:r>
      <w:r>
        <w:rPr>
          <w:rFonts w:ascii="Arial" w:cs="Arial" w:eastAsia="Arial" w:hAnsi="Arial"/>
          <w:sz w:val="18"/>
          <w:szCs w:val="18"/>
          <w:b w:val="1"/>
          <w:bCs w:val="1"/>
          <w:color w:val="auto"/>
        </w:rPr>
        <w:t>Separation 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634"/>
        <w:spacing w:after="0" w:line="222" w:lineRule="auto"/>
        <w:tabs>
          <w:tab w:leader="none" w:pos="6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HydraFacial agrees to provide the separation benefits set out in this Separation Agreement to Employee, provided the Employee complies with the terms set out in this Separation Agreement.</w:t>
      </w:r>
    </w:p>
    <w:p>
      <w:pPr>
        <w:spacing w:after="0" w:line="21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consideration of the promises, covenants and agreements set forth in this Separation Agreement, and intending to be legally bound hereby, the Parties agree as follows:</w:t>
      </w:r>
    </w:p>
    <w:p>
      <w:pPr>
        <w:spacing w:after="0" w:line="178"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9" w:lineRule="exact"/>
        <w:rPr>
          <w:sz w:val="20"/>
          <w:szCs w:val="20"/>
          <w:color w:val="auto"/>
        </w:rPr>
      </w:pPr>
    </w:p>
    <w:p>
      <w:pPr>
        <w:jc w:val="both"/>
        <w:ind w:left="640" w:hanging="635"/>
        <w:spacing w:after="0" w:line="216"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This Separation Agreement sets out the terms which have been agreed between the Parties concerning the termination of the Employee’s employment under the Employment Agreement. This Separation Agreement is to be read in conjunction with and does not supersede the Employment Agreement (including the annexures thereto). In the event of any inconsistency between the terms of this</w:t>
      </w:r>
    </w:p>
    <w:p>
      <w:pPr>
        <w:spacing w:after="0" w:line="2" w:lineRule="exact"/>
        <w:rPr>
          <w:sz w:val="20"/>
          <w:szCs w:val="20"/>
          <w:color w:val="auto"/>
        </w:rPr>
      </w:pPr>
    </w:p>
    <w:p>
      <w:pPr>
        <w:jc w:val="both"/>
        <w:ind w:left="640"/>
        <w:spacing w:after="0" w:line="215" w:lineRule="auto"/>
        <w:rPr>
          <w:sz w:val="20"/>
          <w:szCs w:val="20"/>
          <w:color w:val="auto"/>
        </w:rPr>
      </w:pPr>
      <w:r>
        <w:rPr>
          <w:rFonts w:ascii="Arial" w:cs="Arial" w:eastAsia="Arial" w:hAnsi="Arial"/>
          <w:sz w:val="18"/>
          <w:szCs w:val="18"/>
          <w:color w:val="auto"/>
        </w:rPr>
        <w:t>Separation Agreement and the terms of the Employment Agreement, the terms of this Separation Agreement shall prevail. Unless otherwise defined herein, capitalized terms used herein shall have the meaning ascribed in the Employment Agreement (or the relevant annexure thereto, as the case may be).</w:t>
      </w:r>
    </w:p>
    <w:p>
      <w:pPr>
        <w:spacing w:after="0" w:line="190"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04" w:lineRule="exact"/>
        <w:rPr>
          <w:sz w:val="20"/>
          <w:szCs w:val="20"/>
          <w:color w:val="auto"/>
        </w:rPr>
      </w:pPr>
    </w:p>
    <w:p>
      <w:pPr>
        <w:jc w:val="right"/>
        <w:spacing w:after="0" w:line="220" w:lineRule="auto"/>
        <w:rPr>
          <w:sz w:val="20"/>
          <w:szCs w:val="20"/>
          <w:color w:val="auto"/>
        </w:rPr>
      </w:pPr>
      <w:r>
        <w:rPr>
          <w:rFonts w:ascii="Arial" w:cs="Arial" w:eastAsia="Arial" w:hAnsi="Arial"/>
          <w:sz w:val="18"/>
          <w:szCs w:val="18"/>
          <w:color w:val="auto"/>
        </w:rPr>
        <w:t>2.1    The Employee’s employment will terminate on June 8, 2022 (the “</w:t>
      </w:r>
      <w:r>
        <w:rPr>
          <w:rFonts w:ascii="Arial" w:cs="Arial" w:eastAsia="Arial" w:hAnsi="Arial"/>
          <w:sz w:val="18"/>
          <w:szCs w:val="18"/>
          <w:b w:val="1"/>
          <w:bCs w:val="1"/>
          <w:color w:val="auto"/>
        </w:rPr>
        <w:t>Separation Date</w:t>
      </w:r>
      <w:r>
        <w:rPr>
          <w:rFonts w:ascii="Arial" w:cs="Arial" w:eastAsia="Arial" w:hAnsi="Arial"/>
          <w:sz w:val="18"/>
          <w:szCs w:val="18"/>
          <w:color w:val="auto"/>
        </w:rPr>
        <w:t>”). After the Separation Date, the Employee’s employment under the Employment Agreement will cease, and all of her contractual entitlements and any non-contractual benefits of</w:t>
      </w:r>
    </w:p>
    <w:p>
      <w:pPr>
        <w:ind w:left="640"/>
        <w:spacing w:after="0"/>
        <w:rPr>
          <w:sz w:val="20"/>
          <w:szCs w:val="20"/>
          <w:color w:val="auto"/>
        </w:rPr>
      </w:pPr>
      <w:r>
        <w:rPr>
          <w:rFonts w:ascii="Arial" w:cs="Arial" w:eastAsia="Arial" w:hAnsi="Arial"/>
          <w:sz w:val="18"/>
          <w:szCs w:val="18"/>
          <w:color w:val="auto"/>
        </w:rPr>
        <w:t>employment will cease forthwith.</w:t>
      </w:r>
    </w:p>
    <w:p>
      <w:pPr>
        <w:spacing w:after="0" w:line="20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Employee agrees to sign the PEP Notification Form that Employer then will submit to the Ministry of Manpower</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w:t>
        <w:tab/>
        <w:t>The Employee acknowledges that the termination of her employment shall be without prejudice to any right of action by HydraFacial in</w:t>
      </w:r>
    </w:p>
    <w:p>
      <w:pPr>
        <w:jc w:val="both"/>
        <w:ind w:left="640"/>
        <w:spacing w:after="0" w:line="215" w:lineRule="auto"/>
        <w:rPr>
          <w:sz w:val="20"/>
          <w:szCs w:val="20"/>
          <w:color w:val="auto"/>
        </w:rPr>
      </w:pPr>
      <w:r>
        <w:rPr>
          <w:rFonts w:ascii="Arial" w:cs="Arial" w:eastAsia="Arial" w:hAnsi="Arial"/>
          <w:sz w:val="18"/>
          <w:szCs w:val="18"/>
          <w:color w:val="auto"/>
        </w:rPr>
        <w:t>respect of any antecedent breach by the Employee of any of the terms and conditions of the Employment Agreement or this Separation Agreement or to claim for losses or damages arising from any contractual breaches, breaches of duty or other wrongdoing (including subsequent breaches of any continuing obligations which survive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4" w:right="339" w:bottom="1440" w:gutter="0" w:footer="0" w:header="0"/>
        </w:sectPr>
      </w:pPr>
    </w:p>
    <w:bookmarkStart w:id="47" w:name="page48"/>
    <w:bookmarkEnd w:id="47"/>
    <w:p>
      <w:pPr>
        <w:ind w:left="640"/>
        <w:spacing w:after="0"/>
        <w:rPr>
          <w:sz w:val="20"/>
          <w:szCs w:val="20"/>
          <w:color w:val="auto"/>
        </w:rPr>
      </w:pPr>
      <w:r>
        <w:rPr>
          <w:rFonts w:ascii="Arial" w:cs="Arial" w:eastAsia="Arial" w:hAnsi="Arial"/>
          <w:sz w:val="18"/>
          <w:szCs w:val="18"/>
          <w:color w:val="auto"/>
        </w:rPr>
        <w:t>termination of the Agreement) by the Employee which may subsequently come to the attention of HydraFacial.</w:t>
      </w:r>
    </w:p>
    <w:p>
      <w:pPr>
        <w:spacing w:after="0" w:line="182"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SEPARATION BENEFITS</w:t>
      </w:r>
    </w:p>
    <w:p>
      <w:pPr>
        <w:spacing w:after="0" w:line="239" w:lineRule="exact"/>
        <w:rPr>
          <w:sz w:val="20"/>
          <w:szCs w:val="20"/>
          <w:color w:val="auto"/>
        </w:rPr>
      </w:pPr>
    </w:p>
    <w:p>
      <w:pPr>
        <w:jc w:val="both"/>
        <w:ind w:left="440" w:hanging="635"/>
        <w:spacing w:after="0" w:line="216"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Payments</w:t>
      </w:r>
      <w:r>
        <w:rPr>
          <w:rFonts w:ascii="Arial" w:cs="Arial" w:eastAsia="Arial" w:hAnsi="Arial"/>
          <w:sz w:val="17"/>
          <w:szCs w:val="17"/>
          <w:color w:val="auto"/>
        </w:rPr>
        <w:t>. As soon as reasonably practicable following the Separation Date, HydraFacial will direct GoGlobal GEO to arrange payment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following sums to the Employee after full payment of assessed taxes, less any applicable statutory deductions/withholdings and any deductions for excess utilisation of annual leave or damage or loss of Company property (if applicable) and the Employee consents to</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withholding of or deductions from any payments to be made to her:</w:t>
      </w:r>
    </w:p>
    <w:p>
      <w:pPr>
        <w:spacing w:after="0" w:line="204" w:lineRule="exact"/>
        <w:rPr>
          <w:sz w:val="20"/>
          <w:szCs w:val="20"/>
          <w:color w:val="auto"/>
        </w:rPr>
      </w:pPr>
    </w:p>
    <w:p>
      <w:pPr>
        <w:jc w:val="both"/>
        <w:ind w:left="960" w:hanging="318"/>
        <w:spacing w:after="0" w:line="220"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Twelve Thousand, Six-Hundred and Forty One (SGD $12,641), representing the prorated monthly salary for the month of June being earned but unpaid of Employee’s basic salary (currently Singapore Dollars Forty Six Thousand Three Hundred Fifty (SGD $46,350) per month) (“</w:t>
      </w:r>
      <w:r>
        <w:rPr>
          <w:rFonts w:ascii="Arial" w:cs="Arial" w:eastAsia="Arial" w:hAnsi="Arial"/>
          <w:sz w:val="18"/>
          <w:szCs w:val="18"/>
          <w:b w:val="1"/>
          <w:bCs w:val="1"/>
          <w:color w:val="auto"/>
        </w:rPr>
        <w:t>Monthly Basic Salary</w:t>
      </w:r>
      <w:r>
        <w:rPr>
          <w:rFonts w:ascii="Arial" w:cs="Arial" w:eastAsia="Arial" w:hAnsi="Arial"/>
          <w:sz w:val="18"/>
          <w:szCs w:val="18"/>
          <w:color w:val="auto"/>
        </w:rPr>
        <w:t>”), pro-rated up to the Separation Date;</w:t>
      </w:r>
    </w:p>
    <w:p>
      <w:pPr>
        <w:spacing w:after="0" w:line="199" w:lineRule="exact"/>
        <w:rPr>
          <w:rFonts w:ascii="Arial" w:cs="Arial" w:eastAsia="Arial" w:hAnsi="Arial"/>
          <w:sz w:val="18"/>
          <w:szCs w:val="18"/>
          <w:color w:val="auto"/>
        </w:rPr>
      </w:pPr>
    </w:p>
    <w:p>
      <w:pPr>
        <w:ind w:left="960" w:hanging="318"/>
        <w:spacing w:after="0" w:line="222"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Twenty-One Thousand, Three-Hundred and Ninety-Two (SGD $21,392), being encashment of accrued and unutilised paid annual leave, pro-rated up to the Separation Date;</w:t>
      </w:r>
    </w:p>
    <w:p>
      <w:pPr>
        <w:spacing w:after="0" w:line="213" w:lineRule="exact"/>
        <w:rPr>
          <w:rFonts w:ascii="Arial" w:cs="Arial" w:eastAsia="Arial" w:hAnsi="Arial"/>
          <w:sz w:val="18"/>
          <w:szCs w:val="18"/>
          <w:color w:val="auto"/>
        </w:rPr>
      </w:pPr>
    </w:p>
    <w:p>
      <w:pPr>
        <w:ind w:left="960" w:hanging="318"/>
        <w:spacing w:after="0" w:line="235" w:lineRule="auto"/>
        <w:tabs>
          <w:tab w:leader="none" w:pos="9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reimbursement of out-of-pocket expense incurred in the normal course of work and duly supported by receipts, bills and vouchers, etc, as per Company policy, submitted in writing with the requisite supporting documents within three (3) days from the date hereof;</w:t>
      </w:r>
    </w:p>
    <w:p>
      <w:pPr>
        <w:spacing w:after="0" w:line="200" w:lineRule="exact"/>
        <w:rPr>
          <w:rFonts w:ascii="Arial" w:cs="Arial" w:eastAsia="Arial" w:hAnsi="Arial"/>
          <w:sz w:val="17"/>
          <w:szCs w:val="17"/>
          <w:color w:val="auto"/>
        </w:rPr>
      </w:pPr>
    </w:p>
    <w:p>
      <w:pPr>
        <w:ind w:left="960" w:hanging="318"/>
        <w:spacing w:after="0" w:line="230"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Two Hundred Seventy Eight Thousand, One Hundred (SGD $278,100), being salary in lieu of six (6) months’ notice pursuant to Clause 16 of the Employment Agreement; and</w:t>
      </w:r>
    </w:p>
    <w:p>
      <w:pPr>
        <w:spacing w:after="0" w:line="199" w:lineRule="exact"/>
        <w:rPr>
          <w:rFonts w:ascii="Arial" w:cs="Arial" w:eastAsia="Arial" w:hAnsi="Arial"/>
          <w:sz w:val="18"/>
          <w:szCs w:val="18"/>
          <w:color w:val="auto"/>
        </w:rPr>
      </w:pPr>
    </w:p>
    <w:p>
      <w:pPr>
        <w:ind w:left="960" w:hanging="318"/>
        <w:spacing w:after="0" w:line="222" w:lineRule="auto"/>
        <w:tabs>
          <w:tab w:leader="none" w:pos="9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Singapore Dollars, Eighteen Thousand, One-Hundred and Eighty (SGD$18,180) being the sum to which Employee would have been entitled had she taken part in the Central Provident Fund in Singapore.</w:t>
      </w:r>
    </w:p>
    <w:p>
      <w:pPr>
        <w:spacing w:after="0" w:line="213" w:lineRule="exact"/>
        <w:rPr>
          <w:sz w:val="20"/>
          <w:szCs w:val="20"/>
          <w:color w:val="auto"/>
        </w:rPr>
      </w:pPr>
    </w:p>
    <w:p>
      <w:pPr>
        <w:ind w:left="640"/>
        <w:spacing w:after="0" w:line="222" w:lineRule="auto"/>
        <w:rPr>
          <w:sz w:val="20"/>
          <w:szCs w:val="20"/>
          <w:color w:val="auto"/>
        </w:rPr>
      </w:pPr>
      <w:r>
        <w:rPr>
          <w:rFonts w:ascii="Arial" w:cs="Arial" w:eastAsia="Arial" w:hAnsi="Arial"/>
          <w:sz w:val="18"/>
          <w:szCs w:val="18"/>
          <w:color w:val="auto"/>
        </w:rPr>
        <w:t>The Employee confirms that she has received full payment of the Annual Bonus for the fiscal year ending 31 December 2021 (pro-rated based on her start date) referenced at Clause 8 of the Employment Agreement.</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Separation Benefits</w:t>
      </w:r>
      <w:r>
        <w:rPr>
          <w:rFonts w:ascii="Arial" w:cs="Arial" w:eastAsia="Arial" w:hAnsi="Arial"/>
          <w:sz w:val="17"/>
          <w:szCs w:val="17"/>
          <w:color w:val="auto"/>
        </w:rPr>
        <w:t>. Subject to: (i) the Employee’s entry into and continued compliance with the terms of this Separation Agreement; and</w:t>
      </w:r>
    </w:p>
    <w:p>
      <w:pPr>
        <w:ind w:left="880" w:hanging="23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Hydrafacial Company Executive Severance Plan (Annex 4 of the Employment Agreement), HydraFacial will:</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the following additional payments to the Employee:</w:t>
      </w:r>
    </w:p>
    <w:p>
      <w:pPr>
        <w:spacing w:after="0" w:line="203" w:lineRule="exact"/>
        <w:rPr>
          <w:rFonts w:ascii="Arial" w:cs="Arial" w:eastAsia="Arial" w:hAnsi="Arial"/>
          <w:sz w:val="18"/>
          <w:szCs w:val="18"/>
          <w:color w:val="auto"/>
        </w:rPr>
      </w:pPr>
    </w:p>
    <w:p>
      <w:pPr>
        <w:jc w:val="both"/>
        <w:ind w:left="1600" w:hanging="640"/>
        <w:spacing w:after="0" w:line="215" w:lineRule="auto"/>
        <w:tabs>
          <w:tab w:leader="none" w:pos="15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Cash Salary Severance, that is, her Monthly Basic Salary (currently Singapore Dollars Forty Six Thousand Three Hundred Fifty (SGD $46,350) per month) per month), as severance pay, for six (6) months from the Separation Date or such shorter period in the event that the Employee commences paid employment with any other entity pursuant to Clause 4.5 (Impact of Subsequent Employment) of the Hydrafacial Company Executive Severance Plan (the “</w:t>
      </w:r>
      <w:r>
        <w:rPr>
          <w:rFonts w:ascii="Arial" w:cs="Arial" w:eastAsia="Arial" w:hAnsi="Arial"/>
          <w:sz w:val="18"/>
          <w:szCs w:val="18"/>
          <w:b w:val="1"/>
          <w:bCs w:val="1"/>
          <w:color w:val="auto"/>
        </w:rPr>
        <w:t>Separation Period</w:t>
      </w:r>
      <w:r>
        <w:rPr>
          <w:rFonts w:ascii="Arial" w:cs="Arial" w:eastAsia="Arial" w:hAnsi="Arial"/>
          <w:sz w:val="18"/>
          <w:szCs w:val="18"/>
          <w:color w:val="auto"/>
        </w:rPr>
        <w:t>”), paid in accordance with HydraFacial’s regular payroll practices;</w:t>
      </w:r>
    </w:p>
    <w:p>
      <w:pPr>
        <w:spacing w:after="0" w:line="199" w:lineRule="exact"/>
        <w:rPr>
          <w:rFonts w:ascii="Arial" w:cs="Arial" w:eastAsia="Arial" w:hAnsi="Arial"/>
          <w:sz w:val="18"/>
          <w:szCs w:val="18"/>
          <w:color w:val="auto"/>
        </w:rPr>
      </w:pPr>
    </w:p>
    <w:p>
      <w:pPr>
        <w:ind w:left="1600" w:hanging="640"/>
        <w:spacing w:after="0" w:line="222" w:lineRule="auto"/>
        <w:tabs>
          <w:tab w:leader="none" w:pos="15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Pro-Rata Target Bonus, that is, an amount equal to her Pro-Rated Target Bonus, within seventy (70) days from the Separation Date; and</w:t>
      </w:r>
    </w:p>
    <w:p>
      <w:pPr>
        <w:spacing w:after="0" w:line="213" w:lineRule="exact"/>
        <w:rPr>
          <w:sz w:val="20"/>
          <w:szCs w:val="20"/>
          <w:color w:val="auto"/>
        </w:rPr>
      </w:pPr>
    </w:p>
    <w:p>
      <w:pPr>
        <w:ind w:left="640" w:right="2220" w:firstLine="2"/>
        <w:spacing w:after="0" w:line="476" w:lineRule="auto"/>
        <w:tabs>
          <w:tab w:leader="none" w:pos="9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continuation of current Heath Benefits at the current cost to the employee during the Separation Period, (collectively, the “</w:t>
      </w:r>
      <w:r>
        <w:rPr>
          <w:rFonts w:ascii="Arial" w:cs="Arial" w:eastAsia="Arial" w:hAnsi="Arial"/>
          <w:sz w:val="18"/>
          <w:szCs w:val="18"/>
          <w:b w:val="1"/>
          <w:bCs w:val="1"/>
          <w:color w:val="auto"/>
        </w:rPr>
        <w:t>Separation Benefits</w:t>
      </w:r>
      <w:r>
        <w:rPr>
          <w:rFonts w:ascii="Arial" w:cs="Arial" w:eastAsia="Arial" w:hAnsi="Arial"/>
          <w:sz w:val="18"/>
          <w:szCs w:val="18"/>
          <w:color w:val="auto"/>
        </w:rPr>
        <w:t>”).</w:t>
      </w:r>
    </w:p>
    <w:p>
      <w:pPr>
        <w:ind w:left="640"/>
        <w:spacing w:after="0" w:line="215" w:lineRule="auto"/>
        <w:rPr>
          <w:sz w:val="20"/>
          <w:szCs w:val="20"/>
          <w:color w:val="auto"/>
        </w:rPr>
      </w:pPr>
      <w:r>
        <w:rPr>
          <w:rFonts w:ascii="Arial" w:cs="Arial" w:eastAsia="Arial" w:hAnsi="Arial"/>
          <w:sz w:val="18"/>
          <w:szCs w:val="18"/>
          <w:color w:val="auto"/>
        </w:rPr>
        <w:t>The Employee acknowledges and agrees that her receipt of the Separation Benefits is conditional on her executing this Separation</w:t>
      </w:r>
    </w:p>
    <w:p>
      <w:pPr>
        <w:spacing w:after="0" w:line="1" w:lineRule="exact"/>
        <w:rPr>
          <w:sz w:val="20"/>
          <w:szCs w:val="20"/>
          <w:color w:val="auto"/>
        </w:rPr>
      </w:pPr>
    </w:p>
    <w:p>
      <w:pPr>
        <w:ind w:left="640" w:right="20"/>
        <w:spacing w:after="0" w:line="222" w:lineRule="auto"/>
        <w:rPr>
          <w:sz w:val="20"/>
          <w:szCs w:val="20"/>
          <w:color w:val="auto"/>
        </w:rPr>
      </w:pPr>
      <w:r>
        <w:rPr>
          <w:rFonts w:ascii="Arial" w:cs="Arial" w:eastAsia="Arial" w:hAnsi="Arial"/>
          <w:sz w:val="18"/>
          <w:szCs w:val="18"/>
          <w:color w:val="auto"/>
        </w:rPr>
        <w:t>Agreement and continued compliance with its terms at all times. The Employee further acknowledges and agrees that he is entitled to receive only that additional compensation listed in this Clause 4.2 (Separation Benefits) after the Separation Date,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7" w:right="339" w:bottom="1440" w:gutter="0" w:footer="0" w:header="0"/>
        </w:sectPr>
      </w:pPr>
    </w:p>
    <w:bookmarkStart w:id="48" w:name="page49"/>
    <w:bookmarkEnd w:id="48"/>
    <w:p>
      <w:pPr>
        <w:jc w:val="both"/>
        <w:ind w:left="640"/>
        <w:spacing w:after="0" w:line="222" w:lineRule="auto"/>
        <w:rPr>
          <w:sz w:val="20"/>
          <w:szCs w:val="20"/>
          <w:color w:val="auto"/>
        </w:rPr>
      </w:pPr>
      <w:r>
        <w:rPr>
          <w:rFonts w:ascii="Arial" w:cs="Arial" w:eastAsia="Arial" w:hAnsi="Arial"/>
          <w:sz w:val="18"/>
          <w:szCs w:val="18"/>
          <w:color w:val="auto"/>
        </w:rPr>
        <w:t>he will not be entitled to any other salary, bonus, payment, vacation or any other payments or benefits whosoever after the Separation Date</w:t>
      </w:r>
    </w:p>
    <w:p>
      <w:pPr>
        <w:spacing w:after="0" w:line="213" w:lineRule="exact"/>
        <w:rPr>
          <w:sz w:val="20"/>
          <w:szCs w:val="20"/>
          <w:color w:val="auto"/>
        </w:rPr>
      </w:pPr>
    </w:p>
    <w:p>
      <w:pPr>
        <w:ind w:left="640" w:hanging="635"/>
        <w:spacing w:after="0" w:line="222"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Deductions and Withholdings</w:t>
      </w:r>
      <w:r>
        <w:rPr>
          <w:rFonts w:ascii="Arial" w:cs="Arial" w:eastAsia="Arial" w:hAnsi="Arial"/>
          <w:sz w:val="18"/>
          <w:szCs w:val="18"/>
          <w:color w:val="auto"/>
        </w:rPr>
        <w:t>. All sums payable to the Employee shall be made after deduction of any applicable statutory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deductions/withholdings as may be required in accordance with the applicable legislation in force from time to time.</w:t>
      </w:r>
    </w:p>
    <w:p>
      <w:pPr>
        <w:spacing w:after="0" w:line="17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No Further Payments or Benefits</w:t>
      </w:r>
      <w:r>
        <w:rPr>
          <w:rFonts w:ascii="Arial" w:cs="Arial" w:eastAsia="Arial" w:hAnsi="Arial"/>
          <w:sz w:val="17"/>
          <w:szCs w:val="17"/>
          <w:color w:val="auto"/>
        </w:rPr>
        <w:t>. The Employee understands, acknowledges, and agrees that these Separation Benefits exceed what the</w:t>
      </w:r>
    </w:p>
    <w:p>
      <w:pPr>
        <w:jc w:val="both"/>
        <w:ind w:left="640"/>
        <w:spacing w:after="0" w:line="216" w:lineRule="auto"/>
        <w:rPr>
          <w:sz w:val="20"/>
          <w:szCs w:val="20"/>
          <w:color w:val="auto"/>
        </w:rPr>
      </w:pPr>
      <w:r>
        <w:rPr>
          <w:rFonts w:ascii="Arial" w:cs="Arial" w:eastAsia="Arial" w:hAnsi="Arial"/>
          <w:sz w:val="17"/>
          <w:szCs w:val="17"/>
          <w:color w:val="auto"/>
        </w:rPr>
        <w:t>Employee is otherwise entitled under applicable law to receive on termination of employment, and that these benefits are being given as consideration in exchange for executing this Separation Agreement and the general release contained herein. The Employee further acknowledges that he is not entitled to any other payment or benefit not specifically referenced in this Separation Agreement. Nothing</w:t>
      </w:r>
    </w:p>
    <w:p>
      <w:pPr>
        <w:spacing w:after="0" w:line="2" w:lineRule="exact"/>
        <w:rPr>
          <w:sz w:val="20"/>
          <w:szCs w:val="20"/>
          <w:color w:val="auto"/>
        </w:rPr>
      </w:pPr>
    </w:p>
    <w:p>
      <w:pPr>
        <w:jc w:val="both"/>
        <w:ind w:left="640"/>
        <w:spacing w:after="0" w:line="222" w:lineRule="auto"/>
        <w:rPr>
          <w:sz w:val="20"/>
          <w:szCs w:val="20"/>
          <w:color w:val="auto"/>
        </w:rPr>
      </w:pPr>
      <w:r>
        <w:rPr>
          <w:rFonts w:ascii="Arial" w:cs="Arial" w:eastAsia="Arial" w:hAnsi="Arial"/>
          <w:sz w:val="18"/>
          <w:szCs w:val="18"/>
          <w:color w:val="auto"/>
        </w:rPr>
        <w:t>in this Separation Agreement shall be deemed or construed as an express or implied policy or practice of HydraFacial to provide these or other benefits to any individuals other than the Employee.</w:t>
      </w:r>
    </w:p>
    <w:p>
      <w:pPr>
        <w:spacing w:after="0" w:line="17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 The Employee shall be responsible for the proper declaration, filing and payment of income tax payable on her salary and any</w:t>
      </w:r>
    </w:p>
    <w:p>
      <w:pPr>
        <w:ind w:left="640" w:right="120"/>
        <w:spacing w:after="0" w:line="215" w:lineRule="auto"/>
        <w:rPr>
          <w:sz w:val="20"/>
          <w:szCs w:val="20"/>
          <w:color w:val="auto"/>
        </w:rPr>
      </w:pPr>
      <w:r>
        <w:rPr>
          <w:rFonts w:ascii="Arial" w:cs="Arial" w:eastAsia="Arial" w:hAnsi="Arial"/>
          <w:sz w:val="18"/>
          <w:szCs w:val="18"/>
          <w:color w:val="auto"/>
        </w:rPr>
        <w:t>benefits, and shall indemnify HydraFacial for all payments, if any, made by HydraFacial to the Inland Revenue Authority of Singapore (“</w:t>
      </w:r>
      <w:r>
        <w:rPr>
          <w:rFonts w:ascii="Arial" w:cs="Arial" w:eastAsia="Arial" w:hAnsi="Arial"/>
          <w:sz w:val="18"/>
          <w:szCs w:val="18"/>
          <w:b w:val="1"/>
          <w:bCs w:val="1"/>
          <w:color w:val="auto"/>
        </w:rPr>
        <w:t>IRAS</w:t>
      </w:r>
      <w:r>
        <w:rPr>
          <w:rFonts w:ascii="Arial" w:cs="Arial" w:eastAsia="Arial" w:hAnsi="Arial"/>
          <w:sz w:val="18"/>
          <w:szCs w:val="18"/>
          <w:color w:val="auto"/>
        </w:rPr>
        <w:t>”) on account of the Employee’s income tax or any other applicable tax obligation. This provision does not oblige HydraFacial to make payments of any taxes on behalf of the Employee.</w:t>
      </w:r>
    </w:p>
    <w:p>
      <w:pPr>
        <w:spacing w:after="0" w:line="190" w:lineRule="exact"/>
        <w:rPr>
          <w:sz w:val="20"/>
          <w:szCs w:val="20"/>
          <w:color w:val="auto"/>
        </w:rPr>
      </w:pPr>
    </w:p>
    <w:p>
      <w:pPr>
        <w:ind w:left="640" w:hanging="634"/>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GENERAL WAIVER AND RELEASE</w:t>
      </w:r>
    </w:p>
    <w:p>
      <w:pPr>
        <w:spacing w:after="0" w:line="226" w:lineRule="exact"/>
        <w:rPr>
          <w:sz w:val="20"/>
          <w:szCs w:val="20"/>
          <w:color w:val="auto"/>
        </w:rPr>
      </w:pPr>
    </w:p>
    <w:p>
      <w:pPr>
        <w:jc w:val="right"/>
        <w:spacing w:after="0" w:line="207" w:lineRule="auto"/>
        <w:rPr>
          <w:sz w:val="20"/>
          <w:szCs w:val="20"/>
          <w:color w:val="auto"/>
        </w:rPr>
      </w:pPr>
      <w:r>
        <w:rPr>
          <w:rFonts w:ascii="Arial" w:cs="Arial" w:eastAsia="Arial" w:hAnsi="Arial"/>
          <w:sz w:val="18"/>
          <w:szCs w:val="18"/>
          <w:color w:val="auto"/>
        </w:rPr>
        <w:t>4.1   The Employee hereby irrevocably releases and forever discharges HydraFacial, each current, former and future Group Company, as well as any of their respective current and former insurers, directors, officers, agents, shareholders, employees, attorneys, predecessors,</w:t>
      </w:r>
    </w:p>
    <w:p>
      <w:pPr>
        <w:spacing w:after="0" w:line="1"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successors, assigns, representatives and/or any other person or body acting on behalf of, or connected with HydraFacial or any Group Company, past and present (the “</w:t>
      </w:r>
      <w:r>
        <w:rPr>
          <w:rFonts w:ascii="Arial" w:cs="Arial" w:eastAsia="Arial" w:hAnsi="Arial"/>
          <w:sz w:val="17"/>
          <w:szCs w:val="17"/>
          <w:b w:val="1"/>
          <w:bCs w:val="1"/>
          <w:color w:val="auto"/>
        </w:rPr>
        <w:t>Released Parties</w:t>
      </w:r>
      <w:r>
        <w:rPr>
          <w:rFonts w:ascii="Arial" w:cs="Arial" w:eastAsia="Arial" w:hAnsi="Arial"/>
          <w:sz w:val="17"/>
          <w:szCs w:val="17"/>
          <w:color w:val="auto"/>
        </w:rPr>
        <w:t>”) of and from claims and rights that the Employee has, had, or may have against the Released Parties, including but not limited to any and all claims, cross claims, damages, demands, liabilities, obligations, actions,</w:t>
      </w:r>
    </w:p>
    <w:p>
      <w:pPr>
        <w:spacing w:after="0" w:line="2"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causes, and causes of action of whatever kind or nature based on any cause, circumstance, fact, matter, thing, event, act, or failure to act whatsoever, whether arising at law or in equity, whether based on tort, contract, statutory, or common law principles, and whether known, unknown, foreseen, or unforeseen, but does not mean any of the Employee’s rights in this waiver and release, (including all</w:t>
      </w:r>
    </w:p>
    <w:p>
      <w:pPr>
        <w:spacing w:after="0" w:line="2" w:lineRule="exact"/>
        <w:rPr>
          <w:sz w:val="20"/>
          <w:szCs w:val="20"/>
          <w:color w:val="auto"/>
        </w:rPr>
      </w:pPr>
    </w:p>
    <w:p>
      <w:pPr>
        <w:jc w:val="both"/>
        <w:ind w:left="640"/>
        <w:spacing w:after="0" w:line="216" w:lineRule="auto"/>
        <w:rPr>
          <w:sz w:val="20"/>
          <w:szCs w:val="20"/>
          <w:color w:val="auto"/>
        </w:rPr>
      </w:pPr>
      <w:r>
        <w:rPr>
          <w:rFonts w:ascii="Arial" w:cs="Arial" w:eastAsia="Arial" w:hAnsi="Arial"/>
          <w:sz w:val="17"/>
          <w:szCs w:val="17"/>
          <w:color w:val="auto"/>
        </w:rPr>
        <w:t>damage, loss and injury not now known or anticipated but which may arise in the future and all effects and consequences thereof), however and wherever arising, which the Employee had, now has, or which the Employee, its heirs, administrators and assigns or any of them hereafter can, shall or may have in respect of the Employee’s employment under the Employment Agreement or the termination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thereof (“</w:t>
      </w:r>
      <w:r>
        <w:rPr>
          <w:rFonts w:ascii="Arial" w:cs="Arial" w:eastAsia="Arial" w:hAnsi="Arial"/>
          <w:sz w:val="18"/>
          <w:szCs w:val="18"/>
          <w:b w:val="1"/>
          <w:bCs w:val="1"/>
          <w:color w:val="auto"/>
        </w:rPr>
        <w:t>Claims</w:t>
      </w:r>
      <w:r>
        <w:rPr>
          <w:rFonts w:ascii="Arial" w:cs="Arial" w:eastAsia="Arial" w:hAnsi="Arial"/>
          <w:sz w:val="18"/>
          <w:szCs w:val="18"/>
          <w:color w:val="auto"/>
        </w:rPr>
        <w:t>”).</w:t>
      </w:r>
    </w:p>
    <w:p>
      <w:pPr>
        <w:spacing w:after="0" w:line="204" w:lineRule="exact"/>
        <w:rPr>
          <w:sz w:val="20"/>
          <w:szCs w:val="20"/>
          <w:color w:val="auto"/>
        </w:rPr>
      </w:pPr>
    </w:p>
    <w:p>
      <w:pPr>
        <w:jc w:val="right"/>
        <w:ind w:left="80"/>
        <w:spacing w:after="0" w:line="207" w:lineRule="auto"/>
        <w:rPr>
          <w:sz w:val="20"/>
          <w:szCs w:val="20"/>
          <w:color w:val="auto"/>
        </w:rPr>
      </w:pPr>
      <w:r>
        <w:rPr>
          <w:rFonts w:ascii="Arial" w:cs="Arial" w:eastAsia="Arial" w:hAnsi="Arial"/>
          <w:sz w:val="18"/>
          <w:szCs w:val="18"/>
          <w:color w:val="auto"/>
        </w:rPr>
        <w:t>4.2   The Employee covenants that he (and that he shall procure anyone acting on her behalf): (a) shall not sue any Released Party; (b) shall finally, fully and irrevocably waive and release, to the maximum extent permitted by law, all Claims against the Released Parties,</w:t>
      </w:r>
    </w:p>
    <w:p>
      <w:pPr>
        <w:spacing w:after="0" w:line="1" w:lineRule="exact"/>
        <w:rPr>
          <w:sz w:val="20"/>
          <w:szCs w:val="20"/>
          <w:color w:val="auto"/>
        </w:rPr>
      </w:pPr>
    </w:p>
    <w:p>
      <w:pPr>
        <w:jc w:val="both"/>
        <w:ind w:left="560"/>
        <w:spacing w:after="0" w:line="204" w:lineRule="auto"/>
        <w:rPr>
          <w:sz w:val="20"/>
          <w:szCs w:val="20"/>
          <w:color w:val="auto"/>
        </w:rPr>
      </w:pPr>
      <w:r>
        <w:rPr>
          <w:rFonts w:ascii="Arial" w:cs="Arial" w:eastAsia="Arial" w:hAnsi="Arial"/>
          <w:sz w:val="18"/>
          <w:szCs w:val="18"/>
          <w:color w:val="auto"/>
        </w:rPr>
        <w:t>including, without limitation, all such Claims: (i) arising out of statements, actions, or omissions of the Released Parties; (ii) for the payment of money, property, salary, wages, severance, options, bonuses, overtime, other compensation or amounts, compensatory damages, liquidated damages, punitive damages, costs, expenses, expense reimbursements, disbursements, attorneys’ fees, and</w:t>
      </w:r>
    </w:p>
    <w:p>
      <w:pPr>
        <w:spacing w:after="0" w:line="2" w:lineRule="exact"/>
        <w:rPr>
          <w:sz w:val="20"/>
          <w:szCs w:val="20"/>
          <w:color w:val="auto"/>
        </w:rPr>
      </w:pPr>
    </w:p>
    <w:p>
      <w:pPr>
        <w:jc w:val="both"/>
        <w:ind w:left="560"/>
        <w:spacing w:after="0" w:line="211" w:lineRule="auto"/>
        <w:rPr>
          <w:sz w:val="20"/>
          <w:szCs w:val="20"/>
          <w:color w:val="auto"/>
        </w:rPr>
      </w:pPr>
      <w:r>
        <w:rPr>
          <w:rFonts w:ascii="Arial" w:cs="Arial" w:eastAsia="Arial" w:hAnsi="Arial"/>
          <w:sz w:val="18"/>
          <w:szCs w:val="18"/>
          <w:color w:val="auto"/>
        </w:rPr>
        <w:t>benefits; (iii) for wrongful or constructive discharge, breach of express or implied contract, reinstatement of employment, or loss of office; and (iv) based on any applicable laws and/or regulations; and (c) not to make or continue any claim or take or continue any proceeding against the Released Parties in Singapore or elsewhere in the world, arising out of or in any way connected with the Employee’s employment under the Employment Agreement or the termination thereof.</w:t>
      </w:r>
    </w:p>
    <w:p>
      <w:pPr>
        <w:spacing w:after="0" w:line="213" w:lineRule="exact"/>
        <w:rPr>
          <w:sz w:val="20"/>
          <w:szCs w:val="20"/>
          <w:color w:val="auto"/>
        </w:rPr>
      </w:pPr>
    </w:p>
    <w:p>
      <w:pPr>
        <w:jc w:val="both"/>
        <w:ind w:left="500" w:hanging="555"/>
        <w:spacing w:after="0" w:line="230" w:lineRule="auto"/>
        <w:tabs>
          <w:tab w:leader="none" w:pos="480" w:val="left"/>
        </w:tabs>
        <w:rPr>
          <w:sz w:val="20"/>
          <w:szCs w:val="20"/>
          <w:color w:val="auto"/>
        </w:rPr>
      </w:pPr>
      <w:r>
        <w:rPr>
          <w:rFonts w:ascii="Arial" w:cs="Arial" w:eastAsia="Arial" w:hAnsi="Arial"/>
          <w:sz w:val="18"/>
          <w:szCs w:val="18"/>
          <w:color w:val="auto"/>
        </w:rPr>
        <w:t>4.3</w:t>
        <w:tab/>
        <w:t>The Employee acknowledges and agrees that this waiver and release shall ensure to the benefit of the Released Parties and shall be binding on the Employee and her descendants, dependents, heirs, executors, administrators, assigns, and successors.</w:t>
      </w:r>
    </w:p>
    <w:p>
      <w:pPr>
        <w:spacing w:after="0" w:line="213" w:lineRule="exact"/>
        <w:rPr>
          <w:sz w:val="20"/>
          <w:szCs w:val="20"/>
          <w:color w:val="auto"/>
        </w:rPr>
      </w:pPr>
    </w:p>
    <w:p>
      <w:pPr>
        <w:jc w:val="both"/>
        <w:ind w:left="480" w:hanging="555"/>
        <w:spacing w:after="0" w:line="215" w:lineRule="auto"/>
        <w:tabs>
          <w:tab w:leader="none" w:pos="460" w:val="left"/>
        </w:tabs>
        <w:rPr>
          <w:sz w:val="20"/>
          <w:szCs w:val="20"/>
          <w:color w:val="auto"/>
        </w:rPr>
      </w:pPr>
      <w:r>
        <w:rPr>
          <w:rFonts w:ascii="Arial" w:cs="Arial" w:eastAsia="Arial" w:hAnsi="Arial"/>
          <w:sz w:val="18"/>
          <w:szCs w:val="18"/>
          <w:color w:val="auto"/>
        </w:rPr>
        <w:t>4.4</w:t>
        <w:tab/>
        <w:t>The Employee warrants and represents to HydraFacial and any Group Company that there are no circumstances of which the Employee is aware or of which the Employee ought reasonably to be aware which would amount to a repudiatory breach by the Employee of any express or implied term of the Employment Agreement which would have given rise to the right to terminate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7" w:right="339" w:bottom="1440" w:gutter="0" w:footer="0" w:header="0"/>
        </w:sectPr>
      </w:pPr>
    </w:p>
    <w:bookmarkStart w:id="49" w:name="page50"/>
    <w:bookmarkEnd w:id="49"/>
    <w:p>
      <w:pPr>
        <w:ind w:left="560"/>
        <w:spacing w:after="0" w:line="222" w:lineRule="auto"/>
        <w:rPr>
          <w:sz w:val="20"/>
          <w:szCs w:val="20"/>
          <w:color w:val="auto"/>
        </w:rPr>
      </w:pPr>
      <w:r>
        <w:rPr>
          <w:rFonts w:ascii="Arial" w:cs="Arial" w:eastAsia="Arial" w:hAnsi="Arial"/>
          <w:sz w:val="18"/>
          <w:szCs w:val="18"/>
          <w:color w:val="auto"/>
        </w:rPr>
        <w:t>Employment without notice or payment in lieu of notice and any payment to the Employee pursuant to Clause 4 is conditional upon this being true at all times.</w:t>
      </w:r>
    </w:p>
    <w:p>
      <w:pPr>
        <w:spacing w:after="0" w:line="191" w:lineRule="exact"/>
        <w:rPr>
          <w:sz w:val="20"/>
          <w:szCs w:val="20"/>
          <w:color w:val="auto"/>
        </w:rPr>
      </w:pPr>
    </w:p>
    <w:p>
      <w:pPr>
        <w:jc w:val="both"/>
        <w:ind w:left="460" w:hanging="555"/>
        <w:spacing w:after="0" w:line="213" w:lineRule="auto"/>
        <w:tabs>
          <w:tab w:leader="none" w:pos="440" w:val="left"/>
        </w:tabs>
        <w:rPr>
          <w:sz w:val="20"/>
          <w:szCs w:val="20"/>
          <w:color w:val="auto"/>
        </w:rPr>
      </w:pPr>
      <w:r>
        <w:rPr>
          <w:rFonts w:ascii="Arial" w:cs="Arial" w:eastAsia="Arial" w:hAnsi="Arial"/>
          <w:sz w:val="18"/>
          <w:szCs w:val="18"/>
          <w:color w:val="auto"/>
        </w:rPr>
        <w:t>4.5</w:t>
        <w:tab/>
        <w:t>For the purposes of this Separation Agreement, “</w:t>
      </w:r>
      <w:r>
        <w:rPr>
          <w:rFonts w:ascii="Arial" w:cs="Arial" w:eastAsia="Arial" w:hAnsi="Arial"/>
          <w:sz w:val="18"/>
          <w:szCs w:val="18"/>
          <w:b w:val="1"/>
          <w:bCs w:val="1"/>
          <w:color w:val="auto"/>
        </w:rPr>
        <w:t>Group Company</w:t>
      </w:r>
      <w:r>
        <w:rPr>
          <w:rFonts w:ascii="Arial" w:cs="Arial" w:eastAsia="Arial" w:hAnsi="Arial"/>
          <w:sz w:val="18"/>
          <w:szCs w:val="18"/>
          <w:color w:val="auto"/>
        </w:rPr>
        <w:t>” means any holding company or parent undertaking of HydraFacial or any subsidiaries or subsidiary undertakings of HydraFacial or of any such holding company or parent undertaking; a company shall be deemed to be a Group Company for the purposes of this Separation Agreement. All references in this Separation Agreement to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HydraFacial or Group Company shall include any successor in title or assignee of HydraFacial or any Group Company.</w:t>
      </w:r>
    </w:p>
    <w:p>
      <w:pPr>
        <w:spacing w:after="0" w:line="182" w:lineRule="exact"/>
        <w:rPr>
          <w:sz w:val="20"/>
          <w:szCs w:val="20"/>
          <w:color w:val="auto"/>
        </w:rPr>
      </w:pPr>
    </w:p>
    <w:p>
      <w:pPr>
        <w:ind w:left="640" w:hanging="634"/>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 AND APPOINTMENTS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On the Separation Date, the Employee shall: (a) return to HydraFacial all books, documents, papers, data (including any copies or</w:t>
      </w:r>
    </w:p>
    <w:p>
      <w:pPr>
        <w:jc w:val="both"/>
        <w:ind w:left="560"/>
        <w:spacing w:after="0" w:line="216" w:lineRule="auto"/>
        <w:rPr>
          <w:sz w:val="20"/>
          <w:szCs w:val="20"/>
          <w:color w:val="auto"/>
        </w:rPr>
      </w:pPr>
      <w:r>
        <w:rPr>
          <w:rFonts w:ascii="Arial" w:cs="Arial" w:eastAsia="Arial" w:hAnsi="Arial"/>
          <w:sz w:val="17"/>
          <w:szCs w:val="17"/>
          <w:color w:val="auto"/>
        </w:rPr>
        <w:t>extracts and whether in printed or electronic format), materials, software, lap-top, mobile phone, credit cards, keys, security passes and any other property belonging to HydraFacial or any Group Company or their respective clients or suppliers which are or which come under his/her possession or control; provide HydraFacial with full details of any current passwords the Employee uses in respect of any</w:t>
      </w:r>
    </w:p>
    <w:p>
      <w:pPr>
        <w:spacing w:after="0" w:line="2"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computer equipment used by HydraFacial or any Group Company; (c) irrevocably delete from any personal computer in the Employee’s possession all and any confidential information relating to HydraFacial; and (d) provide a written confirmation to HydraFacial that this has been done and that no copies of any property of HydraFacial of whatever nature have been retained in the Employee’s possession or</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control.</w:t>
      </w:r>
    </w:p>
    <w:p>
      <w:pPr>
        <w:spacing w:after="0" w:line="204" w:lineRule="exact"/>
        <w:rPr>
          <w:sz w:val="20"/>
          <w:szCs w:val="20"/>
          <w:color w:val="auto"/>
        </w:rPr>
      </w:pPr>
    </w:p>
    <w:p>
      <w:pPr>
        <w:jc w:val="right"/>
        <w:spacing w:after="0" w:line="207" w:lineRule="auto"/>
        <w:rPr>
          <w:sz w:val="20"/>
          <w:szCs w:val="20"/>
          <w:color w:val="auto"/>
        </w:rPr>
      </w:pPr>
      <w:r>
        <w:rPr>
          <w:rFonts w:ascii="Arial" w:cs="Arial" w:eastAsia="Arial" w:hAnsi="Arial"/>
          <w:sz w:val="18"/>
          <w:szCs w:val="18"/>
          <w:color w:val="auto"/>
        </w:rPr>
        <w:t>5.2   The Employee shall immediately deliver to HydraFacial duly signed written resignations from: (a) her appointments as a director of the board of directors of HydraFacial and of any Group Company; and (ii) her appointments in any other offices or positions that she was</w:t>
      </w:r>
    </w:p>
    <w:p>
      <w:pPr>
        <w:spacing w:after="0" w:line="1" w:lineRule="exact"/>
        <w:rPr>
          <w:sz w:val="20"/>
          <w:szCs w:val="20"/>
          <w:color w:val="auto"/>
        </w:rPr>
      </w:pPr>
    </w:p>
    <w:p>
      <w:pPr>
        <w:ind w:left="560"/>
        <w:spacing w:after="0" w:line="222" w:lineRule="auto"/>
        <w:rPr>
          <w:sz w:val="20"/>
          <w:szCs w:val="20"/>
          <w:color w:val="auto"/>
        </w:rPr>
      </w:pPr>
      <w:r>
        <w:rPr>
          <w:rFonts w:ascii="Arial" w:cs="Arial" w:eastAsia="Arial" w:hAnsi="Arial"/>
          <w:sz w:val="18"/>
          <w:szCs w:val="18"/>
          <w:color w:val="auto"/>
        </w:rPr>
        <w:t>appointed to pursuant to or in connection with her employment with HydraFacial, together with any other documents reasonably necessary to effect such resignations, each case in form satisfactory to HydraFacial.</w:t>
      </w:r>
    </w:p>
    <w:p>
      <w:pPr>
        <w:spacing w:after="0" w:line="178" w:lineRule="exact"/>
        <w:rPr>
          <w:sz w:val="20"/>
          <w:szCs w:val="20"/>
          <w:color w:val="auto"/>
        </w:rPr>
      </w:pPr>
    </w:p>
    <w:p>
      <w:pPr>
        <w:ind w:left="640" w:hanging="634"/>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239" w:lineRule="exact"/>
        <w:rPr>
          <w:sz w:val="20"/>
          <w:szCs w:val="20"/>
          <w:color w:val="auto"/>
        </w:rPr>
      </w:pPr>
    </w:p>
    <w:p>
      <w:pPr>
        <w:jc w:val="both"/>
        <w:ind w:left="460" w:hanging="555"/>
        <w:spacing w:after="0" w:line="216"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Employee shall comply with her continuing obligations under the Employment Agreement (including the annexures thereto), including but not limited to: Clause 14 (Confidentiality), Clause 15 (Intellectual Property Right) read with the Proprietary Information and Inventions Assignment Agreement (Annex 3) and Clause 17 (Non-solicitation), which shall, where applicable, survive the termination of the</w:t>
      </w:r>
    </w:p>
    <w:p>
      <w:pPr>
        <w:spacing w:after="0" w:line="2" w:lineRule="exact"/>
        <w:rPr>
          <w:sz w:val="20"/>
          <w:szCs w:val="20"/>
          <w:color w:val="auto"/>
        </w:rPr>
      </w:pPr>
    </w:p>
    <w:p>
      <w:pPr>
        <w:jc w:val="both"/>
        <w:ind w:left="560"/>
        <w:spacing w:after="0" w:line="222" w:lineRule="auto"/>
        <w:rPr>
          <w:sz w:val="20"/>
          <w:szCs w:val="20"/>
          <w:color w:val="auto"/>
        </w:rPr>
      </w:pPr>
      <w:r>
        <w:rPr>
          <w:rFonts w:ascii="Arial" w:cs="Arial" w:eastAsia="Arial" w:hAnsi="Arial"/>
          <w:sz w:val="18"/>
          <w:szCs w:val="18"/>
          <w:color w:val="auto"/>
        </w:rPr>
        <w:t>Employment Agreement and continue to bind him/her notwithstanding termination of his/her employment under the Employment Agreement.</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6.2</w:t>
        <w:tab/>
        <w:t>The Employee expressly acknowledges that by reason of her employment and position with HydraFacial, he has been given access to</w:t>
      </w:r>
    </w:p>
    <w:p>
      <w:pPr>
        <w:jc w:val="both"/>
        <w:ind w:left="560"/>
        <w:spacing w:after="0" w:line="216" w:lineRule="auto"/>
        <w:rPr>
          <w:sz w:val="20"/>
          <w:szCs w:val="20"/>
          <w:color w:val="auto"/>
        </w:rPr>
      </w:pPr>
      <w:r>
        <w:rPr>
          <w:rFonts w:ascii="Arial" w:cs="Arial" w:eastAsia="Arial" w:hAnsi="Arial"/>
          <w:sz w:val="17"/>
          <w:szCs w:val="17"/>
          <w:color w:val="auto"/>
        </w:rPr>
        <w:t>confidential information concerning the business affairs of HydraFacial and the Group Companies, including but limited to marketing lists, lists of customers, business partners, marketing plans, strategic business projections and plans, creative materials and similar confidential or proprietary materials or information. The Employee agrees that he shall not disclose, use, or induce or assist in the use or</w:t>
      </w:r>
    </w:p>
    <w:p>
      <w:pPr>
        <w:spacing w:after="0" w:line="2" w:lineRule="exact"/>
        <w:rPr>
          <w:sz w:val="20"/>
          <w:szCs w:val="20"/>
          <w:color w:val="auto"/>
        </w:rPr>
      </w:pPr>
    </w:p>
    <w:p>
      <w:pPr>
        <w:jc w:val="both"/>
        <w:ind w:left="560"/>
        <w:spacing w:after="0" w:line="216" w:lineRule="auto"/>
        <w:rPr>
          <w:sz w:val="20"/>
          <w:szCs w:val="20"/>
          <w:color w:val="auto"/>
        </w:rPr>
      </w:pPr>
      <w:r>
        <w:rPr>
          <w:rFonts w:ascii="Arial" w:cs="Arial" w:eastAsia="Arial" w:hAnsi="Arial"/>
          <w:sz w:val="17"/>
          <w:szCs w:val="17"/>
          <w:color w:val="auto"/>
        </w:rPr>
        <w:t>disclosure of any such confidential information, or anything related thereto, nor to ever use such information for any business with which Employee is affiliated, or for any competitor of HydraFacial, without the prior express written consent of HydraFacial. The Employee may disclose confidential information only if it is required to do so in compliance with the law, an order of court, or the rules or regulations of</w:t>
      </w:r>
    </w:p>
    <w:p>
      <w:pPr>
        <w:spacing w:after="0" w:line="2" w:lineRule="exact"/>
        <w:rPr>
          <w:sz w:val="20"/>
          <w:szCs w:val="20"/>
          <w:color w:val="auto"/>
        </w:rPr>
      </w:pPr>
    </w:p>
    <w:p>
      <w:pPr>
        <w:jc w:val="both"/>
        <w:ind w:left="560"/>
        <w:spacing w:after="0" w:line="215" w:lineRule="auto"/>
        <w:rPr>
          <w:sz w:val="20"/>
          <w:szCs w:val="20"/>
          <w:color w:val="auto"/>
        </w:rPr>
      </w:pPr>
      <w:r>
        <w:rPr>
          <w:rFonts w:ascii="Arial" w:cs="Arial" w:eastAsia="Arial" w:hAnsi="Arial"/>
          <w:sz w:val="17"/>
          <w:szCs w:val="17"/>
          <w:color w:val="auto"/>
        </w:rPr>
        <w:t>any relevant regulatory or administrative authority with jurisdiction over the Parties, provided always that the Employee shall: (a) give HydraFacial reasonable notice prior to the impending disclosure so that HydraFacial may have the opportunity to seek a protective order and/or waive the duty of non-disclosure; (b) restrict any disclosure of confidential information to such minimal extent as is necessary for such compliance; and (c) use its best endeavours to ensure that any person who receives the confidential information keeps such</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confidential information confidential and does not use it except for the purpose for which the disclosure is made.</w:t>
      </w:r>
    </w:p>
    <w:p>
      <w:pPr>
        <w:spacing w:after="0" w:line="204" w:lineRule="exact"/>
        <w:rPr>
          <w:sz w:val="20"/>
          <w:szCs w:val="20"/>
          <w:color w:val="auto"/>
        </w:rPr>
      </w:pPr>
    </w:p>
    <w:p>
      <w:pPr>
        <w:jc w:val="right"/>
        <w:spacing w:after="0" w:line="207" w:lineRule="auto"/>
        <w:rPr>
          <w:sz w:val="20"/>
          <w:szCs w:val="20"/>
          <w:color w:val="auto"/>
        </w:rPr>
      </w:pPr>
      <w:r>
        <w:rPr>
          <w:rFonts w:ascii="Arial" w:cs="Arial" w:eastAsia="Arial" w:hAnsi="Arial"/>
          <w:sz w:val="18"/>
          <w:szCs w:val="18"/>
          <w:color w:val="auto"/>
        </w:rPr>
        <w:t>6.3   The Employee further agrees that that she shall keep the terms, amount, and fact of this Separation Agreement completely confidential, and that she shall not hereafter disclose any information concerning this Separation Agreement to anyone; provided, however, that she</w:t>
      </w:r>
    </w:p>
    <w:p>
      <w:pPr>
        <w:spacing w:after="0" w:line="1" w:lineRule="exact"/>
        <w:rPr>
          <w:sz w:val="20"/>
          <w:szCs w:val="20"/>
          <w:color w:val="auto"/>
        </w:rPr>
      </w:pPr>
    </w:p>
    <w:p>
      <w:pPr>
        <w:ind w:left="560"/>
        <w:spacing w:after="0" w:line="222" w:lineRule="auto"/>
        <w:rPr>
          <w:sz w:val="20"/>
          <w:szCs w:val="20"/>
          <w:color w:val="auto"/>
        </w:rPr>
      </w:pPr>
      <w:r>
        <w:rPr>
          <w:rFonts w:ascii="Arial" w:cs="Arial" w:eastAsia="Arial" w:hAnsi="Arial"/>
          <w:sz w:val="18"/>
          <w:szCs w:val="18"/>
          <w:color w:val="auto"/>
        </w:rPr>
        <w:t>may make such disclosure to her professional advisors (e.g. attorneys, accountants, auditors, and tax preparers) strictly on a need to know basis, all of whom will be informed of and have agreed in writing to be bound by this confidentiality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97" w:right="339" w:bottom="1440" w:gutter="0" w:footer="0" w:header="0"/>
        </w:sectPr>
      </w:pPr>
    </w:p>
    <w:bookmarkStart w:id="50" w:name="page51"/>
    <w:bookmarkEnd w:id="50"/>
    <w:p>
      <w:pPr>
        <w:jc w:val="both"/>
        <w:ind w:left="540" w:hanging="555"/>
        <w:spacing w:after="0" w:line="219"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The Employee acknowledges that during the Separation Period, HydraFacial may make reasonable, minimal requests for information related to her duties and work product arising in the period prior to the Separation Date and agrees to cooperate with any such requests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without expectation nor entitlement to any further compensation or consideration.</w:t>
      </w:r>
    </w:p>
    <w:p>
      <w:pPr>
        <w:spacing w:after="0" w:line="204" w:lineRule="exact"/>
        <w:rPr>
          <w:sz w:val="20"/>
          <w:szCs w:val="20"/>
          <w:color w:val="auto"/>
        </w:rPr>
      </w:pPr>
    </w:p>
    <w:p>
      <w:pPr>
        <w:jc w:val="both"/>
        <w:ind w:left="520" w:hanging="555"/>
        <w:spacing w:after="0" w:line="222" w:lineRule="auto"/>
        <w:tabs>
          <w:tab w:leader="none" w:pos="500" w:val="left"/>
        </w:tabs>
        <w:rPr>
          <w:sz w:val="20"/>
          <w:szCs w:val="20"/>
          <w:color w:val="auto"/>
        </w:rPr>
      </w:pPr>
      <w:r>
        <w:rPr>
          <w:rFonts w:ascii="Arial" w:cs="Arial" w:eastAsia="Arial" w:hAnsi="Arial"/>
          <w:sz w:val="18"/>
          <w:szCs w:val="18"/>
          <w:color w:val="auto"/>
        </w:rPr>
        <w:t>6.5.</w:t>
        <w:tab/>
        <w:t>The Employee shall not at any time hereafter represent himself still to be connected to HydraFacial or any Group Company, whether as an employee, director or otherwise.</w:t>
      </w:r>
    </w:p>
    <w:p>
      <w:pPr>
        <w:spacing w:after="0" w:line="213" w:lineRule="exact"/>
        <w:rPr>
          <w:sz w:val="20"/>
          <w:szCs w:val="20"/>
          <w:color w:val="auto"/>
        </w:rPr>
      </w:pPr>
    </w:p>
    <w:p>
      <w:pPr>
        <w:jc w:val="both"/>
        <w:ind w:left="440" w:hanging="555"/>
        <w:spacing w:after="0" w:line="216" w:lineRule="auto"/>
        <w:tabs>
          <w:tab w:leader="none" w:pos="4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The Employee (or anyone on her behalf) has not and will not (either directly or indirectly) make or otherwise communicate any disparaging or derogatory comments whether in writing or by spoken word and whether or not they are considered by the Employee to be true, concerning the Released Parties (including but not limited to any on line diary or website which relates to HydraFacial or any Group</w:t>
      </w:r>
    </w:p>
    <w:p>
      <w:pPr>
        <w:spacing w:after="0" w:line="2" w:lineRule="exact"/>
        <w:rPr>
          <w:sz w:val="20"/>
          <w:szCs w:val="20"/>
          <w:color w:val="auto"/>
        </w:rPr>
      </w:pPr>
    </w:p>
    <w:p>
      <w:pPr>
        <w:jc w:val="both"/>
        <w:ind w:left="560"/>
        <w:spacing w:after="0" w:line="204" w:lineRule="auto"/>
        <w:rPr>
          <w:sz w:val="20"/>
          <w:szCs w:val="20"/>
          <w:color w:val="auto"/>
        </w:rPr>
      </w:pPr>
      <w:r>
        <w:rPr>
          <w:rFonts w:ascii="Arial" w:cs="Arial" w:eastAsia="Arial" w:hAnsi="Arial"/>
          <w:sz w:val="18"/>
          <w:szCs w:val="18"/>
          <w:color w:val="auto"/>
        </w:rPr>
        <w:t>Company or their employees or directors, or shareholders, commonly referred to as “blogging”). For the purposes of this Separation Agreement, “disparaging or “derogatory” means any action or deed which may or does in any way adversely affect a Released Party’s reputation or good standing, or of its business, including but not limited to conduct, comments, statements or communications that</w:t>
      </w:r>
    </w:p>
    <w:p>
      <w:pPr>
        <w:spacing w:after="0" w:line="2" w:lineRule="exact"/>
        <w:rPr>
          <w:sz w:val="20"/>
          <w:szCs w:val="20"/>
          <w:color w:val="auto"/>
        </w:rPr>
      </w:pPr>
    </w:p>
    <w:p>
      <w:pPr>
        <w:jc w:val="both"/>
        <w:ind w:left="560"/>
        <w:spacing w:after="0" w:line="222" w:lineRule="auto"/>
        <w:rPr>
          <w:sz w:val="20"/>
          <w:szCs w:val="20"/>
          <w:color w:val="auto"/>
        </w:rPr>
      </w:pPr>
      <w:r>
        <w:rPr>
          <w:rFonts w:ascii="Arial" w:cs="Arial" w:eastAsia="Arial" w:hAnsi="Arial"/>
          <w:sz w:val="18"/>
          <w:szCs w:val="18"/>
          <w:color w:val="auto"/>
        </w:rPr>
        <w:t>discredits, belittles, defames or is untrue or misleading and is made to negatively influence, tends to negatively influence or negatively influences or prejudices the reputation, business or image of any Released Party.</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The Employee acknowledges and agrees that a violation of the foregoing at any time, would be treated as a material breach of this</w:t>
      </w:r>
    </w:p>
    <w:p>
      <w:pPr>
        <w:jc w:val="both"/>
        <w:ind w:left="560"/>
        <w:spacing w:after="0" w:line="222" w:lineRule="auto"/>
        <w:rPr>
          <w:sz w:val="20"/>
          <w:szCs w:val="20"/>
          <w:color w:val="auto"/>
        </w:rPr>
      </w:pPr>
      <w:r>
        <w:rPr>
          <w:rFonts w:ascii="Arial" w:cs="Arial" w:eastAsia="Arial" w:hAnsi="Arial"/>
          <w:sz w:val="18"/>
          <w:szCs w:val="18"/>
          <w:color w:val="auto"/>
        </w:rPr>
        <w:t>Separation Agreement, entitling HydraFacial to cease any additional payments and immediately to seek recovery of any consideration already paid to the Employee herein without affecting the enforceability of the releases provided herein by the Employee.</w:t>
      </w:r>
    </w:p>
    <w:p>
      <w:pPr>
        <w:spacing w:after="0" w:line="17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6.8</w:t>
        <w:tab/>
        <w:t>For the avoidance of doubt, this Separation Agreement is without prejudice to the right of HydraFacial to claim for losses or damages</w:t>
      </w:r>
    </w:p>
    <w:p>
      <w:pPr>
        <w:jc w:val="both"/>
        <w:ind w:left="560"/>
        <w:spacing w:after="0" w:line="215" w:lineRule="auto"/>
        <w:rPr>
          <w:sz w:val="20"/>
          <w:szCs w:val="20"/>
          <w:color w:val="auto"/>
        </w:rPr>
      </w:pPr>
      <w:r>
        <w:rPr>
          <w:rFonts w:ascii="Arial" w:cs="Arial" w:eastAsia="Arial" w:hAnsi="Arial"/>
          <w:sz w:val="18"/>
          <w:szCs w:val="18"/>
          <w:color w:val="auto"/>
        </w:rPr>
        <w:t>arising from any contractual breaches, breaches of duty or other wrongdoing (including subsequent breaches of any continuing obligations which survive the termination of the Employment Agreement) by the Employee which may subsequently come to the attention of HydraFacial.</w:t>
      </w:r>
    </w:p>
    <w:p>
      <w:pPr>
        <w:spacing w:after="0" w:line="190"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w:t>
      </w:r>
    </w:p>
    <w:p>
      <w:pPr>
        <w:spacing w:after="0" w:line="226" w:lineRule="exact"/>
        <w:rPr>
          <w:sz w:val="20"/>
          <w:szCs w:val="20"/>
          <w:color w:val="auto"/>
        </w:rPr>
      </w:pPr>
    </w:p>
    <w:p>
      <w:pPr>
        <w:jc w:val="right"/>
        <w:spacing w:after="0" w:line="207" w:lineRule="auto"/>
        <w:rPr>
          <w:sz w:val="20"/>
          <w:szCs w:val="20"/>
          <w:color w:val="auto"/>
        </w:rPr>
      </w:pPr>
      <w:r>
        <w:rPr>
          <w:rFonts w:ascii="Arial" w:cs="Arial" w:eastAsia="Arial" w:hAnsi="Arial"/>
          <w:sz w:val="18"/>
          <w:szCs w:val="18"/>
          <w:color w:val="auto"/>
        </w:rPr>
        <w:t>7.1   This Separation Agreement together with any of the documents referred to in it sets out the entire agreement between the Parties and supersedes all previous agreements and arrangements (if any), whether oral, or in writing regarding the Employee’s employment or</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separation.</w:t>
      </w:r>
    </w:p>
    <w:p>
      <w:pPr>
        <w:spacing w:after="0" w:line="204" w:lineRule="exact"/>
        <w:rPr>
          <w:sz w:val="20"/>
          <w:szCs w:val="20"/>
          <w:color w:val="auto"/>
        </w:rPr>
      </w:pPr>
    </w:p>
    <w:p>
      <w:pPr>
        <w:ind w:left="460" w:hanging="555"/>
        <w:spacing w:after="0" w:line="222" w:lineRule="auto"/>
        <w:tabs>
          <w:tab w:leader="none" w:pos="440" w:val="left"/>
        </w:tabs>
        <w:rPr>
          <w:sz w:val="20"/>
          <w:szCs w:val="20"/>
          <w:color w:val="auto"/>
        </w:rPr>
      </w:pPr>
      <w:r>
        <w:rPr>
          <w:rFonts w:ascii="Arial" w:cs="Arial" w:eastAsia="Arial" w:hAnsi="Arial"/>
          <w:sz w:val="18"/>
          <w:szCs w:val="18"/>
          <w:color w:val="auto"/>
        </w:rPr>
        <w:t>7.2</w:t>
        <w:tab/>
        <w:t>The Employee agrees to execute, do and procure all other persons if any to execute and do all such further deeds, assurances, acts and things as may be reasonably required so that the full effect may be given to the terms and conditions of this Separation Agreement.</w:t>
      </w:r>
    </w:p>
    <w:p>
      <w:pPr>
        <w:spacing w:after="0" w:line="213" w:lineRule="exact"/>
        <w:rPr>
          <w:sz w:val="20"/>
          <w:szCs w:val="20"/>
          <w:color w:val="auto"/>
        </w:rPr>
      </w:pPr>
    </w:p>
    <w:p>
      <w:pPr>
        <w:ind w:left="460" w:hanging="555"/>
        <w:spacing w:after="0" w:line="222" w:lineRule="auto"/>
        <w:tabs>
          <w:tab w:leader="none" w:pos="440" w:val="left"/>
        </w:tabs>
        <w:rPr>
          <w:sz w:val="20"/>
          <w:szCs w:val="20"/>
          <w:color w:val="auto"/>
        </w:rPr>
      </w:pPr>
      <w:r>
        <w:rPr>
          <w:rFonts w:ascii="Arial" w:cs="Arial" w:eastAsia="Arial" w:hAnsi="Arial"/>
          <w:sz w:val="18"/>
          <w:szCs w:val="18"/>
          <w:color w:val="auto"/>
        </w:rPr>
        <w:t>7.3</w:t>
        <w:tab/>
        <w:t>Any and all amendments or modifications to this Separation Agreement must be written and signed by the authorised representative(s) of the Parties.</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This Separation Agreement shall benefit and be binding on the Parties and their respective successors and permitted assigns.</w:t>
      </w:r>
    </w:p>
    <w:p>
      <w:pPr>
        <w:jc w:val="both"/>
        <w:ind w:left="560"/>
        <w:spacing w:after="0" w:line="215" w:lineRule="auto"/>
        <w:rPr>
          <w:sz w:val="20"/>
          <w:szCs w:val="20"/>
          <w:color w:val="auto"/>
        </w:rPr>
      </w:pPr>
      <w:r>
        <w:rPr>
          <w:rFonts w:ascii="Arial" w:cs="Arial" w:eastAsia="Arial" w:hAnsi="Arial"/>
          <w:sz w:val="18"/>
          <w:szCs w:val="18"/>
          <w:color w:val="auto"/>
        </w:rPr>
        <w:t>HydraFacial may at its absolute discretion freely assign or transfer any or all of its rights and obligations under this Separation Agreement. The Employee may not assign or transfer all or any part of its rights and obligations under this Separation Agreement except with the prior written consent of HydraFacial.</w:t>
      </w:r>
    </w:p>
    <w:p>
      <w:pPr>
        <w:spacing w:after="0" w:line="212" w:lineRule="exact"/>
        <w:rPr>
          <w:sz w:val="20"/>
          <w:szCs w:val="20"/>
          <w:color w:val="auto"/>
        </w:rPr>
      </w:pPr>
    </w:p>
    <w:p>
      <w:pPr>
        <w:jc w:val="both"/>
        <w:ind w:left="480" w:hanging="555"/>
        <w:spacing w:after="0" w:line="215" w:lineRule="auto"/>
        <w:tabs>
          <w:tab w:leader="none" w:pos="460" w:val="left"/>
        </w:tabs>
        <w:rPr>
          <w:sz w:val="20"/>
          <w:szCs w:val="20"/>
          <w:color w:val="auto"/>
        </w:rPr>
      </w:pPr>
      <w:r>
        <w:rPr>
          <w:rFonts w:ascii="Arial" w:cs="Arial" w:eastAsia="Arial" w:hAnsi="Arial"/>
          <w:sz w:val="18"/>
          <w:szCs w:val="18"/>
          <w:color w:val="auto"/>
        </w:rPr>
        <w:t>7.5</w:t>
        <w:tab/>
        <w:t>Any failure to exercise or delay in the exercise of any right or remedy vested in a Party under or pursuant to this Separation Agreement shall not constitute a waiver of such right or remedy or a waiver of any other right or remedy and no single or partial exercise of any right or remedy shall prevent any further exercise of such right or remedy or the exercise of any other right or remedy available.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7.6</w:t>
        <w:tab/>
        <w:t>If any provision is for any reason determined by a court or arbitral tribunal to be invalid or unenforceable, the remaining provisions shall</w:t>
      </w:r>
    </w:p>
    <w:p>
      <w:pPr>
        <w:ind w:left="560"/>
        <w:spacing w:after="0" w:line="222" w:lineRule="auto"/>
        <w:rPr>
          <w:sz w:val="20"/>
          <w:szCs w:val="20"/>
          <w:color w:val="auto"/>
        </w:rPr>
      </w:pPr>
      <w:r>
        <w:rPr>
          <w:rFonts w:ascii="Arial" w:cs="Arial" w:eastAsia="Arial" w:hAnsi="Arial"/>
          <w:sz w:val="18"/>
          <w:szCs w:val="18"/>
          <w:color w:val="auto"/>
        </w:rPr>
        <w:t>not be affected, impaired, or invalidated, and remain in full force and effect with such modifications as may be necessary to make them valid and effective.</w:t>
      </w:r>
    </w:p>
    <w:p>
      <w:pPr>
        <w:spacing w:after="0" w:line="200" w:lineRule="exact"/>
        <w:rPr>
          <w:sz w:val="20"/>
          <w:szCs w:val="20"/>
          <w:color w:val="auto"/>
        </w:rPr>
      </w:pPr>
    </w:p>
    <w:p>
      <w:pPr>
        <w:ind w:left="480" w:hanging="555"/>
        <w:spacing w:after="0" w:line="230" w:lineRule="auto"/>
        <w:tabs>
          <w:tab w:leader="none" w:pos="460" w:val="left"/>
        </w:tabs>
        <w:rPr>
          <w:sz w:val="20"/>
          <w:szCs w:val="20"/>
          <w:color w:val="auto"/>
        </w:rPr>
      </w:pPr>
      <w:r>
        <w:rPr>
          <w:rFonts w:ascii="Arial" w:cs="Arial" w:eastAsia="Arial" w:hAnsi="Arial"/>
          <w:sz w:val="18"/>
          <w:szCs w:val="18"/>
          <w:color w:val="auto"/>
        </w:rPr>
        <w:t>7.7</w:t>
        <w:tab/>
        <w:t>The Employee recognizes that in the event of breach by the Employee of any provision of this Separation Agreement, HydraFacial may suffer irreparable damages, and that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7" w:right="339" w:bottom="1440" w:gutter="0" w:footer="0" w:header="0"/>
        </w:sectPr>
      </w:pPr>
    </w:p>
    <w:bookmarkStart w:id="51" w:name="page52"/>
    <w:bookmarkEnd w:id="51"/>
    <w:p>
      <w:pPr>
        <w:jc w:val="both"/>
        <w:ind w:left="560"/>
        <w:spacing w:after="0" w:line="207" w:lineRule="auto"/>
        <w:rPr>
          <w:sz w:val="20"/>
          <w:szCs w:val="20"/>
          <w:color w:val="auto"/>
        </w:rPr>
      </w:pPr>
      <w:r>
        <w:rPr>
          <w:rFonts w:ascii="Arial" w:cs="Arial" w:eastAsia="Arial" w:hAnsi="Arial"/>
          <w:sz w:val="18"/>
          <w:szCs w:val="18"/>
          <w:color w:val="auto"/>
        </w:rPr>
        <w:t>may not compensate HydraFacial for its loss. Accordingly, in addition to all other remedies available to HydraFacial at law or in equity, upon a showing by HydraFacial that the Employee has violated or is about to violate the terms of this Separation Agreement, the</w:t>
      </w:r>
    </w:p>
    <w:p>
      <w:pPr>
        <w:spacing w:after="0" w:line="1" w:lineRule="exact"/>
        <w:rPr>
          <w:sz w:val="20"/>
          <w:szCs w:val="20"/>
          <w:color w:val="auto"/>
        </w:rPr>
      </w:pPr>
    </w:p>
    <w:p>
      <w:pPr>
        <w:jc w:val="both"/>
        <w:ind w:left="560"/>
        <w:spacing w:after="0" w:line="215" w:lineRule="auto"/>
        <w:rPr>
          <w:sz w:val="20"/>
          <w:szCs w:val="20"/>
          <w:color w:val="auto"/>
        </w:rPr>
      </w:pPr>
      <w:r>
        <w:rPr>
          <w:rFonts w:ascii="Arial" w:cs="Arial" w:eastAsia="Arial" w:hAnsi="Arial"/>
          <w:sz w:val="18"/>
          <w:szCs w:val="18"/>
          <w:color w:val="auto"/>
        </w:rPr>
        <w:t>Employee irrevocably consents to the entry by a court of competent jurisdiction of an injunction or declaratory judgment enforcing the terms of this Separation Agreement, including without limitation preventing disclosure or further disclosure by him of confidential information.</w:t>
      </w:r>
    </w:p>
    <w:p>
      <w:pPr>
        <w:spacing w:after="0" w:line="212" w:lineRule="exact"/>
        <w:rPr>
          <w:sz w:val="20"/>
          <w:szCs w:val="20"/>
          <w:color w:val="auto"/>
        </w:rPr>
      </w:pPr>
    </w:p>
    <w:p>
      <w:pPr>
        <w:jc w:val="both"/>
        <w:ind w:left="460" w:hanging="555"/>
        <w:spacing w:after="0" w:line="222" w:lineRule="auto"/>
        <w:tabs>
          <w:tab w:leader="none" w:pos="440" w:val="left"/>
        </w:tabs>
        <w:rPr>
          <w:sz w:val="20"/>
          <w:szCs w:val="20"/>
          <w:color w:val="auto"/>
        </w:rPr>
      </w:pPr>
      <w:r>
        <w:rPr>
          <w:rFonts w:ascii="Arial" w:cs="Arial" w:eastAsia="Arial" w:hAnsi="Arial"/>
          <w:sz w:val="18"/>
          <w:szCs w:val="18"/>
          <w:color w:val="auto"/>
        </w:rPr>
        <w:t>7.8</w:t>
        <w:tab/>
        <w:t>Nothing in this Separation Agreement (including the payment of any sum of money) shall be construed as an admission by HydraFacial of any wrongdoing, liability or noncompliance with any applicable law or regulation.</w:t>
      </w:r>
    </w:p>
    <w:p>
      <w:pPr>
        <w:spacing w:after="0" w:line="200" w:lineRule="exact"/>
        <w:rPr>
          <w:sz w:val="20"/>
          <w:szCs w:val="20"/>
          <w:color w:val="auto"/>
        </w:rPr>
      </w:pPr>
    </w:p>
    <w:p>
      <w:pPr>
        <w:jc w:val="both"/>
        <w:ind w:left="460" w:hanging="555"/>
        <w:spacing w:after="0" w:line="230" w:lineRule="auto"/>
        <w:tabs>
          <w:tab w:leader="none" w:pos="440" w:val="left"/>
        </w:tabs>
        <w:rPr>
          <w:sz w:val="20"/>
          <w:szCs w:val="20"/>
          <w:color w:val="auto"/>
        </w:rPr>
      </w:pPr>
      <w:r>
        <w:rPr>
          <w:rFonts w:ascii="Arial" w:cs="Arial" w:eastAsia="Arial" w:hAnsi="Arial"/>
          <w:sz w:val="18"/>
          <w:szCs w:val="18"/>
          <w:color w:val="auto"/>
        </w:rPr>
        <w:t>7.9</w:t>
        <w:tab/>
        <w:t>A person who is not a party to this Separation Agreement may not enforce any terms hereof under the Contracts (Rights of Third Parties) Act 2001.</w:t>
      </w:r>
    </w:p>
    <w:p>
      <w:pPr>
        <w:spacing w:after="0" w:line="200" w:lineRule="exact"/>
        <w:rPr>
          <w:sz w:val="20"/>
          <w:szCs w:val="20"/>
          <w:color w:val="auto"/>
        </w:rPr>
      </w:pPr>
    </w:p>
    <w:p>
      <w:pPr>
        <w:jc w:val="both"/>
        <w:ind w:left="560" w:hanging="555"/>
        <w:spacing w:after="0" w:line="222" w:lineRule="auto"/>
        <w:tabs>
          <w:tab w:leader="none" w:pos="540" w:val="left"/>
        </w:tabs>
        <w:rPr>
          <w:sz w:val="20"/>
          <w:szCs w:val="20"/>
          <w:color w:val="auto"/>
        </w:rPr>
      </w:pPr>
      <w:r>
        <w:rPr>
          <w:rFonts w:ascii="Arial" w:cs="Arial" w:eastAsia="Arial" w:hAnsi="Arial"/>
          <w:sz w:val="18"/>
          <w:szCs w:val="18"/>
          <w:color w:val="auto"/>
        </w:rPr>
        <w:t>7.10</w:t>
        <w:tab/>
        <w:t>This Separation Agreement may be executed in any number of counterparts, each of which when so executed shall be deemed to be an original and all of which when taken together shall constitute one and the same instrument.</w:t>
      </w:r>
    </w:p>
    <w:p>
      <w:pPr>
        <w:spacing w:after="0" w:line="213" w:lineRule="exact"/>
        <w:rPr>
          <w:sz w:val="20"/>
          <w:szCs w:val="20"/>
          <w:color w:val="auto"/>
        </w:rPr>
      </w:pPr>
    </w:p>
    <w:p>
      <w:pPr>
        <w:jc w:val="both"/>
        <w:ind w:left="560" w:hanging="555"/>
        <w:spacing w:after="0" w:line="215" w:lineRule="auto"/>
        <w:tabs>
          <w:tab w:leader="none" w:pos="540" w:val="left"/>
        </w:tabs>
        <w:rPr>
          <w:sz w:val="20"/>
          <w:szCs w:val="20"/>
          <w:color w:val="auto"/>
        </w:rPr>
      </w:pPr>
      <w:r>
        <w:rPr>
          <w:rFonts w:ascii="Arial" w:cs="Arial" w:eastAsia="Arial" w:hAnsi="Arial"/>
          <w:sz w:val="18"/>
          <w:szCs w:val="18"/>
          <w:color w:val="auto"/>
        </w:rPr>
        <w:t>7.11</w:t>
        <w:tab/>
        <w:t>This Separation Agreement shall be governed and construed in accordance with the laws of the Republic of Singapore. The Parties agree to submit to the exclusive jurisdiction of the courts of Singapore as regards any claim or matter arising under this Separation Agreement.</w:t>
      </w:r>
    </w:p>
    <w:p>
      <w:pPr>
        <w:spacing w:after="0" w:line="212" w:lineRule="exact"/>
        <w:rPr>
          <w:sz w:val="20"/>
          <w:szCs w:val="20"/>
          <w:color w:val="auto"/>
        </w:rPr>
      </w:pPr>
    </w:p>
    <w:p>
      <w:pPr>
        <w:jc w:val="both"/>
        <w:ind w:left="560" w:hanging="555"/>
        <w:spacing w:after="0" w:line="222" w:lineRule="auto"/>
        <w:tabs>
          <w:tab w:leader="none" w:pos="540" w:val="left"/>
        </w:tabs>
        <w:rPr>
          <w:sz w:val="20"/>
          <w:szCs w:val="20"/>
          <w:color w:val="auto"/>
        </w:rPr>
      </w:pPr>
      <w:r>
        <w:rPr>
          <w:rFonts w:ascii="Arial" w:cs="Arial" w:eastAsia="Arial" w:hAnsi="Arial"/>
          <w:sz w:val="18"/>
          <w:szCs w:val="18"/>
          <w:color w:val="auto"/>
        </w:rPr>
        <w:t>7.12</w:t>
        <w:tab/>
        <w:t>The Employee confirms that she has had an opportunity to obtain independent legal advice on the effect of this Separation Agreement and that he has read and fully understands all the terms of this Separation Agreement which she signs of her own volition.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Signature page to the Separation Agreement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Executed by the Parties on the date first above-written.</w:t>
      </w: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for and on behalf of</w:t>
      </w:r>
    </w:p>
    <w:p>
      <w:pPr>
        <w:ind w:left="80"/>
        <w:spacing w:after="0"/>
        <w:rPr>
          <w:sz w:val="20"/>
          <w:szCs w:val="20"/>
          <w:color w:val="auto"/>
        </w:rPr>
      </w:pPr>
      <w:r>
        <w:rPr>
          <w:rFonts w:ascii="Arial" w:cs="Arial" w:eastAsia="Arial" w:hAnsi="Arial"/>
          <w:sz w:val="18"/>
          <w:szCs w:val="18"/>
          <w:b w:val="1"/>
          <w:bCs w:val="1"/>
          <w:color w:val="auto"/>
        </w:rPr>
        <w:t>HydraFacial LLC</w:t>
      </w: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Kellie Sears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129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Kellie Sears</w:t>
      </w:r>
    </w:p>
    <w:p>
      <w:pPr>
        <w:ind w:left="80"/>
        <w:spacing w:after="0"/>
        <w:rPr>
          <w:sz w:val="20"/>
          <w:szCs w:val="20"/>
          <w:color w:val="auto"/>
        </w:rPr>
      </w:pPr>
      <w:r>
        <w:rPr>
          <w:rFonts w:ascii="Arial" w:cs="Arial" w:eastAsia="Arial" w:hAnsi="Arial"/>
          <w:sz w:val="18"/>
          <w:szCs w:val="18"/>
          <w:b w:val="1"/>
          <w:bCs w:val="1"/>
          <w:color w:val="auto"/>
        </w:rPr>
        <w:t>Chief Human Resources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Indra Pamamull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3121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Indra Pamamull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680" w:space="720"/>
            <w:col w:w="4840"/>
          </w:cols>
          <w:pgMar w:left="320" w:top="1375" w:right="339" w:bottom="1440" w:gutter="0" w:footer="0" w:header="0"/>
        </w:sectPr>
      </w:pPr>
    </w:p>
    <w:bookmarkStart w:id="53" w:name="page54"/>
    <w:bookmarkEnd w:id="53"/>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Andrew Stanleick, certify that:</w:t>
      </w:r>
    </w:p>
    <w:p>
      <w:pPr>
        <w:spacing w:after="0" w:line="24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43"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54" w:name="page55"/>
    <w:bookmarkEnd w:id="54"/>
    <w:p>
      <w:pPr>
        <w:ind w:left="10140"/>
        <w:spacing w:after="0"/>
        <w:rPr>
          <w:sz w:val="20"/>
          <w:szCs w:val="20"/>
          <w:color w:val="auto"/>
        </w:rPr>
      </w:pPr>
      <w:r>
        <w:rPr>
          <w:rFonts w:ascii="Arial" w:cs="Arial" w:eastAsia="Arial" w:hAnsi="Arial"/>
          <w:sz w:val="17"/>
          <w:szCs w:val="17"/>
          <w:b w:val="1"/>
          <w:bCs w:val="1"/>
          <w:color w:val="auto"/>
        </w:rPr>
        <w:t>EXHIBIT 31.2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43"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075" w:right="339" w:bottom="1440" w:gutter="0" w:footer="0" w:header="0"/>
        </w:sectPr>
      </w:pPr>
    </w:p>
    <w:bookmarkStart w:id="55" w:name="page56"/>
    <w:bookmarkEnd w:id="55"/>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In connection with the Quarterly Report of The Beauty Health Company (the “Company”) on Form 10-Q for the quarterly period ended September 30, 2022, as filed with the Securities and Exchange Commission (the “Report”), I, Andrew Stanleick, President and Chief Executive Officer of the Company, certify, pursuant to 18 U.S.C. §1350, as added by §906 of the Sarbanes-Oxley Act of 2002, that, to my knowledge:</w:t>
      </w:r>
    </w:p>
    <w:p>
      <w:pPr>
        <w:spacing w:after="0" w:line="19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56" w:name="page57"/>
    <w:bookmarkEnd w:id="56"/>
    <w:p>
      <w:pPr>
        <w:ind w:left="10140"/>
        <w:spacing w:after="0"/>
        <w:rPr>
          <w:sz w:val="20"/>
          <w:szCs w:val="20"/>
          <w:color w:val="auto"/>
        </w:rPr>
      </w:pPr>
      <w:r>
        <w:rPr>
          <w:rFonts w:ascii="Arial" w:cs="Arial" w:eastAsia="Arial" w:hAnsi="Arial"/>
          <w:sz w:val="17"/>
          <w:szCs w:val="17"/>
          <w:b w:val="1"/>
          <w:bCs w:val="1"/>
          <w:color w:val="auto"/>
        </w:rPr>
        <w:t>EXHIBIT 32.2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September 30, 2022, as filed with the Securities and Exchange Commission (the “Report”), I, Liyuan Woo, Chief Financial Officer of the Company, certify, pursuant to 18 U.S.C. §1350, as added by §906 of the Sarbanes-Oxley Act of 2002, that, to my knowledge:</w:t>
      </w:r>
    </w:p>
    <w:p>
      <w:pPr>
        <w:spacing w:after="0" w:line="215"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upperLetter"/>
      <w:start w:val="6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upperLetter"/>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35"/>
    </w:lvl>
    <w:lvl w:ilvl="1">
      <w:lvlJc w:val="left"/>
      <w:lvlText w:val="%2"/>
      <w:numFmt w:val="lowerRoman"/>
      <w:start w:val="1"/>
    </w:lvl>
  </w:abstractNum>
  <w:abstractNum w:abstractNumId="21">
    <w:nsid w:val="189A769B"/>
    <w:multiLevelType w:val="hybridMultilevel"/>
    <w:lvl w:ilvl="0">
      <w:lvlJc w:val="left"/>
      <w:lvlText w:val="(%1)"/>
      <w:numFmt w:val="lowerLetter"/>
      <w:start w:val="1"/>
    </w:lvl>
    <w:lvl w:ilvl="1">
      <w:lvlJc w:val="left"/>
      <w:lvlText w:val="(%2)"/>
      <w:numFmt w:val="lowerRoman"/>
      <w:start w:val="1"/>
    </w:lvl>
  </w:abstractNum>
  <w:abstractNum w:abstractNumId="22">
    <w:nsid w:val="54E49EB4"/>
    <w:multiLevelType w:val="hybridMultilevel"/>
    <w:lvl w:ilvl="0">
      <w:lvlJc w:val="left"/>
      <w:lvlText w:val="(%1)"/>
      <w:numFmt w:val="lowerLetter"/>
      <w:start w:val="2"/>
    </w:lvl>
  </w:abstractNum>
  <w:abstractNum w:abstractNumId="23">
    <w:nsid w:val="71F32454"/>
    <w:multiLevelType w:val="hybridMultilevel"/>
    <w:lvl w:ilvl="0">
      <w:lvlJc w:val="left"/>
      <w:lvlText w:val="%1."/>
      <w:numFmt w:val="decimal"/>
      <w:start w:val="4"/>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decimal"/>
      <w:start w:val="6"/>
    </w:lvl>
  </w:abstractNum>
  <w:abstractNum w:abstractNumId="26">
    <w:nsid w:val="2901D82"/>
    <w:multiLevelType w:val="hybridMultilevel"/>
    <w:lvl w:ilvl="0">
      <w:lvlJc w:val="left"/>
      <w:lvlText w:val="%1."/>
      <w:numFmt w:val="decimal"/>
      <w:start w:val="7"/>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61" Type="http://schemas.openxmlformats.org/officeDocument/2006/relationships/hyperlink" Target="http://www.sec.gov/Archives/edgar/data/1818093/000121390020041690/ea131234ex2-1_vesperhealth.htm" TargetMode="External"/><Relationship Id="rId62" Type="http://schemas.openxmlformats.org/officeDocument/2006/relationships/hyperlink" Target="http://www.sec.gov/Archives/edgar/data/1818093/000119312521156433/d422189dex31.htm" TargetMode="External"/><Relationship Id="rId63" Type="http://schemas.openxmlformats.org/officeDocument/2006/relationships/hyperlink" Target="http://www.sec.gov/Archives/edgar/data/1818093/000119312521156433/d422189dex32.htm" TargetMode="External"/><Relationship Id="rId64" Type="http://schemas.openxmlformats.org/officeDocument/2006/relationships/hyperlink" Target="http://www.sec.gov/Archives/edgar/data/1818093/000181809321000062/exhibit41-convdebtclosing.htm" TargetMode="External"/><Relationship Id="rId65" Type="http://schemas.openxmlformats.org/officeDocument/2006/relationships/hyperlink" Target="http://www.sec.gov/Archives/edgar/data/1818093/000181809322000158/ex101-asrmasterconfirm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2022-11-09T18:43:57Z</dcterms:created>
  <dcterms:modified xsi:type="dcterms:W3CDTF">2022-11-09T18:43:57Z</dcterms:modified>
</cp:coreProperties>
</file>