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502920</wp:posOffset>
            </wp:positionV>
            <wp:extent cx="693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29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528320</wp:posOffset>
            </wp:positionV>
            <wp:extent cx="693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2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231F20"/>
        </w:rPr>
        <w:t>UNITED STATES</w:t>
      </w:r>
    </w:p>
    <w:p>
      <w:pPr>
        <w:spacing w:after="0" w:line="4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1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135255</wp:posOffset>
            </wp:positionV>
            <wp:extent cx="2086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27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2527935</wp:posOffset>
            </wp:positionH>
            <wp:positionV relativeFrom="paragraph">
              <wp:posOffset>31750</wp:posOffset>
            </wp:positionV>
            <wp:extent cx="2086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60" w:lineRule="exact"/>
        <w:rPr>
          <w:sz w:val="24"/>
          <w:szCs w:val="24"/>
          <w:color w:val="auto"/>
        </w:rPr>
      </w:pPr>
    </w:p>
    <w:p>
      <w:pPr>
        <w:jc w:val="center"/>
        <w:ind w:left="4000" w:right="1460" w:hanging="2523"/>
        <w:spacing w:after="0" w:line="293" w:lineRule="auto"/>
        <w:tabs>
          <w:tab w:leader="none" w:pos="1687" w:val="left"/>
        </w:tabs>
        <w:numPr>
          <w:ilvl w:val="1"/>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2022</w:t>
      </w:r>
    </w:p>
    <w:p>
      <w:pPr>
        <w:spacing w:after="0" w:line="24" w:lineRule="exact"/>
        <w:rPr>
          <w:rFonts w:ascii="MS PGothic" w:cs="MS PGothic" w:eastAsia="MS PGothic" w:hAnsi="MS PGothic"/>
          <w:sz w:val="19"/>
          <w:szCs w:val="19"/>
          <w:color w:val="auto"/>
        </w:rPr>
      </w:pPr>
    </w:p>
    <w:p>
      <w:pPr>
        <w:jc w:val="center"/>
        <w:ind w:left="3660" w:right="1500" w:hanging="2195"/>
        <w:spacing w:after="0" w:line="311" w:lineRule="auto"/>
        <w:tabs>
          <w:tab w:leader="none" w:pos="165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145415</wp:posOffset>
            </wp:positionV>
            <wp:extent cx="2086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35"/>
          <w:szCs w:val="35"/>
          <w:b w:val="1"/>
          <w:bCs w:val="1"/>
          <w:color w:val="auto"/>
        </w:rPr>
        <w:t>The Beauty Health Company</w:t>
      </w:r>
    </w:p>
    <w:p>
      <w:pPr>
        <w:spacing w:after="0" w:line="5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86360</wp:posOffset>
            </wp:positionV>
            <wp:extent cx="2086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420" w:type="dxa"/>
            <w:vAlign w:val="bottom"/>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80" w:type="dxa"/>
            <w:vAlign w:val="bottom"/>
          </w:tcPr>
          <w:p>
            <w:pPr>
              <w:spacing w:after="0"/>
              <w:rPr>
                <w:sz w:val="19"/>
                <w:szCs w:val="19"/>
                <w:color w:val="auto"/>
              </w:rPr>
            </w:pPr>
          </w:p>
        </w:tc>
        <w:tc>
          <w:tcPr>
            <w:tcW w:w="4240" w:type="dxa"/>
            <w:vAlign w:val="bottom"/>
            <w:gridSpan w:val="4"/>
          </w:tcPr>
          <w:p>
            <w:pPr>
              <w:jc w:val="right"/>
              <w:ind w:right="1878"/>
              <w:spacing w:after="0"/>
              <w:rPr>
                <w:sz w:val="20"/>
                <w:szCs w:val="20"/>
                <w:color w:val="auto"/>
              </w:rPr>
            </w:pPr>
            <w:r>
              <w:rPr>
                <w:rFonts w:ascii="Times New Roman" w:cs="Times New Roman" w:eastAsia="Times New Roman" w:hAnsi="Times New Roman"/>
                <w:sz w:val="18"/>
                <w:szCs w:val="18"/>
                <w:b w:val="1"/>
                <w:bCs w:val="1"/>
                <w:color w:val="auto"/>
              </w:rPr>
              <w:t>85-1908962</w:t>
            </w:r>
          </w:p>
        </w:tc>
        <w:tc>
          <w:tcPr>
            <w:tcW w:w="0" w:type="dxa"/>
            <w:vAlign w:val="bottom"/>
          </w:tcPr>
          <w:p>
            <w:pPr>
              <w:spacing w:after="0"/>
              <w:rPr>
                <w:sz w:val="1"/>
                <w:szCs w:val="1"/>
                <w:color w:val="auto"/>
              </w:rPr>
            </w:pPr>
          </w:p>
        </w:tc>
      </w:tr>
      <w:tr>
        <w:trPr>
          <w:trHeight w:val="177"/>
        </w:trPr>
        <w:tc>
          <w:tcPr>
            <w:tcW w:w="5420" w:type="dxa"/>
            <w:vAlign w:val="bottom"/>
            <w:gridSpan w:val="3"/>
          </w:tcPr>
          <w:p>
            <w:pPr>
              <w:ind w:left="1580"/>
              <w:spacing w:after="0" w:line="177"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jc w:val="center"/>
              <w:ind w:right="898"/>
              <w:spacing w:after="0" w:line="177" w:lineRule="exact"/>
              <w:rPr>
                <w:sz w:val="20"/>
                <w:szCs w:val="20"/>
                <w:color w:val="auto"/>
              </w:rPr>
            </w:pPr>
            <w:r>
              <w:rPr>
                <w:rFonts w:ascii="Times New Roman" w:cs="Times New Roman" w:eastAsia="Times New Roman" w:hAnsi="Times New Roman"/>
                <w:sz w:val="18"/>
                <w:szCs w:val="18"/>
                <w:color w:val="auto"/>
                <w:w w:val="97"/>
              </w:rPr>
              <w:t>(I.R.S. Employer Identification No.)</w:t>
            </w:r>
          </w:p>
        </w:tc>
        <w:tc>
          <w:tcPr>
            <w:tcW w:w="0" w:type="dxa"/>
            <w:vAlign w:val="bottom"/>
          </w:tcPr>
          <w:p>
            <w:pPr>
              <w:spacing w:after="0"/>
              <w:rPr>
                <w:sz w:val="1"/>
                <w:szCs w:val="1"/>
                <w:color w:val="auto"/>
              </w:rPr>
            </w:pPr>
          </w:p>
        </w:tc>
      </w:tr>
      <w:tr>
        <w:trPr>
          <w:trHeight w:val="231"/>
        </w:trPr>
        <w:tc>
          <w:tcPr>
            <w:tcW w:w="54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2165 Spring Street</w:t>
            </w:r>
          </w:p>
        </w:tc>
        <w:tc>
          <w:tcPr>
            <w:tcW w:w="1580" w:type="dxa"/>
            <w:vAlign w:val="bottom"/>
          </w:tcPr>
          <w:p>
            <w:pPr>
              <w:spacing w:after="0"/>
              <w:rPr>
                <w:sz w:val="24"/>
                <w:szCs w:val="24"/>
                <w:color w:val="auto"/>
              </w:rPr>
            </w:pPr>
          </w:p>
        </w:tc>
        <w:tc>
          <w:tcPr>
            <w:tcW w:w="4240" w:type="dxa"/>
            <w:vAlign w:val="bottom"/>
            <w:gridSpan w:val="4"/>
            <w:vMerge w:val="restart"/>
          </w:tcPr>
          <w:p>
            <w:pPr>
              <w:jc w:val="right"/>
              <w:ind w:right="1738"/>
              <w:spacing w:after="0"/>
              <w:rPr>
                <w:sz w:val="20"/>
                <w:szCs w:val="20"/>
                <w:color w:val="auto"/>
              </w:rPr>
            </w:pPr>
            <w:r>
              <w:rPr>
                <w:rFonts w:ascii="Times New Roman" w:cs="Times New Roman" w:eastAsia="Times New Roman" w:hAnsi="Times New Roman"/>
                <w:sz w:val="18"/>
                <w:szCs w:val="18"/>
                <w:b w:val="1"/>
                <w:bCs w:val="1"/>
                <w:color w:val="231F20"/>
              </w:rPr>
              <w:t>(800) 603-4996</w:t>
            </w:r>
          </w:p>
        </w:tc>
        <w:tc>
          <w:tcPr>
            <w:tcW w:w="0" w:type="dxa"/>
            <w:vAlign w:val="bottom"/>
          </w:tcPr>
          <w:p>
            <w:pPr>
              <w:spacing w:after="0"/>
              <w:rPr>
                <w:sz w:val="1"/>
                <w:szCs w:val="1"/>
                <w:color w:val="auto"/>
              </w:rPr>
            </w:pPr>
          </w:p>
        </w:tc>
      </w:tr>
      <w:tr>
        <w:trPr>
          <w:trHeight w:val="227"/>
        </w:trPr>
        <w:tc>
          <w:tcPr>
            <w:tcW w:w="5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Long Beach, CA 90806</w:t>
            </w:r>
          </w:p>
        </w:tc>
        <w:tc>
          <w:tcPr>
            <w:tcW w:w="1580" w:type="dxa"/>
            <w:vAlign w:val="bottom"/>
          </w:tcPr>
          <w:p>
            <w:pPr>
              <w:spacing w:after="0"/>
              <w:rPr>
                <w:sz w:val="19"/>
                <w:szCs w:val="19"/>
                <w:color w:val="auto"/>
              </w:rPr>
            </w:pPr>
          </w:p>
        </w:tc>
        <w:tc>
          <w:tcPr>
            <w:tcW w:w="42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231F20"/>
                <w:w w:val="98"/>
              </w:rPr>
              <w:t>(Address of principal executive offices, including zip code)</w:t>
            </w:r>
          </w:p>
        </w:tc>
        <w:tc>
          <w:tcPr>
            <w:tcW w:w="1580" w:type="dxa"/>
            <w:vAlign w:val="bottom"/>
          </w:tcPr>
          <w:p>
            <w:pPr>
              <w:spacing w:after="0"/>
              <w:rPr>
                <w:sz w:val="20"/>
                <w:szCs w:val="20"/>
                <w:color w:val="auto"/>
              </w:rPr>
            </w:pPr>
          </w:p>
        </w:tc>
        <w:tc>
          <w:tcPr>
            <w:tcW w:w="4240" w:type="dxa"/>
            <w:vAlign w:val="bottom"/>
            <w:gridSpan w:val="4"/>
          </w:tcPr>
          <w:p>
            <w:pPr>
              <w:jc w:val="center"/>
              <w:ind w:right="418"/>
              <w:spacing w:after="0"/>
              <w:rPr>
                <w:sz w:val="20"/>
                <w:szCs w:val="20"/>
                <w:color w:val="auto"/>
              </w:rPr>
            </w:pPr>
            <w:r>
              <w:rPr>
                <w:rFonts w:ascii="Times New Roman" w:cs="Times New Roman" w:eastAsia="Times New Roman" w:hAnsi="Times New Roman"/>
                <w:sz w:val="18"/>
                <w:szCs w:val="18"/>
                <w:color w:val="231F20"/>
                <w:w w:val="98"/>
              </w:rPr>
              <w:t>Registrant's telephone number, including area code</w:t>
            </w:r>
          </w:p>
        </w:tc>
        <w:tc>
          <w:tcPr>
            <w:tcW w:w="0" w:type="dxa"/>
            <w:vAlign w:val="bottom"/>
          </w:tcPr>
          <w:p>
            <w:pPr>
              <w:spacing w:after="0"/>
              <w:rPr>
                <w:sz w:val="1"/>
                <w:szCs w:val="1"/>
                <w:color w:val="auto"/>
              </w:rPr>
            </w:pPr>
          </w:p>
        </w:tc>
      </w:tr>
      <w:tr>
        <w:trPr>
          <w:trHeight w:val="118"/>
        </w:trPr>
        <w:tc>
          <w:tcPr>
            <w:tcW w:w="398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1240" w:type="dxa"/>
            <w:vAlign w:val="bottom"/>
            <w:gridSpan w:val="8"/>
          </w:tcPr>
          <w:p>
            <w:pPr>
              <w:ind w:left="3620"/>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tc>
        <w:tc>
          <w:tcPr>
            <w:tcW w:w="0" w:type="dxa"/>
            <w:vAlign w:val="bottom"/>
          </w:tcPr>
          <w:p>
            <w:pPr>
              <w:spacing w:after="0"/>
              <w:rPr>
                <w:sz w:val="1"/>
                <w:szCs w:val="1"/>
                <w:color w:val="auto"/>
              </w:rPr>
            </w:pPr>
          </w:p>
        </w:tc>
      </w:tr>
      <w:tr>
        <w:trPr>
          <w:trHeight w:val="200"/>
        </w:trPr>
        <w:tc>
          <w:tcPr>
            <w:tcW w:w="5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5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A Common Stock, par value $0.0001 per share</w:t>
            </w:r>
          </w:p>
        </w:tc>
        <w:tc>
          <w:tcPr>
            <w:tcW w:w="100" w:type="dxa"/>
            <w:vAlign w:val="bottom"/>
          </w:tcPr>
          <w:p>
            <w:pPr>
              <w:spacing w:after="0"/>
              <w:rPr>
                <w:sz w:val="19"/>
                <w:szCs w:val="19"/>
                <w:color w:val="auto"/>
              </w:rPr>
            </w:pPr>
          </w:p>
        </w:tc>
        <w:tc>
          <w:tcPr>
            <w:tcW w:w="1580" w:type="dxa"/>
            <w:vAlign w:val="bottom"/>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5"/>
              </w:rPr>
              <w:t>SKIN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Capital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50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ind w:right="20"/>
        <w:spacing w:after="0" w:line="22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6"/>
        </w:trPr>
        <w:tc>
          <w:tcPr>
            <w:tcW w:w="18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80"/>
        <w:spacing w:after="0" w:line="21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2022, there were 150,631,965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225425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BEAUTY HEALTH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2"/>
        </w:trPr>
        <w:tc>
          <w:tcPr>
            <w:tcW w:w="10620" w:type="dxa"/>
            <w:vAlign w:val="bottom"/>
            <w:tcBorders>
              <w:left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 I—FINANCIAL INFORMATION</w:t>
            </w: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Financial Statements</w:t>
            </w:r>
          </w:p>
        </w:tc>
        <w:tc>
          <w:tcPr>
            <w:tcW w:w="360" w:type="dxa"/>
            <w:vAlign w:val="bottom"/>
            <w:gridSpan w:val="2"/>
          </w:tcPr>
          <w:p>
            <w:pPr>
              <w:jc w:val="center"/>
              <w:ind w:left="172"/>
              <w:spacing w:after="0" w:line="186" w:lineRule="exact"/>
              <w:rPr>
                <w:sz w:val="20"/>
                <w:szCs w:val="20"/>
                <w:color w:val="auto"/>
              </w:rPr>
            </w:pPr>
            <w:r>
              <w:rPr>
                <w:rFonts w:ascii="Times New Roman" w:cs="Times New Roman" w:eastAsia="Times New Roman" w:hAnsi="Times New Roman"/>
                <w:sz w:val="18"/>
                <w:szCs w:val="18"/>
                <w:color w:val="0000FF"/>
              </w:rPr>
              <w:t>4</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5"/>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Times New Roman" w:cs="Times New Roman" w:eastAsia="Times New Roman" w:hAnsi="Times New Roman"/>
                <w:sz w:val="18"/>
                <w:szCs w:val="18"/>
                <w:color w:val="0000FF"/>
              </w:rPr>
              <w:t>4</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(Unaudited)</w:t>
            </w:r>
          </w:p>
        </w:tc>
        <w:tc>
          <w:tcPr>
            <w:tcW w:w="360" w:type="dxa"/>
            <w:vAlign w:val="bottom"/>
            <w:gridSpan w:val="2"/>
          </w:tcPr>
          <w:p>
            <w:pPr>
              <w:jc w:val="center"/>
              <w:ind w:left="172"/>
              <w:spacing w:after="0" w:line="186" w:lineRule="exact"/>
              <w:rPr>
                <w:sz w:val="20"/>
                <w:szCs w:val="20"/>
                <w:color w:val="auto"/>
              </w:rPr>
            </w:pPr>
            <w:r>
              <w:rPr>
                <w:rFonts w:ascii="Times New Roman" w:cs="Times New Roman" w:eastAsia="Times New Roman" w:hAnsi="Times New Roman"/>
                <w:sz w:val="18"/>
                <w:szCs w:val="18"/>
                <w:color w:val="0000FF"/>
              </w:rPr>
              <w:t>5</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5"/>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 Deficit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Times New Roman" w:cs="Times New Roman" w:eastAsia="Times New Roman" w:hAnsi="Times New Roman"/>
                <w:sz w:val="18"/>
                <w:szCs w:val="18"/>
                <w:color w:val="0000FF"/>
              </w:rPr>
              <w:t>6</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5"/>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60" w:type="dxa"/>
            <w:vAlign w:val="bottom"/>
            <w:gridSpan w:val="2"/>
          </w:tcPr>
          <w:p>
            <w:pPr>
              <w:jc w:val="center"/>
              <w:ind w:left="172"/>
              <w:spacing w:after="0" w:line="186" w:lineRule="exact"/>
              <w:rPr>
                <w:sz w:val="20"/>
                <w:szCs w:val="20"/>
                <w:color w:val="auto"/>
              </w:rPr>
            </w:pPr>
            <w:r>
              <w:rPr>
                <w:rFonts w:ascii="Times New Roman" w:cs="Times New Roman" w:eastAsia="Times New Roman" w:hAnsi="Times New Roman"/>
                <w:sz w:val="18"/>
                <w:szCs w:val="18"/>
                <w:color w:val="0000FF"/>
              </w:rPr>
              <w:t>7</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r>
      <w:tr>
        <w:trPr>
          <w:trHeight w:val="195"/>
        </w:trPr>
        <w:tc>
          <w:tcPr>
            <w:tcW w:w="1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40" w:type="dxa"/>
            <w:vAlign w:val="bottom"/>
            <w:gridSpan w:val="15"/>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360" w:type="dxa"/>
            <w:vAlign w:val="bottom"/>
            <w:gridSpan w:val="2"/>
            <w:shd w:val="clear" w:color="auto" w:fill="CCEEFF"/>
          </w:tcPr>
          <w:p>
            <w:pPr>
              <w:jc w:val="center"/>
              <w:ind w:left="172"/>
              <w:spacing w:after="0" w:line="195" w:lineRule="exact"/>
              <w:rPr>
                <w:sz w:val="20"/>
                <w:szCs w:val="20"/>
                <w:color w:val="auto"/>
              </w:rPr>
            </w:pPr>
            <w:r>
              <w:rPr>
                <w:rFonts w:ascii="Times New Roman" w:cs="Times New Roman" w:eastAsia="Times New Roman" w:hAnsi="Times New Roman"/>
                <w:sz w:val="18"/>
                <w:szCs w:val="18"/>
                <w:color w:val="0000FF"/>
              </w:rPr>
              <w:t>9</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5"/>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36</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37</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222"/>
        </w:trPr>
        <w:tc>
          <w:tcPr>
            <w:tcW w:w="10620" w:type="dxa"/>
            <w:vAlign w:val="bottom"/>
            <w:tcBorders>
              <w:left w:val="single" w:sz="8" w:color="CCEEFF"/>
            </w:tcBorders>
            <w:gridSpan w:val="1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 II—OTHER INFORMATION</w:t>
            </w: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left w:val="single" w:sz="8" w:color="CCEEFF"/>
            </w:tcBorders>
            <w:shd w:val="clear" w:color="auto" w:fill="CCEEFF"/>
          </w:tcPr>
          <w:p>
            <w:pPr>
              <w:spacing w:after="0"/>
              <w:rPr>
                <w:sz w:val="19"/>
                <w:szCs w:val="19"/>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15"/>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440" w:type="dxa"/>
            <w:vAlign w:val="bottom"/>
            <w:gridSpan w:val="15"/>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86"/>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Pr>
          <w:p>
            <w:pPr>
              <w:spacing w:after="0"/>
              <w:rPr>
                <w:sz w:val="16"/>
                <w:szCs w:val="16"/>
                <w:color w:val="auto"/>
              </w:rPr>
            </w:pPr>
          </w:p>
        </w:tc>
      </w:tr>
      <w:tr>
        <w:trPr>
          <w:trHeight w:val="30"/>
        </w:trPr>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r>
      <w:tr>
        <w:trPr>
          <w:trHeight w:val="195"/>
        </w:trPr>
        <w:tc>
          <w:tcPr>
            <w:tcW w:w="1180" w:type="dxa"/>
            <w:vAlign w:val="bottom"/>
            <w:tcBorders>
              <w:left w:val="single" w:sz="8" w:color="CCEEFF"/>
            </w:tcBorders>
            <w:gridSpan w:val="2"/>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5"/>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360" w:type="dxa"/>
            <w:vAlign w:val="bottom"/>
            <w:gridSpan w:val="2"/>
            <w:shd w:val="clear" w:color="auto" w:fill="CCEEFF"/>
          </w:tcPr>
          <w:p>
            <w:pPr>
              <w:jc w:val="center"/>
              <w:ind w:left="92"/>
              <w:spacing w:after="0" w:line="195" w:lineRule="exact"/>
              <w:rPr>
                <w:sz w:val="20"/>
                <w:szCs w:val="20"/>
                <w:color w:val="auto"/>
              </w:rPr>
            </w:pPr>
            <w:r>
              <w:rPr>
                <w:rFonts w:ascii="Times New Roman" w:cs="Times New Roman" w:eastAsia="Times New Roman" w:hAnsi="Times New Roman"/>
                <w:sz w:val="18"/>
                <w:szCs w:val="18"/>
                <w:color w:val="0000FF"/>
                <w:w w:val="99"/>
              </w:rPr>
              <w:t>39</w:t>
            </w: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r>
      <w:tr>
        <w:trPr>
          <w:trHeight w:val="195"/>
        </w:trPr>
        <w:tc>
          <w:tcPr>
            <w:tcW w:w="1180" w:type="dxa"/>
            <w:vAlign w:val="bottom"/>
            <w:gridSpan w:val="2"/>
          </w:tcPr>
          <w:p>
            <w:pPr>
              <w:ind w:left="240"/>
              <w:spacing w:after="0" w:line="186" w:lineRule="exact"/>
              <w:rPr>
                <w:sz w:val="20"/>
                <w:szCs w:val="20"/>
                <w:color w:val="auto"/>
              </w:rPr>
            </w:pPr>
            <w:r>
              <w:rPr>
                <w:rFonts w:ascii="Times New Roman" w:cs="Times New Roman" w:eastAsia="Times New Roman" w:hAnsi="Times New Roman"/>
                <w:sz w:val="18"/>
                <w:szCs w:val="18"/>
                <w:color w:val="auto"/>
              </w:rPr>
              <w:t>Item 6.</w:t>
            </w:r>
          </w:p>
        </w:tc>
        <w:tc>
          <w:tcPr>
            <w:tcW w:w="9440" w:type="dxa"/>
            <w:vAlign w:val="bottom"/>
            <w:gridSpan w:val="15"/>
          </w:tcPr>
          <w:p>
            <w:pPr>
              <w:ind w:left="80"/>
              <w:spacing w:after="0" w:line="186" w:lineRule="exact"/>
              <w:rPr>
                <w:sz w:val="20"/>
                <w:szCs w:val="20"/>
                <w:color w:val="auto"/>
              </w:rPr>
            </w:pPr>
            <w:r>
              <w:rPr>
                <w:rFonts w:ascii="Times New Roman" w:cs="Times New Roman" w:eastAsia="Times New Roman" w:hAnsi="Times New Roman"/>
                <w:sz w:val="18"/>
                <w:szCs w:val="18"/>
                <w:color w:val="0000FF"/>
              </w:rPr>
              <w:t>Exhibits</w:t>
            </w:r>
          </w:p>
        </w:tc>
        <w:tc>
          <w:tcPr>
            <w:tcW w:w="360" w:type="dxa"/>
            <w:vAlign w:val="bottom"/>
            <w:gridSpan w:val="2"/>
          </w:tcPr>
          <w:p>
            <w:pPr>
              <w:jc w:val="center"/>
              <w:ind w:left="92"/>
              <w:spacing w:after="0" w:line="186" w:lineRule="exact"/>
              <w:rPr>
                <w:sz w:val="20"/>
                <w:szCs w:val="20"/>
                <w:color w:val="auto"/>
              </w:rPr>
            </w:pPr>
            <w:r>
              <w:rPr>
                <w:rFonts w:ascii="Times New Roman" w:cs="Times New Roman" w:eastAsia="Times New Roman" w:hAnsi="Times New Roman"/>
                <w:sz w:val="18"/>
                <w:szCs w:val="18"/>
                <w:color w:val="0000FF"/>
                <w:w w:val="99"/>
              </w:rPr>
              <w:t>41</w:t>
            </w:r>
          </w:p>
        </w:tc>
        <w:tc>
          <w:tcPr>
            <w:tcW w:w="260" w:type="dxa"/>
            <w:vAlign w:val="bottom"/>
          </w:tcPr>
          <w:p>
            <w:pPr>
              <w:spacing w:after="0"/>
              <w:rPr>
                <w:sz w:val="16"/>
                <w:szCs w:val="16"/>
                <w:color w:val="auto"/>
              </w:rPr>
            </w:pPr>
          </w:p>
        </w:tc>
      </w:tr>
      <w:tr>
        <w:trPr>
          <w:trHeight w:val="195"/>
        </w:trPr>
        <w:tc>
          <w:tcPr>
            <w:tcW w:w="1180" w:type="dxa"/>
            <w:vAlign w:val="bottom"/>
            <w:tcBorders>
              <w:left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r>
      <w:tr>
        <w:trPr>
          <w:trHeight w:val="40"/>
        </w:trPr>
        <w:tc>
          <w:tcPr>
            <w:tcW w:w="1100" w:type="dxa"/>
            <w:vAlign w:val="bottom"/>
            <w:tcBorders>
              <w:lef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CONDENSED CONSOLIDATED BALANCE SHEETS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20" w:type="dxa"/>
            <w:vAlign w:val="bottom"/>
          </w:tcPr>
          <w:p>
            <w:pPr>
              <w:spacing w:after="0"/>
              <w:rPr>
                <w:sz w:val="18"/>
                <w:szCs w:val="18"/>
                <w:color w:val="auto"/>
              </w:rPr>
            </w:pPr>
          </w:p>
        </w:tc>
        <w:tc>
          <w:tcPr>
            <w:tcW w:w="17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Current assets: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859,237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901,886</w:t>
            </w:r>
          </w:p>
        </w:tc>
        <w:tc>
          <w:tcPr>
            <w:tcW w:w="0" w:type="dxa"/>
            <w:vAlign w:val="bottom"/>
          </w:tcPr>
          <w:p>
            <w:pPr>
              <w:spacing w:after="0"/>
              <w:rPr>
                <w:sz w:val="1"/>
                <w:szCs w:val="1"/>
                <w:color w:val="auto"/>
              </w:rPr>
            </w:pPr>
          </w:p>
        </w:tc>
      </w:tr>
      <w:tr>
        <w:trPr>
          <w:trHeight w:val="180"/>
        </w:trPr>
        <w:tc>
          <w:tcPr>
            <w:tcW w:w="72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231F20"/>
                <w:w w:val="99"/>
              </w:rPr>
              <w:t>Accounts receivable, net of allowances for doubtful accounts of $2,536 and $2,681 at March 31,</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580"/>
              <w:spacing w:after="0"/>
              <w:rPr>
                <w:sz w:val="20"/>
                <w:szCs w:val="20"/>
                <w:color w:val="auto"/>
              </w:rPr>
            </w:pPr>
            <w:r>
              <w:rPr>
                <w:rFonts w:ascii="Times New Roman" w:cs="Times New Roman" w:eastAsia="Times New Roman" w:hAnsi="Times New Roman"/>
                <w:sz w:val="18"/>
                <w:szCs w:val="18"/>
                <w:color w:val="231F20"/>
              </w:rPr>
              <w:t>2022 and December 31, 2021, respectively</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60,769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46,824</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12,322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Income tax receivable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4,599</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Inventories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35,261</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Total current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982,394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1,000,892</w:t>
            </w:r>
          </w:p>
        </w:tc>
        <w:tc>
          <w:tcPr>
            <w:tcW w:w="0" w:type="dxa"/>
            <w:vAlign w:val="bottom"/>
          </w:tcPr>
          <w:p>
            <w:pPr>
              <w:spacing w:after="0"/>
              <w:rPr>
                <w:sz w:val="1"/>
                <w:szCs w:val="1"/>
                <w:color w:val="auto"/>
              </w:rPr>
            </w:pPr>
          </w:p>
        </w:tc>
      </w:tr>
      <w:tr>
        <w:trPr>
          <w:trHeight w:val="218"/>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16,183</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Right-of-use assets,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14,992</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Intangible assets,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52,544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56,010</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Goodwill</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123,694</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Deferred income tax assets, net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Other assets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6,705</w:t>
            </w: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231F20"/>
              </w:rPr>
              <w:t>TOTAL ASSETS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1,199,178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Current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Accounts payable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26,962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29,049</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Accrued payroll-related expenses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21,383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28,662</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Other accrued expenses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14,722</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Lease liabilities, current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3,712</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231F20"/>
              </w:rPr>
              <w:t>Income tax payable</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4,197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292</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Total current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68,930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76,437</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Other long-term liabilities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Lease liabilities, non-current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12,781</w:t>
            </w:r>
          </w:p>
        </w:tc>
        <w:tc>
          <w:tcPr>
            <w:tcW w:w="0" w:type="dxa"/>
            <w:vAlign w:val="bottom"/>
          </w:tcPr>
          <w:p>
            <w:pPr>
              <w:spacing w:after="0"/>
              <w:rPr>
                <w:sz w:val="1"/>
                <w:szCs w:val="1"/>
                <w:color w:val="auto"/>
              </w:rPr>
            </w:pPr>
          </w:p>
        </w:tc>
      </w:tr>
      <w:tr>
        <w:trPr>
          <w:trHeight w:val="225"/>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Deferred income tax liabilities, net</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3,761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3,561</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Warrant liabilities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93,816</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Convertible senior notes, net</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730,971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729,914</w:t>
            </w:r>
          </w:p>
        </w:tc>
        <w:tc>
          <w:tcPr>
            <w:tcW w:w="0" w:type="dxa"/>
            <w:vAlign w:val="bottom"/>
          </w:tcPr>
          <w:p>
            <w:pPr>
              <w:spacing w:after="0"/>
              <w:rPr>
                <w:sz w:val="1"/>
                <w:szCs w:val="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857,470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916,509</w:t>
            </w:r>
          </w:p>
        </w:tc>
        <w:tc>
          <w:tcPr>
            <w:tcW w:w="0" w:type="dxa"/>
            <w:vAlign w:val="bottom"/>
          </w:tcPr>
          <w:p>
            <w:pPr>
              <w:spacing w:after="0"/>
              <w:rPr>
                <w:sz w:val="1"/>
                <w:szCs w:val="1"/>
                <w:color w:val="auto"/>
              </w:rPr>
            </w:pPr>
          </w:p>
        </w:tc>
      </w:tr>
      <w:tr>
        <w:trPr>
          <w:trHeight w:val="205"/>
        </w:trPr>
        <w:tc>
          <w:tcPr>
            <w:tcW w:w="7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(Note 13)</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Stockholders’ equity:</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231F20"/>
              </w:rPr>
              <w:t>Class A Common Stock, $0.0001 par value; 320,000,000 shares authorized; 150,603,231 and</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60" w:type="dxa"/>
            <w:vAlign w:val="bottom"/>
          </w:tcPr>
          <w:p>
            <w:pPr>
              <w:ind w:left="500"/>
              <w:spacing w:after="0" w:line="177" w:lineRule="exact"/>
              <w:rPr>
                <w:sz w:val="20"/>
                <w:szCs w:val="20"/>
                <w:color w:val="auto"/>
              </w:rPr>
            </w:pPr>
            <w:r>
              <w:rPr>
                <w:rFonts w:ascii="Times New Roman" w:cs="Times New Roman" w:eastAsia="Times New Roman" w:hAnsi="Times New Roman"/>
                <w:sz w:val="18"/>
                <w:szCs w:val="18"/>
                <w:color w:val="231F20"/>
              </w:rPr>
              <w:t>150,598,047 shares issued and outstanding at March 31, 2022 and December 31, 2021,</w:t>
            </w:r>
          </w:p>
        </w:tc>
        <w:tc>
          <w:tcPr>
            <w:tcW w:w="2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0" w:type="dxa"/>
            <w:vAlign w:val="bottom"/>
          </w:tcPr>
          <w:p>
            <w:pPr>
              <w:spacing w:after="0"/>
              <w:rPr>
                <w:sz w:val="1"/>
                <w:szCs w:val="1"/>
                <w:color w:val="auto"/>
              </w:rPr>
            </w:pPr>
          </w:p>
        </w:tc>
      </w:tr>
      <w:tr>
        <w:trPr>
          <w:trHeight w:val="225"/>
        </w:trPr>
        <w:tc>
          <w:tcPr>
            <w:tcW w:w="7260" w:type="dxa"/>
            <w:vAlign w:val="bottom"/>
          </w:tcPr>
          <w:p>
            <w:pPr>
              <w:ind w:left="500"/>
              <w:spacing w:after="0"/>
              <w:rPr>
                <w:sz w:val="20"/>
                <w:szCs w:val="20"/>
                <w:color w:val="auto"/>
              </w:rPr>
            </w:pPr>
            <w:r>
              <w:rPr>
                <w:rFonts w:ascii="Times New Roman" w:cs="Times New Roman" w:eastAsia="Times New Roman" w:hAnsi="Times New Roman"/>
                <w:sz w:val="18"/>
                <w:szCs w:val="18"/>
                <w:color w:val="231F20"/>
              </w:rPr>
              <w:t>respectively</w:t>
            </w:r>
          </w:p>
        </w:tc>
        <w:tc>
          <w:tcPr>
            <w:tcW w:w="28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2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231F20"/>
              </w:rPr>
              <w:t>Preferred Stock, $0.0001 par value; 1,000,000 shares authorized; no shares issued and</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231F20"/>
              </w:rPr>
              <w:t>outstanding at March 31, 2022 and December 31, 2021</w:t>
            </w:r>
          </w:p>
        </w:tc>
        <w:tc>
          <w:tcPr>
            <w:tcW w:w="2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5"/>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729,299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722,250</w:t>
            </w:r>
          </w:p>
        </w:tc>
        <w:tc>
          <w:tcPr>
            <w:tcW w:w="0" w:type="dxa"/>
            <w:vAlign w:val="bottom"/>
          </w:tcPr>
          <w:p>
            <w:pPr>
              <w:spacing w:after="0"/>
              <w:rPr>
                <w:sz w:val="1"/>
                <w:szCs w:val="1"/>
                <w:color w:val="auto"/>
              </w:rPr>
            </w:pPr>
          </w:p>
        </w:tc>
      </w:tr>
      <w:tr>
        <w:trPr>
          <w:trHeight w:val="225"/>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Accumulated other comprehensive loss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(1,257)</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231F20"/>
              </w:rPr>
              <w:t>Accumulated deficit</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(386,205)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(418,712)</w:t>
            </w:r>
          </w:p>
        </w:tc>
        <w:tc>
          <w:tcPr>
            <w:tcW w:w="0" w:type="dxa"/>
            <w:vAlign w:val="bottom"/>
          </w:tcPr>
          <w:p>
            <w:pPr>
              <w:spacing w:after="0"/>
              <w:rPr>
                <w:sz w:val="1"/>
                <w:szCs w:val="1"/>
                <w:color w:val="auto"/>
              </w:rPr>
            </w:pPr>
          </w:p>
        </w:tc>
      </w:tr>
      <w:tr>
        <w:trPr>
          <w:trHeight w:val="244"/>
        </w:trPr>
        <w:tc>
          <w:tcPr>
            <w:tcW w:w="72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231F20"/>
              </w:rPr>
              <w:t>Total stockholders’ equity</w:t>
            </w:r>
          </w:p>
        </w:tc>
        <w:tc>
          <w:tcPr>
            <w:tcW w:w="2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341,708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302,297</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6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b w:val="1"/>
                <w:bCs w:val="1"/>
                <w:color w:val="231F20"/>
              </w:rPr>
              <w:t>LIABILITIES AND STOCKHOLDERS’ EQUITY</w:t>
            </w:r>
          </w:p>
        </w:tc>
        <w:tc>
          <w:tcPr>
            <w:tcW w:w="280" w:type="dxa"/>
            <w:vAlign w:val="bottom"/>
            <w:tcBorders>
              <w:bottom w:val="single" w:sz="8" w:color="auto"/>
            </w:tcBorders>
          </w:tcPr>
          <w:p>
            <w:pPr>
              <w:jc w:val="right"/>
              <w:ind w:right="72"/>
              <w:spacing w:after="0" w:line="198" w:lineRule="exact"/>
              <w:rPr>
                <w:sz w:val="20"/>
                <w:szCs w:val="20"/>
                <w:color w:val="auto"/>
              </w:rPr>
            </w:pPr>
            <w:r>
              <w:rPr>
                <w:rFonts w:ascii="Times New Roman" w:cs="Times New Roman" w:eastAsia="Times New Roman" w:hAnsi="Times New Roman"/>
                <w:sz w:val="18"/>
                <w:szCs w:val="18"/>
                <w:color w:val="231F20"/>
              </w:rPr>
              <w:t>$</w:t>
            </w:r>
          </w:p>
        </w:tc>
        <w:tc>
          <w:tcPr>
            <w:tcW w:w="16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231F20"/>
              </w:rPr>
              <w:t>1,199,178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231F20"/>
                <w:w w:val="88"/>
              </w:rPr>
              <w:t>$</w:t>
            </w:r>
          </w:p>
        </w:tc>
        <w:tc>
          <w:tcPr>
            <w:tcW w:w="17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231F20"/>
              </w:rPr>
              <w:t>1,218,806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COMPREHENSIVE LOSS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and per share amounts)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38"/>
        </w:trPr>
        <w:tc>
          <w:tcPr>
            <w:tcW w:w="78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Net sales</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75,415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47,542</w:t>
            </w: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23,478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15,802</w:t>
            </w:r>
          </w:p>
        </w:tc>
        <w:tc>
          <w:tcPr>
            <w:tcW w:w="0" w:type="dxa"/>
            <w:vAlign w:val="bottom"/>
          </w:tcPr>
          <w:p>
            <w:pPr>
              <w:spacing w:after="0"/>
              <w:rPr>
                <w:sz w:val="1"/>
                <w:szCs w:val="1"/>
                <w:color w:val="auto"/>
              </w:rPr>
            </w:pPr>
          </w:p>
        </w:tc>
      </w:tr>
      <w:tr>
        <w:trPr>
          <w:trHeight w:val="23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231F20"/>
              </w:rPr>
              <w:t>Gross profit</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51,937</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31,740</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231F20"/>
              </w:rPr>
              <w:t>Operating expenses: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Selling and marketing</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36,407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17,095</w:t>
            </w:r>
          </w:p>
        </w:tc>
        <w:tc>
          <w:tcPr>
            <w:tcW w:w="0" w:type="dxa"/>
            <w:vAlign w:val="bottom"/>
          </w:tcPr>
          <w:p>
            <w:pPr>
              <w:spacing w:after="0"/>
              <w:rPr>
                <w:sz w:val="1"/>
                <w:szCs w:val="1"/>
                <w:color w:val="auto"/>
              </w:rPr>
            </w:pPr>
          </w:p>
        </w:tc>
      </w:tr>
      <w:tr>
        <w:trPr>
          <w:trHeight w:val="252"/>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1,452</w:t>
            </w:r>
          </w:p>
        </w:tc>
        <w:tc>
          <w:tcPr>
            <w:tcW w:w="0" w:type="dxa"/>
            <w:vAlign w:val="bottom"/>
          </w:tcPr>
          <w:p>
            <w:pPr>
              <w:spacing w:after="0"/>
              <w:rPr>
                <w:sz w:val="1"/>
                <w:szCs w:val="1"/>
                <w:color w:val="auto"/>
              </w:rPr>
            </w:pPr>
          </w:p>
        </w:tc>
      </w:tr>
      <w:tr>
        <w:trPr>
          <w:trHeight w:val="25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26,261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10,811</w:t>
            </w:r>
          </w:p>
        </w:tc>
        <w:tc>
          <w:tcPr>
            <w:tcW w:w="0" w:type="dxa"/>
            <w:vAlign w:val="bottom"/>
          </w:tcPr>
          <w:p>
            <w:pPr>
              <w:spacing w:after="0"/>
              <w:rPr>
                <w:sz w:val="1"/>
                <w:szCs w:val="1"/>
                <w:color w:val="auto"/>
              </w:rPr>
            </w:pPr>
          </w:p>
        </w:tc>
      </w:tr>
      <w:tr>
        <w:trPr>
          <w:trHeight w:val="219"/>
        </w:trPr>
        <w:tc>
          <w:tcPr>
            <w:tcW w:w="784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64,898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29,358</w:t>
            </w:r>
          </w:p>
        </w:tc>
        <w:tc>
          <w:tcPr>
            <w:tcW w:w="0" w:type="dxa"/>
            <w:vAlign w:val="bottom"/>
          </w:tcPr>
          <w:p>
            <w:pPr>
              <w:spacing w:after="0"/>
              <w:rPr>
                <w:sz w:val="1"/>
                <w:szCs w:val="1"/>
                <w:color w:val="auto"/>
              </w:rPr>
            </w:pPr>
          </w:p>
        </w:tc>
      </w:tr>
      <w:tr>
        <w:trPr>
          <w:trHeight w:val="298"/>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(Loss) income from operations</w:t>
            </w:r>
          </w:p>
        </w:tc>
        <w:tc>
          <w:tcPr>
            <w:tcW w:w="4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(12,961)</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2,382</w:t>
            </w:r>
          </w:p>
        </w:tc>
        <w:tc>
          <w:tcPr>
            <w:tcW w:w="0" w:type="dxa"/>
            <w:vAlign w:val="bottom"/>
          </w:tcPr>
          <w:p>
            <w:pPr>
              <w:spacing w:after="0"/>
              <w:rPr>
                <w:sz w:val="1"/>
                <w:szCs w:val="1"/>
                <w:color w:val="auto"/>
              </w:rPr>
            </w:pPr>
          </w:p>
        </w:tc>
      </w:tr>
      <w:tr>
        <w:trPr>
          <w:trHeight w:val="205"/>
        </w:trPr>
        <w:tc>
          <w:tcPr>
            <w:tcW w:w="78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231F20"/>
              </w:rPr>
              <w:t>Other (income) expense:</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Interest expense, net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5,699</w:t>
            </w:r>
          </w:p>
        </w:tc>
        <w:tc>
          <w:tcPr>
            <w:tcW w:w="0" w:type="dxa"/>
            <w:vAlign w:val="bottom"/>
          </w:tcPr>
          <w:p>
            <w:pPr>
              <w:spacing w:after="0"/>
              <w:rPr>
                <w:sz w:val="1"/>
                <w:szCs w:val="1"/>
                <w:color w:val="auto"/>
              </w:rPr>
            </w:pPr>
          </w:p>
        </w:tc>
      </w:tr>
      <w:tr>
        <w:trPr>
          <w:trHeight w:val="252"/>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Other expense, net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0" w:type="dxa"/>
            <w:vAlign w:val="bottom"/>
          </w:tcPr>
          <w:p>
            <w:pPr>
              <w:spacing w:after="0"/>
              <w:rPr>
                <w:sz w:val="1"/>
                <w:szCs w:val="1"/>
                <w:color w:val="auto"/>
              </w:rPr>
            </w:pPr>
          </w:p>
        </w:tc>
      </w:tr>
      <w:tr>
        <w:trPr>
          <w:trHeight w:val="25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(52,052)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52"/>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231F20"/>
              </w:rPr>
              <w:t>Foreign currency transaction (gain) loss, net</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(368)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256</w:t>
            </w:r>
          </w:p>
        </w:tc>
        <w:tc>
          <w:tcPr>
            <w:tcW w:w="0" w:type="dxa"/>
            <w:vAlign w:val="bottom"/>
          </w:tcPr>
          <w:p>
            <w:pPr>
              <w:spacing w:after="0"/>
              <w:rPr>
                <w:sz w:val="1"/>
                <w:szCs w:val="1"/>
                <w:color w:val="auto"/>
              </w:rPr>
            </w:pPr>
          </w:p>
        </w:tc>
      </w:tr>
      <w:tr>
        <w:trPr>
          <w:trHeight w:val="218"/>
        </w:trPr>
        <w:tc>
          <w:tcPr>
            <w:tcW w:w="78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231F20"/>
              </w:rPr>
              <w:t>Total other (income) expense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(48,083)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5,962</w:t>
            </w:r>
          </w:p>
        </w:tc>
        <w:tc>
          <w:tcPr>
            <w:tcW w:w="0" w:type="dxa"/>
            <w:vAlign w:val="bottom"/>
          </w:tcPr>
          <w:p>
            <w:pPr>
              <w:spacing w:after="0"/>
              <w:rPr>
                <w:sz w:val="1"/>
                <w:szCs w:val="1"/>
                <w:color w:val="auto"/>
              </w:rPr>
            </w:pPr>
          </w:p>
        </w:tc>
      </w:tr>
      <w:tr>
        <w:trPr>
          <w:trHeight w:val="292"/>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Income (loss) before provision for income taxes</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35,122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(3,580)</w:t>
            </w:r>
          </w:p>
        </w:tc>
        <w:tc>
          <w:tcPr>
            <w:tcW w:w="0" w:type="dxa"/>
            <w:vAlign w:val="bottom"/>
          </w:tcPr>
          <w:p>
            <w:pPr>
              <w:spacing w:after="0"/>
              <w:rPr>
                <w:sz w:val="1"/>
                <w:szCs w:val="1"/>
                <w:color w:val="auto"/>
              </w:rPr>
            </w:pPr>
          </w:p>
        </w:tc>
      </w:tr>
      <w:tr>
        <w:trPr>
          <w:trHeight w:val="25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2,615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(306)</w:t>
            </w:r>
          </w:p>
        </w:tc>
        <w:tc>
          <w:tcPr>
            <w:tcW w:w="0" w:type="dxa"/>
            <w:vAlign w:val="bottom"/>
          </w:tcPr>
          <w:p>
            <w:pPr>
              <w:spacing w:after="0"/>
              <w:rPr>
                <w:sz w:val="1"/>
                <w:szCs w:val="1"/>
                <w:color w:val="auto"/>
              </w:rPr>
            </w:pPr>
          </w:p>
        </w:tc>
      </w:tr>
      <w:tr>
        <w:trPr>
          <w:trHeight w:val="29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Net income (loss)</w:t>
            </w: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32,507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(3,274)</w:t>
            </w:r>
          </w:p>
        </w:tc>
        <w:tc>
          <w:tcPr>
            <w:tcW w:w="0" w:type="dxa"/>
            <w:vAlign w:val="bottom"/>
          </w:tcPr>
          <w:p>
            <w:pPr>
              <w:spacing w:after="0"/>
              <w:rPr>
                <w:sz w:val="1"/>
                <w:szCs w:val="1"/>
                <w:color w:val="auto"/>
              </w:rPr>
            </w:pP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231F20"/>
              </w:rPr>
              <w:t>Comprehensive income (loss), net of tax:</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Foreign currency translation adjustments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w:t>
            </w:r>
          </w:p>
        </w:tc>
        <w:tc>
          <w:tcPr>
            <w:tcW w:w="0" w:type="dxa"/>
            <w:vAlign w:val="bottom"/>
          </w:tcPr>
          <w:p>
            <w:pPr>
              <w:spacing w:after="0"/>
              <w:rPr>
                <w:sz w:val="1"/>
                <w:szCs w:val="1"/>
                <w:color w:val="auto"/>
              </w:rPr>
            </w:pPr>
          </w:p>
        </w:tc>
      </w:tr>
      <w:tr>
        <w:trPr>
          <w:trHeight w:val="29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Comprehensive income (loss)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32,362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(3,279)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231F20"/>
              </w:rPr>
              <w:t>Net income (loss)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Basic</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(0.09)</w:t>
            </w:r>
          </w:p>
        </w:tc>
        <w:tc>
          <w:tcPr>
            <w:tcW w:w="0" w:type="dxa"/>
            <w:vAlign w:val="bottom"/>
          </w:tcPr>
          <w:p>
            <w:pPr>
              <w:spacing w:after="0"/>
              <w:rPr>
                <w:sz w:val="1"/>
                <w:szCs w:val="1"/>
                <w:color w:val="auto"/>
              </w:rPr>
            </w:pPr>
          </w:p>
        </w:tc>
      </w:tr>
      <w:tr>
        <w:trPr>
          <w:trHeight w:val="252"/>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Diluted</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(0.13)</w:t>
            </w:r>
          </w:p>
        </w:tc>
        <w:tc>
          <w:tcPr>
            <w:tcW w:w="10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(0.09)</w:t>
            </w:r>
          </w:p>
        </w:tc>
        <w:tc>
          <w:tcPr>
            <w:tcW w:w="0" w:type="dxa"/>
            <w:vAlign w:val="bottom"/>
          </w:tcPr>
          <w:p>
            <w:pPr>
              <w:spacing w:after="0"/>
              <w:rPr>
                <w:sz w:val="1"/>
                <w:szCs w:val="1"/>
                <w:color w:val="auto"/>
              </w:rPr>
            </w:pPr>
          </w:p>
        </w:tc>
      </w:tr>
      <w:tr>
        <w:trPr>
          <w:trHeight w:val="23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Weighted average common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231F20"/>
              </w:rPr>
              <w:t>Basic</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150,598,105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35,501,743</w:t>
            </w:r>
          </w:p>
        </w:tc>
        <w:tc>
          <w:tcPr>
            <w:tcW w:w="0" w:type="dxa"/>
            <w:vAlign w:val="bottom"/>
          </w:tcPr>
          <w:p>
            <w:pPr>
              <w:spacing w:after="0"/>
              <w:rPr>
                <w:sz w:val="1"/>
                <w:szCs w:val="1"/>
                <w:color w:val="auto"/>
              </w:rPr>
            </w:pPr>
          </w:p>
        </w:tc>
      </w:tr>
      <w:tr>
        <w:trPr>
          <w:trHeight w:val="252"/>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31F20"/>
              </w:rPr>
              <w:t>Diluted</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152,711,698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35,501,743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STOCKHOLDERS’ EQUITY (DEFICIT)</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231F20"/>
        </w:rPr>
        <w:t>(in thousands, except for share amounts)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3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Legacy Common</w:t>
            </w:r>
          </w:p>
        </w:tc>
        <w:tc>
          <w:tcPr>
            <w:tcW w:w="12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Legacy Preferred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8"/>
        </w:trPr>
        <w:tc>
          <w:tcPr>
            <w:tcW w:w="1820" w:type="dxa"/>
            <w:vAlign w:val="bottom"/>
          </w:tcPr>
          <w:p>
            <w:pPr>
              <w:spacing w:after="0"/>
              <w:rPr>
                <w:sz w:val="6"/>
                <w:szCs w:val="6"/>
                <w:color w:val="auto"/>
              </w:rPr>
            </w:pPr>
          </w:p>
        </w:tc>
        <w:tc>
          <w:tcPr>
            <w:tcW w:w="1340" w:type="dxa"/>
            <w:vAlign w:val="bottom"/>
            <w:gridSpan w:val="5"/>
            <w:vMerge w:val="continue"/>
          </w:tcPr>
          <w:p>
            <w:pPr>
              <w:spacing w:after="0"/>
              <w:rPr>
                <w:sz w:val="6"/>
                <w:szCs w:val="6"/>
                <w:color w:val="auto"/>
              </w:rPr>
            </w:pPr>
          </w:p>
        </w:tc>
        <w:tc>
          <w:tcPr>
            <w:tcW w:w="122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3"/>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jc w:val="right"/>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6"/>
                <w:szCs w:val="6"/>
                <w:color w:val="auto"/>
              </w:rPr>
            </w:pPr>
          </w:p>
        </w:tc>
        <w:tc>
          <w:tcPr>
            <w:tcW w:w="100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920" w:type="dxa"/>
            <w:vAlign w:val="bottom"/>
            <w:gridSpan w:val="3"/>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restart"/>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131"/>
        </w:trPr>
        <w:tc>
          <w:tcPr>
            <w:tcW w:w="1820" w:type="dxa"/>
            <w:vAlign w:val="bottom"/>
          </w:tcPr>
          <w:p>
            <w:pPr>
              <w:spacing w:after="0"/>
              <w:rPr>
                <w:sz w:val="11"/>
                <w:szCs w:val="11"/>
                <w:color w:val="auto"/>
              </w:rPr>
            </w:pPr>
          </w:p>
        </w:tc>
        <w:tc>
          <w:tcPr>
            <w:tcW w:w="92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70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from</w:t>
            </w:r>
          </w:p>
        </w:tc>
        <w:tc>
          <w:tcPr>
            <w:tcW w:w="110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6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92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vMerge w:val="restart"/>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0" w:type="dxa"/>
            <w:vAlign w:val="bottom"/>
            <w:vMerge w:val="restart"/>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22"/>
              <w:spacing w:after="0" w:line="13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47"/>
        </w:trPr>
        <w:tc>
          <w:tcPr>
            <w:tcW w:w="18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020" w:type="dxa"/>
            <w:vAlign w:val="bottom"/>
            <w:tcBorders>
              <w:bottom w:val="single" w:sz="8" w:color="auto"/>
            </w:tcBorders>
            <w:gridSpan w:val="2"/>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December 31,</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54,358</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(43,604)</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(29,960)</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2020</w:t>
            </w: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Retroactive application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(54,358)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35,501,743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of recapitalization</w:t>
            </w: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8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Adjusted balance,</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35,501,743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(29,960)</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beginning of period</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Stock-based</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1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compensation</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0" w:type="dxa"/>
            <w:vAlign w:val="bottom"/>
          </w:tcPr>
          <w:p>
            <w:pPr>
              <w:spacing w:after="0"/>
              <w:rPr>
                <w:sz w:val="1"/>
                <w:szCs w:val="1"/>
                <w:color w:val="auto"/>
              </w:rPr>
            </w:pPr>
          </w:p>
        </w:tc>
      </w:tr>
      <w:tr>
        <w:trPr>
          <w:trHeight w:val="159"/>
        </w:trPr>
        <w:tc>
          <w:tcPr>
            <w:tcW w:w="182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Foreign currency</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1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translation adjustment</w:t>
            </w: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March 31,</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35,501,743</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(46,878)</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(33,205)</w:t>
            </w:r>
          </w:p>
        </w:tc>
        <w:tc>
          <w:tcPr>
            <w:tcW w:w="0" w:type="dxa"/>
            <w:vAlign w:val="bottom"/>
          </w:tcPr>
          <w:p>
            <w:pPr>
              <w:spacing w:after="0"/>
              <w:rPr>
                <w:sz w:val="1"/>
                <w:szCs w:val="1"/>
                <w:color w:val="auto"/>
              </w:rPr>
            </w:pPr>
          </w:p>
        </w:tc>
      </w:tr>
      <w:tr>
        <w:trPr>
          <w:trHeight w:val="20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70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BALANCE, December 31,</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150,598,047</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722,250</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(418,712)</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302,297</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180"/>
              <w:spacing w:after="0" w:line="159" w:lineRule="exact"/>
              <w:rPr>
                <w:sz w:val="20"/>
                <w:szCs w:val="20"/>
                <w:color w:val="auto"/>
              </w:rPr>
            </w:pPr>
            <w:r>
              <w:rPr>
                <w:rFonts w:ascii="Times New Roman" w:cs="Times New Roman" w:eastAsia="Times New Roman" w:hAnsi="Times New Roman"/>
                <w:sz w:val="16"/>
                <w:szCs w:val="16"/>
                <w:color w:val="auto"/>
              </w:rPr>
              <w:t>Issuance of common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20" w:type="dxa"/>
            <w:vAlign w:val="bottom"/>
          </w:tcPr>
          <w:p>
            <w:pPr>
              <w:ind w:left="340"/>
              <w:spacing w:after="0" w:line="159" w:lineRule="exact"/>
              <w:rPr>
                <w:sz w:val="20"/>
                <w:szCs w:val="20"/>
                <w:color w:val="auto"/>
              </w:rPr>
            </w:pPr>
            <w:r>
              <w:rPr>
                <w:rFonts w:ascii="Times New Roman" w:cs="Times New Roman" w:eastAsia="Times New Roman" w:hAnsi="Times New Roman"/>
                <w:sz w:val="16"/>
                <w:szCs w:val="16"/>
                <w:color w:val="auto"/>
              </w:rPr>
              <w:t>stock for vesting of</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stock units</w:t>
            </w: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Stock-based</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compensation</w:t>
            </w: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32,507</w:t>
            </w:r>
          </w:p>
        </w:tc>
        <w:tc>
          <w:tcPr>
            <w:tcW w:w="0" w:type="dxa"/>
            <w:vAlign w:val="bottom"/>
          </w:tcPr>
          <w:p>
            <w:pPr>
              <w:spacing w:after="0"/>
              <w:rPr>
                <w:sz w:val="1"/>
                <w:szCs w:val="1"/>
                <w:color w:val="auto"/>
              </w:rPr>
            </w:pPr>
          </w:p>
        </w:tc>
      </w:tr>
      <w:tr>
        <w:trPr>
          <w:trHeight w:val="161"/>
        </w:trPr>
        <w:tc>
          <w:tcPr>
            <w:tcW w:w="182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Foreign currency</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2"/>
        </w:trPr>
        <w:tc>
          <w:tcPr>
            <w:tcW w:w="1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translation adjustment</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820" w:type="dxa"/>
            <w:vAlign w:val="bottom"/>
          </w:tcPr>
          <w:p>
            <w:pPr>
              <w:ind w:left="20"/>
              <w:spacing w:after="0" w:line="139" w:lineRule="exact"/>
              <w:rPr>
                <w:sz w:val="20"/>
                <w:szCs w:val="20"/>
                <w:color w:val="auto"/>
              </w:rPr>
            </w:pPr>
            <w:r>
              <w:rPr>
                <w:rFonts w:ascii="Times New Roman" w:cs="Times New Roman" w:eastAsia="Times New Roman" w:hAnsi="Times New Roman"/>
                <w:sz w:val="16"/>
                <w:szCs w:val="16"/>
                <w:color w:val="auto"/>
              </w:rPr>
              <w:t>BALANCE, March 31,</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150,603,231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729,299</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(386,205)</w:t>
            </w:r>
          </w:p>
        </w:tc>
        <w:tc>
          <w:tcPr>
            <w:tcW w:w="8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341,708</w:t>
            </w:r>
          </w:p>
        </w:tc>
        <w:tc>
          <w:tcPr>
            <w:tcW w:w="0" w:type="dxa"/>
            <w:vAlign w:val="bottom"/>
          </w:tcPr>
          <w:p>
            <w:pPr>
              <w:spacing w:after="0"/>
              <w:rPr>
                <w:sz w:val="1"/>
                <w:szCs w:val="1"/>
                <w:color w:val="auto"/>
              </w:rPr>
            </w:pPr>
          </w:p>
        </w:tc>
      </w:tr>
      <w:tr>
        <w:trPr>
          <w:trHeight w:val="185"/>
        </w:trPr>
        <w:tc>
          <w:tcPr>
            <w:tcW w:w="1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7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CASH FLOWS</w:t>
      </w:r>
    </w:p>
    <w:p>
      <w:pPr>
        <w:spacing w:after="0" w:line="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540" w:type="dxa"/>
            <w:vAlign w:val="bottom"/>
          </w:tcPr>
          <w:p>
            <w:pPr>
              <w:spacing w:after="0"/>
              <w:rPr>
                <w:sz w:val="16"/>
                <w:szCs w:val="16"/>
                <w:color w:val="auto"/>
              </w:rPr>
            </w:pPr>
          </w:p>
        </w:tc>
      </w:tr>
      <w:tr>
        <w:trPr>
          <w:trHeight w:val="199"/>
        </w:trPr>
        <w:tc>
          <w:tcPr>
            <w:tcW w:w="79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40" w:type="dxa"/>
            <w:vAlign w:val="bottom"/>
          </w:tcPr>
          <w:p>
            <w:pPr>
              <w:spacing w:after="0"/>
              <w:rPr>
                <w:sz w:val="17"/>
                <w:szCs w:val="17"/>
                <w:color w:val="auto"/>
              </w:rPr>
            </w:pPr>
          </w:p>
        </w:tc>
      </w:tr>
      <w:tr>
        <w:trPr>
          <w:trHeight w:val="24"/>
        </w:trPr>
        <w:tc>
          <w:tcPr>
            <w:tcW w:w="7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2"/>
        </w:trPr>
        <w:tc>
          <w:tcPr>
            <w:tcW w:w="7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11"/>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231F20"/>
              </w:rPr>
              <w:t>Cash flows from operating activities: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Net income (loss)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32,507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Adjustments to reconcile net income (loss) to net cash from operating</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Depreciation of property and equipment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Amortization of capitalized software</w:t>
            </w:r>
          </w:p>
        </w:tc>
        <w:tc>
          <w:tcPr>
            <w:tcW w:w="9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Provision for doubtful accounts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Amortization of right-of-use assets</w:t>
            </w:r>
          </w:p>
        </w:tc>
        <w:tc>
          <w:tcPr>
            <w:tcW w:w="9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1,055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intangible assets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Amortization of other assets</w:t>
            </w:r>
          </w:p>
        </w:tc>
        <w:tc>
          <w:tcPr>
            <w:tcW w:w="9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deferred financing costs</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Stock-based compensation</w:t>
            </w:r>
          </w:p>
        </w:tc>
        <w:tc>
          <w:tcPr>
            <w:tcW w:w="9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7,049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Loss on sale and disposal of assets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In-kind interest</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Deferred income tax benefit</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Change in fair value adjustment of warrant liabilities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(52,052)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Amortization of debt issuance costs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Changes in operating assets and liabilities: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Accounts receivable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(14,152)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Prepaid expense and other current assets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Income taxes receivable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Inventory</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(11,875)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Other assets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Accounts payable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Accrued payroll and other expenses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r>
      <w:tr>
        <w:trPr>
          <w:trHeight w:val="210"/>
        </w:trPr>
        <w:tc>
          <w:tcPr>
            <w:tcW w:w="7920" w:type="dxa"/>
            <w:vAlign w:val="bottom"/>
          </w:tcPr>
          <w:p>
            <w:pPr>
              <w:ind w:left="420"/>
              <w:spacing w:after="0"/>
              <w:rPr>
                <w:sz w:val="20"/>
                <w:szCs w:val="20"/>
                <w:color w:val="auto"/>
              </w:rPr>
            </w:pPr>
            <w:r>
              <w:rPr>
                <w:rFonts w:ascii="Times New Roman" w:cs="Times New Roman" w:eastAsia="Times New Roman" w:hAnsi="Times New Roman"/>
                <w:sz w:val="16"/>
                <w:szCs w:val="16"/>
                <w:color w:val="231F20"/>
              </w:rPr>
              <w:t>Other long-term liabilities</w:t>
            </w:r>
          </w:p>
        </w:tc>
        <w:tc>
          <w:tcPr>
            <w:tcW w:w="9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4"/>
        </w:trPr>
        <w:tc>
          <w:tcPr>
            <w:tcW w:w="7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231F20"/>
              </w:rPr>
              <w:t>Lease liabilities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231F20"/>
              </w:rPr>
              <w:t>Income taxes payable</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3,909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7"/>
        </w:trPr>
        <w:tc>
          <w:tcPr>
            <w:tcW w:w="79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231F20"/>
              </w:rPr>
              <w:t>Net cash (used in)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(38,471)</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1,261</w:t>
            </w:r>
          </w:p>
        </w:tc>
      </w:tr>
      <w:tr>
        <w:trPr>
          <w:trHeight w:val="190"/>
        </w:trPr>
        <w:tc>
          <w:tcPr>
            <w:tcW w:w="7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Cash flows used in investing activities: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9"/>
        </w:trPr>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Capital expenditures for intangible assets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0"/>
        </w:trPr>
        <w:tc>
          <w:tcPr>
            <w:tcW w:w="79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231F20"/>
              </w:rPr>
              <w:t>Capital expenditures for property and equipment</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w:t>
            </w:r>
          </w:p>
        </w:tc>
      </w:tr>
      <w:tr>
        <w:trPr>
          <w:trHeight w:val="207"/>
        </w:trPr>
        <w:tc>
          <w:tcPr>
            <w:tcW w:w="79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231F20"/>
              </w:rPr>
              <w:t>Net cash used in investing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r>
      <w:tr>
        <w:trPr>
          <w:trHeight w:val="191"/>
        </w:trPr>
        <w:tc>
          <w:tcPr>
            <w:tcW w:w="79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Cash flows from financing activities: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3"/>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Payment of contingent consideration from acquisition of business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2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Proceeds from revolving facility</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4"/>
        </w:trPr>
        <w:tc>
          <w:tcPr>
            <w:tcW w:w="7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31F20"/>
              </w:rPr>
              <w:t>Repayment of term loan</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0"/>
        </w:trPr>
        <w:tc>
          <w:tcPr>
            <w:tcW w:w="7920" w:type="dxa"/>
            <w:vAlign w:val="bottom"/>
          </w:tcPr>
          <w:p>
            <w:pPr>
              <w:ind w:left="440"/>
              <w:spacing w:after="0"/>
              <w:rPr>
                <w:sz w:val="20"/>
                <w:szCs w:val="20"/>
                <w:color w:val="auto"/>
              </w:rPr>
            </w:pPr>
            <w:r>
              <w:rPr>
                <w:rFonts w:ascii="Times New Roman" w:cs="Times New Roman" w:eastAsia="Times New Roman" w:hAnsi="Times New Roman"/>
                <w:sz w:val="16"/>
                <w:szCs w:val="16"/>
                <w:color w:val="231F20"/>
              </w:rPr>
              <w:t>Payments for transaction costs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07"/>
        </w:trPr>
        <w:tc>
          <w:tcPr>
            <w:tcW w:w="7920" w:type="dxa"/>
            <w:vAlign w:val="bottom"/>
            <w:tcBorders>
              <w:top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231F20"/>
              </w:rPr>
              <w:t>Net cash (used in) provided by financing activities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w:t>
            </w:r>
          </w:p>
        </w:tc>
      </w:tr>
      <w:tr>
        <w:trPr>
          <w:trHeight w:val="203"/>
        </w:trPr>
        <w:tc>
          <w:tcPr>
            <w:tcW w:w="792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Net (decrease) increase in cash and cash equivalents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(42,679)</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w:t>
            </w:r>
          </w:p>
        </w:tc>
      </w:tr>
      <w:tr>
        <w:trPr>
          <w:trHeight w:val="214"/>
        </w:trPr>
        <w:tc>
          <w:tcPr>
            <w:tcW w:w="7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231F20"/>
              </w:rPr>
              <w:t>Effect of foreign currency translation on cash</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0"/>
        </w:trPr>
        <w:tc>
          <w:tcPr>
            <w:tcW w:w="7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231F20"/>
              </w:rPr>
              <w:t>Cash and cash equivalents, beginning of period</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6"/>
              </w:rPr>
              <w:t>901,886</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r>
      <w:tr>
        <w:trPr>
          <w:trHeight w:val="232"/>
        </w:trPr>
        <w:tc>
          <w:tcPr>
            <w:tcW w:w="7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231F20"/>
              </w:rPr>
              <w:t>Cash and cash equivalents, end of period</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859,237</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CASH FLOWS (continued)</w:t>
      </w:r>
    </w:p>
    <w:p>
      <w:pPr>
        <w:spacing w:after="0" w:line="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440" w:type="dxa"/>
            <w:vAlign w:val="bottom"/>
          </w:tcPr>
          <w:p>
            <w:pPr>
              <w:spacing w:after="0"/>
              <w:rPr>
                <w:sz w:val="16"/>
                <w:szCs w:val="16"/>
                <w:color w:val="auto"/>
              </w:rPr>
            </w:pPr>
          </w:p>
        </w:tc>
      </w:tr>
      <w:tr>
        <w:trPr>
          <w:trHeight w:val="24"/>
        </w:trPr>
        <w:tc>
          <w:tcPr>
            <w:tcW w:w="8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8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440" w:type="dxa"/>
            <w:vAlign w:val="bottom"/>
            <w:tcBorders>
              <w:bottom w:val="single" w:sz="8" w:color="auto"/>
            </w:tcBorders>
          </w:tcPr>
          <w:p>
            <w:pPr>
              <w:spacing w:after="0"/>
              <w:rPr>
                <w:sz w:val="16"/>
                <w:szCs w:val="16"/>
                <w:color w:val="auto"/>
              </w:rPr>
            </w:pPr>
          </w:p>
        </w:tc>
      </w:tr>
      <w:tr>
        <w:trPr>
          <w:trHeight w:val="225"/>
        </w:trPr>
        <w:tc>
          <w:tcPr>
            <w:tcW w:w="8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231F20"/>
              </w:rPr>
              <w:t>Supplemental disclosures of cash flow information and non-cash investing and financing activities: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10"/>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231F20"/>
              </w:rPr>
              <w:t>Cash paid for interest</w:t>
            </w:r>
          </w:p>
        </w:tc>
        <w:tc>
          <w:tcPr>
            <w:tcW w:w="920" w:type="dxa"/>
            <w:vAlign w:val="bottom"/>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5,130</w:t>
            </w:r>
          </w:p>
        </w:tc>
        <w:tc>
          <w:tcPr>
            <w:tcW w:w="80" w:type="dxa"/>
            <w:vAlign w:val="bottom"/>
          </w:tcPr>
          <w:p>
            <w:pPr>
              <w:spacing w:after="0"/>
              <w:rPr>
                <w:sz w:val="18"/>
                <w:szCs w:val="18"/>
                <w:color w:val="auto"/>
              </w:rPr>
            </w:pP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r>
      <w:tr>
        <w:trPr>
          <w:trHeight w:val="214"/>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231F20"/>
              </w:rPr>
              <w:t>Cash received for income taxes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3,645</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231F20"/>
              </w:rPr>
              <w:t>Capital expenditures included in accounts payable</w:t>
            </w:r>
          </w:p>
        </w:tc>
        <w:tc>
          <w:tcPr>
            <w:tcW w:w="920" w:type="dxa"/>
            <w:vAlign w:val="bottom"/>
          </w:tcPr>
          <w:p>
            <w:pPr>
              <w:spacing w:after="0"/>
              <w:rPr>
                <w:sz w:val="18"/>
                <w:szCs w:val="18"/>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14"/>
        </w:trPr>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231F20"/>
              </w:rPr>
              <w:t>Deferred unpaid offering costs</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r>
    </w:tbl>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financial statements.</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231F20"/>
        </w:rPr>
        <w:t>THE BEAUTY HEALTH COMPANY</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46"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The Beauty Health Company, formerly known as Vesper Healthcare Acquisition Corp. (the “Company” or “BeautyHealth”), was incorporated in Delaware on July 8, 2020. The Company was originally formed for the purpose of entering into a merger, capital stock exchange, asset acquisition, stock purchase, reorganization or similar business combination with one or more businesses.</w:t>
      </w:r>
    </w:p>
    <w:p>
      <w:pPr>
        <w:spacing w:after="0" w:line="204"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On May 4, 2021 (the “Closing Date”), the Company consummated the previously announced business combination pursuant to that certain Agreement and Plan of Merger, dated December 8, 2020 (the “Merger Agreement”), by and among Vesper Healthcare Acquisition Corp. (“Vesper”), Hydrate Merger Sub I, Inc. (“Merger Sub I”), Hydrate Merger Sub II, LLC (“Merger Sub II”), LCP Edge Intermediate, Inc., the indirect parent of Edge Systems LLC d/b/a The HydraFacial Company (“HydraFacial”), and LCP Edge Holdco, LLC (“LCP,” or “Former Parent,” and, in its capacity as the stockholders’ representative, the “Stockholders’ Representative”),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has been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22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Closing, the Company changed its name from “Vesper Healthcare Acquisition Corp.” to “The Beauty Health Company.” Following the Closing, on May 6, 2021, the Company’s Class A Common Stock and publicly traded warrants were listed on the Nasdaq Capital Market (“Nasdaq”) under the symbols, “SKIN” and “SKINW”, respectively. The transactions set forth in the Merger Agreement constitute a “Business Combination” as contemplated by Vesper’s Second Amended and Restated Certificate of Incorporation.</w:t>
      </w:r>
    </w:p>
    <w:p>
      <w:pPr>
        <w:spacing w:after="0" w:line="20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the “Company” refers to Vesper Healthcare Acquisition Corp. prior to the closing of the Business Combination and to the combined company and its subsidiaries following the Closing and “HydraFacial” refers to the business of LCP Edge Intermediate, Inc. and its subsidiaries prior to the Closing. References to “Vesper” refer to Vesper Healthcare Acquisition Corp. prior to the consummation of the Business Combination.</w:t>
      </w:r>
    </w:p>
    <w:p>
      <w:pPr>
        <w:spacing w:after="0" w:line="20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Company is a category-creating beauty health company focused on bringing innovative products to market. The Company and its subsidiaries design, develop, manufacture, market, and sell a/esthetic technologies and products. The Company’s flagship brand, HydraFacial, is a non-invasive and approachable beauty health platform and ecosystem. HydraFacial uses a unique delivery system to cleanse, extract, and hydrate with their patented hydradermabrasion technology and serums that are made with nourishing ingredients.</w:t>
      </w:r>
    </w:p>
    <w:p>
      <w:pPr>
        <w:spacing w:after="0" w:line="207"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COVID-19 pandemic has had, and may continue to have adverse impacts on our business. As government authorities around the world continue to implement significant measures intended to control the spread of the virus and institute restrictions on commercial operations, while simultaneously implementing policies designed to reopen certain markets, we are working to ensure our compliance and maintain business continuity for essential operations.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46"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Company’s significant accounting policies is contained in Note 2, “Summary of Significant Accounting Policies”, to the consolidated financial statements included in the Company’s Annual Report on Form 10-K filed with the SEC on March 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48"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ASU 2021-08, Business Combinations (Topic 805), which primarily relates to the accounting for contract assets and contract liabilities from contracts with customers in a business combination. The standard will be effective for annual reporting periods beginning after December 31, 2022, including interim reporting periods within those periods, with early adoption permitted. We are currently evaluating the impact of adopting this new accounting guidance on our consolidated financial statements.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Combination — Reverse Recapitalization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closing of the Business Combination occurred on May 4, 2021. In connection with the Business Combination:</w:t>
      </w:r>
    </w:p>
    <w:p>
      <w:pPr>
        <w:spacing w:after="0" w:line="244" w:lineRule="exact"/>
        <w:rPr>
          <w:sz w:val="20"/>
          <w:szCs w:val="20"/>
          <w:color w:val="auto"/>
        </w:rPr>
      </w:pPr>
    </w:p>
    <w:p>
      <w:pPr>
        <w:ind w:left="640" w:hanging="316"/>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for an aggregate purchase price of $350.0 million (the “PIPE Investment”). The PIPE Investment was consummated substantially concurrently with the Closing of the Business Combination.</w:t>
      </w:r>
    </w:p>
    <w:p>
      <w:pPr>
        <w:spacing w:after="0" w:line="206" w:lineRule="exact"/>
        <w:rPr>
          <w:rFonts w:ascii="Times New Roman" w:cs="Times New Roman" w:eastAsia="Times New Roman" w:hAnsi="Times New Roman"/>
          <w:sz w:val="18"/>
          <w:szCs w:val="18"/>
          <w:color w:val="auto"/>
        </w:rPr>
      </w:pPr>
    </w:p>
    <w:p>
      <w:pPr>
        <w:ind w:left="640" w:right="20" w:hanging="316"/>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the Company issued an aggregate of 11,500,000 shares of the Company’s Class B Common Stock (the “Founder Shares”) to the Sponsor for an aggregate purchase price of $25,000 in cash. All outstanding Founder Shares were automatically converted into shares of the Company’s Class A Common Stock on a one-for-one basis at the Closing and will continue to be subject to the transfer restrictions applicable to such shares of Founder Shares.</w:t>
      </w:r>
    </w:p>
    <w:p>
      <w:pPr>
        <w:spacing w:after="0" w:line="206" w:lineRule="exact"/>
        <w:rPr>
          <w:rFonts w:ascii="Times New Roman" w:cs="Times New Roman" w:eastAsia="Times New Roman" w:hAnsi="Times New Roman"/>
          <w:sz w:val="18"/>
          <w:szCs w:val="18"/>
          <w:color w:val="auto"/>
        </w:rPr>
      </w:pPr>
    </w:p>
    <w:p>
      <w:pPr>
        <w:ind w:left="640" w:right="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holders of 2,672,690 shares of the Company’s Class A Common Stock exercised their rights for the Company to redeem their respective shares for cash at an approximate price of $10.00 per share, for an aggregate of approximately $26.7 million, which was paid to such holders at Closing.</w:t>
      </w:r>
    </w:p>
    <w:p>
      <w:pPr>
        <w:spacing w:after="0" w:line="204" w:lineRule="exact"/>
        <w:rPr>
          <w:rFonts w:ascii="Times New Roman" w:cs="Times New Roman" w:eastAsia="Times New Roman" w:hAnsi="Times New Roman"/>
          <w:sz w:val="18"/>
          <w:szCs w:val="18"/>
          <w:color w:val="auto"/>
        </w:rPr>
      </w:pPr>
    </w:p>
    <w:p>
      <w:pPr>
        <w:ind w:left="640" w:right="30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Merger and the PIPE Investment, there were 125,329,053 shares of the Company’s Class A Common Stock issued and outstanding.</w:t>
      </w:r>
    </w:p>
    <w:p>
      <w:pPr>
        <w:spacing w:after="0" w:line="189" w:lineRule="exact"/>
        <w:rPr>
          <w:rFonts w:ascii="Times New Roman" w:cs="Times New Roman" w:eastAsia="Times New Roman" w:hAnsi="Times New Roman"/>
          <w:sz w:val="18"/>
          <w:szCs w:val="18"/>
          <w:color w:val="auto"/>
        </w:rPr>
      </w:pPr>
    </w:p>
    <w:p>
      <w:pPr>
        <w:ind w:left="640" w:right="20" w:hanging="316"/>
        <w:spacing w:after="0" w:line="26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gross cash consideration received was reduced by</w:t>
      </w:r>
    </w:p>
    <w:p>
      <w:pPr>
        <w:ind w:left="640" w:right="4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$368 million, which consisted of cash payments made to the former shareholders of HydraFacial, and further reduced by an additional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was subject to a working capital adjustment of $0.9 million. The Company also issued 70,860 shares related to the working capital adjustment.</w:t>
      </w: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Acquisitions</w:t>
      </w:r>
    </w:p>
    <w:p>
      <w:pPr>
        <w:spacing w:after="0" w:line="246"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 xml:space="preserve">On June 4, 2021, the Company acquired </w:t>
      </w:r>
      <w:r>
        <w:rPr>
          <w:rFonts w:ascii="Times New Roman" w:cs="Times New Roman" w:eastAsia="Times New Roman" w:hAnsi="Times New Roman"/>
          <w:sz w:val="18"/>
          <w:szCs w:val="18"/>
          <w:color w:val="231F20"/>
        </w:rPr>
        <w:t>High Tech Laser, Australia Pty Ltd (“HTL”), a distributor of the Company’s products in Australia. On July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2021, the Company acquired Wigmore Medical France (“Wigmore”), Ecomedic GmbH (“Ecomedic”) and Sistemas Dermatologicos Internacionales (“Sidermica”), distributors of the Company’s products in France,</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231F20"/>
        </w:rPr>
        <w:t>Germany and Mexico, respectively. Through these acquisitions, the Company plans to directly sell to the respective markets and improve services for its products. Cash paid for the four distributors totaled $23.7 million.</w:t>
      </w:r>
    </w:p>
    <w:p>
      <w:pPr>
        <w:spacing w:after="0" w:line="19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231F20"/>
        </w:rPr>
        <w:t>The Company applied the acquisition method of accounting and established a new basis of accounting on the dates of the respective acquisitions. The assets acquired by the Company are accordingly measured at their estimated fair values as of the acquisition date. The goodwill arising from the acquisitions consists largely of the business reputation of the acquired company in the marketplace and its assembled workforce. The goodwill is not deductible for income tax purposes. The transaction costs for the acquisitions totaled $0.8 million.</w:t>
      </w:r>
    </w:p>
    <w:p>
      <w:pPr>
        <w:spacing w:after="0" w:line="20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231F20"/>
        </w:rPr>
        <w:t>The estimated fair values and preliminary purchase price allocation were based on information available at the time of acquisition and the Company continues to evaluate the underlying inputs and assumptions. Accordingly, these preliminary estimates are subject to retrospective adjustments during the measurement period, not to exceed one year, based upon new information obtained about facts and circumstances that existed as of the date of acquisition. The Company is currently in the process of finalizing the preliminary fair value allocations, and expects this to be completed during the second quarter of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246"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231F20"/>
        </w:rPr>
        <w:t>The Company has determined that each of its products is distinct and represents a separate performance obligation. The customer can benefit from each product on its own or together with other resources that are readily available to the customer. The products are separately identifiable from other promises in the contract. Control over the Company’s products generally transfers to the customer upon shipment of the products from the Company’s warehouse facility. Therefore, revenue associated with product purchases is recognized at a point in time upon shipment to the intended customer.</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231F20"/>
        </w:rPr>
        <w:t>Disaggregated Revenue</w:t>
      </w:r>
    </w:p>
    <w:p>
      <w:pPr>
        <w:spacing w:after="0" w:line="244" w:lineRule="exact"/>
        <w:rPr>
          <w:sz w:val="20"/>
          <w:szCs w:val="20"/>
          <w:color w:val="auto"/>
        </w:rPr>
      </w:pPr>
    </w:p>
    <w:p>
      <w:pPr>
        <w:ind w:right="100" w:firstLine="318"/>
        <w:spacing w:after="0" w:line="256" w:lineRule="auto"/>
        <w:rPr>
          <w:sz w:val="20"/>
          <w:szCs w:val="20"/>
          <w:color w:val="auto"/>
        </w:rPr>
      </w:pPr>
      <w:r>
        <w:rPr>
          <w:rFonts w:ascii="Times New Roman" w:cs="Times New Roman" w:eastAsia="Times New Roman" w:hAnsi="Times New Roman"/>
          <w:sz w:val="18"/>
          <w:szCs w:val="18"/>
          <w:color w:val="231F20"/>
        </w:rPr>
        <w:t>The Company generates revenue through manufacturing and selling HydraFacial Delivery Systems (“</w:t>
      </w:r>
      <w:r>
        <w:rPr>
          <w:rFonts w:ascii="Times New Roman" w:cs="Times New Roman" w:eastAsia="Times New Roman" w:hAnsi="Times New Roman"/>
          <w:sz w:val="18"/>
          <w:szCs w:val="18"/>
          <w:i w:val="1"/>
          <w:iCs w:val="1"/>
          <w:color w:val="231F20"/>
        </w:rPr>
        <w:t>Delivery Systems</w:t>
      </w:r>
      <w:r>
        <w:rPr>
          <w:rFonts w:ascii="Times New Roman" w:cs="Times New Roman" w:eastAsia="Times New Roman" w:hAnsi="Times New Roman"/>
          <w:sz w:val="18"/>
          <w:szCs w:val="18"/>
          <w:color w:val="231F20"/>
        </w:rPr>
        <w:t>”). In conjunction with the sale of Delivery Systems, HydraFacial also sells its serum solutions and consumables (collectively “</w:t>
      </w:r>
      <w:r>
        <w:rPr>
          <w:rFonts w:ascii="Times New Roman" w:cs="Times New Roman" w:eastAsia="Times New Roman" w:hAnsi="Times New Roman"/>
          <w:sz w:val="18"/>
          <w:szCs w:val="18"/>
          <w:i w:val="1"/>
          <w:iCs w:val="1"/>
          <w:color w:val="231F20"/>
        </w:rPr>
        <w:t>Consumables</w:t>
      </w:r>
      <w:r>
        <w:rPr>
          <w:rFonts w:ascii="Times New Roman" w:cs="Times New Roman" w:eastAsia="Times New Roman" w:hAnsi="Times New Roman"/>
          <w:sz w:val="18"/>
          <w:szCs w:val="18"/>
          <w:color w:val="231F20"/>
        </w:rPr>
        <w:t>”). Consumables are sold solely and exclusively by HydraFacial and are available for purchase separately from the purchase of Delivery Systems. For both Delivery Systems and Consumables, revenue is recognized upon transfer of control to the customer, which generally takes place at the point of shipment.</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Company’s revenue disaggregated by major product line consists of the following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6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Delivery Systems</w:t>
            </w:r>
          </w:p>
        </w:tc>
        <w:tc>
          <w:tcPr>
            <w:tcW w:w="8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41,647</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25,672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Consumables</w:t>
            </w: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21,870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76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Total net sales</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75,415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47,542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 xml:space="preserve">See Note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231F20"/>
              </w:rPr>
              <w:t xml:space="preserve"> for revenue disaggregated by geographical region.</w:t>
            </w: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77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Balance Sheet Components</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Inventories consist of the following as of the periods indicated: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7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231F20"/>
              </w:rPr>
              <w:t>March 31, 2022</w:t>
            </w:r>
          </w:p>
        </w:tc>
        <w:tc>
          <w:tcPr>
            <w:tcW w:w="180" w:type="dxa"/>
            <w:vAlign w:val="bottom"/>
          </w:tcPr>
          <w:p>
            <w:pPr>
              <w:spacing w:after="0"/>
              <w:rPr>
                <w:sz w:val="24"/>
                <w:szCs w:val="24"/>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231F20"/>
              </w:rPr>
              <w:t>December 31, 2021</w:t>
            </w:r>
          </w:p>
        </w:tc>
        <w:tc>
          <w:tcPr>
            <w:tcW w:w="0" w:type="dxa"/>
            <w:vAlign w:val="bottom"/>
          </w:tcPr>
          <w:p>
            <w:pPr>
              <w:spacing w:after="0"/>
              <w:rPr>
                <w:sz w:val="1"/>
                <w:szCs w:val="1"/>
                <w:color w:val="auto"/>
              </w:rPr>
            </w:pPr>
          </w:p>
        </w:tc>
      </w:tr>
      <w:tr>
        <w:trPr>
          <w:trHeight w:val="24"/>
        </w:trPr>
        <w:tc>
          <w:tcPr>
            <w:tcW w:w="7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Raw materials</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231F20"/>
                <w:w w:val="88"/>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Finished goods</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32,310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inventories</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231F20"/>
                <w:w w:val="88"/>
              </w:rPr>
              <w:t>$</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47,033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Accrued payroll-related expenses consist of the following as of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taxes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sales commissions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payroll-related expenses</w:t>
            </w:r>
          </w:p>
        </w:tc>
        <w:tc>
          <w:tcPr>
            <w:tcW w:w="24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231F20"/>
              </w:rPr>
              <w:t>Other accrued expenses consist of the following as of the periods indicated:</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7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231F20"/>
              </w:rPr>
              <w:t>March 31, 2022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231F20"/>
              </w:rPr>
              <w:t>December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Sales and VAT tax payables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Accrued interest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Contingent consideration</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783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Note payable due seller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Royalty liabilities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Other</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5,099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2,109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other accrued expenses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12,419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14,722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46"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Company does not own any real estate. The majority of the Company’s lease liability consists of the Company’s international office spaces and warehouses, all of which are classified as operating leases. The Company’s finance leases relate to leased equipment such as office and warehouse equipment. The finance lease balances are not material but are included in property and equipment, other accrued liabilities, and other long-term liabilities of the Condensed Consolidated Balance Sheets. There were no material changes to the Company’s lease portfolio subsequent to December 31, 2021.</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46"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90"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2" w:lineRule="exact"/>
        <w:rPr>
          <w:sz w:val="20"/>
          <w:szCs w:val="20"/>
          <w:color w:val="auto"/>
        </w:rPr>
      </w:pPr>
    </w:p>
    <w:p>
      <w:pPr>
        <w:ind w:left="640" w:right="180"/>
        <w:spacing w:after="0" w:line="274"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90" w:lineRule="exact"/>
        <w:rPr>
          <w:sz w:val="20"/>
          <w:szCs w:val="20"/>
          <w:color w:val="auto"/>
        </w:rPr>
      </w:pPr>
    </w:p>
    <w:p>
      <w:pPr>
        <w:ind w:left="640" w:right="620"/>
        <w:spacing w:after="0" w:line="274"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Level 3: Unobservable inputs based on our assessment of the assumptions that market participants would use in pricing the asset or liability.</w:t>
      </w:r>
    </w:p>
    <w:p>
      <w:pPr>
        <w:spacing w:after="0" w:line="244"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March 31, 2022, and indicates the fair value hierarchy of the valuation inputs the Company utilized to</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determine such fair value. As of the Business Combination date, the Private Placement Warrants were valued using the Public Warrant Price, and was considered to be a Level 2 financial instrument as of that date. As of March 31, 2022, the value of the Private Placement Warrants was determined using a Monte Carlo simulation, and as such, were classified as a Level 3 financial instrument. There were no Public Warrants outstanding as of March 31, 2022. There were no valuation level transfers during the three months ended March 31,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231F20"/>
              </w:rPr>
              <w:t>Fair Value Measurements on a Recurring Basis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231F20"/>
              </w:rPr>
              <w:t>Level 1</w:t>
            </w:r>
          </w:p>
        </w:tc>
        <w:tc>
          <w:tcPr>
            <w:tcW w:w="140" w:type="dxa"/>
            <w:vAlign w:val="bottom"/>
          </w:tcPr>
          <w:p>
            <w:pPr>
              <w:spacing w:after="0"/>
              <w:rPr>
                <w:sz w:val="16"/>
                <w:szCs w:val="16"/>
                <w:color w:val="auto"/>
              </w:rPr>
            </w:pP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231F20"/>
              </w:rPr>
              <w:t>Level 2</w:t>
            </w:r>
          </w:p>
        </w:tc>
        <w:tc>
          <w:tcPr>
            <w:tcW w:w="16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Level 3</w:t>
            </w:r>
          </w:p>
        </w:tc>
        <w:tc>
          <w:tcPr>
            <w:tcW w:w="11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212"/>
        </w:trPr>
        <w:tc>
          <w:tcPr>
            <w:tcW w:w="4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Money market funds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810,310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6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231F20"/>
              </w:rPr>
              <w:t>—   $</w:t>
            </w:r>
          </w:p>
        </w:tc>
        <w:tc>
          <w:tcPr>
            <w:tcW w:w="1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231F20"/>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810,310</w:t>
            </w:r>
          </w:p>
        </w:tc>
        <w:tc>
          <w:tcPr>
            <w:tcW w:w="0" w:type="dxa"/>
            <w:vAlign w:val="bottom"/>
          </w:tcPr>
          <w:p>
            <w:pPr>
              <w:spacing w:after="0"/>
              <w:rPr>
                <w:sz w:val="1"/>
                <w:szCs w:val="1"/>
                <w:color w:val="auto"/>
              </w:rPr>
            </w:pPr>
          </w:p>
        </w:tc>
      </w:tr>
      <w:tr>
        <w:trPr>
          <w:trHeight w:val="225"/>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Warrant liability — Private Placement Warrants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231F2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41,765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Money Market Funds</w:t>
      </w:r>
    </w:p>
    <w:p>
      <w:pPr>
        <w:spacing w:after="0" w:line="246"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Times New Roman" w:cs="Times New Roman" w:eastAsia="Times New Roman" w:hAnsi="Times New Roman"/>
          <w:sz w:val="18"/>
          <w:szCs w:val="18"/>
          <w:color w:val="231F20"/>
        </w:rPr>
        <w:t>March 31, 2022</w:t>
      </w:r>
      <w:r>
        <w:rPr>
          <w:rFonts w:ascii="Times New Roman" w:cs="Times New Roman" w:eastAsia="Times New Roman" w:hAnsi="Times New Roman"/>
          <w:sz w:val="18"/>
          <w:szCs w:val="18"/>
          <w:color w:val="auto"/>
        </w:rPr>
        <w:t>, the Company’s U.S. portfolio had no material exposure to money market funds with a fluctuating net asset value.</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46" w:lineRule="exact"/>
        <w:rPr>
          <w:sz w:val="20"/>
          <w:szCs w:val="20"/>
          <w:color w:val="auto"/>
        </w:rPr>
      </w:pPr>
    </w:p>
    <w:p>
      <w:pPr>
        <w:ind w:right="60" w:firstLine="318"/>
        <w:spacing w:after="0" w:line="272" w:lineRule="auto"/>
        <w:rPr>
          <w:sz w:val="20"/>
          <w:szCs w:val="20"/>
          <w:color w:val="auto"/>
        </w:rPr>
      </w:pPr>
      <w:r>
        <w:rPr>
          <w:rFonts w:ascii="Times New Roman" w:cs="Times New Roman" w:eastAsia="Times New Roman" w:hAnsi="Times New Roman"/>
          <w:sz w:val="17"/>
          <w:szCs w:val="17"/>
          <w:color w:val="auto"/>
        </w:rPr>
        <w:t xml:space="preserve">The Public Warrants and Private Placement Warrants (collectively, the “Warrants”) were accounted for as liabilities in accordance with ASC 815-40 and are presented within Warrant liabilities on the Company’s Condensed Consolidated Balance Sheets. The Warrants are measured at fair value at inception and on a recurring basis, with changes in fair value presented within change in fair value of warrant liabilities in the Company’s </w:t>
      </w:r>
      <w:r>
        <w:rPr>
          <w:rFonts w:ascii="Times New Roman" w:cs="Times New Roman" w:eastAsia="Times New Roman" w:hAnsi="Times New Roman"/>
          <w:sz w:val="17"/>
          <w:szCs w:val="17"/>
          <w:color w:val="231F20"/>
        </w:rPr>
        <w:t>Condensed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Statements of Comprehensive Loss</w:t>
      </w:r>
      <w:r>
        <w:rPr>
          <w:rFonts w:ascii="Times New Roman" w:cs="Times New Roman" w:eastAsia="Times New Roman" w:hAnsi="Times New Roman"/>
          <w:sz w:val="17"/>
          <w:szCs w:val="17"/>
          <w:color w:val="000000"/>
        </w:rPr>
        <w:t>. At</w:t>
      </w:r>
      <w:r>
        <w:rPr>
          <w:rFonts w:ascii="Times New Roman" w:cs="Times New Roman" w:eastAsia="Times New Roman" w:hAnsi="Times New Roman"/>
          <w:sz w:val="17"/>
          <w:szCs w:val="17"/>
          <w:color w:val="231F20"/>
        </w:rPr>
        <w:t xml:space="preserve"> March 31, 2022</w:t>
      </w:r>
      <w:r>
        <w:rPr>
          <w:rFonts w:ascii="Times New Roman" w:cs="Times New Roman" w:eastAsia="Times New Roman" w:hAnsi="Times New Roman"/>
          <w:sz w:val="17"/>
          <w:szCs w:val="17"/>
          <w:color w:val="000000"/>
        </w:rPr>
        <w:t>, the outstanding Private Placement Warrants were valued using a Monte Carlo simulation because</w:t>
      </w:r>
    </w:p>
    <w:p>
      <w:pPr>
        <w:spacing w:after="0" w:line="2"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7"/>
          <w:szCs w:val="17"/>
          <w:color w:val="auto"/>
        </w:rPr>
        <w:t xml:space="preserve">these Warrants are subject to redemption if the reference value of the common stock, as defined, is between $10.00 and $18.00 per share. The Private Placement Warrants are classified as a Level 3 financial instruments as of </w:t>
      </w:r>
      <w:r>
        <w:rPr>
          <w:rFonts w:ascii="Times New Roman" w:cs="Times New Roman" w:eastAsia="Times New Roman" w:hAnsi="Times New Roman"/>
          <w:sz w:val="17"/>
          <w:szCs w:val="17"/>
          <w:color w:val="231F20"/>
        </w:rPr>
        <w:t>March 31, 2022</w:t>
      </w:r>
      <w:r>
        <w:rPr>
          <w:rFonts w:ascii="Times New Roman" w:cs="Times New Roman" w:eastAsia="Times New Roman" w:hAnsi="Times New Roman"/>
          <w:sz w:val="17"/>
          <w:szCs w:val="17"/>
          <w:color w:val="auto"/>
        </w:rPr>
        <w:t xml:space="preserve">. There were no Public Warrants outstanding as of </w:t>
      </w:r>
      <w:r>
        <w:rPr>
          <w:rFonts w:ascii="Times New Roman" w:cs="Times New Roman" w:eastAsia="Times New Roman" w:hAnsi="Times New Roman"/>
          <w:sz w:val="17"/>
          <w:szCs w:val="17"/>
          <w:color w:val="231F20"/>
        </w:rPr>
        <w:t>March 31, 2022.</w:t>
      </w:r>
    </w:p>
    <w:p>
      <w:pPr>
        <w:spacing w:after="0" w:line="16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On October 4, 2021, the Company issued a press release stating that it would redeem all of the Public Warrants that remained outstanding following 5:00 p.m. New York City time on November 3, 2021, for a redemption price of $0.10 per Public Warrant. All 16.2 million outstanding Public Warrants were either exercised for cash or on a cashless basis or were redeemed. These outstanding Public Warrants that were exercised comprised 15.3 million Public Warrants issued in connection with the Vesper initial public offering and an additional 0.9 million warrants that became Public Warrants due to the sale of Private Placement Warrants. Approximately 16.1 million Public Warrants were exercised for cash at an exercise price of $11.50 per share of Class A Common Stock, 74,104 Public Warrants were exercised on a cashless basis in exchange for an aggregate of 26,732 shares of Class A Common Stock, and 75,016 warrants were redeemed for $0.10 per warrant, in each case in accordance with the terms of the Warrant Agreement. In 2021, total cash proceeds generated from exercises of the Public Warrants were $185.4 million. In addition, 0.3 million Private Placement Warrants were exercised in 2021 for total cash proceeds of $3.0 million. As of March 31, 2022, the Company had approximately 7 million Private Placement Warrants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 of the following as of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3"/>
                <w:szCs w:val="13"/>
                <w:color w:val="auto"/>
              </w:rPr>
            </w:pPr>
          </w:p>
        </w:tc>
        <w:tc>
          <w:tcPr>
            <w:tcW w:w="14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231F20"/>
              </w:rPr>
              <w:t>March 31, 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December 31, 2021</w:t>
            </w: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(years)</w:t>
            </w:r>
          </w:p>
        </w:tc>
        <w:tc>
          <w:tcPr>
            <w:tcW w:w="2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40" w:type="dxa"/>
            <w:vAlign w:val="bottom"/>
            <w:tcBorders>
              <w:bottom w:val="single" w:sz="8" w:color="CCEEFF"/>
            </w:tcBorders>
          </w:tcPr>
          <w:p>
            <w:pPr>
              <w:spacing w:after="0"/>
              <w:rPr>
                <w:sz w:val="2"/>
                <w:szCs w:val="2"/>
                <w:color w:val="auto"/>
              </w:rPr>
            </w:pPr>
          </w:p>
        </w:tc>
        <w:tc>
          <w:tcPr>
            <w:tcW w:w="3160" w:type="dxa"/>
            <w:vAlign w:val="bottom"/>
            <w:tcBorders>
              <w:bottom w:val="single" w:sz="8" w:color="231F20"/>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Furniture and fixtures</w:t>
            </w: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4,327</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231F20"/>
                <w:w w:val="98"/>
              </w:rPr>
              <w:t>4,074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Computers and equipment</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231F20"/>
                <w:w w:val="98"/>
              </w:rPr>
              <w:t>4,010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Machinery and equipment</w:t>
            </w: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231F20"/>
                <w:w w:val="98"/>
              </w:rPr>
              <w:t>3,669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Autos and trucks</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834"/>
              <w:spacing w:after="0"/>
              <w:rPr>
                <w:sz w:val="20"/>
                <w:szCs w:val="20"/>
                <w:color w:val="auto"/>
              </w:rPr>
            </w:pPr>
            <w:r>
              <w:rPr>
                <w:rFonts w:ascii="Times New Roman" w:cs="Times New Roman" w:eastAsia="Times New Roman" w:hAnsi="Times New Roman"/>
                <w:sz w:val="18"/>
                <w:szCs w:val="18"/>
                <w:color w:val="231F20"/>
                <w:w w:val="98"/>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Tooling</w:t>
            </w:r>
          </w:p>
        </w:tc>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231F20"/>
                <w:w w:val="98"/>
              </w:rPr>
              <w:t>1,389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231F20"/>
              </w:rPr>
              <w:t>Leasehold improvements</w:t>
            </w:r>
          </w:p>
        </w:tc>
        <w:tc>
          <w:tcPr>
            <w:tcW w:w="326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231F20"/>
                <w:w w:val="97"/>
              </w:rPr>
              <w:t>Shorter of remaining lease</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tcPr>
          <w:p>
            <w:pPr>
              <w:spacing w:after="0"/>
              <w:rPr>
                <w:sz w:val="21"/>
                <w:szCs w:val="21"/>
                <w:color w:val="auto"/>
              </w:rPr>
            </w:pPr>
          </w:p>
        </w:tc>
        <w:tc>
          <w:tcPr>
            <w:tcW w:w="32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231F20"/>
                <w:w w:val="97"/>
              </w:rPr>
              <w:t>term or estimated useful life</w:t>
            </w: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8,096</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834"/>
              <w:spacing w:after="0"/>
              <w:rPr>
                <w:sz w:val="20"/>
                <w:szCs w:val="20"/>
                <w:color w:val="auto"/>
              </w:rPr>
            </w:pPr>
            <w:r>
              <w:rPr>
                <w:rFonts w:ascii="Times New Roman" w:cs="Times New Roman" w:eastAsia="Times New Roman" w:hAnsi="Times New Roman"/>
                <w:sz w:val="18"/>
                <w:szCs w:val="18"/>
                <w:color w:val="231F20"/>
                <w:w w:val="98"/>
              </w:rPr>
              <w:t>5,086</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property and equipment</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24,235</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231F20"/>
                <w:w w:val="96"/>
              </w:rPr>
              <w:t>19,391</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Less: accumulated depreciation and amortization</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(9,803)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231F20"/>
                <w:w w:val="98"/>
              </w:rPr>
              <w:t>(8,561)</w:t>
            </w: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Construction in progress</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3,427</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34"/>
              <w:spacing w:after="0"/>
              <w:rPr>
                <w:sz w:val="20"/>
                <w:szCs w:val="20"/>
                <w:color w:val="auto"/>
              </w:rPr>
            </w:pPr>
            <w:r>
              <w:rPr>
                <w:rFonts w:ascii="Times New Roman" w:cs="Times New Roman" w:eastAsia="Times New Roman" w:hAnsi="Times New Roman"/>
                <w:sz w:val="18"/>
                <w:szCs w:val="18"/>
                <w:color w:val="231F20"/>
                <w:w w:val="98"/>
              </w:rPr>
              <w:t>5,353</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231F20"/>
                <w:w w:val="88"/>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17,859</w:t>
            </w: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231F20"/>
                <w:w w:val="96"/>
              </w:rPr>
              <w:t>16,183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231F20"/>
                <w:w w:val="97"/>
              </w:rPr>
              <w:t>Depreciation expense was as follows for the periods indicated:</w:t>
            </w: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474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4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CCEEFF"/>
            </w:tcBorders>
            <w:vMerge w:val="continue"/>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center"/>
              <w:ind w:left="814"/>
              <w:spacing w:after="0"/>
              <w:rPr>
                <w:sz w:val="20"/>
                <w:szCs w:val="20"/>
                <w:color w:val="auto"/>
              </w:rPr>
            </w:pPr>
            <w:r>
              <w:rPr>
                <w:rFonts w:ascii="Times New Roman" w:cs="Times New Roman" w:eastAsia="Times New Roman" w:hAnsi="Times New Roman"/>
                <w:sz w:val="18"/>
                <w:szCs w:val="18"/>
                <w:color w:val="auto"/>
                <w:w w:val="96"/>
              </w:rPr>
              <w:t>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814"/>
              <w:spacing w:after="0"/>
              <w:rPr>
                <w:sz w:val="20"/>
                <w:szCs w:val="20"/>
                <w:color w:val="auto"/>
              </w:rPr>
            </w:pPr>
            <w:r>
              <w:rPr>
                <w:rFonts w:ascii="Times New Roman" w:cs="Times New Roman" w:eastAsia="Times New Roman" w:hAnsi="Times New Roman"/>
                <w:sz w:val="18"/>
                <w:szCs w:val="18"/>
                <w:color w:val="auto"/>
                <w:w w:val="96"/>
              </w:rPr>
              <w:t>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Selling and marketing</w:t>
            </w:r>
          </w:p>
        </w:tc>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Total depreciation expense</w:t>
            </w: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1,416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bottom w:val="single" w:sz="8" w:color="auto"/>
            </w:tcBorders>
          </w:tcPr>
          <w:p>
            <w:pPr>
              <w:jc w:val="center"/>
              <w:ind w:left="814"/>
              <w:spacing w:after="0"/>
              <w:rPr>
                <w:sz w:val="20"/>
                <w:szCs w:val="20"/>
                <w:color w:val="auto"/>
              </w:rPr>
            </w:pPr>
            <w:r>
              <w:rPr>
                <w:rFonts w:ascii="Times New Roman" w:cs="Times New Roman" w:eastAsia="Times New Roman" w:hAnsi="Times New Roman"/>
                <w:sz w:val="18"/>
                <w:szCs w:val="18"/>
                <w:color w:val="231F20"/>
                <w:w w:val="96"/>
              </w:rPr>
              <w:t>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 net</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March 31, 2022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00" w:type="dxa"/>
            <w:vAlign w:val="bottom"/>
          </w:tcPr>
          <w:p>
            <w:pPr>
              <w:spacing w:after="0"/>
              <w:rPr>
                <w:sz w:val="13"/>
                <w:szCs w:val="13"/>
                <w:color w:val="auto"/>
              </w:rPr>
            </w:pPr>
          </w:p>
        </w:tc>
        <w:tc>
          <w:tcPr>
            <w:tcW w:w="12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6"/>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1"/>
        </w:trPr>
        <w:tc>
          <w:tcPr>
            <w:tcW w:w="5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4"/>
              </w:rPr>
              <w:t>(Years)</w:t>
            </w:r>
          </w:p>
        </w:tc>
        <w:tc>
          <w:tcPr>
            <w:tcW w:w="0" w:type="dxa"/>
            <w:vAlign w:val="bottom"/>
          </w:tcPr>
          <w:p>
            <w:pPr>
              <w:spacing w:after="0"/>
              <w:rPr>
                <w:sz w:val="1"/>
                <w:szCs w:val="1"/>
                <w:color w:val="auto"/>
              </w:rPr>
            </w:pPr>
          </w:p>
        </w:tc>
      </w:tr>
      <w:tr>
        <w:trPr>
          <w:trHeight w:val="264"/>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Trademarks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10,072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(3,611)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6,461</w:t>
            </w:r>
          </w:p>
        </w:tc>
        <w:tc>
          <w:tcPr>
            <w:tcW w:w="15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Non-compete agreement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449</w:t>
            </w:r>
          </w:p>
        </w:tc>
        <w:tc>
          <w:tcPr>
            <w:tcW w:w="15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18,629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13,534</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6"/>
              </w:rPr>
              <w:t>5-10</w:t>
            </w:r>
          </w:p>
        </w:tc>
        <w:tc>
          <w:tcPr>
            <w:tcW w:w="0" w:type="dxa"/>
            <w:vAlign w:val="bottom"/>
          </w:tcPr>
          <w:p>
            <w:pPr>
              <w:spacing w:after="0"/>
              <w:rPr>
                <w:sz w:val="1"/>
                <w:szCs w:val="1"/>
                <w:color w:val="auto"/>
              </w:rPr>
            </w:pPr>
          </w:p>
        </w:tc>
      </w:tr>
      <w:tr>
        <w:trPr>
          <w:trHeight w:val="239"/>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Developed technology</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70,900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(47,267)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23,633</w:t>
            </w:r>
          </w:p>
        </w:tc>
        <w:tc>
          <w:tcPr>
            <w:tcW w:w="15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231F20"/>
              </w:rPr>
              <w:t>8</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Patents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1,826</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6"/>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Capitalized software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10,016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(3,375)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6,641</w:t>
            </w:r>
          </w:p>
        </w:tc>
        <w:tc>
          <w:tcPr>
            <w:tcW w:w="15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231F20"/>
                <w:w w:val="99"/>
              </w:rPr>
              <w:t>3-5</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112,568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(60,024)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52,544</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gross carrying amount and accumulated amortization of the Company’s intangible assets, net, as of December 31, 2021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220" w:type="dxa"/>
            <w:vAlign w:val="bottom"/>
          </w:tcPr>
          <w:p>
            <w:pPr>
              <w:spacing w:after="0"/>
              <w:rPr>
                <w:sz w:val="13"/>
                <w:szCs w:val="13"/>
                <w:color w:val="auto"/>
              </w:rPr>
            </w:pPr>
          </w:p>
        </w:tc>
        <w:tc>
          <w:tcPr>
            <w:tcW w:w="1220" w:type="dxa"/>
            <w:vAlign w:val="bottom"/>
            <w:gridSpan w:val="4"/>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231F20"/>
              </w:rPr>
              <w:t>Net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4"/>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56"/>
              <w:spacing w:after="0" w:line="144" w:lineRule="exact"/>
              <w:rPr>
                <w:sz w:val="20"/>
                <w:szCs w:val="20"/>
                <w:color w:val="auto"/>
              </w:rPr>
            </w:pPr>
            <w:r>
              <w:rPr>
                <w:rFonts w:ascii="Times New Roman" w:cs="Times New Roman" w:eastAsia="Times New Roman" w:hAnsi="Times New Roman"/>
                <w:sz w:val="14"/>
                <w:szCs w:val="14"/>
                <w:b w:val="1"/>
                <w:bCs w:val="1"/>
                <w:color w:val="231F20"/>
              </w:rPr>
              <w:t>Useful Life</w:t>
            </w:r>
          </w:p>
        </w:tc>
        <w:tc>
          <w:tcPr>
            <w:tcW w:w="0" w:type="dxa"/>
            <w:vAlign w:val="bottom"/>
          </w:tcPr>
          <w:p>
            <w:pPr>
              <w:spacing w:after="0"/>
              <w:rPr>
                <w:sz w:val="1"/>
                <w:szCs w:val="1"/>
                <w:color w:val="auto"/>
              </w:rPr>
            </w:pPr>
          </w:p>
        </w:tc>
      </w:tr>
      <w:tr>
        <w:trPr>
          <w:trHeight w:val="193"/>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231F20"/>
              </w:rPr>
              <w:t>Amortization</w:t>
            </w:r>
          </w:p>
        </w:tc>
        <w:tc>
          <w:tcPr>
            <w:tcW w:w="220" w:type="dxa"/>
            <w:vAlign w:val="bottom"/>
          </w:tcPr>
          <w:p>
            <w:pPr>
              <w:spacing w:after="0"/>
              <w:rPr>
                <w:sz w:val="16"/>
                <w:szCs w:val="16"/>
                <w:color w:val="auto"/>
              </w:rPr>
            </w:pPr>
          </w:p>
        </w:tc>
        <w:tc>
          <w:tcPr>
            <w:tcW w:w="122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231F20"/>
                <w:w w:val="94"/>
              </w:rPr>
              <w:t>(Years)</w:t>
            </w:r>
          </w:p>
        </w:tc>
        <w:tc>
          <w:tcPr>
            <w:tcW w:w="0" w:type="dxa"/>
            <w:vAlign w:val="bottom"/>
          </w:tcPr>
          <w:p>
            <w:pPr>
              <w:spacing w:after="0"/>
              <w:rPr>
                <w:sz w:val="1"/>
                <w:szCs w:val="1"/>
                <w:color w:val="auto"/>
              </w:rPr>
            </w:pPr>
          </w:p>
        </w:tc>
      </w:tr>
      <w:tr>
        <w:trPr>
          <w:trHeight w:val="264"/>
        </w:trPr>
        <w:tc>
          <w:tcPr>
            <w:tcW w:w="52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Trademarks</w:t>
            </w:r>
          </w:p>
        </w:tc>
        <w:tc>
          <w:tcPr>
            <w:tcW w:w="260" w:type="dxa"/>
            <w:vAlign w:val="bottom"/>
            <w:tcBorders>
              <w:top w:val="single" w:sz="8" w:color="231F20"/>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10,048</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tcBorders>
              <w:top w:val="single" w:sz="8" w:color="231F20"/>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(3,442)</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231F20"/>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tcBorders>
              <w:top w:val="single" w:sz="8" w:color="231F20"/>
            </w:tcBorders>
            <w:shd w:val="clear" w:color="auto" w:fill="CCEEFF"/>
          </w:tcPr>
          <w:p>
            <w:pPr>
              <w:spacing w:after="0"/>
              <w:rPr>
                <w:sz w:val="22"/>
                <w:szCs w:val="22"/>
                <w:color w:val="auto"/>
              </w:rPr>
            </w:pPr>
          </w:p>
        </w:tc>
        <w:tc>
          <w:tcPr>
            <w:tcW w:w="560" w:type="dxa"/>
            <w:vAlign w:val="bottom"/>
            <w:tcBorders>
              <w:top w:val="single" w:sz="8" w:color="231F20"/>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6,606</w:t>
            </w:r>
          </w:p>
        </w:tc>
        <w:tc>
          <w:tcPr>
            <w:tcW w:w="100" w:type="dxa"/>
            <w:vAlign w:val="bottom"/>
            <w:tcBorders>
              <w:top w:val="single" w:sz="8" w:color="231F20"/>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spacing w:after="0"/>
              <w:rPr>
                <w:sz w:val="22"/>
                <w:szCs w:val="22"/>
                <w:color w:val="auto"/>
              </w:rPr>
            </w:pPr>
          </w:p>
        </w:tc>
        <w:tc>
          <w:tcPr>
            <w:tcW w:w="1220" w:type="dxa"/>
            <w:vAlign w:val="bottom"/>
            <w:tcBorders>
              <w:top w:val="single" w:sz="8" w:color="231F20"/>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231F20"/>
                <w:w w:val="99"/>
              </w:rPr>
              <w:t>15</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Non-compete agreement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670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18,625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2"/>
              </w:rPr>
              <w:t>14,234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231F20"/>
                <w:w w:val="96"/>
              </w:rPr>
              <w:t>5-10</w:t>
            </w:r>
          </w:p>
        </w:tc>
        <w:tc>
          <w:tcPr>
            <w:tcW w:w="0" w:type="dxa"/>
            <w:vAlign w:val="bottom"/>
          </w:tcPr>
          <w:p>
            <w:pPr>
              <w:spacing w:after="0"/>
              <w:rPr>
                <w:sz w:val="1"/>
                <w:szCs w:val="1"/>
                <w:color w:val="auto"/>
              </w:rPr>
            </w:pPr>
          </w:p>
        </w:tc>
      </w:tr>
      <w:tr>
        <w:trPr>
          <w:trHeight w:val="23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Developed technology</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70,900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(45,051)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w w:val="92"/>
              </w:rPr>
              <w:t>25,849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231F20"/>
              </w:rPr>
              <w:t>8</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Patents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231F20"/>
                <w:w w:val="96"/>
              </w:rPr>
              <w:t>3-19</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Capitalized software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9,867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(2,971)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6,896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center"/>
              <w:ind w:right="136"/>
              <w:spacing w:after="0"/>
              <w:rPr>
                <w:sz w:val="20"/>
                <w:szCs w:val="20"/>
                <w:color w:val="auto"/>
              </w:rPr>
            </w:pPr>
            <w:r>
              <w:rPr>
                <w:rFonts w:ascii="Times New Roman" w:cs="Times New Roman" w:eastAsia="Times New Roman" w:hAnsi="Times New Roman"/>
                <w:sz w:val="18"/>
                <w:szCs w:val="18"/>
                <w:color w:val="231F20"/>
                <w:w w:val="99"/>
              </w:rPr>
              <w:t>3-5</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intangible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112,299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(56,289)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2"/>
              </w:rPr>
              <w:t>56,010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231F20"/>
              </w:rPr>
              <w:t>Amortization expense was as follows for the periods indicated: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5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7"/>
          </w:tcPr>
          <w:p>
            <w:pPr>
              <w:jc w:val="right"/>
              <w:ind w:right="416"/>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5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231F20"/>
                <w:w w:val="99"/>
              </w:rPr>
              <w:t>2021</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25"/>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Selling and marketing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8"/>
        </w:trPr>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Total amortization expense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3,174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2,921</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231F20"/>
              </w:rPr>
              <w:t>The changes in the carrying value of goodwill are as follows:</w:t>
            </w: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5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5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4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6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Beginning balance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123,694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98,531</w:t>
            </w:r>
          </w:p>
        </w:tc>
        <w:tc>
          <w:tcPr>
            <w:tcW w:w="0" w:type="dxa"/>
            <w:vAlign w:val="bottom"/>
          </w:tcPr>
          <w:p>
            <w:pPr>
              <w:spacing w:after="0"/>
              <w:rPr>
                <w:sz w:val="1"/>
                <w:szCs w:val="1"/>
                <w:color w:val="auto"/>
              </w:rPr>
            </w:pPr>
          </w:p>
        </w:tc>
      </w:tr>
      <w:tr>
        <w:trPr>
          <w:trHeight w:val="225"/>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Measurement period adjustments - Ecomedic</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5"/>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Foreign currency translation impact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0" w:type="dxa"/>
            <w:vAlign w:val="bottom"/>
          </w:tcPr>
          <w:p>
            <w:pPr>
              <w:spacing w:after="0"/>
              <w:rPr>
                <w:sz w:val="1"/>
                <w:szCs w:val="1"/>
                <w:color w:val="auto"/>
              </w:rPr>
            </w:pPr>
          </w:p>
        </w:tc>
      </w:tr>
      <w:tr>
        <w:trPr>
          <w:trHeight w:val="218"/>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Ending balance</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123,774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98,535</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The goodwill arising from the Ecomedic acquisition was increased by $0.2 million due to adjustments of acquisition date tax liability estimates during the three months ended March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46" w:lineRule="exact"/>
        <w:rPr>
          <w:sz w:val="20"/>
          <w:szCs w:val="20"/>
          <w:color w:val="auto"/>
        </w:rPr>
      </w:pPr>
    </w:p>
    <w:p>
      <w:pPr>
        <w:ind w:right="280" w:firstLine="318"/>
        <w:spacing w:after="0" w:line="271" w:lineRule="auto"/>
        <w:rPr>
          <w:sz w:val="20"/>
          <w:szCs w:val="20"/>
          <w:color w:val="auto"/>
        </w:rPr>
      </w:pPr>
      <w:r>
        <w:rPr>
          <w:rFonts w:ascii="Times New Roman" w:cs="Times New Roman" w:eastAsia="Times New Roman" w:hAnsi="Times New Roman"/>
          <w:sz w:val="17"/>
          <w:szCs w:val="17"/>
          <w:color w:val="auto"/>
        </w:rPr>
        <w:t>On December 30, 2021, Edge Systems LLC, a California limited liability company (the “Borrower”) and an indirect wholly owned subsidiary of The Beauty Health Company, as borrower, entered into a Credit Agreement (the “Credit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 as guarantors (the “Guarantors” and, together with the Borrower, the “Loan Parties”), and JPMorgan Chase Bank, N.A., as administrative agent.</w:t>
      </w:r>
    </w:p>
    <w:p>
      <w:pPr>
        <w:spacing w:after="0" w:line="195" w:lineRule="exact"/>
        <w:rPr>
          <w:sz w:val="20"/>
          <w:szCs w:val="20"/>
          <w:color w:val="auto"/>
        </w:rPr>
      </w:pPr>
    </w:p>
    <w:p>
      <w:pPr>
        <w:jc w:val="both"/>
        <w:ind w:right="80"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Times New Roman" w:cs="Times New Roman" w:eastAsia="Times New Roman" w:hAnsi="Times New Roman"/>
          <w:sz w:val="18"/>
          <w:szCs w:val="18"/>
          <w:color w:val="231F20"/>
        </w:rPr>
        <w:t>March 31, 2022</w:t>
      </w:r>
      <w:r>
        <w:rPr>
          <w:rFonts w:ascii="Times New Roman" w:cs="Times New Roman" w:eastAsia="Times New Roman" w:hAnsi="Times New Roman"/>
          <w:sz w:val="18"/>
          <w:szCs w:val="18"/>
          <w:color w:val="auto"/>
        </w:rPr>
        <w:t xml:space="preserve"> the Credit Agreement remains undrawn and there is no outstanding balance under the revolving credit facility.</w:t>
      </w:r>
    </w:p>
    <w:p>
      <w:pPr>
        <w:spacing w:after="0" w:line="207"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7"/>
          <w:szCs w:val="17"/>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 become liable under contingent obligations in certain circumstances, make certain restricted payments, make certain</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204"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7"/>
          <w:szCs w:val="17"/>
          <w:color w:val="auto"/>
        </w:rPr>
        <w:t xml:space="preserve">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As of </w:t>
      </w:r>
      <w:r>
        <w:rPr>
          <w:rFonts w:ascii="Times New Roman" w:cs="Times New Roman" w:eastAsia="Times New Roman" w:hAnsi="Times New Roman"/>
          <w:sz w:val="17"/>
          <w:szCs w:val="17"/>
          <w:color w:val="231F20"/>
        </w:rPr>
        <w:t>March 31, 2022</w:t>
      </w:r>
      <w:r>
        <w:rPr>
          <w:rFonts w:ascii="Times New Roman" w:cs="Times New Roman" w:eastAsia="Times New Roman" w:hAnsi="Times New Roman"/>
          <w:sz w:val="17"/>
          <w:szCs w:val="17"/>
          <w:color w:val="auto"/>
        </w:rPr>
        <w:t xml:space="preserve">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4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On September 14, 2021, the Company issued an aggregate of $750 million in principal amount of its 1.25% Convertible Senior Notes due 2026 (the “Notes”). The Notes were issued pursuant to, and are governed by, an indenture (the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21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21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31.4859 shares of common stock per $1,000 principal amount of Notes, which represents an initial conversion price of approximately $31.76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2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Notes are redeemable, in whole or in part (subject to certain limitations described below), at the Company’s option at any time, and from time to</w:t>
      </w:r>
    </w:p>
    <w:p>
      <w:pPr>
        <w:spacing w:after="0" w:line="1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time, on or after October 6, 2024, and on or before the 40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but only if certain liquidity conditions are satisfied and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221"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If certain corporate events that constitute a “Fundamental Change” (as defined in the Indenture) occur, then, subject to a limited exception for certain cash mergers, noteholders may require the Company to repurchase their Notes at a cash repurchase</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04"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7"/>
          <w:szCs w:val="17"/>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$45,000,000; (vii) the rendering of certain judgments against the Company or any of its significant subsidiaries for the payment of at least $45,000,000,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20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21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204"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231F20"/>
        </w:rPr>
        <w:t>The total amount of debt issuance costs of $21.3 million was recorded as a reduction to “Convertible senior notes, net” in the Company’s Condensed Consolidated Balance Sheets and are being amortized as interest expense over the term of the Notes using the effective interest method. During the three months ended March 31, 2022, the Company recognized $2.3 million in interest expense related to the amortization of the debt issuance costs related to the Notes. There was no such expense related to the Notes in the three months ended March 31, 2021.</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is a summary of the Company’s Notes as of March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231F20"/>
              </w:rPr>
              <w:t>Fair Value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3"/>
            <w:vMerge w:val="restart"/>
          </w:tcPr>
          <w:p>
            <w:pPr>
              <w:jc w:val="right"/>
              <w:ind w:right="120"/>
              <w:spacing w:after="0" w:line="159" w:lineRule="exact"/>
              <w:rPr>
                <w:sz w:val="20"/>
                <w:szCs w:val="20"/>
                <w:color w:val="auto"/>
              </w:rPr>
            </w:pPr>
            <w:r>
              <w:rPr>
                <w:rFonts w:ascii="Times New Roman" w:cs="Times New Roman" w:eastAsia="Times New Roman" w:hAnsi="Times New Roman"/>
                <w:sz w:val="14"/>
                <w:szCs w:val="14"/>
                <w:b w:val="1"/>
                <w:bCs w:val="1"/>
                <w:color w:val="231F20"/>
              </w:rPr>
              <w:t>Unamortized Issuance</w:t>
            </w:r>
          </w:p>
        </w:tc>
        <w:tc>
          <w:tcPr>
            <w:tcW w:w="200" w:type="dxa"/>
            <w:vAlign w:val="bottom"/>
          </w:tcPr>
          <w:p>
            <w:pPr>
              <w:spacing w:after="0"/>
              <w:rPr>
                <w:sz w:val="2"/>
                <w:szCs w:val="2"/>
                <w:color w:val="auto"/>
              </w:rPr>
            </w:pPr>
          </w:p>
        </w:tc>
        <w:tc>
          <w:tcPr>
            <w:tcW w:w="1320" w:type="dxa"/>
            <w:vAlign w:val="bottom"/>
            <w:vMerge w:val="restart"/>
          </w:tcPr>
          <w:p>
            <w:pPr>
              <w:jc w:val="center"/>
              <w:ind w:right="243"/>
              <w:spacing w:after="0" w:line="159" w:lineRule="exact"/>
              <w:rPr>
                <w:sz w:val="20"/>
                <w:szCs w:val="20"/>
                <w:color w:val="auto"/>
              </w:rPr>
            </w:pPr>
            <w:r>
              <w:rPr>
                <w:rFonts w:ascii="Times New Roman" w:cs="Times New Roman" w:eastAsia="Times New Roman" w:hAnsi="Times New Roman"/>
                <w:sz w:val="14"/>
                <w:szCs w:val="14"/>
                <w:b w:val="1"/>
                <w:bCs w:val="1"/>
                <w:color w:val="231F20"/>
              </w:rPr>
              <w:t>Net Carrying</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40" w:type="dxa"/>
            <w:vAlign w:val="bottom"/>
          </w:tcPr>
          <w:p>
            <w:pPr>
              <w:spacing w:after="0"/>
              <w:rPr>
                <w:sz w:val="9"/>
                <w:szCs w:val="9"/>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4"/>
                <w:szCs w:val="14"/>
                <w:b w:val="1"/>
                <w:bCs w:val="1"/>
                <w:color w:val="231F20"/>
              </w:rPr>
              <w:t>Level</w:t>
            </w:r>
          </w:p>
        </w:tc>
        <w:tc>
          <w:tcPr>
            <w:tcW w:w="0" w:type="dxa"/>
            <w:vAlign w:val="bottom"/>
          </w:tcPr>
          <w:p>
            <w:pPr>
              <w:spacing w:after="0"/>
              <w:rPr>
                <w:sz w:val="1"/>
                <w:szCs w:val="1"/>
                <w:color w:val="auto"/>
              </w:rPr>
            </w:pPr>
          </w:p>
        </w:tc>
      </w:tr>
      <w:tr>
        <w:trPr>
          <w:trHeight w:val="191"/>
        </w:trPr>
        <w:tc>
          <w:tcPr>
            <w:tcW w:w="3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231F20"/>
              </w:rPr>
              <w:t>Costs</w:t>
            </w:r>
          </w:p>
        </w:tc>
        <w:tc>
          <w:tcPr>
            <w:tcW w:w="200" w:type="dxa"/>
            <w:vAlign w:val="bottom"/>
          </w:tcPr>
          <w:p>
            <w:pPr>
              <w:spacing w:after="0"/>
              <w:rPr>
                <w:sz w:val="16"/>
                <w:szCs w:val="16"/>
                <w:color w:val="auto"/>
              </w:rPr>
            </w:pPr>
          </w:p>
        </w:tc>
        <w:tc>
          <w:tcPr>
            <w:tcW w:w="132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231F20"/>
                <w:w w:val="97"/>
              </w:rPr>
              <w:t>Value</w:t>
            </w:r>
          </w:p>
        </w:tc>
        <w:tc>
          <w:tcPr>
            <w:tcW w:w="2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1.25% Convertible Notes due 2026</w:t>
            </w:r>
          </w:p>
        </w:tc>
        <w:tc>
          <w:tcPr>
            <w:tcW w:w="1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280" w:type="dxa"/>
            <w:vAlign w:val="bottom"/>
            <w:tcBorders>
              <w:top w:val="single" w:sz="8" w:color="231F20"/>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231F20"/>
              </w:rPr>
              <w:t>750,000</w:t>
            </w:r>
          </w:p>
        </w:tc>
        <w:tc>
          <w:tcPr>
            <w:tcW w:w="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231F20"/>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231F20"/>
              </w:rPr>
              <w:t>$</w:t>
            </w:r>
          </w:p>
        </w:tc>
        <w:tc>
          <w:tcPr>
            <w:tcW w:w="11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19,029</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tcBorders>
              <w:top w:val="single" w:sz="8" w:color="231F20"/>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231F20"/>
              </w:rPr>
              <w:t>730,971</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231F20"/>
              </w:rPr>
              <w:t>680,400</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231F20"/>
            </w:tcBorders>
            <w:shd w:val="clear" w:color="auto" w:fill="CCEEFF"/>
          </w:tcPr>
          <w:p>
            <w:pPr>
              <w:spacing w:after="0"/>
              <w:rPr>
                <w:sz w:val="22"/>
                <w:szCs w:val="22"/>
                <w:color w:val="auto"/>
              </w:rPr>
            </w:pPr>
          </w:p>
        </w:tc>
        <w:tc>
          <w:tcPr>
            <w:tcW w:w="1060" w:type="dxa"/>
            <w:vAlign w:val="bottom"/>
            <w:tcBorders>
              <w:top w:val="single" w:sz="8" w:color="231F20"/>
            </w:tcBorders>
            <w:shd w:val="clear" w:color="auto" w:fill="CCEEFF"/>
          </w:tcPr>
          <w:p>
            <w:pPr>
              <w:jc w:val="center"/>
              <w:ind w:right="281"/>
              <w:spacing w:after="0"/>
              <w:rPr>
                <w:sz w:val="20"/>
                <w:szCs w:val="20"/>
                <w:color w:val="auto"/>
              </w:rPr>
            </w:pPr>
            <w:r>
              <w:rPr>
                <w:rFonts w:ascii="Times New Roman" w:cs="Times New Roman" w:eastAsia="Times New Roman" w:hAnsi="Times New Roman"/>
                <w:sz w:val="18"/>
                <w:szCs w:val="18"/>
                <w:color w:val="231F20"/>
                <w:w w:val="99"/>
              </w:rPr>
              <w:t>Level 2</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right="200" w:firstLine="318"/>
        <w:spacing w:after="0" w:line="259" w:lineRule="auto"/>
        <w:rPr>
          <w:sz w:val="20"/>
          <w:szCs w:val="20"/>
          <w:color w:val="auto"/>
        </w:rPr>
      </w:pPr>
      <w:r>
        <w:rPr>
          <w:rFonts w:ascii="Times New Roman" w:cs="Times New Roman" w:eastAsia="Times New Roman" w:hAnsi="Times New Roman"/>
          <w:sz w:val="18"/>
          <w:szCs w:val="18"/>
          <w:color w:val="231F20"/>
        </w:rPr>
        <w:t>The Notes are carried at face value less the unamortized debt issuance costs on the Company’s Consolidated Balance Sheets. As of March 31, 2022, the estimated fair value of the Notes was approximately $680 million. The estimated fair value of the Notes was determined based on the actual bid price of the Notes on March 31, 2022.</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March 31, 2022, the remaining life of the Notes is approximately 4.5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4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approximately $90.2 million.</w:t>
      </w:r>
    </w:p>
    <w:p>
      <w:pPr>
        <w:spacing w:after="0" w:line="218"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46"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231F20"/>
        </w:rPr>
        <w:t>In connection with the Closing of the Business Combination, all of HydraFacial’s existing debt under its credit facilities were repaid and its credit facilities were extinguished. T</w:t>
      </w:r>
      <w:r>
        <w:rPr>
          <w:rFonts w:ascii="Times New Roman" w:cs="Times New Roman" w:eastAsia="Times New Roman" w:hAnsi="Times New Roman"/>
          <w:sz w:val="18"/>
          <w:szCs w:val="18"/>
          <w:color w:val="000000"/>
        </w:rPr>
        <w:t>he related write-off of the deferred financing costs totaled $2.3 million and prepayment penalties totaled $2.0 million in 2021.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Both are included in the Other expense (income), net on the Company’s Consolidated Statements of Comprehensive Loss.</w:t>
      </w:r>
    </w:p>
    <w:p>
      <w:pPr>
        <w:spacing w:after="0" w:line="20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231F20"/>
        </w:rPr>
        <w:t>Defer</w:t>
      </w:r>
      <w:r>
        <w:rPr>
          <w:rFonts w:ascii="Times New Roman" w:cs="Times New Roman" w:eastAsia="Times New Roman" w:hAnsi="Times New Roman"/>
          <w:sz w:val="18"/>
          <w:szCs w:val="18"/>
          <w:color w:val="000000"/>
        </w:rPr>
        <w:t>red financing costs expense prior to the Closing of the Business Combination for the</w:t>
      </w:r>
      <w:r>
        <w:rPr>
          <w:rFonts w:ascii="Times New Roman" w:cs="Times New Roman" w:eastAsia="Times New Roman" w:hAnsi="Times New Roman"/>
          <w:sz w:val="18"/>
          <w:szCs w:val="18"/>
          <w:color w:val="231F20"/>
        </w:rPr>
        <w:t xml:space="preserve"> three months </w:t>
      </w:r>
      <w:r>
        <w:rPr>
          <w:rFonts w:ascii="Times New Roman" w:cs="Times New Roman" w:eastAsia="Times New Roman" w:hAnsi="Times New Roman"/>
          <w:sz w:val="18"/>
          <w:szCs w:val="18"/>
          <w:color w:val="000000"/>
        </w:rPr>
        <w:t>ended March 31, 2021 amounted to $0.4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is included in Interest expense, net on the Company’s Consolidated Statements of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income tax expense/(benefit) for the three months ended March 31, 2022 and March 31, 2021 is $2.6 million and $(0.3) million, respectively.</w:t>
      </w:r>
    </w:p>
    <w:p>
      <w:pPr>
        <w:spacing w:after="0" w:line="230" w:lineRule="exact"/>
        <w:rPr>
          <w:sz w:val="20"/>
          <w:szCs w:val="20"/>
          <w:color w:val="auto"/>
        </w:rPr>
      </w:pPr>
    </w:p>
    <w:p>
      <w:pPr>
        <w:ind w:right="140" w:firstLine="238"/>
        <w:spacing w:after="0" w:line="244" w:lineRule="auto"/>
        <w:rPr>
          <w:sz w:val="20"/>
          <w:szCs w:val="20"/>
          <w:color w:val="auto"/>
        </w:rPr>
      </w:pPr>
      <w:r>
        <w:rPr>
          <w:rFonts w:ascii="Times New Roman" w:cs="Times New Roman" w:eastAsia="Times New Roman" w:hAnsi="Times New Roman"/>
          <w:sz w:val="18"/>
          <w:szCs w:val="18"/>
          <w:color w:val="231F20"/>
        </w:rPr>
        <w:t xml:space="preserve">The effective tax rate for the three months ended March 31, 2022 is 7.45% which is lower than the federal statutory rate of 21.0% primarily due to forecasted loses adjusted by various non-deductible expenses primarily from the revaluation of the warrants, </w:t>
      </w:r>
      <w:r>
        <w:rPr>
          <w:rFonts w:ascii="Times New Roman" w:cs="Times New Roman" w:eastAsia="Times New Roman" w:hAnsi="Times New Roman"/>
          <w:sz w:val="18"/>
          <w:szCs w:val="18"/>
          <w:color w:val="000000"/>
        </w:rPr>
        <w:t>limitation on officer’s compensation, and meals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entertainment.</w:t>
      </w:r>
    </w:p>
    <w:p>
      <w:pPr>
        <w:spacing w:after="0" w:line="217"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231F20"/>
        </w:rPr>
        <w:t>The effective tax rate for the three months ended March 31, 2021 is 8.55% which is lower than the federal statutory rate of 21.0% primarily due to the increase in valuation and non-deductible expense related to stock-based compensation and meals and entertainment.</w:t>
      </w:r>
    </w:p>
    <w:p>
      <w:pPr>
        <w:spacing w:after="0" w:line="190" w:lineRule="exact"/>
        <w:rPr>
          <w:sz w:val="20"/>
          <w:szCs w:val="20"/>
          <w:color w:val="auto"/>
        </w:rPr>
      </w:pPr>
    </w:p>
    <w:p>
      <w:pPr>
        <w:ind w:right="160" w:firstLine="318"/>
        <w:spacing w:after="0" w:line="282" w:lineRule="auto"/>
        <w:rPr>
          <w:sz w:val="20"/>
          <w:szCs w:val="20"/>
          <w:color w:val="auto"/>
        </w:rPr>
      </w:pPr>
      <w:r>
        <w:rPr>
          <w:rFonts w:ascii="Times New Roman" w:cs="Times New Roman" w:eastAsia="Times New Roman" w:hAnsi="Times New Roman"/>
          <w:sz w:val="17"/>
          <w:szCs w:val="17"/>
          <w:color w:val="231F20"/>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w:t>
      </w:r>
    </w:p>
    <w:p>
      <w:pPr>
        <w:spacing w:after="0" w:line="185"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231F20"/>
        </w:rPr>
        <w:t>Additionally, the Company applies ASC 740, the accounting standard governing uncertainty in income taxes that prescribes rules for recognition, measurement and classification in the financial statements of tax positions taken or expected to be taken in a tax return. The Company has gross unrecognized tax benefits of $0.1 million and $0.1 million for the three months ended March 31, 2022 and March 31, 2021, respectively.</w:t>
      </w:r>
    </w:p>
    <w:p>
      <w:pPr>
        <w:spacing w:after="0" w:line="204"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On March 11, 2021 the United States enacted the American Rescue Plan Act of 2021 (“American Rescue Plan”). The American Rescue Plan includes various income and payroll tax measures. The Company does not expect a material impact of the American Rescue Plan on the Company’s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Equity-Based Compensation</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Compensation expense attributable to net stock-based compensation was as follows for the periods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2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Selling and marketing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(“RSUs”) and </w:t>
      </w:r>
      <w:r>
        <w:rPr>
          <w:rFonts w:ascii="Times New Roman" w:cs="Times New Roman" w:eastAsia="Times New Roman" w:hAnsi="Times New Roman"/>
          <w:sz w:val="18"/>
          <w:szCs w:val="18"/>
          <w:i w:val="1"/>
          <w:iCs w:val="1"/>
          <w:color w:val="231F20"/>
        </w:rPr>
        <w:t>Performance-based restricted stock units (“PSUs”)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unvested equity award activity for the three months ended March 31,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231F20"/>
              </w:rPr>
              <w:t>Weighted Average Grant Date Fair</w:t>
            </w:r>
          </w:p>
        </w:tc>
      </w:tr>
      <w:tr>
        <w:trPr>
          <w:trHeight w:val="192"/>
        </w:trPr>
        <w:tc>
          <w:tcPr>
            <w:tcW w:w="57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231F20"/>
                <w:w w:val="97"/>
              </w:rPr>
              <w:t>Value</w:t>
            </w:r>
          </w:p>
        </w:tc>
        <w:tc>
          <w:tcPr>
            <w:tcW w:w="840" w:type="dxa"/>
            <w:vAlign w:val="bottom"/>
            <w:tcBorders>
              <w:bottom w:val="single" w:sz="8" w:color="auto"/>
            </w:tcBorders>
          </w:tcPr>
          <w:p>
            <w:pPr>
              <w:spacing w:after="0"/>
              <w:rPr>
                <w:sz w:val="16"/>
                <w:szCs w:val="16"/>
                <w:color w:val="auto"/>
              </w:rPr>
            </w:pPr>
          </w:p>
        </w:tc>
      </w:tr>
      <w:tr>
        <w:trPr>
          <w:trHeight w:val="192"/>
        </w:trPr>
        <w:tc>
          <w:tcPr>
            <w:tcW w:w="5740" w:type="dxa"/>
            <w:vAlign w:val="bottom"/>
          </w:tcPr>
          <w:p>
            <w:pPr>
              <w:spacing w:after="0"/>
              <w:rPr>
                <w:sz w:val="16"/>
                <w:szCs w:val="16"/>
                <w:color w:val="auto"/>
              </w:rPr>
            </w:pPr>
          </w:p>
        </w:tc>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231F20"/>
              </w:rPr>
              <w:t>RSUs</w:t>
            </w:r>
          </w:p>
        </w:tc>
        <w:tc>
          <w:tcPr>
            <w:tcW w:w="15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231F20"/>
              </w:rPr>
              <w:t>PSUs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231F20"/>
              </w:rPr>
              <w:t>RSUs</w:t>
            </w:r>
          </w:p>
        </w:tc>
        <w:tc>
          <w:tcPr>
            <w:tcW w:w="260" w:type="dxa"/>
            <w:vAlign w:val="bottom"/>
          </w:tcPr>
          <w:p>
            <w:pPr>
              <w:spacing w:after="0"/>
              <w:rPr>
                <w:sz w:val="16"/>
                <w:szCs w:val="16"/>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231F20"/>
              </w:rPr>
              <w:t>PSUs</w:t>
            </w:r>
          </w:p>
        </w:tc>
      </w:tr>
      <w:tr>
        <w:trPr>
          <w:trHeight w:val="225"/>
        </w:trPr>
        <w:tc>
          <w:tcPr>
            <w:tcW w:w="5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Outstanding -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380,775</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975,000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11.39</w:t>
            </w:r>
          </w:p>
        </w:tc>
      </w:tr>
      <w:tr>
        <w:trPr>
          <w:trHeight w:val="225"/>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231F20"/>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2,122,819</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719,613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12.31</w:t>
            </w:r>
          </w:p>
        </w:tc>
      </w:tr>
      <w:tr>
        <w:trPr>
          <w:trHeight w:val="225"/>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(8,895)</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5"/>
        </w:trPr>
        <w:tc>
          <w:tcPr>
            <w:tcW w:w="5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231F20"/>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(36,238)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18.38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43"/>
        </w:trPr>
        <w:tc>
          <w:tcPr>
            <w:tcW w:w="5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Outstanding -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2,458,461</w:t>
            </w:r>
          </w:p>
        </w:tc>
        <w:tc>
          <w:tcPr>
            <w:tcW w:w="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1,694,613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11.79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46"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231F20"/>
        </w:rPr>
        <w:t>From time to time the Company may be involved in claims, legal actions and governmental proceedings that arise from its business operations. As of March 31, 2022, the Company was not a party to any legal proceedings or threatened legal proceedings, the adverse outcome of which, individually or in the aggregate, that it believes would have a material adverse effect on its business, financial condition or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Concentrations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March 31, 2022, the Company had no customers that accounted for 10% or more of the Accounts receivable balance.</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December 31, 2021, the Company had no customers that accounted for 10% or more of the Accounts receivable balance.</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No single customer accounted for 10% or more of consolidated Net sales during the three months ended March 31, 2022 and March 31, 2021.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Related-Party Transactions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3"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90"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Pursuant to the terms of the Registration Rights Agreement, (i) any outstanding share of Class A Common Stock or any other equity security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to shares of Class A Common Stock prior in connection with the</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207"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214"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Pursuant to the Registration Rights Agreement, the Sponsor agreed to restrictions on the transfer of their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24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the Sponsor and the HydraFacial Stockholders entered into a Lock-Up Agreement, pursuant to which the HydraFacial Stockholders agreed, subject to certain exceptions, not to sell, transfer to another or otherwise dispose of, in whole or in part, the common stock held by the HydraFacial Stockholders during the period commencing from the closing of the Business Combination and through the earlier of (i) the 180-day anniversary of the date of the closing of the Business Combination and (ii) the date after the closing of the Business Combination on which the Company consummates certain transactions involving a change of control of the Company. Pursuant to the terms of the Lock-Up Agreement, the restrictions set forth therein expired on October 31, 2021.</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246"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Amended and Restated Management Services Agreement</w:t>
      </w:r>
    </w:p>
    <w:p>
      <w:pPr>
        <w:spacing w:after="0" w:line="24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HydraFacial entered into a Management Services Agreement, dated December 1, 2016 with Linden Capital Partners III LP (“Linden Capital Partners III”) and DW Management Services, L.L.C. (“DW Management Services”) pursuant to which the parties receive quarterly monitoring fees of the greater of (a) $125,000 and (b) </w:t>
      </w:r>
      <w:r>
        <w:rPr>
          <w:rFonts w:ascii="Times New Roman" w:cs="Times New Roman" w:eastAsia="Times New Roman" w:hAnsi="Times New Roman"/>
          <w:sz w:val="18"/>
          <w:szCs w:val="18"/>
          <w:color w:val="231F20"/>
        </w:rPr>
        <w:t>1.25%</w:t>
      </w:r>
      <w:r>
        <w:rPr>
          <w:rFonts w:ascii="Times New Roman" w:cs="Times New Roman" w:eastAsia="Times New Roman" w:hAnsi="Times New Roman"/>
          <w:sz w:val="18"/>
          <w:szCs w:val="18"/>
          <w:color w:val="auto"/>
        </w:rPr>
        <w:t xml:space="preserve"> of Last Twelve Months EBITDA multiplied by the quotient of (x) the aggregate capital invested by the investors of DW Healthcare Partners IV (B), L.P. (“DWHP Investors”) into LCP and/or its subsidiaries as of such date, divided by (y) the sum of (i) the aggregate capital</w:t>
      </w: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invested by the DWHP Investors into LCP and/or its subsidiaries, plus (ii) the aggregate capital invested by Linden Capital Partners III into LCP and/or its subsidiaries as of the date of payment. In addition, the management services agreement provides for other fees in relation to services that may be provided in connection with equity and/or debt financing, acquisition of any other business, company, product line or enterprise, or divestiture of any division, business, and product or material assets. The fees vary between </w:t>
      </w:r>
      <w:r>
        <w:rPr>
          <w:rFonts w:ascii="Times New Roman" w:cs="Times New Roman" w:eastAsia="Times New Roman" w:hAnsi="Times New Roman"/>
          <w:sz w:val="18"/>
          <w:szCs w:val="18"/>
          <w:color w:val="231F20"/>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31F20"/>
        </w:rPr>
        <w:t>2%</w:t>
      </w:r>
      <w:r>
        <w:rPr>
          <w:rFonts w:ascii="Times New Roman" w:cs="Times New Roman" w:eastAsia="Times New Roman" w:hAnsi="Times New Roman"/>
          <w:sz w:val="18"/>
          <w:szCs w:val="18"/>
          <w:color w:val="auto"/>
        </w:rPr>
        <w:t xml:space="preserve"> of the related transaction amount. Linden Capital Partners III also received a transaction fee upon the consummation of the Business Combination.</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consummation of the Business Combination, on May 4, 2021, the Company, its subsidiary, Edge Systems LLC, and Linden Capital</w:t>
      </w:r>
    </w:p>
    <w:p>
      <w:pPr>
        <w:spacing w:after="0" w:line="36" w:lineRule="exact"/>
        <w:rPr>
          <w:sz w:val="20"/>
          <w:szCs w:val="20"/>
          <w:color w:val="auto"/>
        </w:rPr>
      </w:pPr>
    </w:p>
    <w:p>
      <w:pPr>
        <w:ind w:right="40" w:firstLine="6"/>
        <w:spacing w:after="0" w:line="246" w:lineRule="auto"/>
        <w:tabs>
          <w:tab w:leader="none" w:pos="2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will pay a fee, equal to 1% of enterprise value of the target acquired, to the Linden Manager upon the consummation of any such transaction (the “1% Fee”). The Company has also agreed to reimburse Linden Manager for certain expenses in connection with such advisory services. However, pursuant to the Linden Management Services Agreement, the Company’s obligation to pay the 1% Pursuant to the terms of the agreement, the fee expired twelve months after the consummation of the Business Combination on May 4, 2022.</w:t>
      </w:r>
    </w:p>
    <w:p>
      <w:pPr>
        <w:spacing w:after="0" w:line="218"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231F20"/>
        </w:rPr>
        <w:t xml:space="preserve">HydraFacial recorded $0 and approximately $0.1 million of charges related to management services fees for the three months ended March 31, 2022 and 2021, respectively. These amounts are included in General and administrative expenses on the Company’s Consolidated Statements of Comprehensive Loss. </w:t>
      </w:r>
      <w:r>
        <w:rPr>
          <w:rFonts w:ascii="Times New Roman" w:cs="Times New Roman" w:eastAsia="Times New Roman" w:hAnsi="Times New Roman"/>
          <w:sz w:val="18"/>
          <w:szCs w:val="18"/>
          <w:color w:val="000000"/>
        </w:rPr>
        <w:t xml:space="preserve">There were no amounts </w:t>
      </w:r>
      <w:r>
        <w:rPr>
          <w:rFonts w:ascii="Times New Roman" w:cs="Times New Roman" w:eastAsia="Times New Roman" w:hAnsi="Times New Roman"/>
          <w:sz w:val="18"/>
          <w:szCs w:val="18"/>
          <w:color w:val="231F20"/>
        </w:rPr>
        <w:t>due to these related parties at March 31, 2022 and 2021. In relation to the consummation of the Business Combination, $21.0 million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 transaction fees was paid to the Former Parent. These amounts are included in General and administrative expenses on the Company’s Consolidated Statements of Comprehensive Loss.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Former Long-term Debt Due to Related Parties</w:t>
      </w:r>
    </w:p>
    <w:p>
      <w:pPr>
        <w:spacing w:after="0" w:line="246"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231F20"/>
        </w:rPr>
        <w:t>On April 10, 2020, the Company’s existing Credit Agreement with a bank that is also a related party was amended to include a “PIK” interest component of 2% that accrues on the outstanding balances of the Term Loan and Revolver. Additionally, the Company is required to pay an early prepayment fee of 2.00% of the amount prepaid or repaid on the Term Loan prior to April 10, 2021, and 1.00% if prepaid between April 11, 2021 and April 10, 2022</w:t>
      </w:r>
      <w:r>
        <w:rPr>
          <w:rFonts w:ascii="Times New Roman" w:cs="Times New Roman" w:eastAsia="Times New Roman" w:hAnsi="Times New Roman"/>
          <w:sz w:val="18"/>
          <w:szCs w:val="18"/>
          <w:color w:val="000000"/>
        </w:rPr>
        <w:t>. I</w:t>
      </w:r>
      <w:r>
        <w:rPr>
          <w:rFonts w:ascii="Times New Roman" w:cs="Times New Roman" w:eastAsia="Times New Roman" w:hAnsi="Times New Roman"/>
          <w:sz w:val="18"/>
          <w:szCs w:val="18"/>
          <w:color w:val="231F20"/>
        </w:rPr>
        <w:t xml:space="preserve">n connection with </w:t>
      </w:r>
      <w:r>
        <w:rPr>
          <w:rFonts w:ascii="Times New Roman" w:cs="Times New Roman" w:eastAsia="Times New Roman" w:hAnsi="Times New Roman"/>
          <w:sz w:val="18"/>
          <w:szCs w:val="18"/>
          <w:color w:val="000000"/>
        </w:rPr>
        <w:t>the consummation of the Business Combination, all outstanding debt was paid. As of</w:t>
      </w:r>
      <w:r>
        <w:rPr>
          <w:rFonts w:ascii="Times New Roman" w:cs="Times New Roman" w:eastAsia="Times New Roman" w:hAnsi="Times New Roman"/>
          <w:sz w:val="18"/>
          <w:szCs w:val="18"/>
          <w:color w:val="231F20"/>
        </w:rPr>
        <w:t xml:space="preserve"> March 31, 2022</w:t>
      </w:r>
      <w:r>
        <w:rPr>
          <w:rFonts w:ascii="Times New Roman" w:cs="Times New Roman" w:eastAsia="Times New Roman" w:hAnsi="Times New Roman"/>
          <w:sz w:val="18"/>
          <w:szCs w:val="18"/>
          <w:color w:val="000000"/>
        </w:rPr>
        <w:t>, there was no amount due to related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parties in connection with the Term Loan and Revolver.</w:t>
      </w:r>
    </w:p>
    <w:p>
      <w:pPr>
        <w:spacing w:after="0" w:line="212"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231F20"/>
        </w:rPr>
        <w:t xml:space="preserve">On April 10, 2020, HydraFacial also entered into a second credit facility with a related party to provide for borrowings of $30.0 million (the “Term A Loan”). In connection with </w:t>
      </w:r>
      <w:r>
        <w:rPr>
          <w:rFonts w:ascii="Times New Roman" w:cs="Times New Roman" w:eastAsia="Times New Roman" w:hAnsi="Times New Roman"/>
          <w:sz w:val="18"/>
          <w:szCs w:val="18"/>
          <w:color w:val="000000"/>
        </w:rPr>
        <w:t>the consummation of the Business Combination, all outstanding debt was paid. As of</w:t>
      </w:r>
      <w:r>
        <w:rPr>
          <w:rFonts w:ascii="Times New Roman" w:cs="Times New Roman" w:eastAsia="Times New Roman" w:hAnsi="Times New Roman"/>
          <w:sz w:val="18"/>
          <w:szCs w:val="18"/>
          <w:color w:val="231F20"/>
        </w:rPr>
        <w:t xml:space="preserve"> March 31, 2022</w:t>
      </w:r>
      <w:r>
        <w:rPr>
          <w:rFonts w:ascii="Times New Roman" w:cs="Times New Roman" w:eastAsia="Times New Roman" w:hAnsi="Times New Roman"/>
          <w:sz w:val="18"/>
          <w:szCs w:val="18"/>
          <w:color w:val="000000"/>
        </w:rPr>
        <w:t>, there was no amount due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 related parties in connection with the </w:t>
      </w:r>
      <w:r>
        <w:rPr>
          <w:rFonts w:ascii="Times New Roman" w:cs="Times New Roman" w:eastAsia="Times New Roman" w:hAnsi="Times New Roman"/>
          <w:sz w:val="18"/>
          <w:szCs w:val="18"/>
          <w:color w:val="231F20"/>
        </w:rPr>
        <w:t>Term A Loan and related PIK Interest.</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Related Party Leases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Signal Hill Office</w:t>
      </w:r>
    </w:p>
    <w:p>
      <w:pPr>
        <w:spacing w:after="0" w:line="246"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231F20"/>
        </w:rPr>
        <w:t>HydraFacial leases its office in Signal Hill, California, from an entity owned by former minority stockholders of HydraFacial who are no longer active employees. Lease expense under this lease was $0.2 million and $0.1 million for the three months ended March 31, 2022 and 2021, respectively.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Miami Beach Office</w:t>
      </w:r>
    </w:p>
    <w:p>
      <w:pPr>
        <w:spacing w:after="0" w:line="246"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231F20"/>
        </w:rPr>
        <w:t>The Company maintains an office in Miami Beach, Florida, whereby the Company, on a monthly basis, reimburses an entity owned by the Company’s Executive Chairman that makes such office available to the Company for its employees and affiliates. Expense for this property was not material for the three months ended March 31, 2022. No such expenses existed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Stockholders’ Deficit</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8"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231F20"/>
        </w:rPr>
        <w:t xml:space="preserve">The Company is authorized to issue 320,000,000 shares of Class A Common Stock, par value of $0.0001 per share. Holders of Class A Common Stock are entitled to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231F20"/>
        </w:rPr>
        <w:t xml:space="preserve"> vote for each share. As of March 31, 2022 and December 31, 2021, there were 150,603,231 and 150,598,047, respectively, of Class A Common Stock issued and outstanding. The Class A Common Stock is entitled t</w:t>
      </w:r>
      <w:r>
        <w:rPr>
          <w:rFonts w:ascii="Times New Roman" w:cs="Times New Roman" w:eastAsia="Times New Roman" w:hAnsi="Times New Roman"/>
          <w:sz w:val="18"/>
          <w:szCs w:val="18"/>
          <w:color w:val="000000"/>
        </w:rPr>
        <w:t>o one vote pe</w:t>
      </w:r>
      <w:r>
        <w:rPr>
          <w:rFonts w:ascii="Times New Roman" w:cs="Times New Roman" w:eastAsia="Times New Roman" w:hAnsi="Times New Roman"/>
          <w:sz w:val="18"/>
          <w:szCs w:val="18"/>
          <w:color w:val="231F20"/>
        </w:rPr>
        <w:t>r share and all shares are outstanding. The Company has not declared or paid any dividends with respect to its Class A Common Stock</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8"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Company is authorized to issue 1,000,000 shares of preferred stock with a par value of $0.0001 per share with such designations, voting and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rights and preferences as may be determined from time to time by the Company’s board of directors. At March 31, 2022 and </w:t>
      </w:r>
      <w:r>
        <w:rPr>
          <w:rFonts w:ascii="Times New Roman" w:cs="Times New Roman" w:eastAsia="Times New Roman" w:hAnsi="Times New Roman"/>
          <w:sz w:val="18"/>
          <w:szCs w:val="18"/>
          <w:color w:val="231F20"/>
        </w:rPr>
        <w:t>December 31, 2021</w:t>
      </w:r>
      <w:r>
        <w:rPr>
          <w:rFonts w:ascii="Times New Roman" w:cs="Times New Roman" w:eastAsia="Times New Roman" w:hAnsi="Times New Roman"/>
          <w:sz w:val="18"/>
          <w:szCs w:val="18"/>
          <w:color w:val="000000"/>
        </w:rPr>
        <w:t>, there were no shares of preferred stock issued or outstanding.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Reporting</w:t>
      </w:r>
    </w:p>
    <w:p>
      <w:pPr>
        <w:spacing w:after="0" w:line="246"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231F20"/>
        </w:rPr>
        <w:t>The Company manages its business on the basis of one operating segment and one reportable segment. As a result, the chief operating decision maker, who is the Chief Executive Officer, decides how to allocate resources and assess performance, reviews financial information presented on a consolidated basis for purposes of making operating decisions, allocates resources and evaluates financial performance.</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Net sales by geographic region were as follows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82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Americas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31,280</w:t>
            </w:r>
          </w:p>
        </w:tc>
        <w:tc>
          <w:tcPr>
            <w:tcW w:w="0" w:type="dxa"/>
            <w:vAlign w:val="bottom"/>
          </w:tcPr>
          <w:p>
            <w:pPr>
              <w:spacing w:after="0"/>
              <w:rPr>
                <w:sz w:val="1"/>
                <w:szCs w:val="1"/>
                <w:color w:val="auto"/>
              </w:rPr>
            </w:pPr>
          </w:p>
        </w:tc>
      </w:tr>
      <w:tr>
        <w:trPr>
          <w:trHeight w:val="225"/>
        </w:trPr>
        <w:tc>
          <w:tcPr>
            <w:tcW w:w="82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Asia-Pacific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8,791</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Europe, the Middle East and Africa</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7,471</w:t>
            </w:r>
          </w:p>
        </w:tc>
        <w:tc>
          <w:tcPr>
            <w:tcW w:w="0" w:type="dxa"/>
            <w:vAlign w:val="bottom"/>
          </w:tcPr>
          <w:p>
            <w:pPr>
              <w:spacing w:after="0"/>
              <w:rPr>
                <w:sz w:val="1"/>
                <w:szCs w:val="1"/>
                <w:color w:val="auto"/>
              </w:rPr>
            </w:pPr>
          </w:p>
        </w:tc>
      </w:tr>
      <w:tr>
        <w:trPr>
          <w:trHeight w:val="218"/>
        </w:trPr>
        <w:tc>
          <w:tcPr>
            <w:tcW w:w="82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Total net sales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75,415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47,542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March 31, 2022 and December 31, 2021 substantially all of the Company’s property, plant and equipment was held in the United States.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Net Income (Loss) Attributable to Common Shareholders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sets forth the calculation of both basic and diluted net income (loss) per share as follows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thousands, except share and per share amounts)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income (loss) available to common shareholders - basic</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32,507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(3,274)</w:t>
            </w:r>
          </w:p>
        </w:tc>
        <w:tc>
          <w:tcPr>
            <w:tcW w:w="0" w:type="dxa"/>
            <w:vAlign w:val="bottom"/>
          </w:tcPr>
          <w:p>
            <w:pPr>
              <w:spacing w:after="0"/>
              <w:rPr>
                <w:sz w:val="1"/>
                <w:szCs w:val="1"/>
                <w:color w:val="auto"/>
              </w:rPr>
            </w:pPr>
          </w:p>
        </w:tc>
      </w:tr>
      <w:tr>
        <w:trPr>
          <w:trHeight w:val="225"/>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Plus: Income on Private placement warrants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(52,052)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income (loss) available to common shareholders - diluted</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(19,545)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(3,274)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Weighted average common shares outstanding - basic</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150,598,105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35,501,743</w:t>
            </w:r>
          </w:p>
        </w:tc>
        <w:tc>
          <w:tcPr>
            <w:tcW w:w="0" w:type="dxa"/>
            <w:vAlign w:val="bottom"/>
          </w:tcPr>
          <w:p>
            <w:pPr>
              <w:spacing w:after="0"/>
              <w:rPr>
                <w:sz w:val="1"/>
                <w:szCs w:val="1"/>
                <w:color w:val="auto"/>
              </w:rPr>
            </w:pPr>
          </w:p>
        </w:tc>
      </w:tr>
      <w:tr>
        <w:trPr>
          <w:trHeight w:val="225"/>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Effect of dilutive shares: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231F20"/>
              </w:rPr>
              <w:t>Private placement warrants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2,113,593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9"/>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Weighted average common shares outstanding - diluted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152,711,698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35,501,743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Basic net income (loss) per share: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0.22</w:t>
            </w:r>
          </w:p>
        </w:tc>
        <w:tc>
          <w:tcPr>
            <w:tcW w:w="100" w:type="dxa"/>
            <w:vAlign w:val="bottom"/>
          </w:tcPr>
          <w:p>
            <w:pPr>
              <w:spacing w:after="0"/>
              <w:rPr>
                <w:sz w:val="19"/>
                <w:szCs w:val="19"/>
                <w:color w:val="auto"/>
              </w:rPr>
            </w:pPr>
          </w:p>
        </w:tc>
        <w:tc>
          <w:tcPr>
            <w:tcW w:w="4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(0.09)</w:t>
            </w: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Diluted net income (loss) per share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231F20"/>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(0.09)</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400" w:firstLine="318"/>
        <w:spacing w:after="0" w:line="257" w:lineRule="auto"/>
        <w:rPr>
          <w:sz w:val="20"/>
          <w:szCs w:val="20"/>
          <w:color w:val="auto"/>
        </w:rPr>
      </w:pPr>
      <w:r>
        <w:rPr>
          <w:rFonts w:ascii="Times New Roman" w:cs="Times New Roman" w:eastAsia="Times New Roman" w:hAnsi="Times New Roman"/>
          <w:sz w:val="18"/>
          <w:szCs w:val="18"/>
          <w:color w:val="auto"/>
        </w:rPr>
        <w:t>The following shares have been excluded from the calculation of the weighted average diluted shares outstanding as the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231F20"/>
              </w:rPr>
              <w:t>March 31, 2022</w:t>
            </w: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231F20"/>
              </w:rPr>
              <w:t>March 31, 2021</w:t>
            </w:r>
          </w:p>
        </w:tc>
      </w:tr>
      <w:tr>
        <w:trPr>
          <w:trHeight w:val="24"/>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8"/>
        </w:trPr>
        <w:tc>
          <w:tcPr>
            <w:tcW w:w="8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Convertible Notes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23,614,425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5"/>
        </w:trPr>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2,458,461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5"/>
        </w:trPr>
        <w:tc>
          <w:tcPr>
            <w:tcW w:w="8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1,694,613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31"/>
        </w:trPr>
        <w:tc>
          <w:tcPr>
            <w:tcW w:w="80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Stock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6,582,520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1,509</w:t>
            </w: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46" w:lineRule="exact"/>
        <w:rPr>
          <w:sz w:val="20"/>
          <w:szCs w:val="20"/>
          <w:color w:val="auto"/>
        </w:rPr>
      </w:pPr>
    </w:p>
    <w:p>
      <w:pPr>
        <w:jc w:val="both"/>
        <w:ind w:right="80" w:firstLine="318"/>
        <w:spacing w:after="0" w:line="274" w:lineRule="auto"/>
        <w:rPr>
          <w:sz w:val="20"/>
          <w:szCs w:val="20"/>
          <w:color w:val="auto"/>
        </w:rPr>
      </w:pPr>
      <w:r>
        <w:rPr>
          <w:rFonts w:ascii="Times New Roman" w:cs="Times New Roman" w:eastAsia="Times New Roman" w:hAnsi="Times New Roman"/>
          <w:sz w:val="18"/>
          <w:szCs w:val="18"/>
          <w:color w:val="231F20"/>
        </w:rPr>
        <w:t>Other than as disclosed elsewhere, no subsequent events have occurred that would require recognition in the condensed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 looking statements” within the meaning of the “safe harbor” provisions of the United States Private Securities Litigation Reform Act of 1995. When used in this Quarterly Report,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207"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not guarantees of future performance, conditions or results, and involve a number of known and unknown risks, uncertainties, assumptions and other important factors, many of which are outside The Beauty Health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w:t>
      </w:r>
    </w:p>
    <w:p>
      <w:pPr>
        <w:spacing w:after="0" w:line="207"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Important factors, among others, that may affect actual results or outcomes include the inability to recognize the anticipated benefits of the Business Combination; costs related to the Business Combination; the inability to maintain the listing of The Beauty Health Company’s shares on Nasdaq; The Beauty Health Company’s availability of cash for debt service and exposure to risk of default under debt obligations; The Beauty Health Company’s ability to manage growth; The Beauty Health Company’s ability to execute its business plan; potential litigation involving The Beauty Health Company; changes in applicable laws or regulations; the possibility that The Beauty Health Company may be adversely affected by other economic, business, and/or competitive factors; and the impact of the continuing COVID-19 pandemic on our business. The Beauty Health Company does not undertake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 for the fiscal year ended December 31, 2021 filed with the U.S. Securities and Exchange Commission (SEC) on March 1, 2021.</w:t>
      </w:r>
    </w:p>
    <w:p>
      <w:pPr>
        <w:spacing w:after="0" w:line="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Unless the context otherwise requires, references to “</w:t>
      </w:r>
      <w:r>
        <w:rPr>
          <w:rFonts w:ascii="Times New Roman" w:cs="Times New Roman" w:eastAsia="Times New Roman" w:hAnsi="Times New Roman"/>
          <w:sz w:val="18"/>
          <w:szCs w:val="18"/>
          <w:i w:val="1"/>
          <w:iCs w:val="1"/>
          <w:color w:val="auto"/>
        </w:rPr>
        <w:t>HydraFacial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in this section are intended to mean the business and operations of The Beauty Health Company and its consolidated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46"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The Beauty Health Company is a global category-creating company focused on delivering beauty health experiences by reinventing our consumer’s relationship with their skin, their bodies and their self-confidence. Our flagship brand, HydraFacial, created the category of hydradermabrasion by using a patented Vortex-Fusion Delivery System to cleanse, peel, exfoliate, extract, infuse, and hydrate the skin with proprietary solutions and serums. HydraFacial provides a non-invasive and approachable experience with a powerful community of a/estheticians, consumers and partners, bridging medical skin correction to traditional over-the-counter beauty. Our vision is to expand our platform and connected community of providers, consumers, brand partners, and retail partners to democratize and personalize beauty health solutions across ages, genders, skin tones, and skin types.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CEO Transition</w:t>
      </w:r>
    </w:p>
    <w:p>
      <w:pPr>
        <w:spacing w:after="0" w:line="24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On November 9, 2021, by mutual agreement, the Board of Directors and Clinton Carnell, the Company’s Chief Executive Officer and member of the Board, determined that Mr. Carnell would transition out of his roles as Chief Executive Officer and as a member of the Board, in each case, effective December 31, 2021. These actions were not related to any matter regarding the Company’s financial condition, reported financial results, internal controls or disclosure controls and procedures. On January 1, 2022, Brenton L. Saunders, the Company’s Executive Chairman of the Board, assumed additional responsibilities as its interim Chief Executive Officer.</w:t>
      </w:r>
    </w:p>
    <w:p>
      <w:pPr>
        <w:spacing w:after="0" w:line="21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On January 20, 2022, we announced the appointment of Andrew Stanleick to serve as our President and Chief Executive Officer and as a member of the Board of Directors, effective as of February 7, 2022. In this capacity, Mr. Stanleick is serving as our principal executive officer. Upon Mr. Stanleick commencing employment as our Chief Executive Officer, Mr. Saunders, the Company’s then interim Chief Executive Officer and the Executive Chairman of the Board, ceased to serve as interim Chief Executive Officer. Mr. Saunders continues to serve as the Executive Chairman of the Board.</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Syndeo Launch</w:t>
      </w:r>
    </w:p>
    <w:p>
      <w:pPr>
        <w:spacing w:after="0" w:line="24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On March 7, 2022 the Company announced that its new delivery system, HydraFacial Syndeo (“</w:t>
      </w:r>
      <w:r>
        <w:rPr>
          <w:rFonts w:ascii="Times New Roman" w:cs="Times New Roman" w:eastAsia="Times New Roman" w:hAnsi="Times New Roman"/>
          <w:sz w:val="18"/>
          <w:szCs w:val="18"/>
          <w:i w:val="1"/>
          <w:iCs w:val="1"/>
          <w:color w:val="auto"/>
        </w:rPr>
        <w:t>Syndeo</w:t>
      </w:r>
      <w:r>
        <w:rPr>
          <w:rFonts w:ascii="Times New Roman" w:cs="Times New Roman" w:eastAsia="Times New Roman" w:hAnsi="Times New Roman"/>
          <w:sz w:val="18"/>
          <w:szCs w:val="18"/>
          <w:color w:val="auto"/>
        </w:rPr>
        <w:t>”), would be available for purchase starting immediately in the United States, with a rolling release in other markets to follow. The Syndeo system is a digitally connected device co-created with our HydraFacialist community to meaningfully enhance the consumer and provider experience. Built with cloud-based software, the upgraded delivery system blends the HydraFacial core treatment with digital capabilities to supply the Company and providers with key learnings and insights. The data retrieval enables the Company to better analyze consumer behavior and aid providers in understanding their clients’ needs. With this data, providers can see consumer history and preferences, allowing them to offer targeted products and experiences personalized to a consumer’s needs. The new system also provides the capability to enhance consumer engagement through branding and gamification.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Market Trends</w:t>
      </w:r>
    </w:p>
    <w:p>
      <w:pPr>
        <w:spacing w:after="0" w:line="24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HydraFacial is a pioneer in the attractive and growing beauty-health industry and there are several emerging market trends that we believe will play a key role in shaping the future of this industry. Recent growth in the skincare industry has been driven by an emphasis on skincare rather than cosmetics and HydraFacial is poised to capture a larger share of wallet from consumers. Further, HydraFacial’s market research conducted in 2019 demonstrated that consumers are increasingly willing to spend on high-end beauty health products. To the extent disposable income grows, we expect impacts of this trend to be amplified. We believe these favorable market trends will continue and strengthen going forward. However, we operate in the beauty health industry, which is highly competitive and changes rapidly. Our operating results could be significantly affected by our ability to develop new products and find new distribution channels for new and existing product.</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24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231F20"/>
        </w:rPr>
        <w:t>The COVID-19 pandemic has had, and may continue to have, adverse impacts on our business. Most markets have recently shown encouraging signs of emergence from the pandemic; however, sporadic containment measures and travel restrictions continue to impact volume trends in certain markets. However, the recent loosening of social distancing protocols and the gradual removal or reduction of travel restrictions in certain key markets have contributed to increased demand and sales growth, in most of the countries we operate in.</w:t>
      </w:r>
    </w:p>
    <w:p>
      <w:pPr>
        <w:spacing w:after="0" w:line="207"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231F20"/>
        </w:rPr>
        <w:t>As previously reported, we have implemented several key measures in response to the COVID-19 pandemic which continue to be in place. We have also amplified our measures to address the potentially longer-lasting impacts of the COVID-19 pandemic, the intermittent lockdowns and possible economic uncertainty resulting from COVID-19 that continue in many markets. We anticipate the recovery to be non-linear until COVID-19 containment measures are discontinued across all regions and normal consumer traffic resumes on a consistent basis. We currently expect that any easing of containment measures and recovery of the impacted sectors of the economy will be gradual and uneven, as regions face resurgence of COVID-19 and related uncertainties, and the availability and widespread distribution of a safe and effective vaccine varies across regions. As a result, we anticipate that consumer spending habits and consumer confidence will continue to shift, causing future sales and volume trends to be non-linear.</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Demographics</w:t>
      </w:r>
    </w:p>
    <w:p>
      <w:pPr>
        <w:spacing w:after="0" w:line="248"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231F20"/>
        </w:rPr>
        <w:t>HydraFacial benefits from a large, young and diverse customer base and the ability to serve a large percentage of the population given that HydraFacial’s patented technology addresses all skin, regardless of type, age or gender. At the intersection of the medical and consumer retail markets, the large potential customer base should provide significant upside to drive top-line growth. HydraFacial over indexes with males, significantly increasing the Total Addressable Market (TAM) compared to peers and the mix of male customers is growing at two times the rate of female customers. HydraFacial customers are young; approximately 50% of HydraFacial customers are Millennials, and approximately 30% of HydraFacial’s beauty retail customers are under the age of 24. As the Millennial and Gen Z consumers age, they appear to be taking skincare more seriously and willing to invest in premium treatments, such as those offered by HydraFacial.</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Marketing</w:t>
      </w:r>
    </w:p>
    <w:p>
      <w:pPr>
        <w:spacing w:after="0" w:line="24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231F20"/>
        </w:rPr>
        <w:t>Effective marketing is vital to our ability to drive growth. We plan to further our successful demand-generating activities through educational campaigns that focus on our brand, values, and quality, as well as enhancing our digitally integrated media campaigns.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Innovation</w:t>
      </w:r>
    </w:p>
    <w:p>
      <w:pPr>
        <w:spacing w:after="0" w:line="248" w:lineRule="exact"/>
        <w:rPr>
          <w:sz w:val="20"/>
          <w:szCs w:val="20"/>
          <w:color w:val="auto"/>
        </w:rPr>
      </w:pPr>
    </w:p>
    <w:p>
      <w:pPr>
        <w:ind w:right="400" w:firstLine="318"/>
        <w:spacing w:after="0" w:line="304" w:lineRule="auto"/>
        <w:rPr>
          <w:sz w:val="20"/>
          <w:szCs w:val="20"/>
          <w:color w:val="auto"/>
        </w:rPr>
      </w:pPr>
      <w:r>
        <w:rPr>
          <w:rFonts w:ascii="Times New Roman" w:cs="Times New Roman" w:eastAsia="Times New Roman" w:hAnsi="Times New Roman"/>
          <w:sz w:val="17"/>
          <w:szCs w:val="17"/>
          <w:color w:val="231F20"/>
        </w:rPr>
        <w:t>Our strategy involves innovating our current product offering while also diversifying into attractive adjacent categories where we can leverage our strengths, capabilities and community. We intend to maintain investment in research and development to stay at the forefront of cutting-edge technology.</w:t>
      </w:r>
    </w:p>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Technology</w:t>
      </w:r>
    </w:p>
    <w:p>
      <w:pPr>
        <w:spacing w:after="0" w:line="248"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231F20"/>
        </w:rPr>
        <w:t>Our investments in technology enhance the HydraFacial experience for consumers while capturing valuable and leverageable data. As we expand our capabilities, we hope to enable the world’s largest skin health database. We believe this data will allow us to drive habituation by enhancing personalization, access, trend identification and consumer education.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Geographic Expansion</w:t>
      </w:r>
    </w:p>
    <w:p>
      <w:pPr>
        <w:spacing w:after="0" w:line="24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231F20"/>
        </w:rPr>
        <w:t>HydraFacial’s recent growth has been driven in part by our international strategy. 41% of HydraFacial’s total revenue during the first quarter of fiscal year 2022 came from outside the United States and Canada. Our diverse distribution channels create a significant opportunity within our existing retail and wholesale channels, as well as new locations abroad. We plan to expand our global footprint, building out our team and infrastructure for further penetration across Asia, Europe and Latin America.</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Regulation</w:t>
      </w:r>
    </w:p>
    <w:p>
      <w:pPr>
        <w:spacing w:after="0" w:line="248" w:lineRule="exact"/>
        <w:rPr>
          <w:sz w:val="20"/>
          <w:szCs w:val="20"/>
          <w:color w:val="auto"/>
        </w:rPr>
      </w:pPr>
    </w:p>
    <w:p>
      <w:pPr>
        <w:jc w:val="both"/>
        <w:ind w:right="320" w:firstLine="318"/>
        <w:spacing w:after="0" w:line="259" w:lineRule="auto"/>
        <w:rPr>
          <w:sz w:val="20"/>
          <w:szCs w:val="20"/>
          <w:color w:val="auto"/>
        </w:rPr>
      </w:pPr>
      <w:r>
        <w:rPr>
          <w:rFonts w:ascii="Times New Roman" w:cs="Times New Roman" w:eastAsia="Times New Roman" w:hAnsi="Times New Roman"/>
          <w:sz w:val="18"/>
          <w:szCs w:val="18"/>
          <w:color w:val="231F20"/>
        </w:rPr>
        <w:t>It remains unclear how governmental authorities, including the FDA, will regulate the products that we sell, and in the case of the FDA, whether and when it will propose or implement new or additional regulations. Unforeseen regulatory obstacles or compliance costs may hinder our business in both the short and long-term as well.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46" w:lineRule="exact"/>
        <w:rPr>
          <w:sz w:val="20"/>
          <w:szCs w:val="20"/>
          <w:color w:val="auto"/>
        </w:rPr>
      </w:pPr>
    </w:p>
    <w:p>
      <w:pPr>
        <w:ind w:right="140" w:firstLine="318"/>
        <w:spacing w:after="0" w:line="280" w:lineRule="auto"/>
        <w:rPr>
          <w:sz w:val="20"/>
          <w:szCs w:val="20"/>
          <w:color w:val="auto"/>
        </w:rPr>
      </w:pPr>
      <w:r>
        <w:rPr>
          <w:rFonts w:ascii="Times New Roman" w:cs="Times New Roman" w:eastAsia="Times New Roman" w:hAnsi="Times New Roman"/>
          <w:sz w:val="17"/>
          <w:szCs w:val="17"/>
          <w:color w:val="231F20"/>
        </w:rPr>
        <w:t>In addition to the measures presented in our consolidated financial statements, we use the following key operational and business metrics to evaluate our business, measure our performance, develop financial forecasts, and make strategic decisions.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24"/>
        </w:trPr>
        <w:tc>
          <w:tcPr>
            <w:tcW w:w="80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(dollars in millions)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45"/>
        </w:trPr>
        <w:tc>
          <w:tcPr>
            <w:tcW w:w="8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Delivery Systems net sales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41.6</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25.7</w:t>
            </w:r>
          </w:p>
        </w:tc>
        <w:tc>
          <w:tcPr>
            <w:tcW w:w="0" w:type="dxa"/>
            <w:vAlign w:val="bottom"/>
          </w:tcPr>
          <w:p>
            <w:pPr>
              <w:spacing w:after="0"/>
              <w:rPr>
                <w:sz w:val="1"/>
                <w:szCs w:val="1"/>
                <w:color w:val="auto"/>
              </w:rPr>
            </w:pPr>
          </w:p>
        </w:tc>
      </w:tr>
      <w:tr>
        <w:trPr>
          <w:trHeight w:val="225"/>
        </w:trPr>
        <w:tc>
          <w:tcPr>
            <w:tcW w:w="8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Consumables net sales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21.9</w:t>
            </w:r>
          </w:p>
        </w:tc>
        <w:tc>
          <w:tcPr>
            <w:tcW w:w="0" w:type="dxa"/>
            <w:vAlign w:val="bottom"/>
          </w:tcPr>
          <w:p>
            <w:pPr>
              <w:spacing w:after="0"/>
              <w:rPr>
                <w:sz w:val="1"/>
                <w:szCs w:val="1"/>
                <w:color w:val="auto"/>
              </w:rPr>
            </w:pPr>
          </w:p>
        </w:tc>
      </w:tr>
      <w:tr>
        <w:trPr>
          <w:trHeight w:val="218"/>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Total net sales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w:t>
            </w:r>
          </w:p>
        </w:tc>
        <w:tc>
          <w:tcPr>
            <w:tcW w:w="0" w:type="dxa"/>
            <w:vAlign w:val="bottom"/>
          </w:tcPr>
          <w:p>
            <w:pPr>
              <w:spacing w:after="0"/>
              <w:rPr>
                <w:sz w:val="1"/>
                <w:szCs w:val="1"/>
                <w:color w:val="auto"/>
              </w:rPr>
            </w:pPr>
          </w:p>
        </w:tc>
      </w:tr>
      <w:tr>
        <w:trPr>
          <w:trHeight w:val="218"/>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Gross profit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51.9</w:t>
            </w:r>
          </w:p>
        </w:tc>
        <w:tc>
          <w:tcPr>
            <w:tcW w:w="1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31.7</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Gross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231F20"/>
              </w:rPr>
              <w:t>68.9%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231F20"/>
              </w:rPr>
              <w:t>66.8%</w:t>
            </w:r>
          </w:p>
        </w:tc>
        <w:tc>
          <w:tcPr>
            <w:tcW w:w="0" w:type="dxa"/>
            <w:vAlign w:val="bottom"/>
          </w:tcPr>
          <w:p>
            <w:pPr>
              <w:spacing w:after="0"/>
              <w:rPr>
                <w:sz w:val="1"/>
                <w:szCs w:val="1"/>
                <w:color w:val="auto"/>
              </w:rPr>
            </w:pPr>
          </w:p>
        </w:tc>
      </w:tr>
      <w:tr>
        <w:trPr>
          <w:trHeight w:val="225"/>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Net income (loss)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32.5</w:t>
            </w:r>
          </w:p>
        </w:tc>
        <w:tc>
          <w:tcPr>
            <w:tcW w:w="1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Adjusted net income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(0.1)</w:t>
            </w:r>
          </w:p>
        </w:tc>
        <w:tc>
          <w:tcPr>
            <w:tcW w:w="0" w:type="dxa"/>
            <w:vAlign w:val="bottom"/>
          </w:tcPr>
          <w:p>
            <w:pPr>
              <w:spacing w:after="0"/>
              <w:rPr>
                <w:sz w:val="1"/>
                <w:szCs w:val="1"/>
                <w:color w:val="auto"/>
              </w:rPr>
            </w:pPr>
          </w:p>
        </w:tc>
      </w:tr>
      <w:tr>
        <w:trPr>
          <w:trHeight w:val="225"/>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Adjusted EBITDA</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1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Adjusted EBITDA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231F20"/>
              </w:rPr>
              <w:t>2.9%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231F20"/>
              </w:rPr>
              <w:t>14.8%</w:t>
            </w:r>
          </w:p>
        </w:tc>
        <w:tc>
          <w:tcPr>
            <w:tcW w:w="0" w:type="dxa"/>
            <w:vAlign w:val="bottom"/>
          </w:tcPr>
          <w:p>
            <w:pPr>
              <w:spacing w:after="0"/>
              <w:rPr>
                <w:sz w:val="1"/>
                <w:szCs w:val="1"/>
                <w:color w:val="auto"/>
              </w:rPr>
            </w:pPr>
          </w:p>
        </w:tc>
      </w:tr>
      <w:tr>
        <w:trPr>
          <w:trHeight w:val="225"/>
        </w:trPr>
        <w:tc>
          <w:tcPr>
            <w:tcW w:w="8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Adjusted gross profit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231F20"/>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54.8</w:t>
            </w:r>
          </w:p>
        </w:tc>
        <w:tc>
          <w:tcPr>
            <w:tcW w:w="1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34.3</w:t>
            </w:r>
          </w:p>
        </w:tc>
        <w:tc>
          <w:tcPr>
            <w:tcW w:w="0" w:type="dxa"/>
            <w:vAlign w:val="bottom"/>
          </w:tcPr>
          <w:p>
            <w:pPr>
              <w:spacing w:after="0"/>
              <w:rPr>
                <w:sz w:val="1"/>
                <w:szCs w:val="1"/>
                <w:color w:val="auto"/>
              </w:rPr>
            </w:pPr>
          </w:p>
        </w:tc>
      </w:tr>
      <w:tr>
        <w:trPr>
          <w:trHeight w:val="225"/>
        </w:trPr>
        <w:tc>
          <w:tcPr>
            <w:tcW w:w="8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Adjusted gross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231F20"/>
              </w:rPr>
              <w:t>72.7%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231F20"/>
              </w:rPr>
              <w:t>72.2%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Adjusted Net Income (Loss), Adjusted EBITDA (Loss) and Adjusted EBITDA Margin</w:t>
      </w:r>
    </w:p>
    <w:p>
      <w:pPr>
        <w:spacing w:after="0" w:line="24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231F20"/>
        </w:rPr>
        <w:t>Adjusted net income (loss), adjusted EBITDA (loss) and adjusted EBITDA margin are key performance measures that our management uses to assess our operating performance. See the section titled “</w:t>
      </w:r>
      <w:r>
        <w:rPr>
          <w:rFonts w:ascii="Times New Roman" w:cs="Times New Roman" w:eastAsia="Times New Roman" w:hAnsi="Times New Roman"/>
          <w:sz w:val="18"/>
          <w:szCs w:val="18"/>
          <w:i w:val="1"/>
          <w:iCs w:val="1"/>
          <w:color w:val="231F20"/>
        </w:rPr>
        <w:t>Non-GAAP Financial Measures—adjusted net income (loss), adjusted EBITDA (loss) and adjusted EBITDA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margin</w:t>
      </w:r>
      <w:r>
        <w:rPr>
          <w:rFonts w:ascii="Times New Roman" w:cs="Times New Roman" w:eastAsia="Times New Roman" w:hAnsi="Times New Roman"/>
          <w:sz w:val="18"/>
          <w:szCs w:val="18"/>
          <w:color w:val="231F20"/>
        </w:rPr>
        <w:t>” for information regarding our use of adjusted net income (loss) and adjusted EBITDA and reconciliations of adjusted net income (loss) and adjusted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EBITDA to net loss.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231F20"/>
        </w:rPr>
        <w:t>Adjusted Gross Profit and Adjusted Gross Margin</w:t>
      </w:r>
    </w:p>
    <w:p>
      <w:pPr>
        <w:spacing w:after="0" w:line="248"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231F20"/>
        </w:rPr>
        <w:t>We use adjusted gross profit and adjusted gross margin to measure our profitability and ability to scale and leverage the costs of our Delivery Systems and Consumables sales. See the section titled “</w:t>
      </w:r>
      <w:r>
        <w:rPr>
          <w:rFonts w:ascii="Times New Roman" w:cs="Times New Roman" w:eastAsia="Times New Roman" w:hAnsi="Times New Roman"/>
          <w:sz w:val="18"/>
          <w:szCs w:val="18"/>
          <w:i w:val="1"/>
          <w:iCs w:val="1"/>
          <w:color w:val="231F20"/>
        </w:rPr>
        <w:t>Non-GAAP Financial Measures—adjusted gross profit and adjusted gross margin</w:t>
      </w:r>
      <w:r>
        <w:rPr>
          <w:rFonts w:ascii="Times New Roman" w:cs="Times New Roman" w:eastAsia="Times New Roman" w:hAnsi="Times New Roman"/>
          <w:sz w:val="18"/>
          <w:szCs w:val="18"/>
          <w:color w:val="231F20"/>
        </w:rPr>
        <w:t>” for information regarding our use of adjusted gross profit and a reconciliation of adjusted gross profit to gross profit.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Three Months Ended March 31, 2022 to Three Months Ended March 31, 2021</w:t>
      </w:r>
    </w:p>
    <w:p>
      <w:pPr>
        <w:spacing w:after="0" w:line="246" w:lineRule="exact"/>
        <w:rPr>
          <w:sz w:val="20"/>
          <w:szCs w:val="20"/>
          <w:color w:val="auto"/>
        </w:rPr>
      </w:pPr>
    </w:p>
    <w:p>
      <w:pPr>
        <w:jc w:val="both"/>
        <w:ind w:right="220" w:firstLine="318"/>
        <w:spacing w:after="0" w:line="255" w:lineRule="auto"/>
        <w:rPr>
          <w:sz w:val="20"/>
          <w:szCs w:val="20"/>
          <w:color w:val="auto"/>
        </w:rPr>
      </w:pPr>
      <w:r>
        <w:rPr>
          <w:rFonts w:ascii="Times New Roman" w:cs="Times New Roman" w:eastAsia="Times New Roman" w:hAnsi="Times New Roman"/>
          <w:sz w:val="18"/>
          <w:szCs w:val="18"/>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March 31, 2022 and March 31, 2021 have been derived from the condensed consolidated financial statements included elsewhere in this Form 10-Q. Amounts and percentages may not foot due to rounding.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231F20"/>
              </w:rPr>
              <w:t>% of Net Sales</w:t>
            </w:r>
          </w:p>
        </w:tc>
        <w:tc>
          <w:tcPr>
            <w:tcW w:w="0" w:type="dxa"/>
            <w:vAlign w:val="bottom"/>
          </w:tcPr>
          <w:p>
            <w:pPr>
              <w:spacing w:after="0"/>
              <w:rPr>
                <w:sz w:val="1"/>
                <w:szCs w:val="1"/>
                <w:color w:val="auto"/>
              </w:rPr>
            </w:pPr>
          </w:p>
        </w:tc>
      </w:tr>
      <w:tr>
        <w:trPr>
          <w:trHeight w:val="225"/>
        </w:trPr>
        <w:tc>
          <w:tcPr>
            <w:tcW w:w="50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sales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231F20"/>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47.5</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Cost of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23.5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31.1 %</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15.8</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231F20"/>
              </w:rPr>
              <w:t>33.2</w:t>
            </w: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Gross profit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68.9 %</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66.8</w:t>
            </w:r>
          </w:p>
        </w:tc>
        <w:tc>
          <w:tcPr>
            <w:tcW w:w="0" w:type="dxa"/>
            <w:vAlign w:val="bottom"/>
          </w:tcPr>
          <w:p>
            <w:pPr>
              <w:spacing w:after="0"/>
              <w:rPr>
                <w:sz w:val="1"/>
                <w:szCs w:val="1"/>
                <w:color w:val="auto"/>
              </w:rPr>
            </w:pPr>
          </w:p>
        </w:tc>
      </w:tr>
      <w:tr>
        <w:trPr>
          <w:trHeight w:val="225"/>
        </w:trPr>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Operating 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Selling and marketing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231F20"/>
              </w:rPr>
              <w:t>48.3</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36.0</w:t>
            </w:r>
          </w:p>
        </w:tc>
        <w:tc>
          <w:tcPr>
            <w:tcW w:w="0" w:type="dxa"/>
            <w:vAlign w:val="bottom"/>
          </w:tcPr>
          <w:p>
            <w:pPr>
              <w:spacing w:after="0"/>
              <w:rPr>
                <w:sz w:val="1"/>
                <w:szCs w:val="1"/>
                <w:color w:val="auto"/>
              </w:rPr>
            </w:pPr>
          </w:p>
        </w:tc>
      </w:tr>
      <w:tr>
        <w:trPr>
          <w:trHeight w:val="225"/>
        </w:trPr>
        <w:tc>
          <w:tcPr>
            <w:tcW w:w="5060" w:type="dxa"/>
            <w:vAlign w:val="bottom"/>
          </w:tcPr>
          <w:p>
            <w:pPr>
              <w:ind w:left="56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231F20"/>
              </w:rPr>
              <w:t>3.0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3.1</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231F20"/>
              </w:rPr>
              <w:t>34.8</w:t>
            </w: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10.8</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22.7</w:t>
            </w:r>
          </w:p>
        </w:tc>
        <w:tc>
          <w:tcPr>
            <w:tcW w:w="0" w:type="dxa"/>
            <w:vAlign w:val="bottom"/>
          </w:tcPr>
          <w:p>
            <w:pPr>
              <w:spacing w:after="0"/>
              <w:rPr>
                <w:sz w:val="1"/>
                <w:szCs w:val="1"/>
                <w:color w:val="auto"/>
              </w:rPr>
            </w:pPr>
          </w:p>
        </w:tc>
      </w:tr>
      <w:tr>
        <w:trPr>
          <w:trHeight w:val="218"/>
        </w:trPr>
        <w:tc>
          <w:tcPr>
            <w:tcW w:w="5060" w:type="dxa"/>
            <w:vAlign w:val="bottom"/>
          </w:tcPr>
          <w:p>
            <w:pPr>
              <w:ind w:left="880"/>
              <w:spacing w:after="0"/>
              <w:rPr>
                <w:sz w:val="20"/>
                <w:szCs w:val="20"/>
                <w:color w:val="auto"/>
              </w:rPr>
            </w:pPr>
            <w:r>
              <w:rPr>
                <w:rFonts w:ascii="Times New Roman" w:cs="Times New Roman" w:eastAsia="Times New Roman" w:hAnsi="Times New Roman"/>
                <w:sz w:val="18"/>
                <w:szCs w:val="18"/>
                <w:color w:val="231F20"/>
              </w:rPr>
              <w:t>Total operating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64.9</w:t>
            </w:r>
          </w:p>
        </w:tc>
        <w:tc>
          <w:tcPr>
            <w:tcW w:w="10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231F20"/>
              </w:rPr>
              <w:t>86.1</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29.4</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231F20"/>
              </w:rPr>
              <w:t>61.8</w:t>
            </w: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Income (loss) from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231F20"/>
              </w:rPr>
              <w:t>(17.2)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231F20"/>
              </w:rPr>
              <w:t>5.0</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Other (income) expense,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(48.1)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231F20"/>
              </w:rPr>
              <w:t>(63.8)</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6.0</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231F20"/>
              </w:rPr>
              <w:t>12.5</w:t>
            </w:r>
          </w:p>
        </w:tc>
        <w:tc>
          <w:tcPr>
            <w:tcW w:w="0" w:type="dxa"/>
            <w:vAlign w:val="bottom"/>
          </w:tcPr>
          <w:p>
            <w:pPr>
              <w:spacing w:after="0"/>
              <w:rPr>
                <w:sz w:val="1"/>
                <w:szCs w:val="1"/>
                <w:color w:val="auto"/>
              </w:rPr>
            </w:pPr>
          </w:p>
        </w:tc>
      </w:tr>
      <w:tr>
        <w:trPr>
          <w:trHeight w:val="218"/>
        </w:trPr>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Income (loss) before provision for income tax</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231F20"/>
              </w:rPr>
              <w:t>46.6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231F20"/>
              </w:rPr>
              <w:t>(7.5)</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231F20"/>
              </w:rPr>
              <w:t>3.5</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(0.3)</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231F20"/>
              </w:rPr>
              <w:t>(0.6)</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Net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43.1 %</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231F20"/>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231F20"/>
                <w:w w:val="96"/>
              </w:rPr>
              <w:t>(6.9)%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Net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0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sales</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231F20"/>
              </w:rPr>
              <w:t>Delivery Systems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41.6</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25.7</w:t>
            </w:r>
          </w:p>
        </w:tc>
        <w:tc>
          <w:tcPr>
            <w:tcW w:w="3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62.2%</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231F20"/>
              </w:rPr>
              <w:t>Consumables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54.4%</w:t>
            </w:r>
          </w:p>
        </w:tc>
        <w:tc>
          <w:tcPr>
            <w:tcW w:w="0" w:type="dxa"/>
            <w:vAlign w:val="bottom"/>
          </w:tcPr>
          <w:p>
            <w:pPr>
              <w:spacing w:after="0"/>
              <w:rPr>
                <w:sz w:val="1"/>
                <w:szCs w:val="1"/>
                <w:color w:val="auto"/>
              </w:rPr>
            </w:pPr>
          </w:p>
        </w:tc>
      </w:tr>
      <w:tr>
        <w:trPr>
          <w:trHeight w:val="219"/>
        </w:trPr>
        <w:tc>
          <w:tcPr>
            <w:tcW w:w="5320" w:type="dxa"/>
            <w:vAlign w:val="bottom"/>
          </w:tcPr>
          <w:p>
            <w:pPr>
              <w:ind w:left="780"/>
              <w:spacing w:after="0"/>
              <w:rPr>
                <w:sz w:val="20"/>
                <w:szCs w:val="20"/>
                <w:color w:val="auto"/>
              </w:rPr>
            </w:pPr>
            <w:r>
              <w:rPr>
                <w:rFonts w:ascii="Times New Roman" w:cs="Times New Roman" w:eastAsia="Times New Roman" w:hAnsi="Times New Roman"/>
                <w:sz w:val="18"/>
                <w:szCs w:val="18"/>
                <w:color w:val="231F20"/>
              </w:rPr>
              <w:t>Total net sales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75.4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27.9</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58.6%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231F20"/>
              </w:rPr>
              <w:t>Percentage of net sales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ind w:left="340"/>
              <w:spacing w:after="0"/>
              <w:rPr>
                <w:sz w:val="20"/>
                <w:szCs w:val="20"/>
                <w:color w:val="auto"/>
              </w:rPr>
            </w:pPr>
            <w:r>
              <w:rPr>
                <w:rFonts w:ascii="Times New Roman" w:cs="Times New Roman" w:eastAsia="Times New Roman" w:hAnsi="Times New Roman"/>
                <w:sz w:val="18"/>
                <w:szCs w:val="18"/>
                <w:color w:val="231F20"/>
              </w:rPr>
              <w:t>Delivery Systems</w:t>
            </w:r>
          </w:p>
        </w:tc>
        <w:tc>
          <w:tcPr>
            <w:tcW w:w="24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231F20"/>
              </w:rPr>
              <w:t>54.0%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Consumables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231F20"/>
              </w:rPr>
              <w:t>44.8%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231F20"/>
              </w:rPr>
              <w:t>46.0%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780"/>
              <w:spacing w:after="0"/>
              <w:rPr>
                <w:sz w:val="20"/>
                <w:szCs w:val="20"/>
                <w:color w:val="auto"/>
              </w:rPr>
            </w:pPr>
            <w:r>
              <w:rPr>
                <w:rFonts w:ascii="Times New Roman" w:cs="Times New Roman" w:eastAsia="Times New Roman" w:hAnsi="Times New Roman"/>
                <w:sz w:val="18"/>
                <w:szCs w:val="18"/>
                <w:color w:val="231F20"/>
              </w:rPr>
              <w:t>Total</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231F20"/>
              </w:rPr>
              <w:t>100.0%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231F20"/>
              </w:rPr>
              <w:t>100.0%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00" w:firstLine="318"/>
        <w:spacing w:after="0" w:line="259" w:lineRule="auto"/>
        <w:rPr>
          <w:sz w:val="20"/>
          <w:szCs w:val="20"/>
          <w:color w:val="auto"/>
        </w:rPr>
      </w:pPr>
      <w:r>
        <w:rPr>
          <w:rFonts w:ascii="Times New Roman" w:cs="Times New Roman" w:eastAsia="Times New Roman" w:hAnsi="Times New Roman"/>
          <w:sz w:val="18"/>
          <w:szCs w:val="18"/>
          <w:color w:val="231F20"/>
        </w:rPr>
        <w:t>Total net sales for the three months ended March 31, 2022 increased $27.9 million, or 58.6%, compared to the three months ended March 31, 2021. Delivery System sales for the three months ended March 31, 2022 increased $15.9 million, or 62.2%, compared to the three months ended March 31, 2021 primarily due to strong trends in the Americas, Europe and Asia as markets remained open as well as the launch of Syndeo Delivery Systems.</w:t>
      </w:r>
    </w:p>
    <w:p>
      <w:pPr>
        <w:spacing w:after="0" w:line="151"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231F20"/>
        </w:rPr>
        <w:t>In the Americas region, n</w:t>
      </w:r>
      <w:r>
        <w:rPr>
          <w:rFonts w:ascii="Times New Roman" w:cs="Times New Roman" w:eastAsia="Times New Roman" w:hAnsi="Times New Roman"/>
          <w:sz w:val="18"/>
          <w:szCs w:val="18"/>
          <w:color w:val="000000"/>
        </w:rPr>
        <w:t>et sales increased to $44.6 million in Q1 2022 compared to $31.3 million in Q1 2021 due to sales growth in the U.S.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Mexico. The strength in the U.S. was driven by the launch of Syndeo and a continued increase in sales productivity fueled by strong conversion from the Company's marketing-driven leads. S</w:t>
      </w:r>
      <w:r>
        <w:rPr>
          <w:rFonts w:ascii="Times New Roman" w:cs="Times New Roman" w:eastAsia="Times New Roman" w:hAnsi="Times New Roman"/>
          <w:sz w:val="18"/>
          <w:szCs w:val="18"/>
          <w:color w:val="231F20"/>
        </w:rPr>
        <w:t>ales growth was primarily due to US and Mexico.</w:t>
      </w:r>
    </w:p>
    <w:p>
      <w:pPr>
        <w:spacing w:after="0" w:line="138"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231F20"/>
        </w:rPr>
        <w:t>In the APAC region, n</w:t>
      </w:r>
      <w:r>
        <w:rPr>
          <w:rFonts w:ascii="Times New Roman" w:cs="Times New Roman" w:eastAsia="Times New Roman" w:hAnsi="Times New Roman"/>
          <w:sz w:val="18"/>
          <w:szCs w:val="18"/>
          <w:color w:val="000000"/>
        </w:rPr>
        <w:t>et sales increased to $12.9 million in Q1 2022 compared to $8.8 million in Q1 2021, driven by continued strength in Australia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despite the partial offset by closures in China due to COVID-19.</w:t>
      </w:r>
    </w:p>
    <w:p>
      <w:pPr>
        <w:spacing w:after="0" w:line="124"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231F20"/>
        </w:rPr>
        <w:t xml:space="preserve">In the EMEA region, net sales increased to </w:t>
      </w:r>
      <w:r>
        <w:rPr>
          <w:rFonts w:ascii="Times New Roman" w:cs="Times New Roman" w:eastAsia="Times New Roman" w:hAnsi="Times New Roman"/>
          <w:sz w:val="18"/>
          <w:szCs w:val="18"/>
          <w:color w:val="000000"/>
        </w:rPr>
        <w:t>$17.9 million in Q1 2022 compared to $7.5 million in Q1 2021, due to strength in the United Kingdom,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Germany and France.</w:t>
      </w:r>
    </w:p>
    <w:p>
      <w:pPr>
        <w:spacing w:after="0" w:line="137"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231F20"/>
        </w:rPr>
        <w:t>There were 1,849 Delivery Systems units sold for the three months ended March 31, 2022, including 258 trade-ups. Similarly, Consumables sales for the three months ended March 31, 2022 increased $11.9 million, or 54.4%, compared to the three months ended March 31, 2021. The increase in Consumables sales was primarily attributable to increased placements of delivery systems and the adjoining consumption of consumables during the three months ended March 31, 2022.</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98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sales</w:t>
            </w:r>
          </w:p>
        </w:tc>
        <w:tc>
          <w:tcPr>
            <w:tcW w:w="940" w:type="dxa"/>
            <w:vAlign w:val="bottom"/>
            <w:tcBorders>
              <w:top w:val="single" w:sz="8" w:color="auto"/>
              <w:bottom w:val="single" w:sz="8" w:color="CCEEFF"/>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23.5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15.8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231F20"/>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48.6%</w:t>
            </w:r>
          </w:p>
        </w:tc>
        <w:tc>
          <w:tcPr>
            <w:tcW w:w="0" w:type="dxa"/>
            <w:vAlign w:val="bottom"/>
          </w:tcPr>
          <w:p>
            <w:pPr>
              <w:spacing w:after="0"/>
              <w:rPr>
                <w:sz w:val="1"/>
                <w:szCs w:val="1"/>
                <w:color w:val="auto"/>
              </w:rPr>
            </w:pPr>
          </w:p>
        </w:tc>
      </w:tr>
      <w:tr>
        <w:trPr>
          <w:trHeight w:val="23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51.9</w:t>
            </w:r>
          </w:p>
        </w:tc>
        <w:tc>
          <w:tcPr>
            <w:tcW w:w="100" w:type="dxa"/>
            <w:vAlign w:val="bottom"/>
          </w:tcPr>
          <w:p>
            <w:pPr>
              <w:spacing w:after="0"/>
              <w:rPr>
                <w:sz w:val="20"/>
                <w:szCs w:val="20"/>
                <w:color w:val="auto"/>
              </w:rPr>
            </w:pP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231F20"/>
                <w:w w:val="88"/>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31.7</w:t>
            </w:r>
          </w:p>
        </w:tc>
        <w:tc>
          <w:tcPr>
            <w:tcW w:w="8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231F20"/>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231F20"/>
              </w:rPr>
              <w:t>20.2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w w:val="97"/>
              </w:rPr>
              <w:t>68.9 %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66.8 %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231F20"/>
        </w:rPr>
        <w:t>Cost of sales increased $7.7 million driven by and in conjunction with increased sales volume in delivery systems and consumables. Gross margin increased from 66.8% during the three months ended March 31, 2021 to 68.9% during the three months ended March 31, 2022 primarily due to fixed cost leverage from higher sales volumes coupled with cost saving initiatives and margin accretion from distributor acquisitions, partially offset by higher supply chain and logistics costs. The Company expects continued headwinds from global supply chain challenges and inflationary pressures to weigh on gross margin through 2022, specifically higher shipping costs, offset by margin accretion related to the acquired distributor inventory and pricing initiatives.</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60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Selling and marketing</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36.4</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17.1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231F20"/>
              </w:rPr>
              <w:t>19.3</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113.0 %</w:t>
            </w: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0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7"/>
              </w:rPr>
              <w:t>48.3 %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231F20"/>
              </w:rPr>
              <w:t>36.0 %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100" w:firstLine="318"/>
        <w:spacing w:after="0" w:line="236" w:lineRule="auto"/>
        <w:rPr>
          <w:sz w:val="20"/>
          <w:szCs w:val="20"/>
          <w:color w:val="auto"/>
        </w:rPr>
      </w:pPr>
      <w:r>
        <w:rPr>
          <w:rFonts w:ascii="Times New Roman" w:cs="Times New Roman" w:eastAsia="Times New Roman" w:hAnsi="Times New Roman"/>
          <w:sz w:val="18"/>
          <w:szCs w:val="18"/>
          <w:color w:val="auto"/>
        </w:rPr>
        <w:t xml:space="preserve">Selling and marketing expense for the three months ended March 31, 2022 increased </w:t>
      </w:r>
      <w:r>
        <w:rPr>
          <w:rFonts w:ascii="Times New Roman" w:cs="Times New Roman" w:eastAsia="Times New Roman" w:hAnsi="Times New Roman"/>
          <w:sz w:val="18"/>
          <w:szCs w:val="18"/>
          <w:color w:val="231F20"/>
        </w:rPr>
        <w:t>$19.3 million</w:t>
      </w:r>
      <w:r>
        <w:rPr>
          <w:rFonts w:ascii="Times New Roman" w:cs="Times New Roman" w:eastAsia="Times New Roman" w:hAnsi="Times New Roman"/>
          <w:sz w:val="18"/>
          <w:szCs w:val="18"/>
          <w:color w:val="auto"/>
        </w:rPr>
        <w:t>, or 113.0%, compared to the three months ended March 31, 2021. The overall increase as a percentage of net sales was driven by higher sales commissions of $1.1 million. Personnel-related expenses increased by $5.9 million, which included a $3.4 million increase from our international operations, primarily attributable to increased headcount as we scale, and s</w:t>
      </w:r>
      <w:r>
        <w:rPr>
          <w:rFonts w:ascii="Times New Roman" w:cs="Times New Roman" w:eastAsia="Times New Roman" w:hAnsi="Times New Roman"/>
          <w:sz w:val="18"/>
          <w:szCs w:val="18"/>
          <w:color w:val="231F20"/>
        </w:rPr>
        <w:t>tock-based compensation expense by $2.8 million.</w:t>
      </w:r>
      <w:r>
        <w:rPr>
          <w:rFonts w:ascii="Times New Roman" w:cs="Times New Roman" w:eastAsia="Times New Roman" w:hAnsi="Times New Roman"/>
          <w:sz w:val="18"/>
          <w:szCs w:val="18"/>
          <w:color w:val="auto"/>
        </w:rPr>
        <w:t xml:space="preserve"> In addition, expenses related to travel and the Global Sales Meeting increased by $3.4 million due primarily to the launch of Syndeo. Personnel-related training expenses increased by $1.0 million and marketing spend increased by $2.4 million as we moved forward with marketing programs after COVID-19 restrictions were lifted and markets reopened.</w:t>
      </w: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vMerge w:val="continue"/>
          </w:tcPr>
          <w:p>
            <w:pPr>
              <w:spacing w:after="0"/>
              <w:rPr>
                <w:sz w:val="16"/>
                <w:szCs w:val="16"/>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040" w:type="dxa"/>
            <w:vAlign w:val="bottom"/>
            <w:tcBorders>
              <w:top w:val="single" w:sz="8" w:color="auto"/>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231F20"/>
                <w:w w:val="88"/>
              </w:rPr>
              <w:t>$</w:t>
            </w:r>
          </w:p>
        </w:tc>
        <w:tc>
          <w:tcPr>
            <w:tcW w:w="5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231F20"/>
              </w:rPr>
              <w:t>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4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231F20"/>
                <w:w w:val="99"/>
              </w:rPr>
              <w:t>3.0 %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9"/>
              </w:rPr>
              <w:t>3.1 %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 xml:space="preserve">Research and development expense for the three months ended March 31, 2022 increased </w:t>
      </w:r>
      <w:r>
        <w:rPr>
          <w:rFonts w:ascii="Times New Roman" w:cs="Times New Roman" w:eastAsia="Times New Roman" w:hAnsi="Times New Roman"/>
          <w:sz w:val="18"/>
          <w:szCs w:val="18"/>
          <w:color w:val="231F20"/>
        </w:rPr>
        <w:t>$0.7 million</w:t>
      </w:r>
      <w:r>
        <w:rPr>
          <w:rFonts w:ascii="Times New Roman" w:cs="Times New Roman" w:eastAsia="Times New Roman" w:hAnsi="Times New Roman"/>
          <w:sz w:val="18"/>
          <w:szCs w:val="18"/>
          <w:color w:val="auto"/>
        </w:rPr>
        <w:t>, or 53.6%, compared to the three months ended March 31, 2021. The increase was primarily attributable to personnel and professional services related expenses as we accelerate investment into product development and our digital platform.</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124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000" w:type="dxa"/>
            <w:vAlign w:val="bottom"/>
            <w:tcBorders>
              <w:top w:val="single" w:sz="8" w:color="auto"/>
              <w:bottom w:val="single" w:sz="8" w:color="CCEEFF"/>
            </w:tcBorders>
            <w:shd w:val="clear" w:color="auto" w:fill="CCEEFF"/>
          </w:tcPr>
          <w:p>
            <w:pPr>
              <w:jc w:val="right"/>
              <w:ind w:right="823"/>
              <w:spacing w:after="0"/>
              <w:rPr>
                <w:sz w:val="20"/>
                <w:szCs w:val="20"/>
                <w:color w:val="auto"/>
              </w:rPr>
            </w:pPr>
            <w:r>
              <w:rPr>
                <w:rFonts w:ascii="Times New Roman" w:cs="Times New Roman" w:eastAsia="Times New Roman" w:hAnsi="Times New Roman"/>
                <w:sz w:val="18"/>
                <w:szCs w:val="18"/>
                <w:color w:val="231F20"/>
                <w:w w:val="88"/>
              </w:rPr>
              <w:t>$</w:t>
            </w:r>
          </w:p>
        </w:tc>
        <w:tc>
          <w:tcPr>
            <w:tcW w:w="5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8"/>
                <w:szCs w:val="18"/>
                <w:color w:val="231F20"/>
                <w:w w:val="88"/>
              </w:rPr>
              <w:t>$</w:t>
            </w:r>
          </w:p>
        </w:tc>
        <w:tc>
          <w:tcPr>
            <w:tcW w:w="5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10.8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231F20"/>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142.9 %</w:t>
            </w: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231F20"/>
              </w:rPr>
              <w:t>As a percentage of net sales</w:t>
            </w:r>
          </w:p>
        </w:tc>
        <w:tc>
          <w:tcPr>
            <w:tcW w:w="1000" w:type="dxa"/>
            <w:vAlign w:val="bottom"/>
          </w:tcPr>
          <w:p>
            <w:pPr>
              <w:spacing w:after="0"/>
              <w:rPr>
                <w:sz w:val="20"/>
                <w:szCs w:val="20"/>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231F20"/>
                <w:w w:val="97"/>
              </w:rPr>
              <w:t>34.8 %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231F20"/>
              </w:rPr>
              <w:t>22.7 %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231F20"/>
        </w:rPr>
        <w:t xml:space="preserve">General and administrative expense for the three months ended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xml:space="preserve"> increased $15.5 million, or 142.9%, compared to the three months ended March 31, 2021. Stock-based compensation expense increased by $3.9 million and personnel-related expenses increased by $2.9 million primarily due to increased headcount as we scale. We incurred additional public company costs, which included an increase in directors’ and officers’ liability insurance, Sarbanes-Oxley Act compliance and additional audit and tax and other professional service fees for a total of $2.0 million for the three months ended March 31, 2022. Legal expenses increased by $1.5 million, which includes expenses related to litigating and enforcing patent and trademark infringement claims against third parties, and personnel recruiting and one-time transaction costs increased by $2.4 million.</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Expense, Net and Income Tax Provision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231"/>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Other (income) expense, net</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231F20"/>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58"/>
              <w:spacing w:after="0"/>
              <w:rPr>
                <w:sz w:val="20"/>
                <w:szCs w:val="20"/>
                <w:color w:val="auto"/>
              </w:rPr>
            </w:pPr>
            <w:r>
              <w:rPr>
                <w:rFonts w:ascii="Times New Roman" w:cs="Times New Roman" w:eastAsia="Times New Roman" w:hAnsi="Times New Roman"/>
                <w:sz w:val="18"/>
                <w:szCs w:val="18"/>
                <w:color w:val="231F20"/>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0" w:type="dxa"/>
            <w:vAlign w:val="bottom"/>
          </w:tcPr>
          <w:p>
            <w:pPr>
              <w:spacing w:after="0"/>
              <w:rPr>
                <w:sz w:val="1"/>
                <w:szCs w:val="1"/>
                <w:color w:val="auto"/>
              </w:rPr>
            </w:pPr>
          </w:p>
        </w:tc>
      </w:tr>
      <w:tr>
        <w:trPr>
          <w:trHeight w:val="23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Income tax expense (benefit)</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8"/>
                <w:szCs w:val="18"/>
                <w:color w:val="231F20"/>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w:t>
            </w:r>
          </w:p>
        </w:tc>
        <w:tc>
          <w:tcPr>
            <w:tcW w:w="100" w:type="dxa"/>
            <w:vAlign w:val="bottom"/>
          </w:tcPr>
          <w:p>
            <w:pPr>
              <w:spacing w:after="0"/>
              <w:rPr>
                <w:sz w:val="20"/>
                <w:szCs w:val="20"/>
                <w:color w:val="auto"/>
              </w:rPr>
            </w:pP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231F20"/>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(0.3)</w:t>
            </w:r>
          </w:p>
        </w:tc>
        <w:tc>
          <w:tcPr>
            <w:tcW w:w="80" w:type="dxa"/>
            <w:vAlign w:val="bottom"/>
          </w:tcPr>
          <w:p>
            <w:pPr>
              <w:spacing w:after="0"/>
              <w:rPr>
                <w:sz w:val="20"/>
                <w:szCs w:val="20"/>
                <w:color w:val="auto"/>
              </w:rPr>
            </w:pPr>
          </w:p>
        </w:tc>
        <w:tc>
          <w:tcPr>
            <w:tcW w:w="1160" w:type="dxa"/>
            <w:vAlign w:val="bottom"/>
          </w:tcPr>
          <w:p>
            <w:pPr>
              <w:jc w:val="right"/>
              <w:ind w:right="958"/>
              <w:spacing w:after="0"/>
              <w:rPr>
                <w:sz w:val="20"/>
                <w:szCs w:val="20"/>
                <w:color w:val="auto"/>
              </w:rPr>
            </w:pPr>
            <w:r>
              <w:rPr>
                <w:rFonts w:ascii="Times New Roman" w:cs="Times New Roman" w:eastAsia="Times New Roman" w:hAnsi="Times New Roman"/>
                <w:sz w:val="18"/>
                <w:szCs w:val="18"/>
                <w:color w:val="231F2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right="560" w:firstLine="318"/>
        <w:spacing w:after="0" w:line="304" w:lineRule="auto"/>
        <w:rPr>
          <w:sz w:val="20"/>
          <w:szCs w:val="20"/>
          <w:color w:val="auto"/>
        </w:rPr>
      </w:pPr>
      <w:r>
        <w:rPr>
          <w:rFonts w:ascii="Times New Roman" w:cs="Times New Roman" w:eastAsia="Times New Roman" w:hAnsi="Times New Roman"/>
          <w:sz w:val="17"/>
          <w:szCs w:val="17"/>
          <w:color w:val="231F20"/>
        </w:rPr>
        <w:t xml:space="preserve">Other (income) expense, net, was $(48.1) million for the three months ended </w:t>
      </w:r>
      <w:r>
        <w:rPr>
          <w:rFonts w:ascii="Times New Roman" w:cs="Times New Roman" w:eastAsia="Times New Roman" w:hAnsi="Times New Roman"/>
          <w:sz w:val="17"/>
          <w:szCs w:val="17"/>
          <w:color w:val="000000"/>
        </w:rPr>
        <w:t>March 31, 2022</w:t>
      </w:r>
      <w:r>
        <w:rPr>
          <w:rFonts w:ascii="Times New Roman" w:cs="Times New Roman" w:eastAsia="Times New Roman" w:hAnsi="Times New Roman"/>
          <w:sz w:val="17"/>
          <w:szCs w:val="17"/>
          <w:color w:val="231F20"/>
        </w:rPr>
        <w:t xml:space="preserve"> compared to $6.0 million for the three months ended March 31, 2021. The change of $(54.1) million was primarily driven by the change in the fair value of the Warrant liability of $(52.1)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231F20"/>
        </w:rPr>
        <w:t xml:space="preserve">Our primary sources of capital have been funded by (i) cash flow from operating activities, (ii) net proceeds received from the consummation of the Business Combination, (iii) net proceeds received from the Notes (as defined below), and (iv) net proceeds received from the exercise of Public and Private Placement Warrants. As of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31F20"/>
        </w:rPr>
        <w:t xml:space="preserve">, we had cash and cash equivalents of approximately $859.2 million. A revolving credit facility of </w:t>
      </w:r>
      <w:r>
        <w:rPr>
          <w:rFonts w:ascii="Times New Roman" w:cs="Times New Roman" w:eastAsia="Times New Roman" w:hAnsi="Times New Roman"/>
          <w:sz w:val="18"/>
          <w:szCs w:val="18"/>
          <w:color w:val="000000"/>
        </w:rPr>
        <w:t>$50 million 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also available as a source of capital.</w:t>
      </w:r>
    </w:p>
    <w:p>
      <w:pPr>
        <w:spacing w:after="0" w:line="207"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Our sources of liquidity and cash flows are used to fund ongoing operations, research and development projects for new products, services, and technologies, and provide ongoing support services for our providers and customers.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217"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We expect capital expenditures of up to $20.0 million for the year ending December 31, 2022. Based on our sources of capital (including the cash consideration received from the consummation of the Business Combination and the cash received from the issuance of the Notes), management believes that we have sufficient liquidity to satisfy our anticipated working capital</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requirements for our ongoing operations and obligations for at least the next twelve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0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4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On December 30, 2021, Edge Systems LLC, a California limited liability company (the “Borrower”) and an indirect wholly owned subsidiary of The Beauty Health Company, as borrower, entered into a Credit Agreement (the “Credit Agreement”) with Edge Systems Intermediate LLC, an indirect wholly owned subsidiary of the Company and the direct parent of the Borrower that holds the Company’s foreign and domestic operating entities, and The Hydrafacial Company Mexico Holdings, LLC, a direct wholly owned subsidiary of the Borrower that conducts the Mexican business operations, as guarantors (the “Guarantors” and, together with the Borrower, the “Loan Parties”), and JPMorgan Chase Bank, N.A., as administrative agent.</w:t>
      </w:r>
    </w:p>
    <w:p>
      <w:pPr>
        <w:spacing w:after="0" w:line="212"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Credit Agreement provides for a $50 million revolving credit facility with a maturity date of December 30, 2026.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 As of </w:t>
      </w:r>
      <w:r>
        <w:rPr>
          <w:rFonts w:ascii="Times New Roman" w:cs="Times New Roman" w:eastAsia="Times New Roman" w:hAnsi="Times New Roman"/>
          <w:sz w:val="18"/>
          <w:szCs w:val="18"/>
          <w:color w:val="231F20"/>
        </w:rPr>
        <w:t>March 31, 2022,</w:t>
      </w:r>
      <w:r>
        <w:rPr>
          <w:rFonts w:ascii="Times New Roman" w:cs="Times New Roman" w:eastAsia="Times New Roman" w:hAnsi="Times New Roman"/>
          <w:sz w:val="18"/>
          <w:szCs w:val="18"/>
          <w:color w:val="auto"/>
        </w:rPr>
        <w:t xml:space="preserve"> the Credit Agreement remains undrawn and there is no outstanding balance under the revolving credit facility.</w:t>
      </w:r>
    </w:p>
    <w:p>
      <w:pPr>
        <w:spacing w:after="0" w:line="207" w:lineRule="exact"/>
        <w:rPr>
          <w:sz w:val="20"/>
          <w:szCs w:val="20"/>
          <w:color w:val="auto"/>
        </w:rPr>
      </w:pPr>
    </w:p>
    <w:p>
      <w:pPr>
        <w:ind w:right="140" w:firstLine="318"/>
        <w:spacing w:after="0" w:line="250" w:lineRule="auto"/>
        <w:rPr>
          <w:sz w:val="20"/>
          <w:szCs w:val="20"/>
          <w:color w:val="auto"/>
        </w:rPr>
      </w:pPr>
      <w:r>
        <w:rPr>
          <w:rFonts w:ascii="Times New Roman" w:cs="Times New Roman" w:eastAsia="Times New Roman" w:hAnsi="Times New Roman"/>
          <w:sz w:val="18"/>
          <w:szCs w:val="18"/>
          <w:color w:val="auto"/>
        </w:rPr>
        <w:t>Borrowings under the Credit Agreement are secured by certain collateral of the Loan Parties and are guaranteed by the Guarantors, each of whom will derive substantial benefit from the revolving credit facility. In specified circumstances, additional guarantors are required to be added. The Credit Agreement contains various restrictive covenants subject to certain exceptions, including limitations on the Borrower’s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213" w:lineRule="exact"/>
        <w:rPr>
          <w:sz w:val="20"/>
          <w:szCs w:val="20"/>
          <w:color w:val="auto"/>
        </w:rPr>
      </w:pPr>
    </w:p>
    <w:p>
      <w:pPr>
        <w:ind w:right="140" w:firstLine="318"/>
        <w:spacing w:after="0" w:line="267" w:lineRule="auto"/>
        <w:rPr>
          <w:sz w:val="20"/>
          <w:szCs w:val="20"/>
          <w:color w:val="auto"/>
        </w:rPr>
      </w:pPr>
      <w:r>
        <w:rPr>
          <w:rFonts w:ascii="Times New Roman" w:cs="Times New Roman" w:eastAsia="Times New Roman" w:hAnsi="Times New Roman"/>
          <w:sz w:val="17"/>
          <w:szCs w:val="17"/>
          <w:color w:val="auto"/>
        </w:rPr>
        <w:t xml:space="preserve">The leverage ratio also determines pricing under the Credit Agreement. At the Borrower’s option, borrowings under the revolving credit facility accrue interest at a rate equal to either LIBOR or a specified base rate plus an applicable margin. The applicable margin is linked to the leverage ratio. The margins range from 2.00% to 2.50% per annum for LIBOR loans and 1.00% to 1.50% per annum for base rate loans. The revolving credit facility is subject to a commitment fee payable on the unused revolving credit facility commitments ranging from 0.25% to 0.35%, depending on the Borrower’s leverage ratio. As of </w:t>
      </w:r>
      <w:r>
        <w:rPr>
          <w:rFonts w:ascii="Times New Roman" w:cs="Times New Roman" w:eastAsia="Times New Roman" w:hAnsi="Times New Roman"/>
          <w:sz w:val="17"/>
          <w:szCs w:val="17"/>
          <w:color w:val="231F20"/>
        </w:rPr>
        <w:t>March 31, 2022</w:t>
      </w:r>
      <w:r>
        <w:rPr>
          <w:rFonts w:ascii="Times New Roman" w:cs="Times New Roman" w:eastAsia="Times New Roman" w:hAnsi="Times New Roman"/>
          <w:sz w:val="17"/>
          <w:szCs w:val="17"/>
          <w:color w:val="auto"/>
        </w:rPr>
        <w:t xml:space="preserve">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4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On September 14, 2021, we issued $750 million aggregate principal amount of Notes in a private placement to qualified institutional buyers pursuant to Rule 144A under the Securities Act of 1933, as amended. The Notes were issued pursuant to, and are governed by, an indenture, dated as of September 14, 2021, between the Company and U.S. Bank National Association, as trustee. The Notes accrue interest at a rate of 1.25% per annum, payable semi-annually in arrears on April 1 and October 1 of each year, beginning on April 1, 2022. The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 31.4859 shares of Class A Common Stock per $1,000 principal amount of Notes, which represents an initial conversion price of approximately $31.76 per share of Class A Common Stock. We used $90.2 million of the net proceeds from the sale of the Notes to fund the cost of entering into capped call transactions. The net proceeds from the issuance of the Notes were approximately $638.7 million, net of capped call transaction costs of $90.2 million and debt issuance costs totaling $21.3 million. See Note 10 - Debt, to the Notes to the Condensed Consolidated Financial Statements included elsewhere in this report.</w:t>
      </w: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48"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Capped call transactions cover the aggregate number of shares of our Class A Common Stock that will initially underlie the Notes, and generally reduce potential dilution to our common stock upon any conversion of Notes and/or offset any cash payments we may make in excess of the principal amount of the converted Notes, as the case may be, with such reduction and/or offset subject to a cap, based on the cap price of the capped call transactions. See Note 2 - Summary of Significant Accounting Policies, to the Notes to Consolidated Financial Statements included elsewhere in this report.</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Commercial Commitments</w:t>
      </w:r>
    </w:p>
    <w:p>
      <w:pPr>
        <w:spacing w:after="0" w:line="24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2021, our material contractual obligations is approximately $42.2 million in interest related to the Notes, the Notes of $750 million, and $16.0 million in lease obligations.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Known Trends or Uncertainties</w:t>
      </w:r>
    </w:p>
    <w:p>
      <w:pPr>
        <w:spacing w:after="0" w:line="248"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We believe there are several emerging trends that may play a key role in shaping the future of the beauty health industry. Our market research demonstrated that consumers are increasingly willing to spend on high-end beauty health products. Some of the key industry trends identified by this market research are:</w:t>
      </w:r>
    </w:p>
    <w:p>
      <w:pPr>
        <w:spacing w:after="0" w:line="202" w:lineRule="exact"/>
        <w:rPr>
          <w:sz w:val="20"/>
          <w:szCs w:val="20"/>
          <w:color w:val="auto"/>
        </w:rPr>
      </w:pPr>
    </w:p>
    <w:p>
      <w:pPr>
        <w:ind w:left="640" w:right="20" w:hanging="316"/>
        <w:spacing w:after="0" w:line="261" w:lineRule="auto"/>
        <w:tabs>
          <w:tab w:leader="none" w:pos="6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Millennials/Gen Z aging</w:t>
      </w:r>
      <w:r>
        <w:rPr>
          <w:rFonts w:ascii="Times New Roman" w:cs="Times New Roman" w:eastAsia="Times New Roman" w:hAnsi="Times New Roman"/>
          <w:sz w:val="18"/>
          <w:szCs w:val="18"/>
          <w:color w:val="auto"/>
        </w:rPr>
        <w:t>: HydraFacial customers are young; approximately 50% of HydraFacial customers are Millennials, and approximately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HydraFacial’s beauty retail customers are under the age of 24. As the Millennial and Gen Z consumers age, they appear to be taking skincare more seriously and willing to invest in premium experiences, such as those offered by HydraFacial.</w:t>
      </w:r>
    </w:p>
    <w:p>
      <w:pPr>
        <w:spacing w:after="0" w:line="199" w:lineRule="exact"/>
        <w:rPr>
          <w:rFonts w:ascii="Times New Roman" w:cs="Times New Roman" w:eastAsia="Times New Roman" w:hAnsi="Times New Roman"/>
          <w:sz w:val="18"/>
          <w:szCs w:val="18"/>
          <w:i w:val="1"/>
          <w:iCs w:val="1"/>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Influencers and social media driving purchase decisions</w:t>
      </w:r>
      <w:r>
        <w:rPr>
          <w:rFonts w:ascii="Times New Roman" w:cs="Times New Roman" w:eastAsia="Times New Roman" w:hAnsi="Times New Roman"/>
          <w:sz w:val="18"/>
          <w:szCs w:val="18"/>
          <w:color w:val="auto"/>
        </w:rPr>
        <w:t>: Social media personalities are increasingly opining and having an effect on skin care,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gained more prominence in the age of selfies.</w:t>
      </w:r>
    </w:p>
    <w:p>
      <w:pPr>
        <w:spacing w:after="0" w:line="186"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in disposable income</w:t>
      </w:r>
      <w:r>
        <w:rPr>
          <w:rFonts w:ascii="Times New Roman" w:cs="Times New Roman" w:eastAsia="Times New Roman" w:hAnsi="Times New Roman"/>
          <w:sz w:val="18"/>
          <w:szCs w:val="18"/>
          <w:color w:val="auto"/>
        </w:rPr>
        <w:t>: As the global economy grows, consumers have more disposable income to spend on premium products.</w:t>
      </w:r>
    </w:p>
    <w:p>
      <w:pPr>
        <w:spacing w:after="0" w:line="243"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Shift in spend from makeup to skin care</w:t>
      </w:r>
      <w:r>
        <w:rPr>
          <w:rFonts w:ascii="Times New Roman" w:cs="Times New Roman" w:eastAsia="Times New Roman" w:hAnsi="Times New Roman"/>
          <w:sz w:val="17"/>
          <w:szCs w:val="17"/>
          <w:color w:val="auto"/>
        </w:rPr>
        <w:t>: There appears to be an increasing movement towards treating underlying skin to make it healthy and reveal</w:t>
      </w:r>
    </w:p>
    <w:p>
      <w:pPr>
        <w:spacing w:after="0" w:line="37" w:lineRule="exact"/>
        <w:rPr>
          <w:rFonts w:ascii="Times New Roman" w:cs="Times New Roman" w:eastAsia="Times New Roman" w:hAnsi="Times New Roman"/>
          <w:sz w:val="17"/>
          <w:szCs w:val="17"/>
          <w:i w:val="1"/>
          <w:iCs w:val="1"/>
          <w:color w:val="auto"/>
        </w:rPr>
      </w:pPr>
    </w:p>
    <w:p>
      <w:pPr>
        <w:ind w:left="640" w:right="80"/>
        <w:spacing w:after="0" w:line="27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it (i.e.: “clean beauty”), as opposed to using products such as make-up to cover it. Clean beauty places an emphasis on unveiling fresh, naked skin as the star, as opposed to covering it up. The HydraFacial experience not only physically cleanses skin with vortex suction, exfoliation and extraction, and removal of debris, but it also actively infuses the skin with innovative, clean ingredients to nourish and hydrate the newly cleaned skin canvas.</w:t>
      </w:r>
    </w:p>
    <w:p>
      <w:pPr>
        <w:spacing w:after="0" w:line="193" w:lineRule="exact"/>
        <w:rPr>
          <w:rFonts w:ascii="Times New Roman" w:cs="Times New Roman" w:eastAsia="Times New Roman" w:hAnsi="Times New Roman"/>
          <w:sz w:val="17"/>
          <w:szCs w:val="17"/>
          <w:i w:val="1"/>
          <w:iCs w:val="1"/>
          <w:color w:val="auto"/>
        </w:rPr>
      </w:pPr>
    </w:p>
    <w:p>
      <w:pPr>
        <w:ind w:left="640" w:right="300" w:hanging="316"/>
        <w:spacing w:after="0" w:line="276" w:lineRule="auto"/>
        <w:tabs>
          <w:tab w:leader="none" w:pos="6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in multi-brand and online retailers</w:t>
      </w:r>
      <w:r>
        <w:rPr>
          <w:rFonts w:ascii="Times New Roman" w:cs="Times New Roman" w:eastAsia="Times New Roman" w:hAnsi="Times New Roman"/>
          <w:sz w:val="18"/>
          <w:szCs w:val="18"/>
          <w:color w:val="auto"/>
        </w:rPr>
        <w:t>: Multi-brand retailers and digital native brands play an important role in captivating the consumer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pushing innovation.</w:t>
      </w: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right="60" w:hanging="316"/>
        <w:spacing w:after="0" w:line="276" w:lineRule="auto"/>
        <w:tabs>
          <w:tab w:leader="none" w:pos="6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Consumers shopping across mass and premium brands</w:t>
      </w:r>
      <w:r>
        <w:rPr>
          <w:rFonts w:ascii="Times New Roman" w:cs="Times New Roman" w:eastAsia="Times New Roman" w:hAnsi="Times New Roman"/>
          <w:sz w:val="18"/>
          <w:szCs w:val="18"/>
          <w:color w:val="auto"/>
        </w:rPr>
        <w:t>: Consumers appear to be willing to shop across mass and premium brands in order to allocate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money towards trending categories and products that help make them look and feel better.</w:t>
      </w:r>
    </w:p>
    <w:p>
      <w:pPr>
        <w:spacing w:after="0" w:line="188"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We operate in the beauty health industry, which is highly competitive and changes rapidly. Our operating results could be significantly affected by our ability to develop new products and find new distribution channels for new and existing products.</w:t>
      </w:r>
    </w:p>
    <w:p>
      <w:pPr>
        <w:spacing w:after="0" w:line="190"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The majority of our customers are in the medical, (dermatologists and plastic surgeons), esthetician, and beauty retail industry. During economic downturns, we have seen consolidations in such industries. The extent to which the COVID-19 pandemic impacts our business going forward will depend on numerous factors we cannot reliably predict, including the duration and scope of the pandemic; businesses and individuals' actions in response to the pandemic; and the impact on economic activity including the possibility of recession or financial market instability. These factors may adversely impact consumer, business, and government spending as well as customers' ability to pay for our products and services on an ongoing basis. As a result, our growth rate could be affected by consolidation and downsizing in the medical, esthetician, and beauty retail industry.</w:t>
      </w:r>
    </w:p>
    <w:p>
      <w:pPr>
        <w:spacing w:after="0" w:line="212" w:lineRule="exact"/>
        <w:rPr>
          <w:sz w:val="20"/>
          <w:szCs w:val="20"/>
          <w:color w:val="auto"/>
        </w:rPr>
      </w:pPr>
    </w:p>
    <w:p>
      <w:pPr>
        <w:ind w:right="740" w:firstLine="318"/>
        <w:spacing w:after="0" w:line="274" w:lineRule="auto"/>
        <w:rPr>
          <w:sz w:val="20"/>
          <w:szCs w:val="20"/>
          <w:color w:val="auto"/>
        </w:rPr>
      </w:pPr>
      <w:r>
        <w:rPr>
          <w:rFonts w:ascii="Times New Roman" w:cs="Times New Roman" w:eastAsia="Times New Roman" w:hAnsi="Times New Roman"/>
          <w:sz w:val="18"/>
          <w:szCs w:val="18"/>
          <w:color w:val="auto"/>
        </w:rPr>
        <w:t>In addition, we expect continued headwinds from global supply chain challenges and inflationary pressures to weigh on gross margin into 2022, specifically higher shipping costs, offset by margin accretion related to the acquired distributor inventory and pricing initiatives.</w:t>
      </w:r>
    </w:p>
    <w:p>
      <w:pPr>
        <w:spacing w:after="0" w:line="190"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Furthermore, it remains unclear how governmental authorities, including the Food and Drug Administration (“FDA”), will regulate the products that we sell, and in the case of the FDA, whether and when it will propose or implement new or additional regulations. Unforeseen regulatory obstacles or compliance costs may hinder our business in both the short and long-term as well.</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48"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We do not maintain any off-balance sheet arrangements, transactions, obligations or other relationships with unconsolidated entities that would be expected to have a material current or future effect upon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activities from our statements of cash flows. Amounts may not foot due to rounding.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64"/>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 millions)</w:t>
            </w: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8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 at beginning of period</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Operating activities: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income (loss)</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Non-cash adjustments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Changes in working capital</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Net cash flows (used in) provided by operating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cash flows (used in) provided by investing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231F20"/>
              </w:rPr>
              <w:t>Net cash flows (used in) provided by financing activities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change in cash and cash equivalents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Effect of foreign currency translation</w:t>
            </w:r>
          </w:p>
        </w:tc>
        <w:tc>
          <w:tcPr>
            <w:tcW w:w="4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Cash and cash equivalents at end of period</w:t>
            </w: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48"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7"/>
          <w:szCs w:val="17"/>
          <w:color w:val="231F20"/>
        </w:rPr>
        <w:t xml:space="preserve">Net cash used in operating activities of $38.5 million for the three months ended March 31, 2022 was primarily due to </w:t>
      </w:r>
      <w:r>
        <w:rPr>
          <w:rFonts w:ascii="Times New Roman" w:cs="Times New Roman" w:eastAsia="Times New Roman" w:hAnsi="Times New Roman"/>
          <w:sz w:val="17"/>
          <w:szCs w:val="17"/>
          <w:color w:val="000000"/>
        </w:rPr>
        <w:t>investment in inventory in relation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to the launch of Syndeo Delivery Systems, combined with a corresponding shift in the average collection period of receivables related to increased payment plan participation on delivery systems globally, as well as continued investments globally in people and systems to fuel future growth. The </w:t>
      </w:r>
      <w:r>
        <w:rPr>
          <w:rFonts w:ascii="Times New Roman" w:cs="Times New Roman" w:eastAsia="Times New Roman" w:hAnsi="Times New Roman"/>
          <w:sz w:val="17"/>
          <w:szCs w:val="17"/>
          <w:color w:val="231F20"/>
        </w:rPr>
        <w:t>net income of</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$32.5 million was driven by non-cash adjustments of $36.7 million, with the largest adjustment being the fair value adjustment to warrant liabilities. The</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color w:val="231F20"/>
        </w:rPr>
        <w:t>decrease in working capital of $34.3 million was primarily due to the increase in accounts receivable of $14.2 million, the increase in inventory of $11.9 million and the increase in accrued payroll and other expenses of $8.3 million.</w:t>
      </w:r>
    </w:p>
    <w:p>
      <w:pPr>
        <w:spacing w:after="0" w:line="190"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231F20"/>
        </w:rPr>
        <w:t xml:space="preserve">Net cash from operating activities of $1.3 million for the three months ended March 31, 2021 was primarily due to in-kind interest in the amount </w:t>
      </w:r>
      <w:r>
        <w:rPr>
          <w:rFonts w:ascii="Times New Roman" w:cs="Times New Roman" w:eastAsia="Times New Roman" w:hAnsi="Times New Roman"/>
          <w:sz w:val="17"/>
          <w:szCs w:val="17"/>
          <w:color w:val="000000"/>
        </w:rPr>
        <w:t>of</w:t>
      </w:r>
      <w:r>
        <w:rPr>
          <w:rFonts w:ascii="Times New Roman" w:cs="Times New Roman" w:eastAsia="Times New Roman" w:hAnsi="Times New Roman"/>
          <w:sz w:val="17"/>
          <w:szCs w:val="17"/>
          <w:color w:val="231F20"/>
        </w:rPr>
        <w:t xml:space="preserve"> $2.2 million. The net loss of $3.3 million was impacted by non-cash adjustments of $5.4 million primarily related to depreciation and amortization, partially offset by a decrease in net change in working capital of $0.9 million. The total increase in net operating assets and liabilities was primarily due to a $3.1 million increase in accounts payable and a $5.0 million increase in accrued payroll and other expenses offset by a $8.5 million decrease in accounts receivable.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48"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231F20"/>
        </w:rPr>
        <w:t>Cash used in investing activities for the three months ended March 31, 2022 of $3.4 million was primarily related to $3.1 million in capital expenditures for property and equipment and $0.3 million in capitalized software.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Cash used in investing activities for the three months ended March 31, 2021 of $1.0 million was related to capital expenditures.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48"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231F20"/>
        </w:rPr>
        <w:t>There was $0.8 million used in financing activities for the three months ended March 31, 2022. The Company did not withdraw from the line of credit and there were no transactions related to the warrants during the three months ended March 31, 2022.</w:t>
      </w:r>
    </w:p>
    <w:p>
      <w:pPr>
        <w:spacing w:after="0" w:line="190" w:lineRule="exact"/>
        <w:rPr>
          <w:sz w:val="20"/>
          <w:szCs w:val="20"/>
          <w:color w:val="auto"/>
        </w:rPr>
      </w:pPr>
    </w:p>
    <w:p>
      <w:pPr>
        <w:ind w:right="500" w:firstLine="318"/>
        <w:spacing w:after="0" w:line="274" w:lineRule="auto"/>
        <w:rPr>
          <w:sz w:val="20"/>
          <w:szCs w:val="20"/>
          <w:color w:val="auto"/>
        </w:rPr>
      </w:pPr>
      <w:r>
        <w:rPr>
          <w:rFonts w:ascii="Times New Roman" w:cs="Times New Roman" w:eastAsia="Times New Roman" w:hAnsi="Times New Roman"/>
          <w:sz w:val="18"/>
          <w:szCs w:val="18"/>
          <w:color w:val="231F20"/>
        </w:rPr>
        <w:t>Net cash from financing activities of $4.4 million for the three months ended March 31, 2021 was primarily related to proceeds from borrowings of $5.0 million, net of debt repayments and issuance costs of $0.4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6"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There has been no change to our critical accounting policies as included in our Annual Report on Form 10-K for the fiscal year ended December 31, 2021.</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6"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231F20"/>
        </w:rPr>
        <w:t xml:space="preserve">See Note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231F20"/>
        </w:rPr>
        <w:t xml:space="preserve"> of the notes to our Condensed Consolidated Financial Statements in the section titled “—Recently Issued Accounting Pronouncements” in our Note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231F20"/>
        </w:rPr>
        <w:t xml:space="preserve"> to our consolidated financial statements included elsewhere in this Quarterly Report on Form 10-Q for a discussion about new accounting pronouncements adopted and not yet adopted.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6"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of America (GAAP), management utilizes certain non-GAAP performance measures, adjusted net income (loss), adjusted EBITDA (loss), adjusted EBITDA margin, adjusted gross profit, and adjusted gross margin, for purposes of evaluating our ongoing operations and for internal planning and forecasting purposes. We believe that these non-GAAP operating measures, when reviewed collectively with our GAAP financial information, provide useful supplemental information to investors in assessing our operating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(Loss), Adjusted EBITDA and Adjusted EBITDA Margin</w:t>
      </w:r>
    </w:p>
    <w:p>
      <w:pPr>
        <w:spacing w:after="0" w:line="246" w:lineRule="exact"/>
        <w:rPr>
          <w:sz w:val="20"/>
          <w:szCs w:val="20"/>
          <w:color w:val="auto"/>
        </w:rPr>
      </w:pPr>
    </w:p>
    <w:p>
      <w:pPr>
        <w:ind w:right="800" w:firstLine="318"/>
        <w:spacing w:after="0" w:line="274" w:lineRule="auto"/>
        <w:rPr>
          <w:sz w:val="20"/>
          <w:szCs w:val="20"/>
          <w:color w:val="auto"/>
        </w:rPr>
      </w:pPr>
      <w:r>
        <w:rPr>
          <w:rFonts w:ascii="Times New Roman" w:cs="Times New Roman" w:eastAsia="Times New Roman" w:hAnsi="Times New Roman"/>
          <w:sz w:val="18"/>
          <w:szCs w:val="18"/>
          <w:color w:val="auto"/>
        </w:rPr>
        <w:t>Adjusted net income (loss), adjusted EBITDA and adjusted EBITDA margin are key performance measures that we use to assess our operating performance. Because adjusted net income (loss), adjusted EBITDA and adjusted EBITDA margin</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facilitate internal comparisons of our historical operating performance on a more consistent basis, we use these measures for business planning purposes.</w:t>
      </w:r>
    </w:p>
    <w:p>
      <w:pPr>
        <w:spacing w:after="0" w:line="244" w:lineRule="exact"/>
        <w:rPr>
          <w:sz w:val="20"/>
          <w:szCs w:val="20"/>
          <w:color w:val="auto"/>
        </w:rPr>
      </w:pPr>
    </w:p>
    <w:p>
      <w:pPr>
        <w:ind w:right="380" w:firstLine="318"/>
        <w:spacing w:after="0" w:line="304" w:lineRule="auto"/>
        <w:rPr>
          <w:sz w:val="20"/>
          <w:szCs w:val="20"/>
          <w:color w:val="auto"/>
        </w:rPr>
      </w:pPr>
      <w:r>
        <w:rPr>
          <w:rFonts w:ascii="Times New Roman" w:cs="Times New Roman" w:eastAsia="Times New Roman" w:hAnsi="Times New Roman"/>
          <w:sz w:val="17"/>
          <w:szCs w:val="17"/>
          <w:color w:val="auto"/>
        </w:rPr>
        <w:t>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operating leverage.</w:t>
      </w:r>
    </w:p>
    <w:p>
      <w:pPr>
        <w:spacing w:after="0" w:line="16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We calculate adjusted net income (loss) as net income (loss) adjusted to exclude: change in fair value of Public and Private Placement Warrants, change in fair value of earn-out shares liability, other expense (income), net; amortization expense; stock-based compensation expense; management fees incurred from our historical private equity owners; one-time or non-recurring items such as transaction costs (including transactions costs with respect to the Business Combination); restructuring costs (including those associated with COVID-19) and the aggregate adjustment for income taxes for the tax effect of the adjustments described above.</w:t>
      </w:r>
    </w:p>
    <w:p>
      <w:pPr>
        <w:spacing w:after="0" w:line="212" w:lineRule="exact"/>
        <w:rPr>
          <w:sz w:val="20"/>
          <w:szCs w:val="20"/>
          <w:color w:val="auto"/>
        </w:rPr>
      </w:pPr>
    </w:p>
    <w:p>
      <w:pPr>
        <w:ind w:right="200" w:firstLine="318"/>
        <w:spacing w:after="0" w:line="252" w:lineRule="auto"/>
        <w:rPr>
          <w:sz w:val="20"/>
          <w:szCs w:val="20"/>
          <w:color w:val="auto"/>
        </w:rPr>
      </w:pPr>
      <w:r>
        <w:rPr>
          <w:rFonts w:ascii="Times New Roman" w:cs="Times New Roman" w:eastAsia="Times New Roman" w:hAnsi="Times New Roman"/>
          <w:sz w:val="18"/>
          <w:szCs w:val="18"/>
          <w:color w:val="auto"/>
        </w:rPr>
        <w:t>We calculate adjusted EBITDA as net income (loss) adjusted to exclude: change in fair value of Public and Private Placement Warrants, change in fair value of earn-out shares liability, other expense (income), net; interest expense; income tax benefit (expense); depreciation and amortization expense; stock-based compensation expense; foreign currency (gain) loss; management fees incurred from our historical private equity owners; one-time or non-recurring items such as transaction costs (including transactions costs with respect to the Business Combination); and restructuring costs (including those associated with COVID-19).</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our net income (loss) to adjusted net income (loss) and adjusted EBITDA for the periods indicated: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7,049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Management fees </w:t>
            </w:r>
            <w:r>
              <w:rPr>
                <w:rFonts w:ascii="Times New Roman" w:cs="Times New Roman" w:eastAsia="Times New Roman" w:hAnsi="Times New Roman"/>
                <w:sz w:val="15"/>
                <w:szCs w:val="15"/>
                <w:color w:val="auto"/>
              </w:rPr>
              <w:t>(1)</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related costs </w:t>
            </w:r>
            <w:r>
              <w:rPr>
                <w:rFonts w:ascii="Times New Roman" w:cs="Times New Roman" w:eastAsia="Times New Roman" w:hAnsi="Times New Roman"/>
                <w:sz w:val="15"/>
                <w:szCs w:val="15"/>
                <w:color w:val="auto"/>
              </w:rPr>
              <w:t>(2)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non-recurring and one-time fees </w:t>
            </w:r>
            <w:r>
              <w:rPr>
                <w:rFonts w:ascii="Times New Roman" w:cs="Times New Roman" w:eastAsia="Times New Roman" w:hAnsi="Times New Roman"/>
                <w:sz w:val="15"/>
                <w:szCs w:val="15"/>
                <w:color w:val="auto"/>
              </w:rPr>
              <w:t>(3)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5"/>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(8,472)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benefit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6,241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2,217</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7,020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306"/>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___________________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right="240" w:hanging="314"/>
        <w:spacing w:after="0" w:line="243" w:lineRule="auto"/>
        <w:tabs>
          <w:tab w:leader="none" w:pos="3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quarterly management fees paid to the majority shareholder of HydraFacial based on a pre-determined formula. Following the Business Combination, these fees are no longer paid.</w:t>
      </w:r>
    </w:p>
    <w:p>
      <w:pPr>
        <w:spacing w:after="0" w:line="1" w:lineRule="exact"/>
        <w:rPr>
          <w:rFonts w:ascii="Times New Roman" w:cs="Times New Roman" w:eastAsia="Times New Roman" w:hAnsi="Times New Roman"/>
          <w:sz w:val="16"/>
          <w:szCs w:val="16"/>
          <w:color w:val="auto"/>
        </w:rPr>
      </w:pPr>
    </w:p>
    <w:p>
      <w:pPr>
        <w:ind w:left="320" w:right="500" w:hanging="314"/>
        <w:spacing w:after="0" w:line="249" w:lineRule="auto"/>
        <w:tabs>
          <w:tab w:leader="none" w:pos="3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2022, such amounts primarily represent direct costs incurred in relation to potential acquisitions. For the three months ended March 31, 2021 such amounts primarily represents direct costs incurred with the Business Combination and to prepare HydraFacial to be marketed for sale by HydraFacial’s shareholders in previous periods.</w:t>
      </w:r>
    </w:p>
    <w:p>
      <w:pPr>
        <w:spacing w:after="0" w:line="1" w:lineRule="exact"/>
        <w:rPr>
          <w:rFonts w:ascii="Times New Roman" w:cs="Times New Roman" w:eastAsia="Times New Roman" w:hAnsi="Times New Roman"/>
          <w:sz w:val="16"/>
          <w:szCs w:val="16"/>
          <w:color w:val="auto"/>
        </w:rPr>
      </w:pPr>
    </w:p>
    <w:p>
      <w:pPr>
        <w:ind w:left="320" w:right="140" w:hanging="314"/>
        <w:spacing w:after="0" w:line="251" w:lineRule="auto"/>
        <w:tabs>
          <w:tab w:leader="none" w:pos="34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2022 such costs primarily represent one-time personnel costs related to executive recruiting, executive severance and a CEO sign-on bonus. For the three months ended March 31, 2021 such costs primarily represent personnel costs associated with restructuring of HydraFacial’s salesforce and costs associated with former warehouse and assembly facility during the transition period offset by a legal settlement received in favor of HydraFacial.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4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We use adjusted gross profit and adjusted gross margin to measure profitability and the ability to scale and leverage the costs of Delivery Systems and Consumables. The continued growth of Delivery Systems is expected to improve adjusted gross margin, as additional Delivery Systems sold will increase our recurring Consumables net sales, which has higher margins.</w:t>
      </w:r>
    </w:p>
    <w:p>
      <w:pPr>
        <w:spacing w:after="0" w:line="204"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We believe adjusted gross profit and adjusted gross margin are useful measures to us and to our investors to assist in evaluating our operating performance because they provide consistency and direct comparability with past financial performance and between fiscal periods, as the metric eliminates the effects of amortization and depreciation and stock-based compensation expense, which are non-cash expenses that may fluctuate for reasons unrelated to overall continuing operating performance. Adjusted gross margin has been and will continue to be affected by a variety of factors, including the product mix, geographic mix, direct vs. indirect mix, the average selling price on Delivery Systems, and new product launches. We expect our adjusted gross margin to fluctuate over time depending on the factors described above.</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reconciles gross profit to adjusted gross profit for the periods indicated. </w:t>
      </w:r>
      <w:r>
        <w:rPr>
          <w:rFonts w:ascii="Times New Roman" w:cs="Times New Roman" w:eastAsia="Times New Roman" w:hAnsi="Times New Roman"/>
          <w:sz w:val="18"/>
          <w:szCs w:val="18"/>
          <w:color w:val="231F20"/>
        </w:rPr>
        <w:t>Amounts and percentages may not foot due to rounding: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00" w:type="dxa"/>
            <w:vAlign w:val="bottom"/>
            <w:tcBorders>
              <w:bottom w:val="single" w:sz="8" w:color="CFF0FC"/>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5"/>
        </w:trPr>
        <w:tc>
          <w:tcPr>
            <w:tcW w:w="8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80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0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
              <w:spacing w:after="0" w:line="198" w:lineRule="exact"/>
              <w:rPr>
                <w:sz w:val="20"/>
                <w:szCs w:val="20"/>
                <w:color w:val="auto"/>
              </w:rPr>
            </w:pPr>
            <w:r>
              <w:rPr>
                <w:rFonts w:ascii="Times New Roman" w:cs="Times New Roman" w:eastAsia="Times New Roman" w:hAnsi="Times New Roman"/>
                <w:sz w:val="18"/>
                <w:szCs w:val="18"/>
                <w:color w:val="231F20"/>
              </w:rPr>
              <w:t>68.9%</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line="198" w:lineRule="exact"/>
              <w:rPr>
                <w:sz w:val="20"/>
                <w:szCs w:val="20"/>
                <w:color w:val="auto"/>
              </w:rPr>
            </w:pPr>
            <w:r>
              <w:rPr>
                <w:rFonts w:ascii="Times New Roman" w:cs="Times New Roman" w:eastAsia="Times New Roman" w:hAnsi="Times New Roman"/>
                <w:sz w:val="18"/>
                <w:szCs w:val="18"/>
                <w:color w:val="231F20"/>
              </w:rPr>
              <w:t>66.8%</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0" w:type="dxa"/>
            <w:vAlign w:val="bottom"/>
            <w:shd w:val="clear" w:color="auto" w:fill="CFF0FC"/>
          </w:tcPr>
          <w:p>
            <w:pPr>
              <w:ind w:left="80"/>
              <w:spacing w:after="0" w:line="192" w:lineRule="exact"/>
              <w:rPr>
                <w:sz w:val="20"/>
                <w:szCs w:val="20"/>
                <w:color w:val="auto"/>
              </w:rPr>
            </w:pPr>
            <w:r>
              <w:rPr>
                <w:rFonts w:ascii="Times New Roman" w:cs="Times New Roman" w:eastAsia="Times New Roman" w:hAnsi="Times New Roman"/>
                <w:sz w:val="18"/>
                <w:szCs w:val="18"/>
                <w:color w:val="auto"/>
              </w:rPr>
              <w:t>Adjusted to exclude the following:</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 included in cost of sales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 included in cost of sales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8"/>
        </w:trPr>
        <w:tc>
          <w:tcPr>
            <w:tcW w:w="8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Adjusted gross profit</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gross margin</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6" w:lineRule="exact"/>
        <w:rPr>
          <w:sz w:val="20"/>
          <w:szCs w:val="20"/>
          <w:color w:val="auto"/>
        </w:rPr>
      </w:pPr>
    </w:p>
    <w:p>
      <w:pPr>
        <w:jc w:val="both"/>
        <w:ind w:right="360" w:firstLine="318"/>
        <w:spacing w:after="0" w:line="259" w:lineRule="auto"/>
        <w:rPr>
          <w:sz w:val="20"/>
          <w:szCs w:val="20"/>
          <w:color w:val="auto"/>
        </w:rPr>
      </w:pPr>
      <w:r>
        <w:rPr>
          <w:rFonts w:ascii="Times New Roman" w:cs="Times New Roman" w:eastAsia="Times New Roman" w:hAnsi="Times New Roman"/>
          <w:sz w:val="18"/>
          <w:szCs w:val="18"/>
          <w:color w:val="auto"/>
        </w:rPr>
        <w:t xml:space="preserve">We had cash and cash equivalents of approximately </w:t>
      </w:r>
      <w:r>
        <w:rPr>
          <w:rFonts w:ascii="Times New Roman" w:cs="Times New Roman" w:eastAsia="Times New Roman" w:hAnsi="Times New Roman"/>
          <w:sz w:val="18"/>
          <w:szCs w:val="18"/>
          <w:color w:val="231F20"/>
        </w:rPr>
        <w:t>$859.2 million</w:t>
      </w:r>
      <w:r>
        <w:rPr>
          <w:rFonts w:ascii="Times New Roman" w:cs="Times New Roman" w:eastAsia="Times New Roman" w:hAnsi="Times New Roman"/>
          <w:sz w:val="18"/>
          <w:szCs w:val="18"/>
          <w:color w:val="auto"/>
        </w:rPr>
        <w:t xml:space="preserve"> as of March 31, 2022.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consolidated financial statements.</w:t>
      </w:r>
    </w:p>
    <w:p>
      <w:pPr>
        <w:spacing w:after="0" w:line="204"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We are primarily potentially exposed to changes in short-term interest rates with respect to our cost of borrowing under our Credit Agreement, from which we have yet to draw on. Our debt obligations related to the Notes are long-term in nature with fixed interest rates. We monitor our cost of borrowing, taking into account our funding requirements, and our expectations for short-term rates in the future. A hypothetical 10% change in the interest rate on our Credit Agreement for all periods presented would not have a material impact on our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46"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w:t>
      </w:r>
    </w:p>
    <w:p>
      <w:pPr>
        <w:spacing w:after="0" w:line="207"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40"/>
        <w:spacing w:after="0" w:line="304" w:lineRule="auto"/>
        <w:rPr>
          <w:sz w:val="20"/>
          <w:szCs w:val="20"/>
          <w:color w:val="auto"/>
        </w:rPr>
      </w:pPr>
      <w:r>
        <w:rPr>
          <w:rFonts w:ascii="Times New Roman" w:cs="Times New Roman" w:eastAsia="Times New Roman" w:hAnsi="Times New Roman"/>
          <w:sz w:val="17"/>
          <w:szCs w:val="17"/>
          <w:color w:val="auto"/>
        </w:rPr>
        <w:t>operating expenses is relatively small at this time as the related costs do not constitute a significant portion of our total expenses. As of March 31, 2022, the effect of a hypothetical 10% change in foreign currency exchange rates would not have had a material impact to our consolidated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4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6" w:lineRule="exact"/>
        <w:rPr>
          <w:sz w:val="20"/>
          <w:szCs w:val="20"/>
          <w:color w:val="auto"/>
        </w:rPr>
      </w:pPr>
    </w:p>
    <w:p>
      <w:pPr>
        <w:ind w:right="580" w:firstLine="318"/>
        <w:spacing w:after="0" w:line="255" w:lineRule="auto"/>
        <w:rPr>
          <w:sz w:val="20"/>
          <w:szCs w:val="20"/>
          <w:color w:val="auto"/>
        </w:rPr>
      </w:pPr>
      <w:r>
        <w:rPr>
          <w:rFonts w:ascii="Times New Roman" w:cs="Times New Roman" w:eastAsia="Times New Roman" w:hAnsi="Times New Roman"/>
          <w:sz w:val="18"/>
          <w:szCs w:val="18"/>
          <w:color w:val="231F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231F20"/>
        </w:rPr>
        <w:t>As required by Rules 13a-15 and 15d-15 under the Exchange Act, our Chief Executive Officer and Chief Financial Officer carried out an evaluation of the effectiveness of the design and operation of our disclosure controls and procedures as of March 31, 2022. Based upon their evaluation, our Chief Executive Officer and Chief Financial Officer concluded that, due to the material weaknesses that existed as of December 31, 2020 and continued to exist as of March 31, 2022, our disclosure controls and procedures (as defined in Rules 13a-15(e) and 15d-15(e) under the Exchange Act) were not effective. This was accordingly disclosed in our Annual Report on Form 10-K for the year ended December 31, 2021, Form 10-K/A for the year ended December 31, 2020 and in our Definitive Proxy Statement filed on April 7,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 in Internal Control over Financial Reporting</w:t>
      </w:r>
    </w:p>
    <w:p>
      <w:pPr>
        <w:spacing w:after="0" w:line="24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231F20"/>
        </w:rPr>
        <w:t>In connection with the audit of HydraFacial as of and for the year ended December 31, 2020, we previously identified material weaknesses in our internal control over financial reporting. The material weaknesses were related to segregation of duties, including the review and approval of journal entries, our lack of sufficient accounting resources and the lack of a formalized risk assessment process. These material weaknesses may not allow for us to have proper segregation of duties and the ability to close our books and records and report our results on a timely basis.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response to the material weaknesses, management completed the following remediation actions:</w:t>
      </w:r>
    </w:p>
    <w:p>
      <w:pPr>
        <w:spacing w:after="0" w:line="244"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established a formal risk assessment process to identify and evaluate risks relevant to financial reporting objectives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segregation of duties around the approval of journal entries and accounting processes</w:t>
      </w:r>
    </w:p>
    <w:p>
      <w:pPr>
        <w:spacing w:after="0" w:line="5" w:lineRule="exact"/>
        <w:rPr>
          <w:rFonts w:ascii="Times New Roman" w:cs="Times New Roman" w:eastAsia="Times New Roman" w:hAnsi="Times New Roman"/>
          <w:sz w:val="18"/>
          <w:szCs w:val="18"/>
          <w:color w:val="auto"/>
        </w:rPr>
      </w:pPr>
    </w:p>
    <w:p>
      <w:pPr>
        <w:ind w:left="640" w:right="840" w:hanging="316"/>
        <w:spacing w:after="0" w:line="25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a training program addressing internal control over financial reporting, including educating control owners regarding the requirements of each control</w:t>
      </w:r>
    </w:p>
    <w:p>
      <w:pPr>
        <w:spacing w:after="0" w:line="21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231F20"/>
        </w:rPr>
        <w:t>We determined that the material weakness around lack of sufficient accounting resources continued to exist as of December 31, 2021. This material weakness may not allow for us to have proper segregation of duties and the ability to close our books and report our results on a timely basis.</w:t>
      </w:r>
    </w:p>
    <w:p>
      <w:pPr>
        <w:spacing w:after="0" w:line="190"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231F20"/>
        </w:rPr>
        <w:t>We have begun the process of, and we are focused on, designing and implementing effective internal controls measures to improve our internal control over financial reporting and remediate the material weakness. Our efforts include a number of actions:</w:t>
      </w:r>
    </w:p>
    <w:p>
      <w:pPr>
        <w:spacing w:after="0" w:line="190" w:lineRule="exact"/>
        <w:rPr>
          <w:sz w:val="20"/>
          <w:szCs w:val="20"/>
          <w:color w:val="auto"/>
        </w:rPr>
      </w:pPr>
    </w:p>
    <w:p>
      <w:pPr>
        <w:ind w:left="640" w:right="40" w:hanging="316"/>
        <w:spacing w:after="0" w:line="25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recruiting additional personnel, in addition to engaging and utilizing third party consultants and specialists to supplement our internal resources and segregate key functions within our business processes, if appropriate;</w:t>
      </w:r>
    </w:p>
    <w:p>
      <w:pPr>
        <w:ind w:left="640" w:right="320" w:hanging="316"/>
        <w:spacing w:after="0" w:line="248"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designing and implementing additional review procedures within our accounting and finance department to provide more robust and comprehensive internal controls over financial reporting that address the relative financial statement assertions and risks of material misstatement within our business processes;</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right="32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designing and implementing information technology and application controls in our financially significant systems to address our relative information processing objectives</w:t>
      </w:r>
    </w:p>
    <w:p>
      <w:pPr>
        <w:spacing w:after="0" w:line="190"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231F20"/>
        </w:rPr>
        <w:t>While these actions and planned actions are subject to ongoing management evaluation and will require validation and testing of the design and operating effectiveness of internal controls over a sustained period of financial reporting cycles, we are committed to the continuous improvement of our internal controls over financial reporting and will continue to diligently review our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231F20"/>
        </w:rPr>
        <w:t>Other than the remediation efforts described in this Item 4, there have been no changes in our internal control over financial reporting during the quarter ended March 31, 2022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6"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see Note 13, Commitments and Contingencies, to our consolidated financial statements included in Part I, Item 1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2"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Please carefully consider the information set forth in this Quarterly Report on Form 10-Q and the risk factors discussed in Part I, “Item 1A. Risk Factors” in our Annual Report on Form 10-K for the year ended December 31, 2021, filed with the SEC on March 1, 2022 (the “Annual Report”), which could materially affect our business, financial condition, or future results. The risks described in our Annual Report, as well as other risks and uncertainties, could materially and adversely affect our business, results of operations, and financial condition, which in turn could materially and adversely affect the trading price of shares of our Class A Common Stock. Except as set forth below, there have been no material updates or changes to the risk factors previously disclosed in our Annual Report; provided, however, additional risks not currently known or currently material to us may also harm our business.</w:t>
      </w:r>
    </w:p>
    <w:p>
      <w:pPr>
        <w:spacing w:after="0" w:line="206"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could be materially adversely affected by any negative impact on the global economy and capital markets resulting from the conflict in Ukraine or any other geopolitical tensions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206"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Additionally, the recent military conflict in Ukraine has led to sanctions and other penalties being levied by the United States, European Union and other countries against Russia and certain banks, companies, and individuals in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In March 2022, the Company stopped selling and shipping products into its distributor in Russia.</w:t>
      </w:r>
    </w:p>
    <w:p>
      <w:pPr>
        <w:spacing w:after="0" w:line="193"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It is impossible to predict the extent to which our operations, or those of our suppliers and manufacturers, will be impacted in the short and long term, or the ways in which the conflict, as well as any further retaliatory actions taken by Russia and the United States and other nations, may impact our business. The extent and duration of the military action, sanctions and resulting market disruptions are impossible to predict, but could be substantial. Any such disruptions may also magnify the impact of other risks described in this Quarterly Report on Form 10-Q and our Annual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3"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8"/>
          <w:szCs w:val="18"/>
          <w:color w:val="auto"/>
        </w:rPr>
        <w:t>The information included in this Item 5 is provided in lieu of filing such information on a Current Report on Form 8-K under Item 5.02. Compensatory Arrangements of Certain Officers.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 Bonus Award</w:t>
      </w:r>
    </w:p>
    <w:p>
      <w:pPr>
        <w:spacing w:after="0" w:line="113" w:lineRule="exact"/>
        <w:rPr>
          <w:sz w:val="20"/>
          <w:szCs w:val="20"/>
          <w:color w:val="auto"/>
        </w:rPr>
      </w:pPr>
    </w:p>
    <w:p>
      <w:pPr>
        <w:ind w:firstLine="318"/>
        <w:spacing w:after="0" w:line="241" w:lineRule="auto"/>
        <w:rPr>
          <w:sz w:val="20"/>
          <w:szCs w:val="20"/>
          <w:color w:val="auto"/>
        </w:rPr>
      </w:pPr>
      <w:r>
        <w:rPr>
          <w:rFonts w:ascii="Times New Roman" w:cs="Times New Roman" w:eastAsia="Times New Roman" w:hAnsi="Times New Roman"/>
          <w:sz w:val="18"/>
          <w:szCs w:val="18"/>
          <w:color w:val="auto"/>
        </w:rPr>
        <w:t>On May 7, 2022, Daniel Watson, our Executive Vice President of Sales for the United States and Canada, signed a retention agreement that states, “In recognition of your continued service with the Company through and until December 31, 2022 (the “Retention Period”), we are offering you a retention bonus in the amount of $371,196.54 less all applicable withholdings and deductions required by law (the “Retention Bonus”). This Retention Bonus will be payable within thirty (30) days from the end of the Retention Period.” Such retention agreement will be filed as an exhibit to the quarterly report on Form 10-Q for the quarter ending June 30, 2022.</w:t>
      </w:r>
    </w:p>
    <w:p>
      <w:pPr>
        <w:spacing w:after="0" w:line="200" w:lineRule="exact"/>
        <w:rPr>
          <w:sz w:val="20"/>
          <w:szCs w:val="20"/>
          <w:color w:val="auto"/>
        </w:rPr>
      </w:pPr>
    </w:p>
    <w:p>
      <w:pPr>
        <w:spacing w:after="0" w:line="36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5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4"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b w:val="1"/>
          <w:bCs w:val="1"/>
          <w:color w:val="auto"/>
        </w:rPr>
        <w:t>Filed</w:t>
      </w:r>
    </w:p>
    <w:p>
      <w:pPr>
        <w:sectPr>
          <w:pgSz w:w="11900" w:h="16838" w:orient="portrait"/>
          <w:cols w:equalWidth="0" w:num="1">
            <w:col w:w="11180"/>
          </w:cols>
          <w:pgMar w:left="320" w:top="121" w:right="399" w:bottom="1440" w:gutter="0" w:footer="0" w:header="0"/>
        </w:sect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60" w:type="dxa"/>
            <w:vAlign w:val="bottom"/>
            <w:gridSpan w:val="20"/>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300" w:type="dxa"/>
            <w:vAlign w:val="bottom"/>
            <w:tcBorders>
              <w:top w:val="single" w:sz="8" w:color="auto"/>
            </w:tcBorders>
            <w:gridSpan w:val="23"/>
          </w:tcPr>
          <w:p>
            <w:pPr>
              <w:spacing w:after="0" w:line="17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Agreement and Plan of Merger, dated as of December 8, 2020,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3"/>
          </w:tcPr>
          <w:p>
            <w:pPr>
              <w:spacing w:after="0" w:line="152"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among Vesper Healthcare Acquisition Corp., Hydrate Merger Sub I, Inc.,</w:t>
              </w:r>
            </w:hyperlink>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220" w:type="dxa"/>
            <w:vAlign w:val="bottom"/>
            <w:vMerge w:val="restart"/>
          </w:tcPr>
          <w:p>
            <w:pPr>
              <w:spacing w:after="0"/>
              <w:rPr>
                <w:rFonts w:ascii="Times New Roman" w:cs="Times New Roman" w:eastAsia="Times New Roman" w:hAnsi="Times New Roman"/>
                <w:sz w:val="18"/>
                <w:szCs w:val="18"/>
                <w:color w:val="0000FF"/>
                <w:w w:val="88"/>
              </w:rPr>
            </w:pPr>
            <w:hyperlink r:id="rId56">
              <w:r>
                <w:rPr>
                  <w:rFonts w:ascii="Times New Roman" w:cs="Times New Roman" w:eastAsia="Times New Roman" w:hAnsi="Times New Roman"/>
                  <w:sz w:val="18"/>
                  <w:szCs w:val="18"/>
                  <w:color w:val="0000FF"/>
                  <w:w w:val="88"/>
                </w:rPr>
                <w:t>2.</w:t>
              </w:r>
              <w:r>
                <w:rPr>
                  <w:rFonts w:ascii="Times New Roman" w:cs="Times New Roman" w:eastAsia="Times New Roman" w:hAnsi="Times New Roman"/>
                  <w:sz w:val="18"/>
                  <w:szCs w:val="18"/>
                  <w:u w:val="single" w:color="auto"/>
                  <w:color w:val="0000FF"/>
                  <w:w w:val="88"/>
                </w:rPr>
                <w:t>1</w:t>
              </w:r>
            </w:hyperlink>
          </w:p>
        </w:tc>
        <w:tc>
          <w:tcPr>
            <w:tcW w:w="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bottom w:val="single" w:sz="8" w:color="0000FF"/>
            </w:tcBorders>
            <w:gridSpan w:val="17"/>
          </w:tcPr>
          <w:p>
            <w:pPr>
              <w:spacing w:after="0" w:line="165" w:lineRule="exact"/>
              <w:rPr>
                <w:rFonts w:ascii="Times New Roman" w:cs="Times New Roman" w:eastAsia="Times New Roman" w:hAnsi="Times New Roman"/>
                <w:sz w:val="18"/>
                <w:szCs w:val="18"/>
                <w:color w:val="0000FF"/>
                <w:w w:val="96"/>
              </w:rPr>
            </w:pPr>
            <w:hyperlink r:id="rId56">
              <w:r>
                <w:rPr>
                  <w:rFonts w:ascii="Times New Roman" w:cs="Times New Roman" w:eastAsia="Times New Roman" w:hAnsi="Times New Roman"/>
                  <w:sz w:val="18"/>
                  <w:szCs w:val="18"/>
                  <w:color w:val="0000FF"/>
                  <w:w w:val="96"/>
                </w:rPr>
                <w:t>Hydrate Merger Sub II, LLC, LCP Edge Intermediate, Inc. and LCP Edge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2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Holdco, LLC, in its capacity as the Stockholders’ Representative</w:t>
              </w:r>
            </w:hyperlink>
          </w:p>
        </w:tc>
        <w:tc>
          <w:tcPr>
            <w:tcW w:w="64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Second Amended and Restated Certificate of Incorporation of The Beauty</w:t>
              </w:r>
            </w:hyperlink>
          </w:p>
        </w:tc>
        <w:tc>
          <w:tcPr>
            <w:tcW w:w="0" w:type="dxa"/>
            <w:vAlign w:val="bottom"/>
          </w:tcPr>
          <w:p>
            <w:pPr>
              <w:spacing w:after="0"/>
              <w:rPr>
                <w:sz w:val="1"/>
                <w:szCs w:val="1"/>
                <w:color w:val="auto"/>
              </w:rPr>
            </w:pPr>
          </w:p>
        </w:tc>
      </w:tr>
      <w:tr>
        <w:trPr>
          <w:trHeight w:val="179"/>
        </w:trPr>
        <w:tc>
          <w:tcPr>
            <w:tcW w:w="260" w:type="dxa"/>
            <w:vAlign w:val="bottom"/>
            <w:gridSpan w:val="3"/>
          </w:tcPr>
          <w:p>
            <w:pPr>
              <w:ind w:left="20"/>
              <w:spacing w:after="0" w:line="179" w:lineRule="exact"/>
              <w:rPr>
                <w:rFonts w:ascii="Times New Roman" w:cs="Times New Roman" w:eastAsia="Times New Roman" w:hAnsi="Times New Roman"/>
                <w:sz w:val="18"/>
                <w:szCs w:val="18"/>
                <w:color w:val="0000FF"/>
                <w:w w:val="97"/>
              </w:rPr>
            </w:pPr>
            <w:hyperlink r:id="rId5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57">
              <w:r>
                <w:rPr>
                  <w:rFonts w:ascii="Times New Roman" w:cs="Times New Roman" w:eastAsia="Times New Roman" w:hAnsi="Times New Roman"/>
                  <w:sz w:val="18"/>
                  <w:szCs w:val="18"/>
                  <w:color w:val="0000FF"/>
                  <w:w w:val="96"/>
                </w:rPr>
                <w:t>Health Company</w:t>
              </w:r>
            </w:hyperlink>
          </w:p>
        </w:tc>
        <w:tc>
          <w:tcPr>
            <w:tcW w:w="540" w:type="dxa"/>
            <w:vAlign w:val="bottom"/>
            <w:tcBorders>
              <w:top w:val="single" w:sz="8" w:color="0000FF"/>
              <w:bottom w:val="single" w:sz="8" w:color="0000FF"/>
            </w:tcBorders>
          </w:tcPr>
          <w:p>
            <w:pPr>
              <w:spacing w:after="0"/>
              <w:rPr>
                <w:sz w:val="15"/>
                <w:szCs w:val="15"/>
                <w:color w:val="auto"/>
              </w:rPr>
            </w:pPr>
          </w:p>
        </w:tc>
        <w:tc>
          <w:tcPr>
            <w:tcW w:w="280" w:type="dxa"/>
            <w:vAlign w:val="bottom"/>
            <w:tcBorders>
              <w:top w:val="single" w:sz="8" w:color="0000FF"/>
              <w:bottom w:val="single" w:sz="8" w:color="0000FF"/>
            </w:tcBorders>
          </w:tcPr>
          <w:p>
            <w:pPr>
              <w:spacing w:after="0"/>
              <w:rPr>
                <w:sz w:val="15"/>
                <w:szCs w:val="15"/>
                <w:color w:val="auto"/>
              </w:rPr>
            </w:pPr>
          </w:p>
        </w:tc>
        <w:tc>
          <w:tcPr>
            <w:tcW w:w="1040" w:type="dxa"/>
            <w:vAlign w:val="bottom"/>
            <w:tcBorders>
              <w:top w:val="single" w:sz="8" w:color="0000FF"/>
              <w:bottom w:val="single" w:sz="8" w:color="0000FF"/>
            </w:tcBorders>
          </w:tcPr>
          <w:p>
            <w:pPr>
              <w:spacing w:after="0"/>
              <w:rPr>
                <w:sz w:val="15"/>
                <w:szCs w:val="15"/>
                <w:color w:val="auto"/>
              </w:rPr>
            </w:pPr>
          </w:p>
        </w:tc>
        <w:tc>
          <w:tcPr>
            <w:tcW w:w="620" w:type="dxa"/>
            <w:vAlign w:val="bottom"/>
            <w:tcBorders>
              <w:top w:val="single" w:sz="8" w:color="0000FF"/>
              <w:bottom w:val="single" w:sz="8" w:color="0000FF"/>
            </w:tcBorders>
          </w:tcPr>
          <w:p>
            <w:pPr>
              <w:spacing w:after="0"/>
              <w:rPr>
                <w:sz w:val="15"/>
                <w:szCs w:val="15"/>
                <w:color w:val="auto"/>
              </w:rPr>
            </w:pPr>
          </w:p>
        </w:tc>
        <w:tc>
          <w:tcPr>
            <w:tcW w:w="360" w:type="dxa"/>
            <w:vAlign w:val="bottom"/>
            <w:tcBorders>
              <w:top w:val="single" w:sz="8" w:color="0000FF"/>
              <w:bottom w:val="single" w:sz="8" w:color="0000FF"/>
            </w:tcBorders>
          </w:tcPr>
          <w:p>
            <w:pPr>
              <w:spacing w:after="0"/>
              <w:rPr>
                <w:sz w:val="15"/>
                <w:szCs w:val="15"/>
                <w:color w:val="auto"/>
              </w:rPr>
            </w:pPr>
          </w:p>
        </w:tc>
        <w:tc>
          <w:tcPr>
            <w:tcW w:w="460" w:type="dxa"/>
            <w:vAlign w:val="bottom"/>
            <w:tcBorders>
              <w:top w:val="single" w:sz="8" w:color="0000FF"/>
              <w:bottom w:val="single" w:sz="8" w:color="0000FF"/>
            </w:tcBorders>
          </w:tcPr>
          <w:p>
            <w:pPr>
              <w:spacing w:after="0"/>
              <w:rPr>
                <w:sz w:val="15"/>
                <w:szCs w:val="15"/>
                <w:color w:val="auto"/>
              </w:rPr>
            </w:pPr>
          </w:p>
        </w:tc>
        <w:tc>
          <w:tcPr>
            <w:tcW w:w="140" w:type="dxa"/>
            <w:vAlign w:val="bottom"/>
            <w:tcBorders>
              <w:top w:val="single" w:sz="8" w:color="0000FF"/>
              <w:bottom w:val="single" w:sz="8" w:color="0000FF"/>
            </w:tcBorders>
            <w:gridSpan w:val="2"/>
          </w:tcPr>
          <w:p>
            <w:pPr>
              <w:spacing w:after="0"/>
              <w:rPr>
                <w:sz w:val="15"/>
                <w:szCs w:val="15"/>
                <w:color w:val="auto"/>
              </w:rPr>
            </w:pPr>
          </w:p>
        </w:tc>
        <w:tc>
          <w:tcPr>
            <w:tcW w:w="38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6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220" w:type="dxa"/>
            <w:vAlign w:val="bottom"/>
          </w:tcPr>
          <w:p>
            <w:pPr>
              <w:spacing w:after="0"/>
              <w:rPr>
                <w:rFonts w:ascii="Times New Roman" w:cs="Times New Roman" w:eastAsia="Times New Roman" w:hAnsi="Times New Roman"/>
                <w:sz w:val="18"/>
                <w:szCs w:val="18"/>
                <w:color w:val="0000FF"/>
                <w:w w:val="88"/>
              </w:rPr>
            </w:pPr>
            <w:hyperlink r:id="rId58">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3"/>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Amended and Restated Bylaws of The Beauty Health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220" w:type="dxa"/>
            <w:vAlign w:val="bottom"/>
            <w:vMerge w:val="restart"/>
          </w:tcPr>
          <w:p>
            <w:pPr>
              <w:spacing w:after="0"/>
              <w:rPr>
                <w:rFonts w:ascii="Times New Roman" w:cs="Times New Roman" w:eastAsia="Times New Roman" w:hAnsi="Times New Roman"/>
                <w:sz w:val="18"/>
                <w:szCs w:val="18"/>
                <w:color w:val="0000FF"/>
                <w:w w:val="88"/>
              </w:rPr>
            </w:pPr>
            <w:hyperlink r:id="rId59">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Indenture, dated as of September 14, 2021, between The Beauty Health</w:t>
              </w:r>
            </w:hyperlink>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20" w:type="dxa"/>
            <w:vAlign w:val="bottom"/>
            <w:tcBorders>
              <w:bottom w:val="single" w:sz="8" w:color="0000FF"/>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5"/>
                <w:szCs w:val="15"/>
                <w:color w:val="0000FF"/>
              </w:rPr>
            </w:pPr>
            <w:hyperlink r:id="rId59">
              <w:r>
                <w:rPr>
                  <w:rFonts w:ascii="Times New Roman" w:cs="Times New Roman" w:eastAsia="Times New Roman" w:hAnsi="Times New Roman"/>
                  <w:sz w:val="15"/>
                  <w:szCs w:val="15"/>
                  <w:color w:val="0000FF"/>
                </w:rPr>
                <w:t>Company and U.S. Bank National Association, as trustee</w:t>
              </w:r>
            </w:hyperlink>
          </w:p>
        </w:tc>
        <w:tc>
          <w:tcPr>
            <w:tcW w:w="1000" w:type="dxa"/>
            <w:vAlign w:val="bottom"/>
            <w:tcBorders>
              <w:top w:val="single" w:sz="8" w:color="0000FF"/>
            </w:tcBorders>
            <w:gridSpan w:val="6"/>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19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of certificate representing the 1.25% Convertible Senior Notes due</w:t>
              </w:r>
            </w:hyperlink>
          </w:p>
        </w:tc>
        <w:tc>
          <w:tcPr>
            <w:tcW w:w="0" w:type="dxa"/>
            <w:vAlign w:val="bottom"/>
          </w:tcPr>
          <w:p>
            <w:pPr>
              <w:spacing w:after="0"/>
              <w:rPr>
                <w:sz w:val="1"/>
                <w:szCs w:val="1"/>
                <w:color w:val="auto"/>
              </w:rPr>
            </w:pPr>
          </w:p>
        </w:tc>
      </w:tr>
      <w:tr>
        <w:trPr>
          <w:trHeight w:val="179"/>
        </w:trPr>
        <w:tc>
          <w:tcPr>
            <w:tcW w:w="260" w:type="dxa"/>
            <w:vAlign w:val="bottom"/>
            <w:gridSpan w:val="3"/>
          </w:tcPr>
          <w:p>
            <w:pPr>
              <w:ind w:left="20"/>
              <w:spacing w:after="0" w:line="179" w:lineRule="exact"/>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5"/>
          </w:tcPr>
          <w:p>
            <w:pPr>
              <w:spacing w:after="0" w:line="165" w:lineRule="exact"/>
              <w:rPr>
                <w:rFonts w:ascii="Times New Roman" w:cs="Times New Roman" w:eastAsia="Times New Roman" w:hAnsi="Times New Roman"/>
                <w:sz w:val="18"/>
                <w:szCs w:val="18"/>
                <w:color w:val="0000FF"/>
                <w:w w:val="97"/>
              </w:rPr>
            </w:pPr>
            <w:hyperlink r:id="rId59">
              <w:r>
                <w:rPr>
                  <w:rFonts w:ascii="Times New Roman" w:cs="Times New Roman" w:eastAsia="Times New Roman" w:hAnsi="Times New Roman"/>
                  <w:sz w:val="18"/>
                  <w:szCs w:val="18"/>
                  <w:color w:val="0000FF"/>
                  <w:w w:val="97"/>
                </w:rPr>
                <w:t>2026 (included as Exhibit A to Exhibit 4.1)</w:t>
              </w:r>
            </w:hyperlink>
          </w:p>
        </w:tc>
        <w:tc>
          <w:tcPr>
            <w:tcW w:w="620" w:type="dxa"/>
            <w:vAlign w:val="bottom"/>
            <w:tcBorders>
              <w:top w:val="single" w:sz="8" w:color="0000FF"/>
              <w:bottom w:val="single" w:sz="8" w:color="0000FF"/>
            </w:tcBorders>
          </w:tcPr>
          <w:p>
            <w:pPr>
              <w:spacing w:after="0"/>
              <w:rPr>
                <w:sz w:val="15"/>
                <w:szCs w:val="15"/>
                <w:color w:val="auto"/>
              </w:rPr>
            </w:pPr>
          </w:p>
        </w:tc>
        <w:tc>
          <w:tcPr>
            <w:tcW w:w="960" w:type="dxa"/>
            <w:vAlign w:val="bottom"/>
            <w:tcBorders>
              <w:top w:val="single" w:sz="8" w:color="0000FF"/>
              <w:bottom w:val="single" w:sz="8" w:color="0000FF"/>
            </w:tcBorders>
            <w:gridSpan w:val="4"/>
          </w:tcPr>
          <w:p>
            <w:pPr>
              <w:spacing w:after="0"/>
              <w:rPr>
                <w:sz w:val="15"/>
                <w:szCs w:val="15"/>
                <w:color w:val="auto"/>
              </w:rPr>
            </w:pPr>
          </w:p>
        </w:tc>
        <w:tc>
          <w:tcPr>
            <w:tcW w:w="380" w:type="dxa"/>
            <w:vAlign w:val="bottom"/>
            <w:tcBorders>
              <w:top w:val="single" w:sz="8" w:color="0000FF"/>
              <w:bottom w:val="single" w:sz="8" w:color="0000FF"/>
            </w:tcBorders>
            <w:gridSpan w:val="2"/>
          </w:tcPr>
          <w:p>
            <w:pPr>
              <w:spacing w:after="0"/>
              <w:rPr>
                <w:sz w:val="15"/>
                <w:szCs w:val="15"/>
                <w:color w:val="auto"/>
              </w:rPr>
            </w:pPr>
          </w:p>
        </w:tc>
        <w:tc>
          <w:tcPr>
            <w:tcW w:w="80" w:type="dxa"/>
            <w:vAlign w:val="bottom"/>
            <w:tcBorders>
              <w:top w:val="single" w:sz="8" w:color="0000FF"/>
              <w:bottom w:val="single" w:sz="8" w:color="0000FF"/>
            </w:tcBorders>
            <w:gridSpan w:val="2"/>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5"/>
              </w:rPr>
            </w:pPr>
            <w:hyperlink r:id="rId6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7"/>
              </w:rPr>
            </w:pPr>
            <w:hyperlink r:id="rId60">
              <w:r>
                <w:rPr>
                  <w:rFonts w:ascii="Times New Roman" w:cs="Times New Roman" w:eastAsia="Times New Roman" w:hAnsi="Times New Roman"/>
                  <w:sz w:val="18"/>
                  <w:szCs w:val="18"/>
                  <w:color w:val="0000FF"/>
                  <w:w w:val="97"/>
                </w:rPr>
                <w:t>Form of Confirmation for Capped Call Transactions</w:t>
              </w:r>
            </w:hyperlink>
          </w:p>
        </w:tc>
        <w:tc>
          <w:tcPr>
            <w:tcW w:w="1620" w:type="dxa"/>
            <w:vAlign w:val="bottom"/>
            <w:gridSpan w:val="17"/>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Employment Agreement, dates as of January 20, 2022, between Andrew</w:t>
              </w:r>
            </w:hyperlink>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rFonts w:ascii="Times New Roman" w:cs="Times New Roman" w:eastAsia="Times New Roman" w:hAnsi="Times New Roman"/>
                <w:sz w:val="18"/>
                <w:szCs w:val="18"/>
                <w:color w:val="0000FF"/>
                <w:w w:val="93"/>
              </w:rPr>
            </w:pPr>
            <w:hyperlink r:id="rId61">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Stanleick, Edge Systems LLC d/b/a The HydraFacial Company and The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Beauty Health Company</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62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3"/>
          </w:tcPr>
          <w:p>
            <w:pPr>
              <w:spacing w:after="0" w:line="152" w:lineRule="exact"/>
              <w:rPr>
                <w:sz w:val="20"/>
                <w:szCs w:val="20"/>
                <w:color w:val="auto"/>
              </w:rPr>
            </w:pPr>
            <w:r>
              <w:rPr>
                <w:rFonts w:ascii="Times New Roman" w:cs="Times New Roman" w:eastAsia="Times New Roman" w:hAnsi="Times New Roman"/>
                <w:sz w:val="17"/>
                <w:szCs w:val="17"/>
                <w:color w:val="0000FF"/>
              </w:rPr>
              <w:t>Exchange Act Rules 13a-14(a), as adopted Pursuant to Section 302 of the</w:t>
            </w: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8"/>
                <w:szCs w:val="18"/>
                <w:color w:val="0000FF"/>
                <w:w w:val="97"/>
              </w:rPr>
              <w:t>Sarbanes-Oxley Act of 2002</w:t>
            </w:r>
          </w:p>
        </w:tc>
        <w:tc>
          <w:tcPr>
            <w:tcW w:w="318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Principal Financial Officer Pursuant to Securities</w:t>
            </w:r>
          </w:p>
        </w:tc>
        <w:tc>
          <w:tcPr>
            <w:tcW w:w="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3"/>
          </w:tcPr>
          <w:p>
            <w:pPr>
              <w:spacing w:after="0" w:line="152" w:lineRule="exact"/>
              <w:rPr>
                <w:sz w:val="20"/>
                <w:szCs w:val="20"/>
                <w:color w:val="auto"/>
              </w:rPr>
            </w:pPr>
            <w:r>
              <w:rPr>
                <w:rFonts w:ascii="Times New Roman" w:cs="Times New Roman" w:eastAsia="Times New Roman" w:hAnsi="Times New Roman"/>
                <w:sz w:val="17"/>
                <w:szCs w:val="17"/>
                <w:color w:val="0000FF"/>
              </w:rPr>
              <w:t>Exchange Act Rules 13a-14(a), as adopted Pursuant to Section 302 of the</w:t>
            </w: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00" w:type="dxa"/>
            <w:vAlign w:val="bottom"/>
            <w:tcBorders>
              <w:bottom w:val="single" w:sz="8" w:color="0000FF"/>
            </w:tcBorders>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Borders>
              <w:top w:val="single" w:sz="8" w:color="0000FF"/>
              <w:bottom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8"/>
                <w:szCs w:val="18"/>
                <w:color w:val="0000FF"/>
                <w:w w:val="97"/>
              </w:rPr>
              <w:t>Sarbanes-Oxley Act of 2002</w:t>
            </w:r>
          </w:p>
        </w:tc>
        <w:tc>
          <w:tcPr>
            <w:tcW w:w="3180" w:type="dxa"/>
            <w:vAlign w:val="bottom"/>
            <w:tcBorders>
              <w:top w:val="single" w:sz="8" w:color="0000FF"/>
            </w:tcBorders>
            <w:gridSpan w:val="15"/>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gridSpan w:val="23"/>
          </w:tcPr>
          <w:p>
            <w:pPr>
              <w:spacing w:after="0" w:line="185"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5" w:lineRule="exact"/>
              <w:rPr>
                <w:sz w:val="20"/>
                <w:szCs w:val="20"/>
                <w:color w:val="auto"/>
              </w:rPr>
            </w:pPr>
            <w:r>
              <w:rPr>
                <w:rFonts w:ascii="Times New Roman" w:cs="Times New Roman" w:eastAsia="Times New Roman" w:hAnsi="Times New Roman"/>
                <w:sz w:val="18"/>
                <w:szCs w:val="18"/>
                <w:color w:val="0000FF"/>
                <w:w w:val="94"/>
              </w:rPr>
              <w:t>2002</w:t>
            </w:r>
          </w:p>
        </w:tc>
        <w:tc>
          <w:tcPr>
            <w:tcW w:w="8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2*</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1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0" w:type="dxa"/>
            <w:vAlign w:val="bottom"/>
            <w:tcBorders>
              <w:bottom w:val="single" w:sz="8" w:color="0000FF"/>
            </w:tcBorders>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5" w:lineRule="exact"/>
              <w:rPr>
                <w:sz w:val="20"/>
                <w:szCs w:val="20"/>
                <w:color w:val="auto"/>
              </w:rPr>
            </w:pPr>
            <w:r>
              <w:rPr>
                <w:rFonts w:ascii="Times New Roman" w:cs="Times New Roman" w:eastAsia="Times New Roman" w:hAnsi="Times New Roman"/>
                <w:sz w:val="18"/>
                <w:szCs w:val="18"/>
                <w:color w:val="0000FF"/>
                <w:w w:val="94"/>
              </w:rPr>
              <w:t>2002</w:t>
            </w:r>
          </w:p>
        </w:tc>
        <w:tc>
          <w:tcPr>
            <w:tcW w:w="8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0"/>
                <w:szCs w:val="20"/>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23"/>
          </w:tcPr>
          <w:p>
            <w:pPr>
              <w:spacing w:after="0" w:line="177"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0" w:type="dxa"/>
            <w:vAlign w:val="bottom"/>
          </w:tcPr>
          <w:p>
            <w:pPr>
              <w:spacing w:after="0"/>
              <w:rPr>
                <w:sz w:val="1"/>
                <w:szCs w:val="1"/>
                <w:color w:val="auto"/>
              </w:rPr>
            </w:pPr>
          </w:p>
        </w:tc>
      </w:tr>
      <w:tr>
        <w:trPr>
          <w:trHeight w:val="240"/>
        </w:trPr>
        <w:tc>
          <w:tcPr>
            <w:tcW w:w="8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contained in Exhibit 101 attachments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-3836670</wp:posOffset>
            </wp:positionV>
            <wp:extent cx="7134860" cy="160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-3415665</wp:posOffset>
            </wp:positionV>
            <wp:extent cx="7134860" cy="285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-2969895</wp:posOffset>
            </wp:positionV>
            <wp:extent cx="7134860" cy="3702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-2229485</wp:posOffset>
            </wp:positionV>
            <wp:extent cx="7134860" cy="3702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-1489075</wp:posOffset>
            </wp:positionV>
            <wp:extent cx="7134860" cy="370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-975995</wp:posOffset>
            </wp:positionV>
            <wp:extent cx="7134860"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-690245</wp:posOffset>
            </wp:positionV>
            <wp:extent cx="713486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-403860</wp:posOffset>
            </wp:positionV>
            <wp:extent cx="713486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-4610735</wp:posOffset>
            </wp:positionV>
            <wp:extent cx="7134860" cy="48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4860" cy="48768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 No.</w:t>
            </w:r>
          </w:p>
        </w:tc>
        <w:tc>
          <w:tcPr>
            <w:tcW w:w="100" w:type="dxa"/>
            <w:vAlign w:val="bottom"/>
          </w:tcPr>
          <w:p>
            <w:pPr>
              <w:spacing w:after="0"/>
              <w:rPr>
                <w:sz w:val="19"/>
                <w:szCs w:val="19"/>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750"/>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9, 2020</w:t>
            </w:r>
          </w:p>
        </w:tc>
      </w:tr>
      <w:tr>
        <w:trPr>
          <w:trHeight w:val="444"/>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10, 2021</w:t>
            </w:r>
          </w:p>
        </w:tc>
      </w:tr>
      <w:tr>
        <w:trPr>
          <w:trHeight w:val="258"/>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10, 2021</w:t>
            </w:r>
          </w:p>
        </w:tc>
      </w:tr>
      <w:tr>
        <w:trPr>
          <w:trHeight w:val="411"/>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 2021</w:t>
            </w:r>
          </w:p>
        </w:tc>
      </w:tr>
      <w:tr>
        <w:trPr>
          <w:trHeight w:val="444"/>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 2021</w:t>
            </w:r>
          </w:p>
        </w:tc>
      </w:tr>
      <w:tr>
        <w:trPr>
          <w:trHeight w:val="258"/>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14, 2021</w:t>
            </w:r>
          </w:p>
        </w:tc>
      </w:tr>
      <w:tr>
        <w:trPr>
          <w:trHeight w:val="583"/>
        </w:trPr>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2"/>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20, 2022</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6280" w:space="80"/>
            <w:col w:w="3980" w:space="140"/>
            <w:col w:w="700"/>
          </w:cols>
          <w:pgMar w:left="320" w:top="121" w:right="3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ind w:left="220" w:right="80" w:hanging="317"/>
        <w:spacing w:after="0" w:line="244" w:lineRule="auto"/>
        <w:tabs>
          <w:tab w:leader="none" w:pos="200" w:val="left"/>
        </w:tabs>
        <w:rPr>
          <w:sz w:val="20"/>
          <w:szCs w:val="20"/>
          <w:color w:val="auto"/>
        </w:rPr>
      </w:pPr>
      <w:r>
        <w:rPr>
          <w:rFonts w:ascii="Times New Roman" w:cs="Times New Roman" w:eastAsia="Times New Roman" w:hAnsi="Times New Roman"/>
          <w:sz w:val="14"/>
          <w:szCs w:val="14"/>
          <w:color w:val="auto"/>
        </w:rPr>
        <w:t>*</w:t>
        <w:tab/>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 w:lineRule="exact"/>
        <w:rPr>
          <w:sz w:val="20"/>
          <w:szCs w:val="20"/>
          <w:color w:val="auto"/>
        </w:rPr>
      </w:pPr>
    </w:p>
    <w:p>
      <w:pPr>
        <w:ind w:left="320" w:hanging="314"/>
        <w:spacing w:after="0" w:line="237" w:lineRule="auto"/>
        <w:tabs>
          <w:tab w:leader="none" w:pos="28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w:t>
      </w:r>
    </w:p>
    <w:p>
      <w:pPr>
        <w:ind w:left="320"/>
        <w:spacing w:after="0" w:line="237" w:lineRule="auto"/>
        <w:rPr>
          <w:sz w:val="20"/>
          <w:szCs w:val="20"/>
          <w:color w:val="auto"/>
        </w:rPr>
      </w:pPr>
      <w:r>
        <w:rPr>
          <w:rFonts w:ascii="Times New Roman" w:cs="Times New Roman" w:eastAsia="Times New Roman" w:hAnsi="Times New Roman"/>
          <w:sz w:val="14"/>
          <w:szCs w:val="14"/>
          <w:color w:val="auto"/>
        </w:rPr>
        <w:t>reference in such filing or document.</w:t>
      </w: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200" w:lineRule="exact"/>
        <w:rPr>
          <w:sz w:val="20"/>
          <w:szCs w:val="20"/>
          <w:color w:val="auto"/>
        </w:rPr>
      </w:pPr>
    </w:p>
    <w:p>
      <w:pPr>
        <w:spacing w:after="0" w:line="3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84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8"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2940" w:type="dxa"/>
            <w:vAlign w:val="bottom"/>
          </w:tcPr>
          <w:p>
            <w:pPr>
              <w:spacing w:after="0"/>
              <w:rPr>
                <w:sz w:val="20"/>
                <w:szCs w:val="20"/>
                <w:color w:val="auto"/>
              </w:rPr>
            </w:pPr>
          </w:p>
        </w:tc>
        <w:tc>
          <w:tcPr>
            <w:tcW w:w="8060" w:type="dxa"/>
            <w:vAlign w:val="bottom"/>
            <w:gridSpan w:val="2"/>
          </w:tcPr>
          <w:p>
            <w:pPr>
              <w:jc w:val="center"/>
              <w:ind w:right="2012"/>
              <w:spacing w:after="0"/>
              <w:rPr>
                <w:sz w:val="20"/>
                <w:szCs w:val="20"/>
                <w:color w:val="auto"/>
              </w:rPr>
            </w:pPr>
            <w:r>
              <w:rPr>
                <w:rFonts w:ascii="Times New Roman" w:cs="Times New Roman" w:eastAsia="Times New Roman" w:hAnsi="Times New Roman"/>
                <w:sz w:val="18"/>
                <w:szCs w:val="18"/>
                <w:b w:val="1"/>
                <w:bCs w:val="1"/>
                <w:color w:val="auto"/>
                <w:w w:val="96"/>
              </w:rPr>
              <w:t>THE BEAUTY HEALTH COMPANY</w:t>
            </w:r>
          </w:p>
        </w:tc>
      </w:tr>
      <w:tr>
        <w:trPr>
          <w:trHeight w:val="47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80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Andrew Stanleick</w:t>
            </w:r>
          </w:p>
        </w:tc>
      </w:tr>
      <w:tr>
        <w:trPr>
          <w:trHeight w:val="213"/>
        </w:trPr>
        <w:tc>
          <w:tcPr>
            <w:tcW w:w="2940" w:type="dxa"/>
            <w:vAlign w:val="bottom"/>
          </w:tcPr>
          <w:p>
            <w:pPr>
              <w:spacing w:after="0"/>
              <w:rPr>
                <w:sz w:val="18"/>
                <w:szCs w:val="18"/>
                <w:color w:val="auto"/>
              </w:rPr>
            </w:pPr>
          </w:p>
        </w:tc>
        <w:tc>
          <w:tcPr>
            <w:tcW w:w="232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5"/>
              </w:rPr>
              <w:t>Name:</w:t>
            </w:r>
          </w:p>
        </w:tc>
        <w:tc>
          <w:tcPr>
            <w:tcW w:w="5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Stanleick</w:t>
            </w:r>
          </w:p>
        </w:tc>
      </w:tr>
      <w:tr>
        <w:trPr>
          <w:trHeight w:val="225"/>
        </w:trPr>
        <w:tc>
          <w:tcPr>
            <w:tcW w:w="2940" w:type="dxa"/>
            <w:vAlign w:val="bottom"/>
          </w:tcPr>
          <w:p>
            <w:pPr>
              <w:spacing w:after="0"/>
              <w:rPr>
                <w:sz w:val="19"/>
                <w:szCs w:val="19"/>
                <w:color w:val="auto"/>
              </w:rPr>
            </w:pPr>
          </w:p>
        </w:tc>
        <w:tc>
          <w:tcPr>
            <w:tcW w:w="8060" w:type="dxa"/>
            <w:vAlign w:val="bottom"/>
            <w:gridSpan w:val="2"/>
          </w:tcPr>
          <w:p>
            <w:pPr>
              <w:jc w:val="center"/>
              <w:ind w:right="1992"/>
              <w:spacing w:after="0"/>
              <w:rPr>
                <w:sz w:val="20"/>
                <w:szCs w:val="20"/>
                <w:color w:val="auto"/>
              </w:rPr>
            </w:pPr>
            <w:r>
              <w:rPr>
                <w:rFonts w:ascii="Times New Roman" w:cs="Times New Roman" w:eastAsia="Times New Roman" w:hAnsi="Times New Roman"/>
                <w:sz w:val="18"/>
                <w:szCs w:val="18"/>
                <w:color w:val="auto"/>
                <w:w w:val="96"/>
              </w:rPr>
              <w:t>Title: Chief Executive Officer</w:t>
            </w:r>
          </w:p>
        </w:tc>
      </w:tr>
      <w:tr>
        <w:trPr>
          <w:trHeight w:val="231"/>
        </w:trPr>
        <w:tc>
          <w:tcPr>
            <w:tcW w:w="29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80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Liyuan Woo</w:t>
            </w:r>
          </w:p>
        </w:tc>
      </w:tr>
      <w:tr>
        <w:trPr>
          <w:trHeight w:val="213"/>
        </w:trPr>
        <w:tc>
          <w:tcPr>
            <w:tcW w:w="2940" w:type="dxa"/>
            <w:vAlign w:val="bottom"/>
          </w:tcPr>
          <w:p>
            <w:pPr>
              <w:spacing w:after="0"/>
              <w:rPr>
                <w:sz w:val="18"/>
                <w:szCs w:val="18"/>
                <w:color w:val="auto"/>
              </w:rPr>
            </w:pPr>
          </w:p>
        </w:tc>
        <w:tc>
          <w:tcPr>
            <w:tcW w:w="232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5"/>
              </w:rPr>
              <w:t>Name:</w:t>
            </w:r>
          </w:p>
        </w:tc>
        <w:tc>
          <w:tcPr>
            <w:tcW w:w="5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Liyuan Woo</w:t>
            </w:r>
          </w:p>
        </w:tc>
      </w:tr>
      <w:tr>
        <w:trPr>
          <w:trHeight w:val="225"/>
        </w:trPr>
        <w:tc>
          <w:tcPr>
            <w:tcW w:w="2940" w:type="dxa"/>
            <w:vAlign w:val="bottom"/>
          </w:tcPr>
          <w:p>
            <w:pPr>
              <w:spacing w:after="0"/>
              <w:rPr>
                <w:sz w:val="19"/>
                <w:szCs w:val="19"/>
                <w:color w:val="auto"/>
              </w:rPr>
            </w:pPr>
          </w:p>
        </w:tc>
        <w:tc>
          <w:tcPr>
            <w:tcW w:w="8060" w:type="dxa"/>
            <w:vAlign w:val="bottom"/>
            <w:gridSpan w:val="2"/>
          </w:tcPr>
          <w:p>
            <w:pPr>
              <w:jc w:val="center"/>
              <w:ind w:right="2052"/>
              <w:spacing w:after="0"/>
              <w:rPr>
                <w:sz w:val="20"/>
                <w:szCs w:val="20"/>
                <w:color w:val="auto"/>
              </w:rPr>
            </w:pPr>
            <w:r>
              <w:rPr>
                <w:rFonts w:ascii="Times New Roman" w:cs="Times New Roman" w:eastAsia="Times New Roman" w:hAnsi="Times New Roman"/>
                <w:sz w:val="18"/>
                <w:szCs w:val="18"/>
                <w:color w:val="auto"/>
                <w:w w:val="96"/>
              </w:rPr>
              <w:t>Title: Chief Financial Officer</w:t>
            </w:r>
          </w:p>
        </w:tc>
      </w:tr>
      <w:tr>
        <w:trPr>
          <w:trHeight w:val="231"/>
        </w:trPr>
        <w:tc>
          <w:tcPr>
            <w:tcW w:w="29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and Financial Officer)</w:t>
            </w:r>
          </w:p>
        </w:tc>
      </w:tr>
      <w:tr>
        <w:trPr>
          <w:trHeight w:val="888"/>
        </w:trPr>
        <w:tc>
          <w:tcPr>
            <w:tcW w:w="2940" w:type="dxa"/>
            <w:vAlign w:val="bottom"/>
          </w:tcPr>
          <w:p>
            <w:pPr>
              <w:spacing w:after="0"/>
              <w:rPr>
                <w:sz w:val="24"/>
                <w:szCs w:val="24"/>
                <w:color w:val="auto"/>
              </w:rPr>
            </w:pPr>
          </w:p>
        </w:tc>
        <w:tc>
          <w:tcPr>
            <w:tcW w:w="80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43</w:t>
            </w:r>
          </w:p>
        </w:tc>
      </w:tr>
    </w:tbl>
    <w:p>
      <w:pPr>
        <w:sectPr>
          <w:pgSz w:w="11900" w:h="16838" w:orient="portrait"/>
          <w:cols w:equalWidth="0" w:num="1">
            <w:col w:w="11240"/>
          </w:cols>
          <w:pgMar w:left="320" w:top="121" w:right="339" w:bottom="1440" w:gutter="0" w:footer="0" w:header="0"/>
        </w:sectPr>
      </w:pPr>
    </w:p>
    <w:bookmarkStart w:id="42" w:name="page43"/>
    <w:bookmarkEnd w:id="42"/>
    <w:p>
      <w:pPr>
        <w:ind w:left="1014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Stanleick, certify that:</w:t>
      </w:r>
    </w:p>
    <w:p>
      <w:pPr>
        <w:spacing w:after="0" w:line="244"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Beauty Health Company;</w:t>
      </w:r>
    </w:p>
    <w:p>
      <w:pPr>
        <w:spacing w:after="0" w:line="24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40" w:right="320" w:hanging="316"/>
        <w:spacing w:after="0" w:line="27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Rules 13a-14(a) and 15d-15(a)]</w:t>
      </w:r>
    </w:p>
    <w:p>
      <w:pPr>
        <w:spacing w:after="0" w:line="243"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Andrew Stanleick</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73" w:right="339" w:bottom="1440" w:gutter="0" w:footer="0" w:header="0"/>
        </w:sectPr>
      </w:pPr>
    </w:p>
    <w:bookmarkStart w:id="43" w:name="page44"/>
    <w:bookmarkEnd w:id="43"/>
    <w:p>
      <w:pPr>
        <w:ind w:left="1014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Liyuan Woo, certify that:</w:t>
      </w:r>
    </w:p>
    <w:p>
      <w:pPr>
        <w:spacing w:after="0" w:line="244"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Beauty Health Company;</w:t>
      </w:r>
    </w:p>
    <w:p>
      <w:pPr>
        <w:spacing w:after="0" w:line="24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640" w:right="320" w:hanging="316"/>
        <w:spacing w:after="0" w:line="27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9"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Rules 13a-14(a) and 15d-15(a)]</w:t>
      </w:r>
    </w:p>
    <w:p>
      <w:pPr>
        <w:spacing w:after="0" w:line="243"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Liyuan Woo</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073" w:right="339" w:bottom="1440" w:gutter="0" w:footer="0" w:header="0"/>
        </w:sectPr>
      </w:pPr>
    </w:p>
    <w:bookmarkStart w:id="44" w:name="page45"/>
    <w:bookmarkEnd w:id="44"/>
    <w:p>
      <w:pPr>
        <w:ind w:left="101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Beauty Health Company (the “Company”) on Form 10-Q for the quarterly period ended March 31, 2022, as filed with the Securities and Exchange Commission (the “Report”), I, Andrew Stanleick, President and Chief Executive Officer of the Company, certify, pursuant to 18 U.S.C. §1350, as added by §906 of the Sarbanes-Oxley Act of 2002, that:</w:t>
      </w:r>
    </w:p>
    <w:p>
      <w:pPr>
        <w:spacing w:after="0" w:line="204"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Andrew Stanleick</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73" w:right="339" w:bottom="1440" w:gutter="0" w:footer="0" w:header="0"/>
        </w:sectPr>
      </w:pPr>
    </w:p>
    <w:bookmarkStart w:id="45" w:name="page46"/>
    <w:bookmarkEnd w:id="45"/>
    <w:p>
      <w:pPr>
        <w:ind w:left="1014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5"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 AS ADOPTED PURSUANT TO SECTION 906 OF THE SARBANES-OXLEY ACT OF 2002</w:t>
      </w:r>
    </w:p>
    <w:p>
      <w:pPr>
        <w:spacing w:after="0" w:line="18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Beauty Health Company (the “Company”) on Form 10-Q for the quarterly period ended March 31, 2022, as filed with the Securities and Exchange Commission (the “Report”), I, Liyuan Woo, Chief Financial Officer of the Company, certify, pursuant to 18 U.S.C. §1350, as added by §906 of the Sarbanes-Oxley Act of 2002, that:</w:t>
      </w:r>
    </w:p>
    <w:p>
      <w:pPr>
        <w:spacing w:after="0" w:line="20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3"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30"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10, 2022</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Liyuan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Liyuan Woo</w:t>
      </w:r>
    </w:p>
    <w:p>
      <w:pPr>
        <w:spacing w:after="0" w:line="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(Principal Accounting and Financial Officer)</w:t>
      </w:r>
    </w:p>
    <w:sectPr>
      <w:pgSz w:w="11900" w:h="16838" w:orient="portrait"/>
      <w:cols w:equalWidth="0" w:num="1">
        <w:col w:w="11240"/>
      </w:cols>
      <w:pgMar w:left="320" w:top="10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6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56" Type="http://schemas.openxmlformats.org/officeDocument/2006/relationships/hyperlink" Target="http://www.sec.gov/Archives/edgar/data/1818093/000121390020041690/ea131234ex2-1_vesperhealth.htm" TargetMode="External"/><Relationship Id="rId57" Type="http://schemas.openxmlformats.org/officeDocument/2006/relationships/hyperlink" Target="http://www.sec.gov/Archives/edgar/data/1818093/000119312521156433/d422189dex31.htm" TargetMode="External"/><Relationship Id="rId58" Type="http://schemas.openxmlformats.org/officeDocument/2006/relationships/hyperlink" Target="http://www.sec.gov/Archives/edgar/data/1818093/000119312521156433/d422189dex32.htm" TargetMode="External"/><Relationship Id="rId59" Type="http://schemas.openxmlformats.org/officeDocument/2006/relationships/hyperlink" Target="http://www.sec.gov/Archives/edgar/data/1818093/000181809321000062/exhibit41-convdebtclosing.htm" TargetMode="External"/><Relationship Id="rId60" Type="http://schemas.openxmlformats.org/officeDocument/2006/relationships/hyperlink" Target="http://www.sec.gov/Archives/edgar/data/1818093/000181809321000062/exhibit101-convdebtclosing.htm" TargetMode="External"/><Relationship Id="rId61" Type="http://schemas.openxmlformats.org/officeDocument/2006/relationships/hyperlink" Target="http://www.sec.gov/Archives/edgar/data/1818093/000181809322000017/aexh101employ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2022-05-10T15:25:50Z</dcterms:created>
  <dcterms:modified xsi:type="dcterms:W3CDTF">2022-05-10T15:25:50Z</dcterms:modified>
</cp:coreProperties>
</file>