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0778152.xml.htm"/>
      <w:bookmarkStart w:id="1" w:name="kswkform3_174077815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Menezes Ronald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BEAUTY HEALTH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2165 SPRING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02/25/2025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Beauty Health Co</w:t>
              </w:r>
            </w:hyperlink>
            <w:r>
              <w:rPr/>
              <w:t xml:space="preserve"> [ </w:t>
            </w:r>
            <w:r>
              <w:rPr>
                <w:rFonts w:ascii="Times;serif" w:hAnsi="Times;serif"/>
                <w:color w:val="0000FF"/>
                <w:sz w:val="24"/>
                <w:shd w:fill="FFFFFF" w:val="clear"/>
              </w:rPr>
              <w:t>SKIN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481,927</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granted to the Reporting Person prior to the Reporting Person becoming a Section 16 officer. The RSUs vest in one-third increments on each of the first three anniversaries of the grant date of November 1, 2024, in each case contingent upon the Reporting Person's continued service through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Bokota, Attorney-in-fact for Ronald Menezes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bhc-ex24rmenezesxedgarv.htm"/>
      <w:bookmarkStart w:id="3" w:name="kstbhcex24rmenezesxedgarv"/>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POWER OF ATTORNEY With respect to holdings of and transactions in securities issued by The Beauty Health Company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 1. 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2. execute for and on behalf of the undersigned, Forms 3, 4, and 5 in accordance with Section 16 of the Securities Exchange Act of 1934, as amended,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 in-fact may approve in his or her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February 26, 2025. /s/ Ronald Menezes Name: Ronald C. Menezes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Individuals Appointed as Attorney-in-Fact with Full Power of Substitution and Resubstitution 1. Paul Bokota 2. Andrew Lee 3. Nathaniel Yoo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31441" TargetMode="External"/><Relationship Id="rId3" Type="http://schemas.openxmlformats.org/officeDocument/2006/relationships/hyperlink" Target="http://www.sec.gov/cgi-bin/browse-edgar?action=getcompany&amp;CIK=00018180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1028</Words>
  <Characters>5434</Characters>
  <CharactersWithSpaces>6425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tbhc-ex24rmenezesxedgarv</dc:title>
</cp:coreProperties>
</file>