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862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8624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SAUNDERS BRENT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0"/>
        <w:spacing w:after="0" w:line="365" w:lineRule="auto"/>
        <w:rPr>
          <w:sz w:val="20"/>
          <w:szCs w:val="20"/>
          <w:color w:val="auto"/>
        </w:rPr>
      </w:pPr>
      <w:r>
        <w:rPr>
          <w:rFonts w:ascii="Times New Roman" w:cs="Times New Roman" w:eastAsia="Times New Roman" w:hAnsi="Times New Roman"/>
          <w:sz w:val="17"/>
          <w:szCs w:val="17"/>
          <w:color w:val="0000FF"/>
        </w:rPr>
        <w:t>C/O THE BEAUTY HEALTH COMPANY 2165 SPRING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90806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Beauty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SKIN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8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03/31/2022</w:t>
            </w:r>
          </w:p>
        </w:tc>
        <w:tc>
          <w:tcPr>
            <w:tcW w:w="2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208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30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03/31/2022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3,711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16.88</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5,823,742</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3,076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12.86</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5,820,666</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09/30/2022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2,166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5,818,500</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12/30/2022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2,167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9.1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5,816,333</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13,548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5,802,785</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rPr>
              <w:t>07/08/2024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78,534</w:t>
            </w:r>
          </w:p>
        </w:tc>
        <w:tc>
          <w:tcPr>
            <w:tcW w:w="6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A</w:t>
            </w:r>
            <w:r>
              <w:rPr>
                <w:rFonts w:ascii="Times New Roman" w:cs="Times New Roman" w:eastAsia="Times New Roman" w:hAnsi="Times New Roman"/>
                <w:sz w:val="11"/>
                <w:szCs w:val="11"/>
                <w:color w:val="008000"/>
                <w:w w:val="82"/>
              </w:rPr>
              <w:t>(2)</w:t>
            </w:r>
          </w:p>
        </w:tc>
        <w:tc>
          <w:tcPr>
            <w:tcW w:w="400" w:type="dxa"/>
            <w:vAlign w:val="bottom"/>
            <w:tcBorders>
              <w:bottom w:val="single" w:sz="8" w:color="2C2C2C"/>
            </w:tcBorders>
            <w:gridSpan w:val="2"/>
          </w:tcPr>
          <w:p>
            <w:pPr>
              <w:jc w:val="center"/>
              <w:ind w:left="62"/>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5,881,319</w:t>
            </w:r>
          </w:p>
        </w:tc>
        <w:tc>
          <w:tcPr>
            <w:tcW w:w="92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1,681,771</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Triplet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1,121,180</w:t>
            </w: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requirements on vesting of restricted stock units and does not represent a sale.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The RSUs vest on the earlier of the one-year anniversary of the grant and the date of the 2025 Annual Meeting of Stockholders of the Company, contingent upon the reporting person's continued service as a member of the Company's board of directors through such time.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Triplet Enterprises III, LLC ("Triplet"). The reporting person is the managing member of Triplet and may be deemed to beneficially own the securities held by Triplet, but disclaims beneficial ownership of such securities except to any pecuniary interest the reporting person may have therein.</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Saunders Family Trust ("Trust"). The reporting person has voting and dispositive control over these securities and thus the reporting person may be deemed to beneficially own the securities held by Trust, but disclaims beneficial ownership of such securities except to any pecuniary interest the reporting person may have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Brenton L. Saunders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07/10/2024</w:t>
            </w: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8854" TargetMode="External"/><Relationship Id="rId13" Type="http://schemas.openxmlformats.org/officeDocument/2006/relationships/hyperlink" Target="http://www.sec.gov/cgi-bin/browse-edgar?action=getcompany&amp;CIK=00018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2024-07-10T15:39:18Z</dcterms:created>
  <dcterms:modified xsi:type="dcterms:W3CDTF">2024-07-10T15:39:18Z</dcterms:modified>
</cp:coreProperties>
</file>