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SkinHealth Systems Inc. (the “Company”) issued a press release and will hold a conference call regarding its financial results for its fiscal quarter ended June 30, 2026. A copy of the press release is furnished as Exhibit 99.1 to this Current Report on Form 8-K.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making reference to non-GAAP financial information in both the press release and the conference call. A reconciliation of GAAP to non-GAAP results is provided in the attached Exhibit 99.1 press release.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announces material information to the public through a variety of means, including filings with the Securities and Exchange Commission, press releases, public conference calls, and on the investor relations section of the Company's website (https://www.skinhealthsystems.com/) as means of disclosing material non-public information and for complying with its disclosure obligations under Regulation FD.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121"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694"/>
        <w:gridCol w:w="1694"/>
        <w:gridCol w:w="240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2xearnings.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2xearnings.htm">
              <w:r>
                <w:rPr>
                  <w:rStyle w:val="InternetLink"/>
                  <w:rFonts w:ascii="Times New Roman;serif" w:hAnsi="Times New Roman;serif"/>
                  <w:b w:val="false"/>
                  <w:color w:val="000080"/>
                  <w:sz w:val="18"/>
                  <w:u w:val="single"/>
                </w:rPr>
                <w:t xml:space="preserve">Press Release, dated </w:t>
              </w:r>
            </w:hyperlink>
            <w:hyperlink w:anchor="ex991-2026q2xearnings.htm">
              <w:r>
                <w:rPr>
                  <w:rStyle w:val="InternetLink"/>
                  <w:rFonts w:ascii="Times New Roman;serif" w:hAnsi="Times New Roman;serif"/>
                  <w:b w:val="false"/>
                  <w:color w:val="000080"/>
                  <w:sz w:val="18"/>
                  <w:u w:val="single"/>
                </w:rPr>
                <w:t>August</w:t>
              </w:r>
            </w:hyperlink>
            <w:hyperlink w:anchor="ex991-2026q2xearnings.htm">
              <w:r>
                <w:rPr>
                  <w:rStyle w:val="InternetLink"/>
                  <w:rFonts w:ascii="Times New Roman;serif" w:hAnsi="Times New Roman;serif"/>
                  <w:b w:val="false"/>
                  <w:color w:val="000080"/>
                  <w:sz w:val="18"/>
                  <w:u w:val="single"/>
                </w:rPr>
                <w:t xml:space="preserve"> </w:t>
              </w:r>
            </w:hyperlink>
            <w:hyperlink w:anchor="ex991-2026q2xearnings.htm">
              <w:r>
                <w:rPr>
                  <w:rStyle w:val="InternetLink"/>
                  <w:rFonts w:ascii="Times New Roman;serif" w:hAnsi="Times New Roman;serif"/>
                  <w:b w:val="false"/>
                  <w:color w:val="000080"/>
                  <w:sz w:val="18"/>
                  <w:u w:val="single"/>
                </w:rPr>
                <w:t>6</w:t>
              </w:r>
            </w:hyperlink>
            <w:hyperlink w:anchor="ex991-2026q2xearnings.htm">
              <w:r>
                <w:rPr>
                  <w:rStyle w:val="InternetLink"/>
                  <w:rFonts w:ascii="Times New Roman;serif" w:hAnsi="Times New Roman;serif"/>
                  <w:b w:val="false"/>
                  <w:color w:val="000080"/>
                  <w:sz w:val="18"/>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970" w:type="dxa"/>
        <w:jc w:val="left"/>
        <w:tblInd w:w="0" w:type="dxa"/>
        <w:tblLayout w:type="fixed"/>
        <w:tblCellMar>
          <w:top w:w="28" w:type="dxa"/>
          <w:left w:w="28" w:type="dxa"/>
          <w:bottom w:w="28" w:type="dxa"/>
          <w:right w:w="28" w:type="dxa"/>
        </w:tblCellMar>
      </w:tblPr>
      <w:tblGrid>
        <w:gridCol w:w="705"/>
        <w:gridCol w:w="619"/>
        <w:gridCol w:w="625"/>
        <w:gridCol w:w="337"/>
        <w:gridCol w:w="337"/>
        <w:gridCol w:w="337"/>
        <w:gridCol w:w="583"/>
        <w:gridCol w:w="583"/>
        <w:gridCol w:w="84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pPr>
      <w:r>
        <w:rPr>
          <w:rFonts w:ascii="sans-serif" w:hAnsi="sans-serif"/>
          <w:b/>
          <w:color w:val="000000"/>
          <w:sz w:val="28"/>
          <w:shd w:fill="FFFFFF" w:val="clear"/>
        </w:rPr>
        <w:t xml:space="preserve">SkinHealth Systems Reports </w:t>
      </w:r>
      <w:r>
        <w:rPr>
          <w:rFonts w:ascii="sans-serif" w:hAnsi="sans-serif"/>
          <w:b/>
          <w:color w:val="000000"/>
          <w:sz w:val="28"/>
        </w:rPr>
        <w:t>Second</w:t>
      </w:r>
      <w:r>
        <w:rPr>
          <w:color w:val="000000"/>
        </w:rPr>
        <w:t xml:space="preserve"> </w:t>
      </w:r>
      <w:r>
        <w:rPr>
          <w:rFonts w:ascii="sans-serif" w:hAnsi="sans-serif"/>
          <w:b/>
          <w:color w:val="000000"/>
          <w:sz w:val="28"/>
          <w:shd w:fill="FFFFFF" w:val="clear"/>
        </w:rPr>
        <w:t xml:space="preserve">Quarter </w:t>
      </w:r>
      <w:r>
        <w:rPr>
          <w:rFonts w:ascii="sans-serif" w:hAnsi="sans-serif"/>
          <w:b/>
          <w:color w:val="000000"/>
          <w:sz w:val="28"/>
        </w:rPr>
        <w:t>2026</w:t>
      </w:r>
      <w:r>
        <w:rPr>
          <w:color w:val="000000"/>
          <w:shd w:fill="FFFFFF" w:val="clear"/>
        </w:rPr>
        <w:t xml:space="preserve"> </w:t>
      </w:r>
      <w:r>
        <w:rPr>
          <w:rFonts w:ascii="sans-serif" w:hAnsi="sans-serif"/>
          <w:b/>
          <w:color w:val="000000"/>
          <w:sz w:val="28"/>
          <w:shd w:fill="FFFFFF" w:val="clear"/>
        </w:rPr>
        <w:t xml:space="preserve">Financial Results </w:t>
      </w:r>
    </w:p>
    <w:p>
      <w:pPr>
        <w:pStyle w:val="TextBody"/>
        <w:bidi w:val="0"/>
        <w:spacing w:before="0" w:after="2"/>
        <w:jc w:val="center"/>
        <w:rPr/>
      </w:pPr>
      <w:r>
        <w:rPr/>
      </w:r>
    </w:p>
    <w:p>
      <w:pPr>
        <w:pStyle w:val="TextBody"/>
        <w:bidi w:val="0"/>
        <w:spacing w:lineRule="auto" w:line="268" w:before="0" w:after="0"/>
        <w:jc w:val="both"/>
        <w:rPr/>
      </w:pPr>
      <w:r>
        <w:rPr>
          <w:rFonts w:ascii="sans-serif" w:hAnsi="sans-serif"/>
          <w:b/>
          <w:color w:val="000000"/>
          <w:sz w:val="22"/>
        </w:rPr>
        <w:t>Long Beach, Calif.,</w:t>
      </w:r>
      <w:r>
        <w:rPr>
          <w:color w:val="000000"/>
        </w:rPr>
        <w:t xml:space="preserve"> </w:t>
      </w:r>
      <w:r>
        <w:rPr>
          <w:rFonts w:ascii="sans-serif" w:hAnsi="sans-serif"/>
          <w:b w:val="false"/>
          <w:color w:val="000000"/>
          <w:sz w:val="22"/>
        </w:rPr>
        <w:t xml:space="preserve">August 6, 2026 – SkinHealth Systems Inc. (NASDAQ: SKIN) (“SkinHealth Systems” or the "Company"), home to flagship brand Hydrafacial, today announced financial results for the second quarter ended June 30, 2026 (“Q2 2026”). </w:t>
      </w:r>
    </w:p>
    <w:p>
      <w:pPr>
        <w:pStyle w:val="TextBody"/>
        <w:bidi w:val="0"/>
        <w:spacing w:before="0" w:after="0"/>
        <w:jc w:val="both"/>
        <w:rPr/>
      </w:pPr>
      <w:r>
        <w:rPr/>
      </w:r>
    </w:p>
    <w:p>
      <w:pPr>
        <w:pStyle w:val="TextBody"/>
        <w:bidi w:val="0"/>
        <w:spacing w:lineRule="auto" w:line="264" w:before="0" w:after="0"/>
        <w:jc w:val="both"/>
        <w:rPr>
          <w:rFonts w:ascii="sans-serif" w:hAnsi="sans-serif"/>
          <w:b w:val="false"/>
          <w:color w:val="000000"/>
          <w:sz w:val="22"/>
        </w:rPr>
      </w:pPr>
      <w:r>
        <w:rPr>
          <w:rFonts w:ascii="sans-serif" w:hAnsi="sans-serif"/>
          <w:b w:val="false"/>
          <w:color w:val="000000"/>
          <w:sz w:val="22"/>
        </w:rPr>
        <w:t>"Our second quarter results reflect continued sales pressure, while adjusted EBITDA came in well above our guidance range as we improved gross margin and maintained disciplined operating expense management," said Pedro Malha, President and Chief Executive Officer of SkinHealth Systems.</w:t>
      </w:r>
    </w:p>
    <w:p>
      <w:pPr>
        <w:pStyle w:val="TextBody"/>
        <w:bidi w:val="0"/>
        <w:spacing w:before="0" w:after="0"/>
        <w:jc w:val="left"/>
        <w:rPr/>
      </w:pPr>
      <w:r>
        <w:rPr/>
      </w:r>
    </w:p>
    <w:p>
      <w:pPr>
        <w:pStyle w:val="TextBody"/>
        <w:bidi w:val="0"/>
        <w:spacing w:lineRule="auto" w:line="264" w:before="0" w:after="0"/>
        <w:jc w:val="both"/>
        <w:rPr>
          <w:rFonts w:ascii="sans-serif" w:hAnsi="sans-serif"/>
          <w:b w:val="false"/>
          <w:color w:val="000000"/>
          <w:sz w:val="22"/>
        </w:rPr>
      </w:pPr>
      <w:r>
        <w:rPr>
          <w:rFonts w:ascii="sans-serif" w:hAnsi="sans-serif"/>
          <w:b w:val="false"/>
          <w:color w:val="000000"/>
          <w:sz w:val="22"/>
        </w:rPr>
        <w:t>"Our strategic priorities remain clear. We are focused on strengthening the core Hydrafacial franchise, increasing the productivity of our installed base and expanding our portfolio with complementary technologies. Supported by our trusted brand, global provider network and recurring consumables business, we believe these priorities position SkinHealth Systems to deliver more sustainable and diversified long-term growth."</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2"/>
          <w:shd w:fill="FFFFFF" w:val="clear"/>
        </w:rPr>
      </w:pPr>
      <w:r>
        <w:rPr>
          <w:rFonts w:ascii="sans-serif" w:hAnsi="sans-serif"/>
          <w:b/>
          <w:color w:val="000000"/>
          <w:sz w:val="22"/>
          <w:shd w:fill="FFFFFF" w:val="clear"/>
        </w:rPr>
        <w:t>Key Operational and Business Metrics</w:t>
      </w:r>
    </w:p>
    <w:tbl>
      <w:tblPr>
        <w:tblW w:w="9470" w:type="dxa"/>
        <w:jc w:val="left"/>
        <w:tblInd w:w="0" w:type="dxa"/>
        <w:tblLayout w:type="fixed"/>
        <w:tblCellMar>
          <w:top w:w="28" w:type="dxa"/>
          <w:left w:w="28" w:type="dxa"/>
          <w:bottom w:w="28" w:type="dxa"/>
          <w:right w:w="28" w:type="dxa"/>
        </w:tblCellMar>
      </w:tblPr>
      <w:tblGrid>
        <w:gridCol w:w="1145"/>
        <w:gridCol w:w="1008"/>
        <w:gridCol w:w="1011"/>
        <w:gridCol w:w="278"/>
        <w:gridCol w:w="721"/>
        <w:gridCol w:w="352"/>
        <w:gridCol w:w="134"/>
        <w:gridCol w:w="134"/>
        <w:gridCol w:w="134"/>
        <w:gridCol w:w="278"/>
        <w:gridCol w:w="721"/>
        <w:gridCol w:w="352"/>
        <w:gridCol w:w="109"/>
        <w:gridCol w:w="109"/>
        <w:gridCol w:w="109"/>
        <w:gridCol w:w="231"/>
        <w:gridCol w:w="724"/>
        <w:gridCol w:w="293"/>
        <w:gridCol w:w="111"/>
        <w:gridCol w:w="111"/>
        <w:gridCol w:w="111"/>
        <w:gridCol w:w="231"/>
        <w:gridCol w:w="724"/>
        <w:gridCol w:w="339"/>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net sales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Consumables net sales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105.2 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net sales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97.7 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margin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68.4 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62.8 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68.4 </w:t>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66.1 </w:t>
            </w:r>
          </w:p>
        </w:tc>
        <w:tc>
          <w:tcPr>
            <w:tcW w:w="3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gross profit</w:t>
            </w:r>
            <w:r>
              <w:rPr>
                <w:rFonts w:ascii="sans-serif" w:hAnsi="sans-serif"/>
                <w:b w:val="false"/>
                <w:color w:val="000000"/>
                <w:sz w:val="13"/>
              </w:rPr>
              <w:t>(2)</w:t>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98.7 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gross margin</w:t>
            </w:r>
            <w:r>
              <w:rPr>
                <w:rFonts w:ascii="sans-serif" w:hAnsi="sans-serif"/>
                <w:b w:val="false"/>
                <w:color w:val="000000"/>
                <w:sz w:val="13"/>
              </w:rPr>
              <w:t>(2)</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71.8 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65.9 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72.0 </w:t>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68.7 </w:t>
            </w:r>
          </w:p>
        </w:tc>
        <w:tc>
          <w:tcPr>
            <w:tcW w:w="3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expenses</w:t>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92.0 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112.4 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operating expenses</w:t>
            </w:r>
            <w:r>
              <w:rPr>
                <w:rFonts w:ascii="sans-serif" w:hAnsi="sans-serif"/>
                <w:b w:val="false"/>
                <w:color w:val="000000"/>
                <w:sz w:val="13"/>
              </w:rPr>
              <w:t>(2)</w:t>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80.4 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income</w:t>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income margin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25.2 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w:t>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6.5 </w:t>
            </w:r>
          </w:p>
        </w:tc>
        <w:tc>
          <w:tcPr>
            <w:tcW w:w="3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(2)</w:t>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 margin</w:t>
            </w:r>
            <w:r>
              <w:rPr>
                <w:rFonts w:ascii="sans-serif" w:hAnsi="sans-serif"/>
                <w:b w:val="false"/>
                <w:color w:val="000000"/>
                <w:sz w:val="13"/>
              </w:rPr>
              <w:t>(2)</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23.6 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17.8 </w:t>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18.6 </w:t>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14.3 </w:t>
            </w:r>
          </w:p>
        </w:tc>
        <w:tc>
          <w:tcPr>
            <w:tcW w:w="3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2"/>
        <w:jc w:val="left"/>
        <w:rPr/>
      </w:pPr>
      <w:r>
        <w:rPr/>
      </w:r>
    </w:p>
    <w:tbl>
      <w:tblPr>
        <w:tblW w:w="9968" w:type="dxa"/>
        <w:jc w:val="left"/>
        <w:tblInd w:w="0" w:type="dxa"/>
        <w:tblLayout w:type="fixed"/>
        <w:tblCellMar>
          <w:top w:w="28" w:type="dxa"/>
          <w:left w:w="28" w:type="dxa"/>
          <w:bottom w:w="28" w:type="dxa"/>
          <w:right w:w="28" w:type="dxa"/>
        </w:tblCellMar>
      </w:tblPr>
      <w:tblGrid>
        <w:gridCol w:w="1021"/>
        <w:gridCol w:w="898"/>
        <w:gridCol w:w="901"/>
        <w:gridCol w:w="541"/>
        <w:gridCol w:w="345"/>
        <w:gridCol w:w="345"/>
        <w:gridCol w:w="345"/>
        <w:gridCol w:w="345"/>
        <w:gridCol w:w="345"/>
        <w:gridCol w:w="541"/>
        <w:gridCol w:w="345"/>
        <w:gridCol w:w="345"/>
        <w:gridCol w:w="109"/>
        <w:gridCol w:w="109"/>
        <w:gridCol w:w="109"/>
        <w:gridCol w:w="528"/>
        <w:gridCol w:w="306"/>
        <w:gridCol w:w="306"/>
        <w:gridCol w:w="306"/>
        <w:gridCol w:w="306"/>
        <w:gridCol w:w="306"/>
        <w:gridCol w:w="528"/>
        <w:gridCol w:w="306"/>
        <w:gridCol w:w="432"/>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Unaudited</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sold</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1,516 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1,819 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Active install base</w:t>
            </w:r>
            <w:r>
              <w:rPr>
                <w:rFonts w:ascii="sans-serif" w:hAnsi="sans-serif"/>
                <w:b w:val="false"/>
                <w:color w:val="000000"/>
                <w:sz w:val="13"/>
              </w:rPr>
              <w:t>(3)</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36,516 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35,193 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36,516 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35,193 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 Amounts may not sum due to rounding.</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 xml:space="preserve">(2) See "Non-GAAP Financial Measures" below. </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(3) Estimated number of delivery systems owned by providers that have purchased consumables in the trailing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2560"/>
                <wp:effectExtent l="0" t="0" r="0" b="0"/>
                <wp:wrapNone/>
                <wp:docPr id="4"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Second Quarter Financial Highlights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Net sales were $72.1 million for the second quarter of 2026, a decrease of (7.8)%, compared to the prior year period ("Q2 2025"), due to lower delivery systems and consumables net sales. The Company placed 770 delivery systems during Q2 2026, compared to 957 during Q2 2025.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Gross margin was 68.4% in Q2 2026, compared to 62.8% in Q2 2025. Adjusted gross margin was 71.8% in Q2 2026, compared to 65.9% in Q2 2025. The improvement in gross margin and adjusted gross margin was primarily due to higher product costs in the prior year related to trade-in Delivery Systems sell through and higher inventory-related charges in 2025.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Operating expenses were $45.8 million in Q2 2026, compared to $51.8 million in Q2 2025. Adjusted operating expenses were $34.8 million in Q2 2026, compared to $37.6 million in Q2 2025. The improvement in operating expenses and adjusted operating expenses was primarily due to lower personnel-related expenses.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Net loss was $(2.7) million in Q2 2026, compared to net income of $19.7 million in Q2 2025. The change compared to the prior year was primarily due to an $18.1 million net gain related to the exchange and repurchases of the 2026 Notes in Q2 2025.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Adjusted EBITDA was $17.0 million in Q2 2026, compared to $13.9 million in Q2 2025. The improvement in adjusted EBITDA was primarily due to lower operational spend and higher gross margin, partially offset by lower net sales.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Revised 2026 Financial Guidance</w:t>
      </w:r>
    </w:p>
    <w:tbl>
      <w:tblPr>
        <w:tblW w:w="4034" w:type="dxa"/>
        <w:jc w:val="left"/>
        <w:tblInd w:w="0" w:type="dxa"/>
        <w:tblLayout w:type="fixed"/>
        <w:tblCellMar>
          <w:top w:w="28" w:type="dxa"/>
          <w:left w:w="28" w:type="dxa"/>
          <w:bottom w:w="28" w:type="dxa"/>
          <w:right w:w="28" w:type="dxa"/>
        </w:tblCellMar>
      </w:tblPr>
      <w:tblGrid>
        <w:gridCol w:w="798"/>
        <w:gridCol w:w="702"/>
        <w:gridCol w:w="704"/>
        <w:gridCol w:w="536"/>
        <w:gridCol w:w="536"/>
        <w:gridCol w:w="758"/>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sans-serif" w:hAnsi="sans-serif"/>
                <w:b/>
                <w:color w:val="000000"/>
                <w:sz w:val="20"/>
              </w:rPr>
            </w:pPr>
            <w:r>
              <w:rPr>
                <w:rFonts w:ascii="sans-serif" w:hAnsi="sans-serif"/>
                <w:b/>
                <w:color w:val="000000"/>
                <w:sz w:val="20"/>
              </w:rPr>
              <w:t>Third Quarter 2026</w:t>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1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 – $70 million</w:t>
            </w:r>
          </w:p>
        </w:tc>
      </w:tr>
      <w:tr>
        <w:trP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(1)</w:t>
            </w:r>
          </w:p>
        </w:tc>
        <w:tc>
          <w:tcPr>
            <w:tcW w:w="1830"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 – $7 million</w:t>
            </w:r>
          </w:p>
        </w:tc>
      </w:tr>
    </w:tbl>
    <w:p>
      <w:pPr>
        <w:pStyle w:val="TextBody"/>
        <w:bidi w:val="0"/>
        <w:spacing w:before="0" w:after="2"/>
        <w:jc w:val="left"/>
        <w:rPr/>
      </w:pPr>
      <w:r>
        <w:rPr/>
      </w:r>
    </w:p>
    <w:tbl>
      <w:tblPr>
        <w:tblW w:w="4033" w:type="dxa"/>
        <w:jc w:val="left"/>
        <w:tblInd w:w="0" w:type="dxa"/>
        <w:tblLayout w:type="fixed"/>
        <w:tblCellMar>
          <w:top w:w="28" w:type="dxa"/>
          <w:left w:w="28" w:type="dxa"/>
          <w:bottom w:w="28" w:type="dxa"/>
          <w:right w:w="28" w:type="dxa"/>
        </w:tblCellMar>
      </w:tblPr>
      <w:tblGrid>
        <w:gridCol w:w="712"/>
        <w:gridCol w:w="625"/>
        <w:gridCol w:w="627"/>
        <w:gridCol w:w="606"/>
        <w:gridCol w:w="606"/>
        <w:gridCol w:w="857"/>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sans-serif" w:hAnsi="sans-serif"/>
                <w:b/>
                <w:color w:val="000000"/>
                <w:sz w:val="20"/>
              </w:rPr>
            </w:pPr>
            <w:r>
              <w:rPr>
                <w:rFonts w:ascii="sans-serif" w:hAnsi="sans-serif"/>
                <w:b/>
                <w:color w:val="000000"/>
                <w:sz w:val="20"/>
              </w:rPr>
              <w:t>Fiscal Year 2026</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0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$280 – $290 million</w:t>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Adjusted EBITDA</w:t>
            </w:r>
            <w:r>
              <w:rPr>
                <w:rFonts w:ascii="sans-serif" w:hAnsi="sans-serif"/>
                <w:b w:val="false"/>
                <w:color w:val="000000"/>
                <w:sz w:val="13"/>
              </w:rPr>
              <w:t>(1)</w:t>
            </w:r>
          </w:p>
        </w:tc>
        <w:tc>
          <w:tcPr>
            <w:tcW w:w="2069"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$39 – $46 million</w:t>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60"/>
        <w:ind w:left="0" w:right="0" w:hanging="360"/>
        <w:jc w:val="left"/>
        <w:rPr>
          <w:rFonts w:ascii="sans-serif" w:hAnsi="sans-serif"/>
          <w:b w:val="false"/>
          <w:color w:val="000000"/>
          <w:sz w:val="18"/>
        </w:rPr>
      </w:pPr>
      <w:r>
        <w:rPr>
          <w:rFonts w:ascii="sans-serif" w:hAnsi="sans-serif"/>
          <w:b w:val="false"/>
          <w:color w:val="000000"/>
          <w:sz w:val="18"/>
        </w:rPr>
        <w:t>(1) See "Non-GAAP Financial Measures" below.</w:t>
      </w:r>
    </w:p>
    <w:p>
      <w:pPr>
        <w:pStyle w:val="TextBody"/>
        <w:bidi w:val="0"/>
        <w:spacing w:before="0" w:after="60"/>
        <w:ind w:left="0" w:right="0" w:hanging="360"/>
        <w:jc w:val="left"/>
        <w:rPr/>
      </w:pPr>
      <w:r>
        <w:rPr/>
      </w:r>
    </w:p>
    <w:p>
      <w:pPr>
        <w:pStyle w:val="TextBody"/>
        <w:bidi w:val="0"/>
        <w:spacing w:lineRule="auto" w:line="288" w:before="0" w:after="60"/>
        <w:jc w:val="both"/>
        <w:rPr>
          <w:rFonts w:ascii="sans-serif" w:hAnsi="sans-serif"/>
          <w:b w:val="false"/>
          <w:color w:val="000000"/>
          <w:sz w:val="22"/>
        </w:rPr>
      </w:pPr>
      <w:r>
        <w:rPr>
          <w:rFonts w:ascii="sans-serif" w:hAnsi="sans-serif"/>
          <w:b w:val="false"/>
          <w:color w:val="000000"/>
          <w:sz w:val="22"/>
        </w:rPr>
        <w:t>Revised 2026 financial guidance: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Reflects continued pressure on sales and continued cost discipline.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Presumes no further material deterioration in current general market conditions or other unforeseen circumstances beyond the Company's control, such as foreign currency exchange rates, tariffs, and trade restrictions.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Excludes any unannounced acquisitions, dispositions or financings.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2"/>
        </w:rPr>
        <w:t xml:space="preserve">Regional </w:t>
      </w:r>
      <w:r>
        <w:rPr>
          <w:rFonts w:ascii="sans-serif" w:hAnsi="sans-serif"/>
          <w:b/>
          <w:color w:val="000000"/>
          <w:sz w:val="22"/>
          <w:shd w:fill="FFFFFF" w:val="clear"/>
        </w:rPr>
        <w:t>Operational and Business Metrics</w:t>
      </w:r>
    </w:p>
    <w:tbl>
      <w:tblPr>
        <w:tblW w:w="10205" w:type="dxa"/>
        <w:jc w:val="left"/>
        <w:tblInd w:w="0" w:type="dxa"/>
        <w:tblLayout w:type="fixed"/>
        <w:tblCellMar>
          <w:top w:w="28" w:type="dxa"/>
          <w:left w:w="28" w:type="dxa"/>
          <w:bottom w:w="28" w:type="dxa"/>
          <w:right w:w="28" w:type="dxa"/>
        </w:tblCellMar>
      </w:tblPr>
      <w:tblGrid>
        <w:gridCol w:w="1486"/>
        <w:gridCol w:w="1287"/>
        <w:gridCol w:w="1290"/>
        <w:gridCol w:w="311"/>
        <w:gridCol w:w="808"/>
        <w:gridCol w:w="150"/>
        <w:gridCol w:w="150"/>
        <w:gridCol w:w="150"/>
        <w:gridCol w:w="150"/>
        <w:gridCol w:w="311"/>
        <w:gridCol w:w="808"/>
        <w:gridCol w:w="150"/>
        <w:gridCol w:w="109"/>
        <w:gridCol w:w="109"/>
        <w:gridCol w:w="109"/>
        <w:gridCol w:w="260"/>
        <w:gridCol w:w="813"/>
        <w:gridCol w:w="124"/>
        <w:gridCol w:w="124"/>
        <w:gridCol w:w="124"/>
        <w:gridCol w:w="124"/>
        <w:gridCol w:w="260"/>
        <w:gridCol w:w="813"/>
        <w:gridCol w:w="185"/>
      </w:tblGrid>
      <w:tr>
        <w:trPr/>
        <w:tc>
          <w:tcPr>
            <w:tcW w:w="148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Six Months Ended June 30,</w:t>
            </w:r>
          </w:p>
        </w:tc>
      </w:tr>
      <w:tr>
        <w:trPr/>
        <w:tc>
          <w:tcPr>
            <w:tcW w:w="4063"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 (2)</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2025</w:t>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net sales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Asia-Pacific (“APAC”)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Europe, the Middle East and Africa (“EMEA”)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net sales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Consumables net sales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Consumables net sales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net sales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Delivery Systems sold</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Americas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APAC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EMEA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Delivery Systems sold</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1,819 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 Amounts may not sum due to rounding.</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 xml:space="preserve">(2) During the second quarter of 2026, the Company transitioned sales in the Australia and New Zealand market to a distributor partner. During the second quarter of 2025, the Company transitioned sales in the China market to a distributor partner. As a result, the Company has discontinued direct sales to customers in Australia, New Zealand, and China. </w:t>
      </w:r>
    </w:p>
    <w:p>
      <w:pPr>
        <w:pStyle w:val="TextBody"/>
        <w:bidi w:val="0"/>
        <w:spacing w:before="0" w:after="0"/>
        <w:jc w:val="left"/>
        <w:rPr/>
      </w:pPr>
      <w:r>
        <w:rPr/>
      </w:r>
    </w:p>
    <w:p>
      <w:pPr>
        <w:pStyle w:val="TextBody"/>
        <w:bidi w:val="0"/>
        <w:spacing w:lineRule="auto" w:line="300" w:before="0" w:after="122"/>
        <w:jc w:val="left"/>
        <w:rPr>
          <w:rFonts w:ascii="sans-serif" w:hAnsi="sans-serif"/>
          <w:b/>
          <w:color w:val="000000"/>
          <w:sz w:val="22"/>
          <w:shd w:fill="FFFFFF" w:val="clear"/>
        </w:rPr>
      </w:pPr>
      <w:r>
        <w:rPr>
          <w:rFonts w:ascii="sans-serif" w:hAnsi="sans-serif"/>
          <w:b/>
          <w:color w:val="000000"/>
          <w:sz w:val="22"/>
          <w:shd w:fill="FFFFFF" w:val="clear"/>
        </w:rPr>
        <w:t>Conference Call</w:t>
      </w:r>
    </w:p>
    <w:p>
      <w:pPr>
        <w:pStyle w:val="TextBody"/>
        <w:bidi w:val="0"/>
        <w:spacing w:lineRule="auto" w:line="300" w:before="0" w:after="2"/>
        <w:jc w:val="both"/>
        <w:rPr/>
      </w:pPr>
      <w:r>
        <w:rPr>
          <w:rFonts w:ascii="sans-serif" w:hAnsi="sans-serif"/>
          <w:b w:val="false"/>
          <w:color w:val="000000"/>
          <w:sz w:val="22"/>
          <w:shd w:fill="FFFFFF" w:val="clear"/>
        </w:rPr>
        <w:t xml:space="preserve">SkinHealth Systems will host a conference call on Thursday, August 6, 2026, at 4:30 p.m. ET to review its second quarter 2026 financial results. The call may be accessed via live webcast through the Events &amp; Presentations page on our Investor Relations </w:t>
      </w:r>
      <w:r>
        <w:rPr>
          <w:rFonts w:ascii="sans-serif" w:hAnsi="sans-serif"/>
          <w:b w:val="false"/>
          <w:color w:val="000000"/>
          <w:sz w:val="22"/>
        </w:rPr>
        <w:t>website</w:t>
      </w:r>
      <w:r>
        <w:rPr>
          <w:color w:val="000000"/>
          <w:shd w:fill="FFFFFF" w:val="clear"/>
        </w:rPr>
        <w:t xml:space="preserve"> </w:t>
      </w:r>
      <w:r>
        <w:rPr>
          <w:rFonts w:ascii="sans-serif" w:hAnsi="sans-serif"/>
          <w:b w:val="false"/>
          <w:color w:val="000000"/>
          <w:sz w:val="22"/>
          <w:shd w:fill="FFFFFF" w:val="clear"/>
        </w:rPr>
        <w:t xml:space="preserve">at </w:t>
      </w:r>
      <w:r>
        <w:rPr>
          <w:rFonts w:ascii="sans-serif" w:hAnsi="sans-serif"/>
          <w:b w:val="false"/>
          <w:color w:val="000000"/>
          <w:sz w:val="22"/>
          <w:u w:val="single"/>
          <w:shd w:fill="FFFFFF" w:val="clear"/>
        </w:rPr>
        <w:t>www.skinhealthsystems.com</w:t>
      </w:r>
      <w:r>
        <w:rPr>
          <w:rFonts w:ascii="sans-serif" w:hAnsi="sans-serif"/>
          <w:b w:val="false"/>
          <w:color w:val="000000"/>
          <w:sz w:val="22"/>
          <w:shd w:fill="FFFFFF" w:val="clear"/>
        </w:rPr>
        <w:t>. A recording of the call will become available on the site approximately three hours after its conclusion.</w:t>
      </w:r>
    </w:p>
    <w:p>
      <w:pPr>
        <w:pStyle w:val="TextBody"/>
        <w:bidi w:val="0"/>
        <w:spacing w:before="0" w:after="0"/>
        <w:jc w:val="both"/>
        <w:rPr/>
      </w:pPr>
      <w:r>
        <w:rPr/>
      </w:r>
    </w:p>
    <w:p>
      <w:pPr>
        <w:pStyle w:val="TextBody"/>
        <w:bidi w:val="0"/>
        <w:spacing w:lineRule="auto" w:line="300" w:before="0" w:after="122"/>
        <w:jc w:val="both"/>
        <w:rPr>
          <w:rFonts w:ascii="sans-serif" w:hAnsi="sans-serif"/>
          <w:b/>
          <w:color w:val="000000"/>
          <w:sz w:val="22"/>
          <w:shd w:fill="FFFFFF" w:val="clear"/>
        </w:rPr>
      </w:pPr>
      <w:r>
        <w:rPr>
          <w:rFonts w:ascii="sans-serif" w:hAnsi="sans-serif"/>
          <w:b/>
          <w:color w:val="000000"/>
          <w:sz w:val="22"/>
          <w:shd w:fill="FFFFFF" w:val="clear"/>
        </w:rPr>
        <w:t>Non-GAAP Financial Measures</w:t>
      </w:r>
    </w:p>
    <w:p>
      <w:pPr>
        <w:pStyle w:val="TextBody"/>
        <w:bidi w:val="0"/>
        <w:spacing w:lineRule="auto" w:line="300" w:before="0" w:after="2"/>
        <w:jc w:val="both"/>
        <w:rPr/>
      </w:pPr>
      <w:r>
        <w:rPr>
          <w:rFonts w:ascii="sans-serif" w:hAnsi="sans-serif"/>
          <w:b w:val="false"/>
          <w:color w:val="000000"/>
          <w:sz w:val="22"/>
          <w:shd w:fill="FFFFFF" w:val="clear"/>
        </w:rPr>
        <w:t xml:space="preserve">In addition to results determined in accordance with accounting principles generally accepted in the United States of America ("GAAP"), management utilizes certain non-GAAP financial measures such as adjusted gross profit, adjusted gross margin, adjusted </w:t>
      </w:r>
      <w:r>
        <w:rPr>
          <w:rFonts w:ascii="sans-serif" w:hAnsi="sans-serif"/>
          <w:b w:val="false"/>
          <w:color w:val="000000"/>
          <w:sz w:val="22"/>
        </w:rPr>
        <w:t>EBITDA</w:t>
      </w:r>
      <w:r>
        <w:rPr>
          <w:rFonts w:ascii="sans-serif" w:hAnsi="sans-serif"/>
          <w:b w:val="false"/>
          <w:color w:val="000000"/>
          <w:sz w:val="22"/>
          <w:shd w:fill="FFFFFF" w:val="clear"/>
        </w:rPr>
        <w:t xml:space="preserve">, and adjusted EBITDA margin for purposes of evaluating ongoing operations and for internal planning and forecasting purposes. </w:t>
      </w:r>
    </w:p>
    <w:p>
      <w:pPr>
        <w:pStyle w:val="TextBody"/>
        <w:bidi w:val="0"/>
        <w:jc w:val="both"/>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300" w:before="0" w:after="2"/>
        <w:jc w:val="both"/>
        <w:rPr/>
      </w:pPr>
      <w:r>
        <w:rPr>
          <w:rFonts w:ascii="sans-serif" w:hAnsi="sans-serif"/>
          <w:b w:val="false"/>
          <w:color w:val="000000"/>
          <w:sz w:val="22"/>
          <w:shd w:fill="FFFFFF" w:val="clear"/>
        </w:rPr>
        <w:t xml:space="preserve">Management believes that these non-GAAP financial measures, when reviewed collectively with the Company’s GAAP financial information, provide useful supplemental information to investors in assessing the Company's operating performance. These non-GAAP financial measures should not be considered as an alternative to GAAP financial information or as an indication of operating performance or any other measure of performance derived in accordance with GAAP, and may not </w:t>
      </w:r>
      <w:r>
        <w:rPr>
          <w:rFonts w:ascii="sans-serif" w:hAnsi="sans-serif"/>
          <w:b w:val="false"/>
          <w:color w:val="000000"/>
          <w:sz w:val="22"/>
        </w:rPr>
        <w:t>provide</w:t>
      </w:r>
      <w:r>
        <w:rPr>
          <w:color w:val="000000"/>
          <w:shd w:fill="FFFFFF" w:val="clear"/>
        </w:rPr>
        <w:t xml:space="preserve"> </w:t>
      </w:r>
      <w:r>
        <w:rPr>
          <w:rFonts w:ascii="sans-serif" w:hAnsi="sans-serif"/>
          <w:b w:val="false"/>
          <w:color w:val="000000"/>
          <w:sz w:val="22"/>
          <w:shd w:fill="FFFFFF" w:val="clear"/>
        </w:rPr>
        <w:t xml:space="preserve">information that is directly comparable to that provided by other companies in its industry, as these other companies may calculate non-GAAP financial measures differently, particularly related to unusual items. </w:t>
      </w:r>
    </w:p>
    <w:p>
      <w:pPr>
        <w:pStyle w:val="TextBody"/>
        <w:bidi w:val="0"/>
        <w:spacing w:before="0" w:after="0"/>
        <w:jc w:val="both"/>
        <w:rPr/>
      </w:pPr>
      <w:r>
        <w:rPr/>
      </w:r>
    </w:p>
    <w:p>
      <w:pPr>
        <w:pStyle w:val="TextBody"/>
        <w:bidi w:val="0"/>
        <w:spacing w:lineRule="auto" w:line="300" w:before="0" w:after="2"/>
        <w:jc w:val="both"/>
        <w:rPr/>
      </w:pPr>
      <w:r>
        <w:rPr>
          <w:rFonts w:ascii="sans-serif" w:hAnsi="sans-serif"/>
          <w:b w:val="false"/>
          <w:i/>
          <w:color w:val="000000"/>
          <w:sz w:val="22"/>
        </w:rPr>
        <w:t>Adjusted gross profit</w:t>
      </w:r>
      <w:r>
        <w:rPr>
          <w:color w:val="000000"/>
        </w:rPr>
        <w:t xml:space="preserve"> </w:t>
      </w:r>
      <w:r>
        <w:rPr>
          <w:rFonts w:ascii="sans-serif" w:hAnsi="sans-serif"/>
          <w:b w:val="false"/>
          <w:color w:val="000000"/>
          <w:sz w:val="22"/>
        </w:rPr>
        <w:t>is gross profit excluding the effects of depreciation expense, amortization expense, and share-based compensation expense and other long-term incentive compensation. Adjusted gross margin represents adjusted gross profit as a percentage of net sales.</w:t>
      </w:r>
    </w:p>
    <w:p>
      <w:pPr>
        <w:pStyle w:val="TextBody"/>
        <w:bidi w:val="0"/>
        <w:spacing w:before="0" w:after="0"/>
        <w:jc w:val="both"/>
        <w:rPr/>
      </w:pPr>
      <w:r>
        <w:rPr/>
      </w:r>
    </w:p>
    <w:p>
      <w:pPr>
        <w:pStyle w:val="TextBody"/>
        <w:bidi w:val="0"/>
        <w:spacing w:lineRule="auto" w:line="300" w:before="0" w:after="2"/>
        <w:jc w:val="both"/>
        <w:rPr/>
      </w:pPr>
      <w:r>
        <w:rPr>
          <w:rFonts w:ascii="sans-serif" w:hAnsi="sans-serif"/>
          <w:b w:val="false"/>
          <w:i/>
          <w:color w:val="000000"/>
          <w:sz w:val="22"/>
        </w:rPr>
        <w:t>Adjusted operating expenses</w:t>
      </w:r>
      <w:r>
        <w:rPr>
          <w:color w:val="000000"/>
        </w:rPr>
        <w:t xml:space="preserve"> </w:t>
      </w:r>
      <w:r>
        <w:rPr>
          <w:rFonts w:ascii="sans-serif" w:hAnsi="sans-serif"/>
          <w:b w:val="false"/>
          <w:color w:val="000000"/>
          <w:sz w:val="22"/>
        </w:rPr>
        <w:t xml:space="preserve">is calculated as total operating expenses excluding the effects of depreciation expense; amortization expense; share-based compensation expense and other long-term incentive compensation; litigation related costs; Go-to-Market restructuring; and severance, restructuring, and other. </w:t>
      </w:r>
    </w:p>
    <w:p>
      <w:pPr>
        <w:pStyle w:val="TextBody"/>
        <w:bidi w:val="0"/>
        <w:spacing w:before="0" w:after="2"/>
        <w:jc w:val="both"/>
        <w:rPr/>
      </w:pPr>
      <w:r>
        <w:rPr/>
      </w:r>
    </w:p>
    <w:p>
      <w:pPr>
        <w:pStyle w:val="TextBody"/>
        <w:bidi w:val="0"/>
        <w:spacing w:lineRule="auto" w:line="300" w:before="0" w:after="2"/>
        <w:jc w:val="both"/>
        <w:rPr/>
      </w:pPr>
      <w:r>
        <w:rPr>
          <w:rFonts w:ascii="sans-serif" w:hAnsi="sans-serif"/>
          <w:b w:val="false"/>
          <w:i/>
          <w:color w:val="000000"/>
          <w:sz w:val="22"/>
        </w:rPr>
        <w:t>Adjusted EBITDA</w:t>
      </w:r>
      <w:r>
        <w:rPr>
          <w:color w:val="000000"/>
        </w:rPr>
        <w:t xml:space="preserve"> </w:t>
      </w:r>
      <w:r>
        <w:rPr>
          <w:rFonts w:ascii="sans-serif" w:hAnsi="sans-serif"/>
          <w:b w:val="false"/>
          <w:color w:val="000000"/>
          <w:sz w:val="22"/>
        </w:rPr>
        <w:t>is calculated as net (loss) income excluding the effects of expense (benefit) for income taxes; depreciation expense; amortization expense; share-based compensation expense and other long-term incentive compensation; interest expense; interest income; other income, net; change in fair value of warrant liabilities; foreign currency loss (gain), net; litigation related costs; Go-to-Market restructuring; and severance, restructuring and other. Adjusted EBITDA margin represents adjusted EBITDA as a percentage of net sales.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The Company does not provide a reconciliation of its fiscal 2026 adjusted EBITDA guidance to net (loss) income, the most directly comparable forward looking GAAP financial measures, due to the inherent difficulty in forecasting and quantifying certain amounts that are necessary for such reconciliation, which cannot be done without unreasonable efforts, including adjustments that could be made for changes in fair value of warrant liabilities, integration and acquisition-related expenses, amortization expenses, non-cash share-based compensation, gains/losses on foreign currency, and other charges reflected in our reconciliation of historic numbers, the amount of which, based on historical experience, could be significant. The presentation of this financial information is not intended to be considered in isolation or as a substitute for the financial information prepared and presented in accordance with GAAP. The Company's fiscal 2026 adjusted EBITDA guidance is merely an outlook and is not a guarantee of future performance. Stockholders should not rely or place an undue reliance on such forward-looking statements. See “Forward-Looking Statements” for additional information.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Statements of Comprehensive Income (Loss) </w:t>
      </w:r>
      <w:r>
        <w:rPr>
          <w:rFonts w:ascii="sans-serif" w:hAnsi="sans-serif"/>
          <w:b/>
          <w:color w:val="000000"/>
          <w:sz w:val="13"/>
          <w:shd w:fill="FFFFFF" w:val="clear"/>
        </w:rPr>
        <w:t>(1)</w:t>
      </w:r>
    </w:p>
    <w:p>
      <w:pPr>
        <w:pStyle w:val="TextBody"/>
        <w:bidi w:val="0"/>
        <w:spacing w:lineRule="auto" w:line="288" w:before="0" w:after="0"/>
        <w:jc w:val="center"/>
        <w:rPr/>
      </w:pPr>
      <w:r>
        <w:rPr>
          <w:rFonts w:ascii="sans-serif" w:hAnsi="sans-serif"/>
          <w:b/>
          <w:color w:val="000000"/>
          <w:sz w:val="20"/>
          <w:shd w:fill="FFFFFF" w:val="clear"/>
        </w:rPr>
        <w:t>(</w:t>
      </w:r>
      <w:r>
        <w:rPr>
          <w:rFonts w:ascii="sans-serif" w:hAnsi="sans-serif"/>
          <w:b/>
          <w:color w:val="000000"/>
          <w:sz w:val="20"/>
        </w:rPr>
        <w:t>$ in millions</w:t>
      </w:r>
      <w:r>
        <w:rPr>
          <w:rFonts w:ascii="sans-serif" w:hAnsi="sans-serif"/>
          <w:b/>
          <w:color w:val="000000"/>
          <w:sz w:val="20"/>
          <w:shd w:fill="FFFFFF" w:val="clear"/>
        </w:rPr>
        <w:t>, except share and per share amounts)</w: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(Unaudited)</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1500"/>
        <w:gridCol w:w="875"/>
        <w:gridCol w:w="780"/>
        <w:gridCol w:w="380"/>
        <w:gridCol w:w="986"/>
        <w:gridCol w:w="126"/>
        <w:gridCol w:w="126"/>
        <w:gridCol w:w="126"/>
        <w:gridCol w:w="126"/>
        <w:gridCol w:w="380"/>
        <w:gridCol w:w="986"/>
        <w:gridCol w:w="126"/>
        <w:gridCol w:w="109"/>
        <w:gridCol w:w="109"/>
        <w:gridCol w:w="109"/>
        <w:gridCol w:w="331"/>
        <w:gridCol w:w="1035"/>
        <w:gridCol w:w="115"/>
        <w:gridCol w:w="115"/>
        <w:gridCol w:w="115"/>
        <w:gridCol w:w="115"/>
        <w:gridCol w:w="331"/>
        <w:gridCol w:w="1035"/>
        <w:gridCol w:w="169"/>
      </w:tblGrid>
      <w:tr>
        <w:trPr/>
        <w:tc>
          <w:tcPr>
            <w:tcW w:w="150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sans-serif" w:hAnsi="sans-serif"/>
                <w:b/>
                <w:color w:val="231F20"/>
                <w:sz w:val="18"/>
              </w:rPr>
            </w:pPr>
            <w:r>
              <w:rPr>
                <w:rFonts w:ascii="sans-serif" w:hAnsi="sans-serif"/>
                <w:b/>
                <w:color w:val="231F2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sans-serif" w:hAnsi="sans-serif"/>
                <w:b/>
                <w:color w:val="231F20"/>
                <w:sz w:val="18"/>
              </w:rPr>
            </w:pPr>
            <w:r>
              <w:rPr>
                <w:rFonts w:ascii="sans-serif" w:hAnsi="sans-serif"/>
                <w:b/>
                <w:color w:val="231F20"/>
                <w:sz w:val="18"/>
              </w:rPr>
              <w:t>Six Months Ended June 30,</w:t>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Cost of sales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color w:val="231F20"/>
                <w:sz w:val="20"/>
              </w:rPr>
            </w:pPr>
            <w:r>
              <w:rPr>
                <w:rFonts w:ascii="sans-serif" w:hAnsi="sans-serif"/>
                <w:b/>
                <w:color w:val="231F20"/>
                <w:sz w:val="20"/>
              </w:rPr>
              <w:t>Gross profit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97.7 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Operating expenses:</w:t>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Selling and marketing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Research and development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Total operating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45.8 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112.4 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color w:val="231F20"/>
                <w:sz w:val="20"/>
              </w:rPr>
            </w:pPr>
            <w:r>
              <w:rPr>
                <w:rFonts w:ascii="sans-serif" w:hAnsi="sans-serif"/>
                <w:b/>
                <w:color w:val="231F20"/>
                <w:sz w:val="20"/>
              </w:rPr>
              <w:t>Income (loss) from operations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Interest expense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Other income,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Change in fair value of warrant liabilities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Foreign currency transaction loss (gain),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4" w:before="0" w:after="2"/>
              <w:jc w:val="left"/>
              <w:rPr>
                <w:rFonts w:ascii="sans-serif" w:hAnsi="sans-serif"/>
                <w:b/>
                <w:color w:val="231F20"/>
                <w:sz w:val="20"/>
              </w:rPr>
            </w:pPr>
            <w:r>
              <w:rPr>
                <w:rFonts w:ascii="sans-serif" w:hAnsi="sans-serif"/>
                <w:b/>
                <w:color w:val="231F20"/>
                <w:sz w:val="20"/>
              </w:rPr>
              <w:t>(Loss) income before provision for income taxes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(8.3)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Income tax expense (benefit)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val="false"/>
                <w:color w:val="231F20"/>
                <w:sz w:val="20"/>
              </w:rPr>
            </w:pPr>
            <w:r>
              <w:rPr>
                <w:rFonts w:ascii="sans-serif" w:hAnsi="sans-serif"/>
                <w:b w:val="false"/>
                <w:color w:val="231F20"/>
                <w:sz w:val="20"/>
              </w:rPr>
              <w:t>Net (loss)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Comprehensive (loss) income, net of tax:</w:t>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Foreign currency translation adjustments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sans-serif" w:hAnsi="sans-serif"/>
                <w:b/>
                <w:color w:val="231F20"/>
                <w:sz w:val="20"/>
              </w:rPr>
            </w:pPr>
            <w:r>
              <w:rPr>
                <w:rFonts w:ascii="sans-serif" w:hAnsi="sans-serif"/>
                <w:b/>
                <w:color w:val="231F20"/>
                <w:sz w:val="20"/>
              </w:rPr>
              <w:t>Comprehensive (loss) income</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14.4</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Net (loss) income per share</w:t>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Basic</w:t>
            </w:r>
          </w:p>
        </w:tc>
        <w:tc>
          <w:tcPr>
            <w:tcW w:w="3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0.08</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Diluted</w:t>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(0.02)</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Weighted average common shares outstanding</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129,596,886 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126,072,603 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128,699,733 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125,578,780 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ans-serif" w:hAnsi="sans-serif"/>
                <w:b w:val="false"/>
                <w:color w:val="231F20"/>
                <w:sz w:val="20"/>
              </w:rPr>
            </w:pPr>
            <w:r>
              <w:rPr>
                <w:rFonts w:ascii="sans-serif" w:hAnsi="sans-serif"/>
                <w:b w:val="false"/>
                <w:color w:val="231F20"/>
                <w:sz w:val="20"/>
              </w:rPr>
              <w:t>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129,596,886 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140,294,291 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128,699,733 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140,589,807 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Balance Sheets </w:t>
      </w:r>
      <w:r>
        <w:rPr>
          <w:rFonts w:ascii="sans-serif" w:hAnsi="sans-serif"/>
          <w:b/>
          <w:color w:val="000000"/>
          <w:sz w:val="13"/>
          <w:shd w:fill="FFFFFF" w:val="clear"/>
        </w:rPr>
        <w:t>(1)</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in millions)</w:t>
      </w:r>
    </w:p>
    <w:p>
      <w:pPr>
        <w:pStyle w:val="TextBody"/>
        <w:bidi w:val="0"/>
        <w:spacing w:lineRule="auto" w:line="288" w:before="0" w:after="2"/>
        <w:jc w:val="center"/>
        <w:rPr>
          <w:rFonts w:ascii="sans-serif" w:hAnsi="sans-serif"/>
          <w:b/>
          <w:color w:val="000000"/>
          <w:sz w:val="20"/>
          <w:shd w:fill="FFFFFF" w:val="clear"/>
        </w:rPr>
      </w:pPr>
      <w:r>
        <w:rPr>
          <w:rFonts w:ascii="sans-serif" w:hAnsi="sans-serif"/>
          <w:b/>
          <w:color w:val="000000"/>
          <w:sz w:val="20"/>
          <w:shd w:fill="FFFFFF" w:val="clear"/>
        </w:rPr>
        <w:t>(Unaudited)</w:t>
      </w:r>
    </w:p>
    <w:tbl>
      <w:tblPr>
        <w:tblW w:w="8680" w:type="dxa"/>
        <w:jc w:val="center"/>
        <w:tblInd w:w="0" w:type="dxa"/>
        <w:tblLayout w:type="fixed"/>
        <w:tblCellMar>
          <w:top w:w="28" w:type="dxa"/>
          <w:left w:w="28" w:type="dxa"/>
          <w:bottom w:w="28" w:type="dxa"/>
          <w:right w:w="28" w:type="dxa"/>
        </w:tblCellMar>
      </w:tblPr>
      <w:tblGrid>
        <w:gridCol w:w="1731"/>
        <w:gridCol w:w="1522"/>
        <w:gridCol w:w="1531"/>
        <w:gridCol w:w="319"/>
        <w:gridCol w:w="997"/>
        <w:gridCol w:w="154"/>
        <w:gridCol w:w="109"/>
        <w:gridCol w:w="109"/>
        <w:gridCol w:w="109"/>
        <w:gridCol w:w="435"/>
        <w:gridCol w:w="1365"/>
        <w:gridCol w:w="299"/>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December 31, 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assets: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w:t>
            </w:r>
          </w:p>
        </w:tc>
        <w:tc>
          <w:tcPr>
            <w:tcW w:w="3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70"/>
              <w:jc w:val="right"/>
              <w:rPr>
                <w:rFonts w:ascii="sans-serif" w:hAnsi="sans-serif"/>
                <w:b w:val="false"/>
                <w:color w:val="231F20"/>
                <w:sz w:val="20"/>
              </w:rPr>
            </w:pPr>
            <w:r>
              <w:rPr>
                <w:rFonts w:ascii="sans-serif" w:hAnsi="sans-serif"/>
                <w:b w:val="false"/>
                <w:color w:val="231F20"/>
                <w:sz w:val="20"/>
              </w:rPr>
              <w:t>232.7</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70"/>
              <w:jc w:val="left"/>
              <w:rPr>
                <w:rFonts w:ascii="sans-serif" w:hAnsi="sans-serif"/>
                <w:b w:val="false"/>
                <w:color w:val="231F20"/>
                <w:sz w:val="20"/>
              </w:rPr>
            </w:pPr>
            <w:r>
              <w:rPr>
                <w:rFonts w:ascii="sans-serif" w:hAnsi="sans-serif"/>
                <w:b w:val="false"/>
                <w:color w:val="231F20"/>
                <w:sz w:val="20"/>
              </w:rPr>
              <w:t>Accounts receivable, net</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21.7</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Inventories </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48.0</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Income tax receivable </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1.7</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Prepaid expenses and other current assets</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Total current assets</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309.5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Property and equipment, net</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2.5</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Right-of-use assets, net</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Intangible assets, net </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35.8</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Goodwill</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Deferred income tax assets, net</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Other assets </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ASSETS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499.8</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1" w:before="36" w:after="2"/>
              <w:jc w:val="left"/>
              <w:rPr>
                <w:rFonts w:ascii="sans-serif" w:hAnsi="sans-serif"/>
                <w:b/>
                <w:color w:val="231F20"/>
                <w:sz w:val="20"/>
              </w:rPr>
            </w:pPr>
            <w:r>
              <w:rPr>
                <w:rFonts w:ascii="sans-serif" w:hAnsi="sans-serif"/>
                <w:b/>
                <w:color w:val="231F20"/>
                <w:sz w:val="20"/>
              </w:rPr>
              <w:t>LIABILITIES AND STOCKHOLDERS’ EQUITY</w:t>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liabilities: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Current portion of convertible senior notes, net</w:t>
            </w:r>
          </w:p>
        </w:tc>
        <w:tc>
          <w:tcPr>
            <w:tcW w:w="3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124.0</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payable</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15.6</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Accrued payroll-related expenses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Lease liabilities, current</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Income tax payable</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accrued expenses</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15.4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Total current liabilities </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186.3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Lease liabilities, non-current</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9.2</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Deferred income tax liabilities, net </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0.4</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Convertible senior notes, net</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240.4</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long-term liabilities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LIABILITIES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438.7</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Stockholders’ equity:</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sans-serif" w:hAnsi="sans-serif"/>
                <w:b w:val="false"/>
                <w:color w:val="231F20"/>
                <w:sz w:val="20"/>
              </w:rPr>
            </w:pPr>
            <w:r>
              <w:rPr>
                <w:rFonts w:ascii="sans-serif" w:hAnsi="sans-serif"/>
                <w:b w:val="false"/>
                <w:color w:val="231F20"/>
                <w:sz w:val="20"/>
              </w:rPr>
              <w:t>Class A Common Stock</w:t>
            </w:r>
          </w:p>
        </w:tc>
        <w:tc>
          <w:tcPr>
            <w:tcW w:w="3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231F20"/>
              </w:rPr>
            </w:pPr>
            <w:r>
              <w:rPr>
                <w:color w:val="231F2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 xml:space="preserve">Additional paid-in capital </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580.0 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Accumulated other comprehensive loss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Accumulated deficit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(517.5)</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231F20"/>
                <w:sz w:val="20"/>
              </w:rPr>
            </w:pPr>
            <w:r>
              <w:rPr>
                <w:rFonts w:ascii="sans-serif" w:hAnsi="sans-serif"/>
                <w:b/>
                <w:color w:val="231F20"/>
                <w:sz w:val="20"/>
              </w:rPr>
              <w:t>Total stockholders’ equity</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61.1 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231F20"/>
              </w:rPr>
            </w:pPr>
            <w:r>
              <w:rPr>
                <w:color w:val="231F20"/>
              </w:rPr>
              <w:t> </w:t>
            </w:r>
            <w:r>
              <w:rPr>
                <w:rFonts w:ascii="sans-serif" w:hAnsi="sans-serif"/>
                <w:b/>
                <w:color w:val="231F20"/>
                <w:sz w:val="20"/>
              </w:rPr>
              <w:t>LIABILITIES AND STOCKHOLDERS’ EQUITY</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486.6 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1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499.8 </w:t>
            </w:r>
          </w:p>
        </w:tc>
        <w:tc>
          <w:tcPr>
            <w:tcW w:w="2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SkinHealth Systems Inc.</w:t>
      </w:r>
    </w:p>
    <w:p>
      <w:pPr>
        <w:pStyle w:val="TextBody"/>
        <w:bidi w:val="0"/>
        <w:spacing w:lineRule="auto" w:line="288" w:before="0" w:after="0"/>
        <w:jc w:val="center"/>
        <w:rPr/>
      </w:pPr>
      <w:r>
        <w:rPr>
          <w:rFonts w:ascii="sans-serif" w:hAnsi="sans-serif"/>
          <w:b/>
          <w:color w:val="000000"/>
          <w:sz w:val="20"/>
        </w:rPr>
        <w:t>Condensed Consolidated</w:t>
      </w:r>
      <w:r>
        <w:rPr>
          <w:color w:val="000000"/>
          <w:shd w:fill="FFFFFF" w:val="clear"/>
        </w:rPr>
        <w:t xml:space="preserve"> </w:t>
      </w:r>
      <w:r>
        <w:rPr>
          <w:rFonts w:ascii="sans-serif" w:hAnsi="sans-serif"/>
          <w:b/>
          <w:color w:val="000000"/>
          <w:sz w:val="20"/>
          <w:shd w:fill="FFFFFF" w:val="clear"/>
        </w:rPr>
        <w:t xml:space="preserve">Statement of Cash Flows </w:t>
      </w:r>
      <w:r>
        <w:rPr>
          <w:rFonts w:ascii="sans-serif" w:hAnsi="sans-serif"/>
          <w:b/>
          <w:color w:val="000000"/>
          <w:sz w:val="13"/>
          <w:shd w:fill="FFFFFF" w:val="clear"/>
        </w:rPr>
        <w:t>(1)</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in millions)</w:t>
      </w:r>
    </w:p>
    <w:p>
      <w:pPr>
        <w:pStyle w:val="TextBody"/>
        <w:bidi w:val="0"/>
        <w:spacing w:lineRule="auto" w:line="288" w:before="0" w:after="2"/>
        <w:jc w:val="center"/>
        <w:rPr>
          <w:rFonts w:ascii="sans-serif" w:hAnsi="sans-serif"/>
          <w:b/>
          <w:color w:val="000000"/>
          <w:sz w:val="20"/>
          <w:shd w:fill="FFFFFF" w:val="clear"/>
        </w:rPr>
      </w:pPr>
      <w:r>
        <w:rPr>
          <w:rFonts w:ascii="sans-serif" w:hAnsi="sans-serif"/>
          <w:b/>
          <w:color w:val="000000"/>
          <w:sz w:val="20"/>
          <w:shd w:fill="FFFFFF" w:val="clear"/>
        </w:rPr>
        <w:t>(Unaudited)</w:t>
      </w:r>
    </w:p>
    <w:p>
      <w:pPr>
        <w:pStyle w:val="TextBody"/>
        <w:bidi w:val="0"/>
        <w:spacing w:before="0" w:after="2"/>
        <w:jc w:val="center"/>
        <w:rPr/>
      </w:pPr>
      <w:r>
        <w:rPr/>
      </w:r>
    </w:p>
    <w:tbl>
      <w:tblPr>
        <w:tblW w:w="9618" w:type="dxa"/>
        <w:jc w:val="center"/>
        <w:tblInd w:w="0" w:type="dxa"/>
        <w:tblLayout w:type="fixed"/>
        <w:tblCellMar>
          <w:top w:w="28" w:type="dxa"/>
          <w:left w:w="28" w:type="dxa"/>
          <w:bottom w:w="28" w:type="dxa"/>
          <w:right w:w="28" w:type="dxa"/>
        </w:tblCellMar>
      </w:tblPr>
      <w:tblGrid>
        <w:gridCol w:w="2399"/>
        <w:gridCol w:w="2113"/>
        <w:gridCol w:w="2118"/>
        <w:gridCol w:w="266"/>
        <w:gridCol w:w="831"/>
        <w:gridCol w:w="128"/>
        <w:gridCol w:w="128"/>
        <w:gridCol w:w="128"/>
        <w:gridCol w:w="128"/>
        <w:gridCol w:w="266"/>
        <w:gridCol w:w="831"/>
        <w:gridCol w:w="128"/>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
              <w:jc w:val="left"/>
              <w:rPr/>
            </w:pPr>
            <w:r>
              <w:rPr/>
            </w:r>
          </w:p>
        </w:tc>
        <w:tc>
          <w:tcPr>
            <w:tcW w:w="283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 at beginning of period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232.7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370.1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Operating activities: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4" w:before="0" w:after="2"/>
              <w:jc w:val="left"/>
              <w:rPr>
                <w:rFonts w:ascii="sans-serif" w:hAnsi="sans-serif"/>
                <w:b w:val="false"/>
                <w:color w:val="231F20"/>
                <w:sz w:val="20"/>
              </w:rPr>
            </w:pPr>
            <w:r>
              <w:rPr>
                <w:rFonts w:ascii="sans-serif" w:hAnsi="sans-serif"/>
                <w:b w:val="false"/>
                <w:color w:val="231F20"/>
                <w:sz w:val="20"/>
              </w:rPr>
              <w:t>Net (loss)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Non-cash adjustments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Change in operating assets and liabilities:</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receivable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Prepaid expenses, other current assets, and income tax receivable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(17.6)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Accounts payable, accrued expenses, and income tax payable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Other,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(3.8)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provided by operating activities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12.6 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investing activities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cash used for financing activities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Net change in cash, cash equivalents, and restricted cash</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(163.7)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Effect of foreign currency translation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231F20"/>
                <w:sz w:val="20"/>
              </w:rPr>
            </w:pPr>
            <w:r>
              <w:rPr>
                <w:rFonts w:ascii="sans-serif" w:hAnsi="sans-serif"/>
                <w:b w:val="false"/>
                <w:color w:val="231F20"/>
                <w:sz w:val="20"/>
              </w:rPr>
              <w:t>Cash, cash equivalents, and restricted cash at end of period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206.1 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212.0 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pPr>
      <w:r>
        <w:rPr>
          <w:rFonts w:ascii="sans-serif" w:hAnsi="sans-serif"/>
          <w:b w:val="false"/>
          <w:color w:val="000000"/>
          <w:sz w:val="22"/>
          <w:shd w:fill="FFFFFF" w:val="clear"/>
        </w:rPr>
        <w:t xml:space="preserve">The following table reconciles gross </w:t>
      </w:r>
      <w:r>
        <w:rPr>
          <w:rFonts w:ascii="sans-serif" w:hAnsi="sans-serif"/>
          <w:b w:val="false"/>
          <w:color w:val="000000"/>
          <w:sz w:val="22"/>
        </w:rPr>
        <w:t>profit</w:t>
      </w:r>
      <w:r>
        <w:rPr>
          <w:color w:val="000000"/>
          <w:shd w:fill="FFFFFF" w:val="clear"/>
        </w:rPr>
        <w:t xml:space="preserve"> </w:t>
      </w:r>
      <w:r>
        <w:rPr>
          <w:rFonts w:ascii="sans-serif" w:hAnsi="sans-serif"/>
          <w:b w:val="false"/>
          <w:color w:val="000000"/>
          <w:sz w:val="22"/>
          <w:shd w:fill="FFFFFF" w:val="clear"/>
        </w:rPr>
        <w:t>to adjusted gross profit for the periods presented:</w:t>
      </w:r>
    </w:p>
    <w:tbl>
      <w:tblPr>
        <w:tblW w:w="10205" w:type="dxa"/>
        <w:jc w:val="left"/>
        <w:tblInd w:w="0" w:type="dxa"/>
        <w:tblLayout w:type="fixed"/>
        <w:tblCellMar>
          <w:top w:w="28" w:type="dxa"/>
          <w:left w:w="28" w:type="dxa"/>
          <w:bottom w:w="28" w:type="dxa"/>
          <w:right w:w="28" w:type="dxa"/>
        </w:tblCellMar>
      </w:tblPr>
      <w:tblGrid>
        <w:gridCol w:w="1647"/>
        <w:gridCol w:w="1316"/>
        <w:gridCol w:w="1319"/>
        <w:gridCol w:w="247"/>
        <w:gridCol w:w="640"/>
        <w:gridCol w:w="312"/>
        <w:gridCol w:w="119"/>
        <w:gridCol w:w="119"/>
        <w:gridCol w:w="119"/>
        <w:gridCol w:w="247"/>
        <w:gridCol w:w="640"/>
        <w:gridCol w:w="312"/>
        <w:gridCol w:w="109"/>
        <w:gridCol w:w="109"/>
        <w:gridCol w:w="109"/>
        <w:gridCol w:w="228"/>
        <w:gridCol w:w="713"/>
        <w:gridCol w:w="288"/>
        <w:gridCol w:w="109"/>
        <w:gridCol w:w="109"/>
        <w:gridCol w:w="109"/>
        <w:gridCol w:w="228"/>
        <w:gridCol w:w="713"/>
        <w:gridCol w:w="344"/>
      </w:tblGrid>
      <w:tr>
        <w:trPr/>
        <w:tc>
          <w:tcPr>
            <w:tcW w:w="164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Six Months Ended June 30,</w:t>
            </w:r>
          </w:p>
        </w:tc>
      </w:tr>
      <w:tr>
        <w:trPr/>
        <w:tc>
          <w:tcPr>
            <w:tcW w:w="4282"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72.1 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78.2 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137.0 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147.8 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93.8 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97.7 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margin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68.4 </w:t>
            </w:r>
          </w:p>
        </w:tc>
        <w:tc>
          <w:tcPr>
            <w:tcW w:w="31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62.8 </w:t>
            </w:r>
          </w:p>
        </w:tc>
        <w:tc>
          <w:tcPr>
            <w:tcW w:w="31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68.4 </w:t>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66.1 </w:t>
            </w:r>
          </w:p>
        </w:tc>
        <w:tc>
          <w:tcPr>
            <w:tcW w:w="3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gross profit</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98.7 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101.6 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gross margin</w:t>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71.8 </w:t>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65.9 </w:t>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72.0 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68.7 </w:t>
            </w:r>
          </w:p>
        </w:tc>
        <w:tc>
          <w:tcPr>
            <w:tcW w:w="3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288" w:before="0" w:after="0"/>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following table reconciles total operating expenses to adjusted operating expenses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3"/>
        <w:gridCol w:w="1449"/>
        <w:gridCol w:w="1453"/>
        <w:gridCol w:w="271"/>
        <w:gridCol w:w="703"/>
        <w:gridCol w:w="130"/>
        <w:gridCol w:w="130"/>
        <w:gridCol w:w="130"/>
        <w:gridCol w:w="130"/>
        <w:gridCol w:w="271"/>
        <w:gridCol w:w="703"/>
        <w:gridCol w:w="130"/>
        <w:gridCol w:w="109"/>
        <w:gridCol w:w="109"/>
        <w:gridCol w:w="109"/>
        <w:gridCol w:w="250"/>
        <w:gridCol w:w="649"/>
        <w:gridCol w:w="120"/>
        <w:gridCol w:w="120"/>
        <w:gridCol w:w="120"/>
        <w:gridCol w:w="120"/>
        <w:gridCol w:w="250"/>
        <w:gridCol w:w="782"/>
        <w:gridCol w:w="184"/>
      </w:tblGrid>
      <w:tr>
        <w:trPr/>
        <w:tc>
          <w:tcPr>
            <w:tcW w:w="178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Six Months Ended June 30,</w:t>
            </w:r>
          </w:p>
        </w:tc>
      </w:tr>
      <w:tr>
        <w:trPr/>
        <w:tc>
          <w:tcPr>
            <w:tcW w:w="468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r>
      <w:tr>
        <w:trPr/>
        <w:tc>
          <w:tcPr>
            <w:tcW w:w="46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6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685"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operating expenses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45.8 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51.8 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112.4 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Litigation related costs </w:t>
            </w:r>
            <w:r>
              <w:rPr>
                <w:rFonts w:ascii="sans-serif" w:hAnsi="sans-serif"/>
                <w:b w:val="false"/>
                <w:color w:val="000000"/>
                <w:sz w:val="13"/>
              </w:rPr>
              <w:t>(3)</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Go-to-Market restructuring </w:t>
            </w:r>
            <w:r>
              <w:rPr>
                <w:rFonts w:ascii="sans-serif" w:hAnsi="sans-serif"/>
                <w:b w:val="false"/>
                <w:color w:val="000000"/>
                <w:sz w:val="13"/>
              </w:rPr>
              <w:t>(4)</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Severance, restructuring and 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operating expenses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80.4 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 that can be settled in either cash or Common Stock.</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(3)Includes the proposed settlement in the Securities Class Action suit.</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(4)Includes costs associated with transition to a distributor model in the China and Australia and New Zealand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0" w:after="0"/>
        <w:jc w:val="left"/>
        <w:rPr/>
      </w:pPr>
      <w:r>
        <w:rPr>
          <w:rFonts w:ascii="sans-serif" w:hAnsi="sans-serif"/>
          <w:b w:val="false"/>
          <w:color w:val="000000"/>
          <w:sz w:val="22"/>
          <w:shd w:fill="FFFFFF" w:val="clear"/>
        </w:rPr>
        <w:t xml:space="preserve">The following table reconciles </w:t>
      </w:r>
      <w:r>
        <w:rPr>
          <w:rFonts w:ascii="sans-serif" w:hAnsi="sans-serif"/>
          <w:b w:val="false"/>
          <w:color w:val="000000"/>
          <w:sz w:val="22"/>
        </w:rPr>
        <w:t>net (loss) income</w:t>
      </w:r>
      <w:r>
        <w:rPr>
          <w:color w:val="000000"/>
          <w:shd w:fill="FFFFFF" w:val="clear"/>
        </w:rPr>
        <w:t xml:space="preserve"> </w:t>
      </w:r>
      <w:r>
        <w:rPr>
          <w:rFonts w:ascii="sans-serif" w:hAnsi="sans-serif"/>
          <w:b w:val="false"/>
          <w:color w:val="000000"/>
          <w:sz w:val="22"/>
        </w:rPr>
        <w:t>to adju</w:t>
      </w:r>
      <w:r>
        <w:rPr>
          <w:rFonts w:ascii="sans-serif" w:hAnsi="sans-serif"/>
          <w:b w:val="false"/>
          <w:color w:val="000000"/>
          <w:sz w:val="22"/>
          <w:shd w:fill="FFFFFF" w:val="clear"/>
        </w:rPr>
        <w:t xml:space="preserve">sted EBITDA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7"/>
        <w:gridCol w:w="1316"/>
        <w:gridCol w:w="1320"/>
        <w:gridCol w:w="247"/>
        <w:gridCol w:w="640"/>
        <w:gridCol w:w="312"/>
        <w:gridCol w:w="119"/>
        <w:gridCol w:w="119"/>
        <w:gridCol w:w="119"/>
        <w:gridCol w:w="247"/>
        <w:gridCol w:w="640"/>
        <w:gridCol w:w="312"/>
        <w:gridCol w:w="109"/>
        <w:gridCol w:w="109"/>
        <w:gridCol w:w="109"/>
        <w:gridCol w:w="228"/>
        <w:gridCol w:w="713"/>
        <w:gridCol w:w="288"/>
        <w:gridCol w:w="109"/>
        <w:gridCol w:w="109"/>
        <w:gridCol w:w="109"/>
        <w:gridCol w:w="228"/>
        <w:gridCol w:w="713"/>
        <w:gridCol w:w="343"/>
      </w:tblGrid>
      <w:tr>
        <w:trPr/>
        <w:tc>
          <w:tcPr>
            <w:tcW w:w="164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8"/>
              </w:rPr>
            </w:pPr>
            <w:r>
              <w:rPr>
                <w:rFonts w:ascii="sans-serif" w:hAnsi="sans-serif"/>
                <w:b/>
                <w:color w:val="000000"/>
                <w:sz w:val="18"/>
              </w:rPr>
              <w:t>Six Months Ended June 30,</w:t>
            </w:r>
          </w:p>
        </w:tc>
      </w:tr>
      <w:tr>
        <w:trPr/>
        <w:tc>
          <w:tcPr>
            <w:tcW w:w="4283"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color w:val="000000"/>
                <w:sz w:val="20"/>
              </w:rPr>
              <w:t>Unaudited ($ in millions)</w:t>
            </w:r>
            <w:r>
              <w:rPr>
                <w:color w:val="000000"/>
              </w:rPr>
              <w:t xml:space="preserve"> </w:t>
            </w:r>
            <w:r>
              <w:rPr>
                <w:rFonts w:ascii="sans-serif" w:hAnsi="sans-serif"/>
                <w:b/>
                <w:color w:val="000000"/>
                <w:sz w:val="13"/>
              </w:rPr>
              <w:t>(1)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231F20"/>
                <w:sz w:val="18"/>
              </w:rPr>
            </w:pPr>
            <w:r>
              <w:rPr>
                <w:rFonts w:ascii="sans-serif" w:hAnsi="sans-serif"/>
                <w:b/>
                <w:color w:val="231F20"/>
                <w:sz w:val="18"/>
              </w:rPr>
              <w:t>2025</w:t>
            </w:r>
          </w:p>
        </w:tc>
      </w:tr>
      <w:tr>
        <w:trPr/>
        <w:tc>
          <w:tcPr>
            <w:tcW w:w="4283"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sales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income</w:t>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(2.7)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19.7 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231F20"/>
                <w:sz w:val="20"/>
              </w:rPr>
            </w:pPr>
            <w:r>
              <w:rPr>
                <w:rFonts w:ascii="sans-serif" w:hAnsi="sans-serif"/>
                <w:b w:val="false"/>
                <w:color w:val="231F20"/>
                <w:sz w:val="20"/>
              </w:rPr>
              <w:t>9.6 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income margin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w:t>
            </w:r>
          </w:p>
        </w:tc>
        <w:tc>
          <w:tcPr>
            <w:tcW w:w="31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25.2 </w:t>
            </w:r>
          </w:p>
        </w:tc>
        <w:tc>
          <w:tcPr>
            <w:tcW w:w="31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w:t>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6.5 </w:t>
            </w:r>
          </w:p>
        </w:tc>
        <w:tc>
          <w:tcPr>
            <w:tcW w:w="3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to exclude the following:</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Expense (benefit)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Amortization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Share-based compensation expense and other long-term incentive compensation </w:t>
            </w:r>
            <w:r>
              <w:rPr>
                <w:rFonts w:ascii="sans-serif" w:hAnsi="sans-serif"/>
                <w:b w:val="false"/>
                <w:color w:val="000000"/>
                <w:sz w:val="13"/>
              </w:rPr>
              <w:t>(2)</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Change in fair value of warrant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Foreign currency loss (gain),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Litigation related costs </w:t>
            </w:r>
            <w:r>
              <w:rPr>
                <w:rFonts w:ascii="sans-serif" w:hAnsi="sans-serif"/>
                <w:b w:val="false"/>
                <w:color w:val="000000"/>
                <w:sz w:val="13"/>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sans-serif" w:hAnsi="sans-serif"/>
                <w:b w:val="false"/>
                <w:color w:val="000000"/>
                <w:sz w:val="20"/>
              </w:rPr>
              <w:t xml:space="preserve">Go-to-Market restructuring </w:t>
            </w:r>
            <w:r>
              <w:rPr>
                <w:rFonts w:ascii="sans-serif" w:hAnsi="sans-serif"/>
                <w:b w:val="false"/>
                <w:color w:val="000000"/>
                <w:sz w:val="13"/>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28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Severance, restructuring and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 margin</w:t>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23.6 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17.8 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18.6 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14.3 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(1)Amounts may not sum due to rounding.</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(2)Includes expense associated with long-term cash performance awards that can be settled in either cash or Common Stock.</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(3)Includes the proposed settlement in the Securities Class Action suit.</w:t>
      </w:r>
    </w:p>
    <w:p>
      <w:pPr>
        <w:pStyle w:val="TextBody"/>
        <w:bidi w:val="0"/>
        <w:spacing w:lineRule="auto" w:line="300" w:before="0" w:after="2"/>
        <w:ind w:left="0" w:right="0" w:hanging="360"/>
        <w:jc w:val="left"/>
        <w:rPr>
          <w:rFonts w:ascii="sans-serif" w:hAnsi="sans-serif"/>
          <w:b w:val="false"/>
          <w:color w:val="000000"/>
          <w:sz w:val="18"/>
        </w:rPr>
      </w:pPr>
      <w:r>
        <w:rPr>
          <w:rFonts w:ascii="sans-serif" w:hAnsi="sans-serif"/>
          <w:b w:val="false"/>
          <w:color w:val="000000"/>
          <w:sz w:val="18"/>
        </w:rPr>
        <w:t>(4)Includes costs associated with transition to a distributor model in the China and Australia and New Zealand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300" w:before="0" w:after="120"/>
        <w:jc w:val="left"/>
        <w:rPr>
          <w:rFonts w:ascii="sans-serif" w:hAnsi="sans-serif"/>
          <w:b/>
          <w:color w:val="000000"/>
          <w:sz w:val="22"/>
          <w:shd w:fill="FFFFFF" w:val="clear"/>
        </w:rPr>
      </w:pPr>
      <w:r>
        <w:rPr>
          <w:rFonts w:ascii="sans-serif" w:hAnsi="sans-serif"/>
          <w:b/>
          <w:color w:val="000000"/>
          <w:sz w:val="22"/>
          <w:shd w:fill="FFFFFF" w:val="clear"/>
        </w:rPr>
        <w:t>About SkinHealth Systems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SkinHealth Systems (NASDAQ: SKIN)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with Keravive™, SkinHealth Systems combines advanced device technology, proprietary consumables, and clinical validation to deliver trusted treatment experiences through an omnichannel network of providers worldwide. Learn more at skinhealthsystems.com or follow us on LinkedIn. Local providers can be found at hydrafacial.com/find-a-hydrafacialist.</w:t>
      </w:r>
    </w:p>
    <w:p>
      <w:pPr>
        <w:pStyle w:val="TextBody"/>
        <w:bidi w:val="0"/>
        <w:spacing w:before="0" w:after="0"/>
        <w:jc w:val="left"/>
        <w:rPr/>
      </w:pPr>
      <w:r>
        <w:rPr/>
      </w:r>
    </w:p>
    <w:p>
      <w:pPr>
        <w:pStyle w:val="TextBody"/>
        <w:bidi w:val="0"/>
        <w:spacing w:lineRule="auto" w:line="300" w:before="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Certain statements made in this release are “forward-looking statements” within the meaning of the “safe harbor” provisions of the United States Private Securities Litigation Reform Act of 1995 and within the meaning of Section 27A of the Securities Act of 1933, as amended, and Section 21E of the Securities Exchange Act of 1934, as amended, including statements regarding SkinHealth Systems Inc.’s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shd w:fill="FFFFFF" w:val="clear"/>
        </w:rPr>
      </w:pPr>
      <w:r>
        <w:rPr>
          <w:rFonts w:ascii="sans-serif" w:hAnsi="sans-serif"/>
          <w:b w:val="false"/>
          <w:color w:val="000000"/>
          <w:sz w:val="22"/>
          <w:shd w:fill="FFFFFF" w:val="clear"/>
        </w:rPr>
        <w:t>These forward-looking statements are not guarantees of future performance, conditions or results, and involve a number of known and unknown risks, uncertainties, assumptions and other important factors, many of which are outside SkinHealth Systems Inc.’s control, that could cause actual results or outcomes to differ materially from those discussed in the forward-looking statements. As such, readers are cautioned not to place undue reliance on any forward-looking statements.</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shd w:fill="FFFFFF" w:val="clear"/>
        </w:rPr>
      </w:pPr>
      <w:r>
        <w:rPr>
          <w:rFonts w:ascii="sans-serif" w:hAnsi="sans-serif"/>
          <w:b w:val="false"/>
          <w:color w:val="000000"/>
          <w:sz w:val="22"/>
          <w:shd w:fill="FFFFFF" w:val="clear"/>
        </w:rPr>
        <w:t>Important factors that may affect actual results or outcomes include, among others: SkinHealth Systems Inc.’s ability to manage growth; SkinHealth Systems Inc.’s ability to execute its business plan; potential negative reactions or outcomes related to the Company’s name change in general and focused shift in operations; potential litigation involving SkinHealth Systems Inc.; changes in applicable laws or regulations; the possibility that SkinHealth Systems Inc. may be adversely affected by other economic, business, and/or competitive factors; risks relating to unfavorable macroeconomic and credit conditions and longer equipment sales cycles; the timing of distributor orders and distributor-model transitions, including in Australia and New Zealand; tariffs, trade restrictions, and foreign currency fluctuations; the Company's debt service obligations and the October 2026 maturity of its 1.25% Convertible Senior Notes; the Company's continued listing on The Nasdaq Capital Market, including the minimum bid price deficiency and the proposed reverse stock split; and the proposed settlement of the Company's securities class action and related cash obligations; and other risks and uncertainties set forth in the sections entitled “Risk Factors” and “Cautionary Note Regarding Forward-Looking Statements” in the Company’s Annual Report on Form 10-K for the year ended December 31, 2025 filed with the U.S. Securities and Exchange Commission (the “SEC”) and in the Company’s subsequent filings with the SEC such as on a Quarterly Report on Form 10-Q. Those risks continue to be relevant to the Company's performance and financial condition. Moreover, the Company operates in a very competitive and rapidly changing environment. New risk factors emerge from time-to-time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SkinHealth Systems Inc. expressly disclaims any responsibility to update forward-looking statements, whether as a result of new information, future events or otherwise.</w:t>
      </w:r>
    </w:p>
    <w:p>
      <w:pPr>
        <w:pStyle w:val="TextBody"/>
        <w:bidi w:val="0"/>
        <w:spacing w:before="0" w:after="2"/>
        <w:jc w:val="left"/>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2560"/>
                <wp:effectExtent l="0" t="0" r="0" b="0"/>
                <wp:wrapNone/>
                <wp:docPr id="13"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300" w:before="0" w:after="2"/>
        <w:jc w:val="left"/>
        <w:rPr>
          <w:rFonts w:ascii="sans-serif" w:hAnsi="sans-serif"/>
          <w:b/>
          <w:color w:val="000000"/>
          <w:sz w:val="22"/>
          <w:shd w:fill="FFFFFF" w:val="clear"/>
        </w:rPr>
      </w:pPr>
      <w:r>
        <w:rPr>
          <w:rFonts w:ascii="sans-serif" w:hAnsi="sans-serif"/>
          <w:b/>
          <w:color w:val="000000"/>
          <w:sz w:val="22"/>
          <w:shd w:fill="FFFFFF" w:val="clear"/>
        </w:rPr>
        <w:t>Contacts</w:t>
      </w:r>
    </w:p>
    <w:p>
      <w:pPr>
        <w:pStyle w:val="TextBody"/>
        <w:bidi w:val="0"/>
        <w:spacing w:lineRule="auto" w:line="300" w:before="0" w:after="60"/>
        <w:jc w:val="left"/>
        <w:rPr>
          <w:rFonts w:ascii="sans-serif" w:hAnsi="sans-serif"/>
          <w:b w:val="false"/>
          <w:color w:val="000000"/>
          <w:sz w:val="22"/>
          <w:shd w:fill="FFFFFF" w:val="clear"/>
        </w:rPr>
      </w:pPr>
      <w:r>
        <w:rPr>
          <w:rFonts w:ascii="sans-serif" w:hAnsi="sans-serif"/>
          <w:b w:val="false"/>
          <w:color w:val="000000"/>
          <w:sz w:val="22"/>
          <w:shd w:fill="FFFFFF" w:val="clear"/>
        </w:rPr>
        <w:t>Press: press@skinhealthsystems.com</w:t>
      </w:r>
    </w:p>
    <w:p>
      <w:pPr>
        <w:pStyle w:val="TextBody"/>
        <w:bidi w:val="0"/>
        <w:spacing w:lineRule="auto" w:line="300" w:before="0" w:after="2"/>
        <w:jc w:val="left"/>
        <w:rPr>
          <w:rFonts w:ascii="sans-serif" w:hAnsi="sans-serif"/>
          <w:b w:val="false"/>
          <w:color w:val="000000"/>
          <w:sz w:val="22"/>
          <w:shd w:fill="FFFFFF" w:val="clear"/>
        </w:rPr>
      </w:pPr>
      <w:r>
        <w:rPr>
          <w:rFonts w:ascii="sans-serif" w:hAnsi="sans-serif"/>
          <w:b w:val="false"/>
          <w:color w:val="000000"/>
          <w:sz w:val="22"/>
          <w:shd w:fill="FFFFFF" w:val="clear"/>
        </w:rPr>
        <w:t>Investors: IR@skinhealthsystems.com</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3788</Words>
  <Characters>21221</Characters>
  <CharactersWithSpaces>24439</CharactersWithSpaces>
  <Paragraphs>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