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231F20"/>
          <w:sz w:val="36"/>
        </w:rPr>
      </w:pPr>
      <w:r>
        <w:rPr>
          <w:rFonts w:ascii="Times New Roman;serif" w:hAnsi="Times New Roman;serif"/>
          <w:b/>
          <w:color w:val="231F20"/>
          <w:sz w:val="36"/>
        </w:rPr>
        <w:t>UNITED STATES</w:t>
      </w:r>
    </w:p>
    <w:p>
      <w:pPr>
        <w:pStyle w:val="TextBody"/>
        <w:bidi w:val="0"/>
        <w:spacing w:lineRule="auto" w:line="288" w:before="0" w:after="0"/>
        <w:jc w:val="center"/>
        <w:rPr>
          <w:rFonts w:ascii="Times New Roman;serif" w:hAnsi="Times New Roman;serif"/>
          <w:b/>
          <w:color w:val="231F20"/>
          <w:sz w:val="36"/>
        </w:rPr>
      </w:pPr>
      <w:r>
        <w:rPr>
          <w:rFonts w:ascii="Times New Roman;serif" w:hAnsi="Times New Roman;serif"/>
          <w:b/>
          <w:color w:val="231F20"/>
          <w:sz w:val="36"/>
        </w:rPr>
        <w:t>SECURITIES AND EXCHANGE COMMISSION</w:t>
      </w:r>
    </w:p>
    <w:p>
      <w:pPr>
        <w:pStyle w:val="TextBody"/>
        <w:bidi w:val="0"/>
        <w:spacing w:lineRule="auto" w:line="288" w:before="0" w:after="0"/>
        <w:jc w:val="center"/>
        <w:rPr>
          <w:rFonts w:ascii="Times New Roman;serif" w:hAnsi="Times New Roman;serif"/>
          <w:b/>
          <w:color w:val="231F20"/>
          <w:sz w:val="28"/>
        </w:rPr>
      </w:pPr>
      <w:r>
        <w:rPr>
          <w:rFonts w:ascii="Times New Roman;serif" w:hAnsi="Times New Roman;serif"/>
          <w:b/>
          <w:color w:val="231F20"/>
          <w:sz w:val="2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rFonts w:ascii="Times New Roman;serif" w:hAnsi="Times New Roman;serif"/>
          <w:b/>
          <w:color w:val="231F20"/>
          <w:sz w:val="36"/>
        </w:rPr>
      </w:pPr>
      <w:r>
        <w:rPr>
          <w:rFonts w:ascii="Times New Roman;serif" w:hAnsi="Times New Roman;serif"/>
          <w:b/>
          <w:color w:val="231F2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57" w:after="283"/>
        <w:jc w:val="center"/>
        <w:rPr/>
      </w:pPr>
      <w:r>
        <w:rPr>
          <w:rFonts w:ascii="Times New Roman;serif" w:hAnsi="Times New Roman;serif"/>
          <w:b/>
          <w:color w:val="000000"/>
          <w:sz w:val="18"/>
        </w:rPr>
        <w:t>For the quarterly period ended March 31, 2026</w:t>
      </w:r>
      <w:r>
        <w:rPr>
          <w:color w:val="000000"/>
        </w:rPr>
        <w:t> </w:t>
      </w:r>
    </w:p>
    <w:p>
      <w:pPr>
        <w:pStyle w:val="TextBody"/>
        <w:bidi w:val="0"/>
        <w:spacing w:lineRule="auto" w:line="288" w:before="57" w:after="283"/>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jc w:val="center"/>
        <w:rPr/>
      </w:pPr>
      <w:r>
        <w:rPr>
          <w:color w:val="000000"/>
        </w:rPr>
        <w:t> </w:t>
      </w:r>
      <w:r>
        <w:rPr>
          <w:rFonts w:ascii="Times New Roman;serif" w:hAnsi="Times New Roman;serif"/>
          <w:b/>
          <w:color w:val="000000"/>
          <w:sz w:val="18"/>
        </w:rPr>
        <w:t>For the transition period from __________ to</w:t>
      </w:r>
      <w:r>
        <w:rPr>
          <w:color w:val="000000"/>
        </w:rPr>
        <w:t> </w:t>
      </w:r>
      <w:r>
        <w:rPr>
          <w:rFonts w:ascii="Times New Roman;serif" w:hAnsi="Times New Roman;serif"/>
          <w:b/>
          <w:color w:val="000000"/>
          <w:sz w:val="18"/>
        </w:rPr>
        <w:t>__________.</w:t>
      </w:r>
    </w:p>
    <w:p>
      <w:pPr>
        <w:pStyle w:val="TextBody"/>
        <w:bidi w:val="0"/>
        <w:spacing w:lineRule="auto" w:line="288" w:before="57" w:after="283"/>
        <w:jc w:val="center"/>
        <w:rPr/>
      </w:pPr>
      <w:r>
        <w:rPr>
          <w:rFonts w:ascii="Times New Roman;serif" w:hAnsi="Times New Roman;serif"/>
          <w:b/>
          <w:color w:val="000000"/>
          <w:sz w:val="18"/>
        </w:rPr>
        <w:t>Commission File Number: 001-39565</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erif" w:hAnsi="Times New Roman;serif"/>
          <w:b/>
          <w:color w:val="000000"/>
          <w:sz w:val="40"/>
        </w:rPr>
        <w:t>SkinHealth Systems Inc.</w:t>
      </w:r>
      <w:r>
        <w:rPr>
          <w:color w:val="231F20"/>
        </w:rPr>
        <w:t xml:space="preserve">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9552" w:type="dxa"/>
        <w:jc w:val="center"/>
        <w:tblInd w:w="0" w:type="dxa"/>
        <w:tblLayout w:type="fixed"/>
        <w:tblCellMar>
          <w:top w:w="28" w:type="dxa"/>
          <w:left w:w="28" w:type="dxa"/>
          <w:bottom w:w="28" w:type="dxa"/>
          <w:right w:w="28" w:type="dxa"/>
        </w:tblCellMar>
      </w:tblPr>
      <w:tblGrid>
        <w:gridCol w:w="1779"/>
        <w:gridCol w:w="1567"/>
        <w:gridCol w:w="1574"/>
        <w:gridCol w:w="109"/>
        <w:gridCol w:w="109"/>
        <w:gridCol w:w="109"/>
        <w:gridCol w:w="1257"/>
        <w:gridCol w:w="1257"/>
        <w:gridCol w:w="1791"/>
      </w:tblGrid>
      <w:tr>
        <w:trPr/>
        <w:tc>
          <w:tcPr>
            <w:tcW w:w="177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3600 E. Burnett Street</w:t>
            </w:r>
          </w:p>
          <w:p>
            <w:pPr>
              <w:pStyle w:val="TableContents"/>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Long Beach, CA 90815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231F20"/>
                <w:sz w:val="20"/>
              </w:rPr>
            </w:pPr>
            <w:r>
              <w:rPr>
                <w:rFonts w:ascii="Times New Roman;serif" w:hAnsi="Times New Roman;serif"/>
                <w:b/>
                <w:color w:val="231F20"/>
                <w:sz w:val="20"/>
              </w:rPr>
              <w:t>(800) 603-4996</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(Address of principal executive offices,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Registrant's telephone number, including area code</w:t>
            </w:r>
          </w:p>
        </w:tc>
      </w:tr>
    </w:tbl>
    <w:tbl>
      <w:tblPr>
        <w:tblW w:w="6644" w:type="dxa"/>
        <w:jc w:val="center"/>
        <w:tblInd w:w="0" w:type="dxa"/>
        <w:tblLayout w:type="fixed"/>
        <w:tblCellMar>
          <w:top w:w="28" w:type="dxa"/>
          <w:left w:w="28" w:type="dxa"/>
          <w:bottom w:w="28" w:type="dxa"/>
          <w:right w:w="28" w:type="dxa"/>
        </w:tblCellMar>
      </w:tblPr>
      <w:tblGrid>
        <w:gridCol w:w="2125"/>
        <w:gridCol w:w="1870"/>
        <w:gridCol w:w="2649"/>
      </w:tblGrid>
      <w:tr>
        <w:trPr/>
        <w:tc>
          <w:tcPr>
            <w:tcW w:w="212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Beauty Health Company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2165 Spring Street, Long Beach, CA 90806</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231F20"/>
          <w:sz w:val="20"/>
        </w:rPr>
      </w:pPr>
      <w:r>
        <w:rPr>
          <w:rFonts w:ascii="Times New Roman;serif" w:hAnsi="Times New Roman;serif"/>
          <w:b/>
          <w:color w:val="231F20"/>
          <w:sz w:val="20"/>
        </w:rPr>
        <w:t xml:space="preserve">Securities registered pursuant to Section 12(b) of the Act: </w:t>
      </w:r>
    </w:p>
    <w:tbl>
      <w:tblPr>
        <w:tblW w:w="9966"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484"/>
        <w:gridCol w:w="484"/>
        <w:gridCol w:w="486"/>
        <w:gridCol w:w="109"/>
        <w:gridCol w:w="109"/>
        <w:gridCol w:w="109"/>
        <w:gridCol w:w="970"/>
        <w:gridCol w:w="970"/>
        <w:gridCol w:w="1374"/>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54"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84"/>
        <w:gridCol w:w="784"/>
        <w:gridCol w:w="787"/>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May 5, 2026, there were 129,600,040 shares of Class A Common Stock, par value $0.0001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FOR THE QUARTER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before="0" w:after="0"/>
        <w:jc w:val="center"/>
        <w:rPr/>
      </w:pPr>
      <w:r>
        <w:rPr/>
      </w:r>
    </w:p>
    <w:tbl>
      <w:tblPr>
        <w:tblW w:w="9562" w:type="dxa"/>
        <w:jc w:val="left"/>
        <w:tblInd w:w="0" w:type="dxa"/>
        <w:tblLayout w:type="fixed"/>
        <w:tblCellMar>
          <w:top w:w="28" w:type="dxa"/>
          <w:left w:w="28" w:type="dxa"/>
          <w:bottom w:w="28" w:type="dxa"/>
          <w:right w:w="28" w:type="dxa"/>
        </w:tblCellMar>
      </w:tblPr>
      <w:tblGrid>
        <w:gridCol w:w="591"/>
        <w:gridCol w:w="518"/>
        <w:gridCol w:w="518"/>
        <w:gridCol w:w="2435"/>
        <w:gridCol w:w="2435"/>
        <w:gridCol w:w="2494"/>
        <w:gridCol w:w="167"/>
        <w:gridCol w:w="167"/>
        <w:gridCol w:w="237"/>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 I—FINANCIAL INFORMATION</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13">
              <w:r>
                <w:rPr>
                  <w:rStyle w:val="InternetLink"/>
                  <w:rFonts w:ascii="Times New Roman;serif" w:hAnsi="Times New Roman;serif"/>
                  <w:b w:val="false"/>
                  <w:color w:val="0000FF"/>
                  <w:sz w:val="20"/>
                  <w:u w:val="singl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13">
              <w:r>
                <w:rPr>
                  <w:rStyle w:val="InternetLink"/>
                  <w:rFonts w:ascii="Times New Roman;serif" w:hAnsi="Times New Roman;serif"/>
                  <w:b w:val="false"/>
                  <w:color w:val="0000FF"/>
                  <w:sz w:val="20"/>
                  <w:u w:val="single"/>
                </w:rPr>
                <w:t>3</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199">
              <w:r>
                <w:rPr>
                  <w:rStyle w:val="InternetLink"/>
                  <w:rFonts w:ascii="Times New Roman;serif" w:hAnsi="Times New Roman;serif"/>
                  <w:b w:val="false"/>
                  <w:color w:val="0000FF"/>
                  <w:sz w:val="20"/>
                  <w:u w:val="singl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199">
              <w:r>
                <w:rPr>
                  <w:rStyle w:val="InternetLink"/>
                  <w:rFonts w:ascii="Times New Roman;serif" w:hAnsi="Times New Roman;serif"/>
                  <w:b w:val="false"/>
                  <w:color w:val="0000FF"/>
                  <w:sz w:val="20"/>
                  <w:u w:val="single"/>
                </w:rPr>
                <w:t>3</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202">
              <w:r>
                <w:rPr>
                  <w:rStyle w:val="InternetLink"/>
                  <w:rFonts w:ascii="Times New Roman;serif" w:hAnsi="Times New Roman;serif"/>
                  <w:b w:val="false"/>
                  <w:color w:val="0000FF"/>
                  <w:sz w:val="20"/>
                  <w:u w:val="single"/>
                </w:rPr>
                <w:t>Condensed Consolidated Statements of Comprehensive Income (Loss)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202">
              <w:r>
                <w:rPr>
                  <w:rStyle w:val="InternetLink"/>
                  <w:rFonts w:ascii="Times New Roman;serif" w:hAnsi="Times New Roman;serif"/>
                  <w:b w:val="false"/>
                  <w:color w:val="0000FF"/>
                  <w:sz w:val="20"/>
                  <w:u w:val="single"/>
                </w:rPr>
                <w:t>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16">
              <w:r>
                <w:rPr>
                  <w:rStyle w:val="InternetLink"/>
                  <w:rFonts w:ascii="Times New Roman;serif" w:hAnsi="Times New Roman;serif"/>
                  <w:b w:val="false"/>
                  <w:color w:val="0000FF"/>
                  <w:sz w:val="20"/>
                  <w:u w:val="single"/>
                </w:rPr>
                <w:t>Condensed Consolidated Statements of Stockholders’ Equity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16">
              <w:r>
                <w:rPr>
                  <w:rStyle w:val="InternetLink"/>
                  <w:rFonts w:ascii="Times New Roman;serif" w:hAnsi="Times New Roman;serif"/>
                  <w:b w:val="false"/>
                  <w:color w:val="0000FF"/>
                  <w:sz w:val="20"/>
                  <w:u w:val="single"/>
                </w:rPr>
                <w:t>5</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208">
              <w:r>
                <w:rPr>
                  <w:rStyle w:val="InternetLink"/>
                  <w:rFonts w:ascii="Times New Roman;serif" w:hAnsi="Times New Roman;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208">
              <w:r>
                <w:rPr>
                  <w:rStyle w:val="InternetLink"/>
                  <w:rFonts w:ascii="Times New Roman;serif" w:hAnsi="Times New Roman;serif"/>
                  <w:b w:val="false"/>
                  <w:color w:val="0000FF"/>
                  <w:sz w:val="20"/>
                  <w:u w:val="single"/>
                </w:rPr>
                <w:t>6</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211">
              <w:r>
                <w:rPr>
                  <w:rStyle w:val="InternetLink"/>
                  <w:rFonts w:ascii="Times New Roman;serif" w:hAnsi="Times New Roman;serif"/>
                  <w:b w:val="false"/>
                  <w:color w:val="0000FF"/>
                  <w:sz w:val="20"/>
                  <w:u w:val="single"/>
                </w:rPr>
                <w:t>Notes to Condensed Consolidated 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211">
              <w:r>
                <w:rPr>
                  <w:rStyle w:val="InternetLink"/>
                  <w:rFonts w:ascii="Times New Roman;serif" w:hAnsi="Times New Roman;serif"/>
                  <w:b w:val="false"/>
                  <w:color w:val="0000FF"/>
                  <w:sz w:val="20"/>
                  <w:u w:val="single"/>
                </w:rPr>
                <w:t>7</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1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19">
              <w:r>
                <w:rPr>
                  <w:rStyle w:val="InternetLink"/>
                  <w:rFonts w:ascii="Times New Roman;serif" w:hAnsi="Times New Roman;serif"/>
                  <w:b w:val="false"/>
                  <w:color w:val="0000FF"/>
                  <w:sz w:val="20"/>
                  <w:u w:val="single"/>
                </w:rPr>
                <w:t>24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37">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37">
              <w:r>
                <w:rPr>
                  <w:rStyle w:val="InternetLink"/>
                  <w:rFonts w:ascii="Times New Roman;serif" w:hAnsi="Times New Roman;serif"/>
                  <w:b w:val="false"/>
                  <w:color w:val="0000FF"/>
                  <w:sz w:val="20"/>
                  <w:u w:val="single"/>
                </w:rPr>
                <w:t>31</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40">
              <w:r>
                <w:rPr>
                  <w:rStyle w:val="InternetLink"/>
                  <w:rFonts w:ascii="Times New Roman;serif" w:hAnsi="Times New Roman;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40">
              <w:r>
                <w:rPr>
                  <w:rStyle w:val="InternetLink"/>
                  <w:rFonts w:ascii="Times New Roman;serif" w:hAnsi="Times New Roman;serif"/>
                  <w:b w:val="false"/>
                  <w:color w:val="0000FF"/>
                  <w:sz w:val="20"/>
                  <w:u w:val="single"/>
                </w:rPr>
                <w:t>31</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 II—OTHER INFORMATION</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46">
              <w:r>
                <w:rPr>
                  <w:rStyle w:val="InternetLink"/>
                  <w:rFonts w:ascii="Times New Roman;serif" w:hAnsi="Times New Roman;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46">
              <w:r>
                <w:rPr>
                  <w:rStyle w:val="InternetLink"/>
                  <w:rFonts w:ascii="Times New Roman;serif" w:hAnsi="Times New Roman;serif"/>
                  <w:b w:val="false"/>
                  <w:color w:val="0000FF"/>
                  <w:sz w:val="20"/>
                  <w:u w:val="single"/>
                </w:rPr>
                <w:t>32</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49">
              <w:r>
                <w:rPr>
                  <w:rStyle w:val="InternetLink"/>
                  <w:rFonts w:ascii="Times New Roman;serif" w:hAnsi="Times New Roman;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49">
              <w:r>
                <w:rPr>
                  <w:rStyle w:val="InternetLink"/>
                  <w:rFonts w:ascii="Times New Roman;serif" w:hAnsi="Times New Roman;serif"/>
                  <w:b w:val="false"/>
                  <w:color w:val="0000FF"/>
                  <w:sz w:val="20"/>
                  <w:u w:val="single"/>
                </w:rPr>
                <w:t>40</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52">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52">
              <w:r>
                <w:rPr>
                  <w:rStyle w:val="InternetLink"/>
                  <w:rFonts w:ascii="Times New Roman;serif" w:hAnsi="Times New Roman;serif"/>
                  <w:b w:val="false"/>
                  <w:color w:val="0000FF"/>
                  <w:sz w:val="20"/>
                  <w:u w:val="single"/>
                </w:rPr>
                <w:t>40</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58">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58">
              <w:r>
                <w:rPr>
                  <w:rStyle w:val="InternetLink"/>
                  <w:rFonts w:ascii="Times New Roman;serif" w:hAnsi="Times New Roman;serif"/>
                  <w:b w:val="false"/>
                  <w:color w:val="0000FF"/>
                  <w:sz w:val="20"/>
                  <w:u w:val="single"/>
                </w:rPr>
                <w:t>40</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61">
              <w:r>
                <w:rPr>
                  <w:rStyle w:val="InternetLink"/>
                  <w:rFonts w:ascii="Times New Roman;serif" w:hAnsi="Times New Roman;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61">
              <w:r>
                <w:rPr>
                  <w:rStyle w:val="InternetLink"/>
                  <w:rFonts w:ascii="Times New Roman;serif" w:hAnsi="Times New Roman;serif"/>
                  <w:b w:val="false"/>
                  <w:color w:val="0000FF"/>
                  <w:sz w:val="20"/>
                  <w:u w:val="single"/>
                </w:rPr>
                <w:t>40</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64">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64">
              <w:r>
                <w:rPr>
                  <w:rStyle w:val="InternetLink"/>
                  <w:rFonts w:ascii="Times New Roman;serif" w:hAnsi="Times New Roman;serif"/>
                  <w:b w:val="false"/>
                  <w:color w:val="0000FF"/>
                  <w:sz w:val="20"/>
                  <w:u w:val="single"/>
                </w:rPr>
                <w:t>40</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67">
              <w:r>
                <w:rPr>
                  <w:rStyle w:val="InternetLink"/>
                  <w:rFonts w:ascii="Times New Roman;serif" w:hAnsi="Times New Roman;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71fe1da80b407cb6ecd49cc32fd2a4_67">
              <w:r>
                <w:rPr>
                  <w:rStyle w:val="InternetLink"/>
                  <w:rFonts w:ascii="Times New Roman;serif" w:hAnsi="Times New Roman;serif"/>
                  <w:b w:val="false"/>
                  <w:color w:val="0000FF"/>
                  <w:sz w:val="20"/>
                  <w:u w:val="single"/>
                </w:rPr>
                <w:t>41</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71fe1da80b407cb6ecd49cc32fd2a4_70">
              <w:r>
                <w:rPr>
                  <w:rStyle w:val="InternetLink"/>
                  <w:rFonts w:ascii="Times New Roman;serif" w:hAnsi="Times New Roman;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10" w:after="283"/>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BALANCE SHEETS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59"/>
        <w:gridCol w:w="2211"/>
        <w:gridCol w:w="2156"/>
        <w:gridCol w:w="221"/>
        <w:gridCol w:w="867"/>
        <w:gridCol w:w="114"/>
        <w:gridCol w:w="109"/>
        <w:gridCol w:w="109"/>
        <w:gridCol w:w="109"/>
        <w:gridCol w:w="238"/>
        <w:gridCol w:w="935"/>
        <w:gridCol w:w="177"/>
      </w:tblGrid>
      <w:tr>
        <w:trPr/>
        <w:tc>
          <w:tcPr>
            <w:tcW w:w="295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assets: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204,358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232,673</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231F20"/>
                <w:sz w:val="20"/>
              </w:rPr>
            </w:pPr>
            <w:r>
              <w:rPr>
                <w:rFonts w:ascii="Times New Roman;serif" w:hAnsi="Times New Roman;serif"/>
                <w:b w:val="false"/>
                <w:color w:val="231F20"/>
                <w:sz w:val="20"/>
              </w:rPr>
              <w:t>Accounts receivable, net of allowances for estimated credit losses of $4,988 and $6,022 at March 31, 2026 and December 31, 2025, respectively</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21,741</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Inventories </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48,012</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Income tax receivable </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1,696</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Prepaid expenses and other current assets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5,395</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assets</w:t>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277,695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309,517</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Property and equipment, net</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2,538</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Right-of-use assets, net</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11,570</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Intangible assets, net </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35,763</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Goodwill</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126,621</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income tax assets, net</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1,925</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Other assets </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11,869</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473,233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499,803</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71" w:before="36" w:after="283"/>
              <w:jc w:val="left"/>
              <w:rPr>
                <w:rFonts w:ascii="Times New Roman;serif" w:hAnsi="Times New Roman;serif"/>
                <w:b/>
                <w:color w:val="231F20"/>
                <w:sz w:val="20"/>
              </w:rPr>
            </w:pPr>
            <w:r>
              <w:rPr>
                <w:rFonts w:ascii="Times New Roman;serif" w:hAnsi="Times New Roman;serif"/>
                <w:b/>
                <w:color w:val="231F20"/>
                <w:sz w:val="20"/>
              </w:rPr>
              <w:t>LIABILITIES AND STOCKHOLDERS’ EQUITY</w:t>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liabilities:</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convertible senior notes, net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102,944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123,959</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15,631</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payroll-related expenses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24,947</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liabilities, current</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5,128</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payable</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1,226</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accrued expenses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15,384</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current liabilities </w:t>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155,202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186,275</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liabilities, non-current</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9,238</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Deferred income tax liabilities, net </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393</w:t>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Convertible senior notes, net</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241,276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240,431</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long-term liabilities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2,410</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Total liabilities</w:t>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417,993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438,747</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Contingencies (Note 6) </w:t>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Stockholders’ equity:</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231F20"/>
                <w:sz w:val="20"/>
              </w:rPr>
            </w:pPr>
            <w:r>
              <w:rPr>
                <w:rFonts w:ascii="Times New Roman;serif" w:hAnsi="Times New Roman;serif"/>
                <w:b w:val="false"/>
                <w:color w:val="231F20"/>
                <w:sz w:val="20"/>
              </w:rPr>
              <w:t>Class A Common Stock, $0.0001 par value; 320,000,000 shares authorized; 129,144,801 and 127,520,823 shares issued and outstanding at March 31, 2026 and December 31, 2025, respectively</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Additional paid-in capital </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581,053 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579,961 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Accumulated other comprehensive loss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(1,434)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Accumulated deficit</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(524,114)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(517,484)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stockholders’ equity</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55,240 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61,056 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71" w:before="0" w:after="0"/>
              <w:jc w:val="left"/>
              <w:rPr>
                <w:rFonts w:ascii="Times New Roman;serif" w:hAnsi="Times New Roman;serif"/>
                <w:b/>
                <w:color w:val="231F20"/>
                <w:sz w:val="20"/>
              </w:rPr>
            </w:pPr>
            <w:r>
              <w:rPr>
                <w:rFonts w:ascii="Times New Roman;serif" w:hAnsi="Times New Roman;serif"/>
                <w:b/>
                <w:color w:val="231F20"/>
                <w:sz w:val="20"/>
              </w:rPr>
              <w:t>TOTAL LIABILITIES AND STOCKHOLDERS’ EQUITY</w:t>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473,233 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499,803 </w:t>
            </w:r>
          </w:p>
        </w:tc>
        <w:tc>
          <w:tcPr>
            <w:tcW w:w="1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10" w:after="283"/>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STATEMENTS OF COMPREHENSIVE INCOME (LOSS)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501" w:type="dxa"/>
        <w:jc w:val="left"/>
        <w:tblInd w:w="0" w:type="dxa"/>
        <w:tblLayout w:type="fixed"/>
        <w:tblCellMar>
          <w:top w:w="28" w:type="dxa"/>
          <w:left w:w="28" w:type="dxa"/>
          <w:bottom w:w="28" w:type="dxa"/>
          <w:right w:w="28" w:type="dxa"/>
        </w:tblCellMar>
      </w:tblPr>
      <w:tblGrid>
        <w:gridCol w:w="1405"/>
        <w:gridCol w:w="1231"/>
        <w:gridCol w:w="1249"/>
        <w:gridCol w:w="268"/>
        <w:gridCol w:w="918"/>
        <w:gridCol w:w="109"/>
        <w:gridCol w:w="109"/>
        <w:gridCol w:w="109"/>
        <w:gridCol w:w="109"/>
        <w:gridCol w:w="268"/>
        <w:gridCol w:w="918"/>
        <w:gridCol w:w="109"/>
        <w:gridCol w:w="109"/>
        <w:gridCol w:w="109"/>
        <w:gridCol w:w="109"/>
        <w:gridCol w:w="109"/>
        <w:gridCol w:w="109"/>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Net sales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64,910 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transaction loss (gain),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Loss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(benefit)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Net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Comprehensive loss, net of tax:</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translation adjustments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Comprehensive loss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(8,968)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per share</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Basic</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Diluted</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Weighted average common stock outstanding </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127,792,611 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125,079,470 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131,399,898 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125,079,470 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0" w:after="0"/>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STATEMENTS OF STOCKHOLDERS’ EQUITY</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82"/>
        <w:gridCol w:w="453"/>
        <w:gridCol w:w="454"/>
        <w:gridCol w:w="525"/>
        <w:gridCol w:w="526"/>
        <w:gridCol w:w="196"/>
        <w:gridCol w:w="109"/>
        <w:gridCol w:w="109"/>
        <w:gridCol w:w="109"/>
        <w:gridCol w:w="212"/>
        <w:gridCol w:w="359"/>
        <w:gridCol w:w="120"/>
        <w:gridCol w:w="109"/>
        <w:gridCol w:w="109"/>
        <w:gridCol w:w="109"/>
        <w:gridCol w:w="216"/>
        <w:gridCol w:w="812"/>
        <w:gridCol w:w="120"/>
        <w:gridCol w:w="109"/>
        <w:gridCol w:w="109"/>
        <w:gridCol w:w="109"/>
        <w:gridCol w:w="109"/>
        <w:gridCol w:w="109"/>
        <w:gridCol w:w="316"/>
        <w:gridCol w:w="922"/>
        <w:gridCol w:w="176"/>
        <w:gridCol w:w="109"/>
        <w:gridCol w:w="109"/>
        <w:gridCol w:w="109"/>
        <w:gridCol w:w="204"/>
        <w:gridCol w:w="794"/>
        <w:gridCol w:w="113"/>
        <w:gridCol w:w="109"/>
        <w:gridCol w:w="109"/>
        <w:gridCol w:w="109"/>
        <w:gridCol w:w="244"/>
        <w:gridCol w:w="808"/>
        <w:gridCol w:w="200"/>
      </w:tblGrid>
      <w:tr>
        <w:trPr/>
        <w:tc>
          <w:tcPr>
            <w:tcW w:w="58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124,924,185 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566,709 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(507,965)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(10,096)</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483,396 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125,246,286 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569,935 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(518,061)</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46,062 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62"/>
        <w:gridCol w:w="434"/>
        <w:gridCol w:w="435"/>
        <w:gridCol w:w="525"/>
        <w:gridCol w:w="526"/>
        <w:gridCol w:w="196"/>
        <w:gridCol w:w="109"/>
        <w:gridCol w:w="109"/>
        <w:gridCol w:w="109"/>
        <w:gridCol w:w="212"/>
        <w:gridCol w:w="359"/>
        <w:gridCol w:w="120"/>
        <w:gridCol w:w="109"/>
        <w:gridCol w:w="109"/>
        <w:gridCol w:w="109"/>
        <w:gridCol w:w="213"/>
        <w:gridCol w:w="801"/>
        <w:gridCol w:w="118"/>
        <w:gridCol w:w="109"/>
        <w:gridCol w:w="109"/>
        <w:gridCol w:w="109"/>
        <w:gridCol w:w="109"/>
        <w:gridCol w:w="109"/>
        <w:gridCol w:w="324"/>
        <w:gridCol w:w="945"/>
        <w:gridCol w:w="181"/>
        <w:gridCol w:w="109"/>
        <w:gridCol w:w="109"/>
        <w:gridCol w:w="109"/>
        <w:gridCol w:w="203"/>
        <w:gridCol w:w="787"/>
        <w:gridCol w:w="113"/>
        <w:gridCol w:w="109"/>
        <w:gridCol w:w="109"/>
        <w:gridCol w:w="109"/>
        <w:gridCol w:w="253"/>
        <w:gridCol w:w="837"/>
        <w:gridCol w:w="208"/>
      </w:tblGrid>
      <w:tr>
        <w:trPr/>
        <w:tc>
          <w:tcPr>
            <w:tcW w:w="56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127,520,823 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579,961 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(517,484)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2,469,895 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(845,917)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129,144,801 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581,053 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(524,114)</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10" w:after="283"/>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STATEMENTS OF CASH FLOWS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100" w:after="283"/>
        <w:jc w:val="center"/>
        <w:rPr/>
      </w:pPr>
      <w:r>
        <w:rPr/>
      </w:r>
    </w:p>
    <w:tbl>
      <w:tblPr>
        <w:tblW w:w="7846" w:type="dxa"/>
        <w:jc w:val="center"/>
        <w:tblInd w:w="0" w:type="dxa"/>
        <w:tblLayout w:type="fixed"/>
        <w:tblCellMar>
          <w:top w:w="28" w:type="dxa"/>
          <w:left w:w="28" w:type="dxa"/>
          <w:bottom w:w="28" w:type="dxa"/>
          <w:right w:w="28" w:type="dxa"/>
        </w:tblCellMar>
      </w:tblPr>
      <w:tblGrid>
        <w:gridCol w:w="1815"/>
        <w:gridCol w:w="1591"/>
        <w:gridCol w:w="1603"/>
        <w:gridCol w:w="209"/>
        <w:gridCol w:w="788"/>
        <w:gridCol w:w="116"/>
        <w:gridCol w:w="116"/>
        <w:gridCol w:w="116"/>
        <w:gridCol w:w="116"/>
        <w:gridCol w:w="209"/>
        <w:gridCol w:w="788"/>
        <w:gridCol w:w="116"/>
        <w:gridCol w:w="109"/>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operating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loss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Adjustments to reconcile net loss to net cash from operating activities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Share-based compensation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intangible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Depreciation of property and equipment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other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debt issuance costs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Inventory write-down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Provision for estimated credit losses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Change in fair value of warrant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Gain on repurchase of 2026 Notes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Deferred income taxes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Other,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Changes in operating assets and liabilities: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Accounts receivable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Inventories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Prepaid expenses, other current assets, and income tax receivable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Accounts payable, accrued expenses, and income tax payable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Other,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(used for) provided by operating activities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(5,554)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2,996 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investing activities:</w:t>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paid for intangible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paid for property and equipment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used for investing activities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(1,649)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(1,145)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financing activities:</w:t>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Repurchase of 2026 Notes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Payment of tax withholdings on vested stock awards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used for financing activities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(20,906)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(250)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change in cash, cash equivalents, and restricted cash</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Effect of foreign currency translation on cash</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cash equivalents, and restricted cash beginning of period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cash equivalents, and restricted cash end of period</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204,358 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373,031 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 — Description of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SkinHealth Systems Inc. (the “Company”) is a global medical aesthetics company delivering an integrated ecosystem of clinically proven solutions designed to help consumers achieve superior skin health and support the success of providers. Anchored by Hydrafacial, a leading and widely requested professional skincare treatment, and supported by complementary offerings including SkinStylus microneedling and HydraScalp powered by Keravive, the Company combines advanced device technology, proprietary consumables, and clinical validation to deliver trusted treatment experiences through an omnichannel network of providers worldwide.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Historical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(previously, The Beauty Health Company, and formerly, Vesper Healthcare Acquisition Corp.) was incorporated in the State of Delaware on July 8, 2020. On May 4, 2021, we consummated the business combination pursuant to that certain Agreement and Plan of Merger, dated December 8, 2020, by and among Vesper Healthcare Acquisition Corp.,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interim financial statements should be read in conjunction with the audited consolidated financial statements and notes thereto included in, or presented as exhibits to,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Balance Sheet Components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Inventories consist of the following as of the periods indicated:</w:t>
      </w:r>
    </w:p>
    <w:p>
      <w:pPr>
        <w:pStyle w:val="TextBody"/>
        <w:bidi w:val="0"/>
        <w:spacing w:before="0" w:after="0"/>
        <w:jc w:val="left"/>
        <w:rPr/>
      </w:pPr>
      <w:r>
        <w:rPr/>
      </w:r>
    </w:p>
    <w:tbl>
      <w:tblPr>
        <w:tblW w:w="4691" w:type="dxa"/>
        <w:jc w:val="left"/>
        <w:tblInd w:w="0" w:type="dxa"/>
        <w:tblLayout w:type="fixed"/>
        <w:tblCellMar>
          <w:top w:w="28" w:type="dxa"/>
          <w:left w:w="28" w:type="dxa"/>
          <w:bottom w:w="28" w:type="dxa"/>
          <w:right w:w="28" w:type="dxa"/>
        </w:tblCellMar>
      </w:tblPr>
      <w:tblGrid>
        <w:gridCol w:w="564"/>
        <w:gridCol w:w="497"/>
        <w:gridCol w:w="498"/>
        <w:gridCol w:w="255"/>
        <w:gridCol w:w="873"/>
        <w:gridCol w:w="132"/>
        <w:gridCol w:w="109"/>
        <w:gridCol w:w="109"/>
        <w:gridCol w:w="109"/>
        <w:gridCol w:w="300"/>
        <w:gridCol w:w="1026"/>
        <w:gridCol w:w="219"/>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Raw materials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19,631 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18,546 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Finished goods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28,062 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29,466 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inventories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47,693 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48,012 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Accrued payroll-related expenses consist of the following as of the periods indicated:</w:t>
      </w:r>
    </w:p>
    <w:p>
      <w:pPr>
        <w:pStyle w:val="TextBody"/>
        <w:bidi w:val="0"/>
        <w:spacing w:before="0" w:after="0"/>
        <w:jc w:val="left"/>
        <w:rPr/>
      </w:pPr>
      <w:r>
        <w:rPr/>
      </w:r>
    </w:p>
    <w:tbl>
      <w:tblPr>
        <w:tblW w:w="6551" w:type="dxa"/>
        <w:jc w:val="left"/>
        <w:tblInd w:w="0" w:type="dxa"/>
        <w:tblLayout w:type="fixed"/>
        <w:tblCellMar>
          <w:top w:w="28" w:type="dxa"/>
          <w:left w:w="28" w:type="dxa"/>
          <w:bottom w:w="28" w:type="dxa"/>
          <w:right w:w="28" w:type="dxa"/>
        </w:tblCellMar>
      </w:tblPr>
      <w:tblGrid>
        <w:gridCol w:w="1234"/>
        <w:gridCol w:w="1087"/>
        <w:gridCol w:w="1098"/>
        <w:gridCol w:w="255"/>
        <w:gridCol w:w="873"/>
        <w:gridCol w:w="132"/>
        <w:gridCol w:w="109"/>
        <w:gridCol w:w="109"/>
        <w:gridCol w:w="109"/>
        <w:gridCol w:w="300"/>
        <w:gridCol w:w="1026"/>
        <w:gridCol w:w="219"/>
      </w:tblGrid>
      <w:tr>
        <w:trPr/>
        <w:tc>
          <w:tcPr>
            <w:tcW w:w="1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 and payroll taxes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commissions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payroll-related expenses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Other accrued expenses consist of the following as of the periods indicated:</w:t>
      </w:r>
    </w:p>
    <w:p>
      <w:pPr>
        <w:pStyle w:val="TextBody"/>
        <w:bidi w:val="0"/>
        <w:spacing w:before="0" w:after="0"/>
        <w:jc w:val="left"/>
        <w:rPr/>
      </w:pPr>
      <w:r>
        <w:rPr/>
      </w:r>
    </w:p>
    <w:tbl>
      <w:tblPr>
        <w:tblW w:w="5606" w:type="dxa"/>
        <w:jc w:val="left"/>
        <w:tblInd w:w="0" w:type="dxa"/>
        <w:tblLayout w:type="fixed"/>
        <w:tblCellMar>
          <w:top w:w="28" w:type="dxa"/>
          <w:left w:w="28" w:type="dxa"/>
          <w:bottom w:w="28" w:type="dxa"/>
          <w:right w:w="28" w:type="dxa"/>
        </w:tblCellMar>
      </w:tblPr>
      <w:tblGrid>
        <w:gridCol w:w="895"/>
        <w:gridCol w:w="788"/>
        <w:gridCol w:w="791"/>
        <w:gridCol w:w="255"/>
        <w:gridCol w:w="873"/>
        <w:gridCol w:w="132"/>
        <w:gridCol w:w="109"/>
        <w:gridCol w:w="109"/>
        <w:gridCol w:w="109"/>
        <w:gridCol w:w="300"/>
        <w:gridCol w:w="1026"/>
        <w:gridCol w:w="21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interest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7,508 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2,929 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Sales and VAT tax payables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Royalty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revenue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5,896 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other accrued expenses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18,722 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15,384 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March 31, 2026 and December 31, 2025,</w:t>
      </w:r>
      <w:r>
        <w:rPr>
          <w:color w:val="000000"/>
        </w:rPr>
        <w:t xml:space="preserve"> </w:t>
      </w:r>
      <w:r>
        <w:rPr>
          <w:rFonts w:ascii="Times New Roman;serif" w:hAnsi="Times New Roman;serif"/>
          <w:b w:val="false"/>
          <w:color w:val="000000"/>
          <w:sz w:val="20"/>
        </w:rPr>
        <w:t>total warranty reserve was approximately $1 million, which was included in other accrued expenses on the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 xml:space="preserve">March 31, 2026 and December 31, 2025, the Company has approximately $2 million in restricted cash held as collateral for the Company’s credit cards, which was included in cash, cash equivalents and restricted cash on the </w:t>
      </w:r>
      <w:r>
        <w:rPr>
          <w:rFonts w:ascii="Times New Roman;serif" w:hAnsi="Times New Roman;serif"/>
          <w:b w:val="false"/>
          <w:color w:val="000000"/>
          <w:sz w:val="20"/>
        </w:rPr>
        <w:t>Condensed Consolidated</w:t>
      </w:r>
      <w:r>
        <w:rPr>
          <w:color w:val="231F20"/>
        </w:rPr>
        <w:t xml:space="preserve"> </w:t>
      </w:r>
      <w:r>
        <w:rPr>
          <w:rFonts w:ascii="Times New Roman;serif" w:hAnsi="Times New Roman;serif"/>
          <w:b w:val="false"/>
          <w:color w:val="231F20"/>
          <w:sz w:val="20"/>
        </w:rPr>
        <w:t>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During the three months ended March 31, 2026, the Company amended the terms of its principal executive office lease agreement to expire in November 2032, resulting in an increase of approximately $14 million in future operating lease payments and an approximately $10 million increase in lease-related balances on the Condensed Consolidated</w:t>
      </w:r>
      <w:r>
        <w:rPr>
          <w:color w:val="231F20"/>
        </w:rPr>
        <w:t xml:space="preserve"> </w:t>
      </w:r>
      <w:r>
        <w:rPr>
          <w:rFonts w:ascii="Times New Roman;serif" w:hAnsi="Times New Roman;serif"/>
          <w:b w:val="false"/>
          <w:color w:val="231F20"/>
          <w:sz w:val="20"/>
        </w:rPr>
        <w:t>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Property and Equipment, net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 as of the periods indicated:</w:t>
      </w:r>
    </w:p>
    <w:tbl>
      <w:tblPr>
        <w:tblW w:w="9958" w:type="dxa"/>
        <w:jc w:val="left"/>
        <w:tblInd w:w="0" w:type="dxa"/>
        <w:tblLayout w:type="fixed"/>
        <w:tblCellMar>
          <w:top w:w="28" w:type="dxa"/>
          <w:left w:w="28" w:type="dxa"/>
          <w:bottom w:w="28" w:type="dxa"/>
          <w:right w:w="28" w:type="dxa"/>
        </w:tblCellMar>
      </w:tblPr>
      <w:tblGrid>
        <w:gridCol w:w="1484"/>
        <w:gridCol w:w="1308"/>
        <w:gridCol w:w="1318"/>
        <w:gridCol w:w="781"/>
        <w:gridCol w:w="781"/>
        <w:gridCol w:w="792"/>
        <w:gridCol w:w="109"/>
        <w:gridCol w:w="109"/>
        <w:gridCol w:w="109"/>
        <w:gridCol w:w="619"/>
        <w:gridCol w:w="335"/>
        <w:gridCol w:w="341"/>
        <w:gridCol w:w="109"/>
        <w:gridCol w:w="109"/>
        <w:gridCol w:w="109"/>
        <w:gridCol w:w="300"/>
        <w:gridCol w:w="1026"/>
        <w:gridCol w:w="219"/>
      </w:tblGrid>
      <w:tr>
        <w:trPr/>
        <w:tc>
          <w:tcPr>
            <w:tcW w:w="148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2354" w:type="dxa"/>
            <w:gridSpan w:val="3"/>
            <w:tcBorders/>
            <w:tcMar>
              <w:top w:w="0" w:type="dxa"/>
              <w:left w:w="0" w:type="dxa"/>
              <w:bottom w:w="0" w:type="dxa"/>
              <w:right w:w="0" w:type="dxa"/>
            </w:tcMar>
            <w:vAlign w:val="center"/>
          </w:tcPr>
          <w:p>
            <w:pPr>
              <w:pStyle w:val="TableContents"/>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Useful life</w:t>
            </w:r>
          </w:p>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Leasehold improvements</w:t>
            </w:r>
          </w:p>
        </w:tc>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231F20"/>
                <w:sz w:val="20"/>
              </w:rPr>
            </w:pPr>
            <w:r>
              <w:rPr>
                <w:rFonts w:ascii="Times New Roman;serif" w:hAnsi="Times New Roman;serif"/>
                <w:b w:val="false"/>
                <w:color w:val="231F20"/>
                <w:sz w:val="20"/>
              </w:rPr>
              <w:t>Shorter of remaining lease</w:t>
              <w:br/>
              <w:t>term or 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11,080 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Machinery and equipment</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Furniture and fixtures</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Computers and equipment</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231F20"/>
                <w:sz w:val="20"/>
              </w:rPr>
            </w:pPr>
            <w:r>
              <w:rPr>
                <w:rFonts w:ascii="Times New Roman;serif" w:hAnsi="Times New Roman;serif"/>
                <w:b w:val="false"/>
                <w:color w:val="231F2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Tooling</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Autos and trucks</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Construction in progress </w:t>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property and equipment </w:t>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25,336 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Less: accumulated depreciation and amortization</w:t>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(23,131)</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(22,798)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Property and equipment, net</w:t>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2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2,538</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changes in the carrying value of goodwill for the </w:t>
      </w:r>
      <w:r>
        <w:rPr>
          <w:rFonts w:ascii="Times New Roman;serif" w:hAnsi="Times New Roman;serif"/>
          <w:b w:val="false"/>
          <w:color w:val="000000"/>
          <w:sz w:val="20"/>
        </w:rPr>
        <w:t xml:space="preserve">three months ended March 31, 2026 are </w:t>
      </w:r>
      <w:r>
        <w:rPr>
          <w:rFonts w:ascii="Times New Roman;serif" w:hAnsi="Times New Roman;serif"/>
          <w:b w:val="false"/>
          <w:color w:val="231F20"/>
          <w:sz w:val="20"/>
        </w:rPr>
        <w:t>as follows (in thousands):</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r>
    </w:p>
    <w:tbl>
      <w:tblPr>
        <w:tblW w:w="4205" w:type="dxa"/>
        <w:jc w:val="left"/>
        <w:tblInd w:w="0" w:type="dxa"/>
        <w:tblLayout w:type="fixed"/>
        <w:tblCellMar>
          <w:top w:w="28" w:type="dxa"/>
          <w:left w:w="28" w:type="dxa"/>
          <w:bottom w:w="28" w:type="dxa"/>
          <w:right w:w="28" w:type="dxa"/>
        </w:tblCellMar>
      </w:tblPr>
      <w:tblGrid>
        <w:gridCol w:w="1091"/>
        <w:gridCol w:w="959"/>
        <w:gridCol w:w="964"/>
        <w:gridCol w:w="211"/>
        <w:gridCol w:w="82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impact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231F20"/>
          <w:sz w:val="20"/>
        </w:rPr>
      </w:pPr>
      <w:r>
        <w:rPr>
          <w:rFonts w:ascii="Times New Roman;serif" w:hAnsi="Times New Roman;serif"/>
          <w:b w:val="false"/>
          <w:color w:val="231F20"/>
          <w:sz w:val="20"/>
        </w:rPr>
        <w:t>The gross carrying amount and accumulated amortization of the Company’s intangible assets, net, as of March 31, 2026 were as follows:</w:t>
      </w:r>
    </w:p>
    <w:tbl>
      <w:tblPr>
        <w:tblW w:w="7762"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538"/>
        <w:gridCol w:w="447"/>
        <w:gridCol w:w="453"/>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0"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(80,815)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10,814 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10,720 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231F20"/>
                <w:sz w:val="20"/>
              </w:rPr>
            </w:pPr>
            <w:r>
              <w:rPr>
                <w:rFonts w:ascii="Times New Roman;serif" w:hAnsi="Times New Roman;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31F20"/>
                <w:sz w:val="20"/>
              </w:rPr>
            </w:pPr>
            <w:r>
              <w:rPr>
                <w:rFonts w:ascii="Times New Roman;serif" w:hAnsi="Times New Roman;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31F20"/>
                <w:sz w:val="20"/>
              </w:rPr>
            </w:pPr>
            <w:r>
              <w:rPr>
                <w:rFonts w:ascii="Times New Roman;serif" w:hAnsi="Times New Roman;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160,104 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(127,306)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32,798 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The gross carrying amount and accumulated amortization of the Company’s intangible assets, net, as of December 31, 2025 were as follows:</w:t>
      </w:r>
    </w:p>
    <w:tbl>
      <w:tblPr>
        <w:tblW w:w="7545"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211"/>
        <w:gridCol w:w="901"/>
        <w:gridCol w:w="109"/>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10"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(79,405)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96"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12,224</w:t>
            </w:r>
          </w:p>
        </w:tc>
        <w:tc>
          <w:tcPr>
            <w:tcW w:w="327" w:type="dxa"/>
            <w:gridSpan w:val="3"/>
            <w:tcBorders>
              <w:top w:val="single" w:sz="8"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11,178 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231F20"/>
                <w:sz w:val="20"/>
              </w:rPr>
            </w:pPr>
            <w:r>
              <w:rPr>
                <w:rFonts w:ascii="Times New Roman;serif" w:hAnsi="Times New Roman;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159,494 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(123,731)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35,763 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Long-Term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180"/>
        <w:jc w:val="left"/>
        <w:rPr/>
      </w:pPr>
      <w:r>
        <w:rPr>
          <w:rFonts w:ascii="Times New Roman;serif" w:hAnsi="Times New Roman;serif"/>
          <w:b w:val="false"/>
          <w:i/>
          <w:color w:val="000000"/>
          <w:sz w:val="20"/>
          <w:shd w:fill="FFFFFF" w:val="clear"/>
        </w:rPr>
        <w:t>Convertible Senior Secured Notes - 2028</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21, 2025, the Company entered into privately negotiated exchange agreements (the “Exchange Agreements”) with certain holders (the “Exchanging Holders”) of the 1.25% Convertible Senior Notes due October 1, 2026 (the “2026 Notes”). Pursuant to the Exchange Agreements, the Company exchanged and repurchased $413.2 million aggregate principal amount of the 2026 Notes. Of the $413.2 million aggregate principal amount of the 2026 Notes, $263.2 million principal amount were exchanged at a weighted-average price equal to 95% for $250.0 million principal amount of new 7.95% Convertible Senior Secured Notes due November 15, 2028 (the “2028 Notes”, and together with the 2026 Notes, the “Notes”), and $150.1 million principal amount were repurchased at a weighted-average price equal to 95% for $142.6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27, 2025, the Company issued the 2028 Notes to the Exchanging Holders. The 2028 Notes were issued pursuant to, and are governed by, an indenture, dated as of May 27, 2025, between the Company, the guarantors party thereto, and U.S. Bank Trust Company, National Association, as trustee and collateral agent.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Convertible Senior Notes - 2026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2021, the Company issued an aggregate of $750.0 million in principal amount of its 2026 Notes pursuant to, and governed by, an indenture dated as of September 14, 2021, between the Company and U.S. Bank National Association, as trustee. Pursuant to the purchase agreement between the Company and the initial purchasers of the 2026 Notes, the Company granted the initial purchasers an option to purchase, for settlement within a period of 13 days from, and including, the date the 2026 Notes were first issued, up to an additional $100.0 million principal amount of 2026 Notes. The 2026 Notes issued on September 14, 2021 include the $100.0 million principal amount of 2026 Notes issued pursuant to the full exercise by the initial purchasers of such 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repurchased $21.3 million principal amount of its 2026 Notes at a weighted-average price equal to 94.875% for $20.2 million and recognized a net gain of $1.0 million, which includes $0.1 million of unamortized debt issuance costs. During the three months ended March 31, 2025, there were no repurchases related to the 2026 Notes. Since inception through December 31, 2025, the Company exchanged and repurchased in total $625.5 million principal amount of its 2026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gain recognized related to the repurchase is included in other income, net in the Condensed Consolidated Statements of Comprehensive Income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is a summary of the Company’s Notes for the periods indicated:</w:t>
      </w:r>
    </w:p>
    <w:tbl>
      <w:tblPr>
        <w:tblW w:w="7059" w:type="dxa"/>
        <w:jc w:val="left"/>
        <w:tblInd w:w="0" w:type="dxa"/>
        <w:tblLayout w:type="fixed"/>
        <w:tblCellMar>
          <w:top w:w="28" w:type="dxa"/>
          <w:left w:w="28" w:type="dxa"/>
          <w:bottom w:w="28" w:type="dxa"/>
          <w:right w:w="28" w:type="dxa"/>
        </w:tblCellMar>
      </w:tblPr>
      <w:tblGrid>
        <w:gridCol w:w="1420"/>
        <w:gridCol w:w="1251"/>
        <w:gridCol w:w="1258"/>
        <w:gridCol w:w="232"/>
        <w:gridCol w:w="908"/>
        <w:gridCol w:w="119"/>
        <w:gridCol w:w="109"/>
        <w:gridCol w:w="109"/>
        <w:gridCol w:w="109"/>
        <w:gridCol w:w="273"/>
        <w:gridCol w:w="1072"/>
        <w:gridCol w:w="199"/>
      </w:tblGrid>
      <w:tr>
        <w:trPr/>
        <w:tc>
          <w:tcPr>
            <w:tcW w:w="142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124,485 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 net</w:t>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344,220 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364,390 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convertible senior notes,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(123,959)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2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241,276 </w:t>
            </w:r>
          </w:p>
        </w:tc>
        <w:tc>
          <w:tcPr>
            <w:tcW w:w="1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240,431 </w:t>
            </w:r>
          </w:p>
        </w:tc>
        <w:tc>
          <w:tcPr>
            <w:tcW w:w="1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As of March 31, 2026 and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the estimated fair value of the Notes were $345.3 million (compared to a carrying amount of </w:t>
      </w:r>
      <w:r>
        <w:rPr>
          <w:rFonts w:ascii="Times New Roman;serif" w:hAnsi="Times New Roman;serif"/>
          <w:b w:val="false"/>
          <w:color w:val="000000"/>
          <w:sz w:val="20"/>
        </w:rPr>
        <w:t>$353.2 million</w:t>
      </w:r>
      <w:r>
        <w:rPr>
          <w:rFonts w:ascii="Times New Roman;serif" w:hAnsi="Times New Roman;serif"/>
          <w:b w:val="false"/>
          <w:color w:val="231F20"/>
          <w:sz w:val="20"/>
        </w:rPr>
        <w:t xml:space="preserve">) and $383.1 million (compared to a carrying amount of </w:t>
      </w:r>
      <w:r>
        <w:rPr>
          <w:rFonts w:ascii="Times New Roman;serif" w:hAnsi="Times New Roman;serif"/>
          <w:b w:val="false"/>
          <w:color w:val="000000"/>
          <w:sz w:val="20"/>
        </w:rPr>
        <w:t>$374.5 million</w:t>
      </w:r>
      <w:r>
        <w:rPr>
          <w:rFonts w:ascii="Times New Roman;serif" w:hAnsi="Times New Roman;serif"/>
          <w:b w:val="false"/>
          <w:color w:val="231F20"/>
          <w:sz w:val="20"/>
        </w:rPr>
        <w:t xml:space="preserve">), respectively. The estimated fair value of the Notes was determined based on the actual bid price of the Notes on March 31, 2026 and </w:t>
      </w:r>
      <w:r>
        <w:rPr>
          <w:rFonts w:ascii="Times New Roman;serif" w:hAnsi="Times New Roman;serif"/>
          <w:b w:val="false"/>
          <w:color w:val="000000"/>
          <w:sz w:val="20"/>
        </w:rPr>
        <w:t>December 31, 2025, and are classified as Level 2 within the fair value hierarchy.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various lawsuits, claims, and other legal proceedings that arise from time to time in the ordinary course of business, including but not limited to commercial disputes, product liability, and employment related matters. In addition, the Company may bring claims or initiate lawsuits from time to time against various third parties with respect to matters arising out of the ordinary course of the Company’s business, including but not limited to commercial and intellectual property related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all such lawsuits, claims, and proceedings, if the Company determines a loss is probable and its amount can be reasonably estimated, the Company accrues an amount equal to the estimated loss. The assessment of whether a loss is probable or reasonably possible, and whether the loss or a range of loss is estimable, often involves a series of complex judgments about future events. In all instances, management has assessed the matter based on current information and made a judgment concerning its potential outcome, giving due consideration to the nature of the claim, the amount and nature of damages sought and the probability of success, and taking into account, among other things, negotiations with claimants, discovery, settlements and payments, judicial rulings, arbitration and mediation decisions, advice of internal and external legal counsel, and other information and events pertaining to a particular matter. Costs incurred for litigation are expensed as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Until the final resolution of such matters, if any of our estimates and assumptions change or prove to have been incorrect, we may experience losses in excess of the amounts recorded, which could have a material effect on our business, consolidated financial position,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otherwise disclosed below, we believe that none of our pending lawsuits, claims, and other proceedings are expected to have a material adverse effect on the Company’s business, consolidated financial position, results of operations, or cash flows. However, management’s judgment may prove materially inaccurate, and such judgment is made subject to the known uncertainties of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“Defendants”). The complaint, styled Abduladhim A. Alghazwi, individually and on behalf of all others similarly situated, v. The Beauty Health Company, Andrew Stanleick, Liyuan Woo, and Michael Monahan, Case No. 2:23-cv-09733 (C.D. Ca.) (the “Securities Class Action”), asserted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alleged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included a request for compensatory damages suffered by the plaintiff and other members of the putative class for damages allegedly sustained as a result of the alleged securities violations.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The Securities Class Action case was assigned to U.S. District Judge Sherilyn Peace Garnett. On September 30, 2024, Defendants filed a motion to dismiss the consolidated amended class action complaint in its entirety. Plaintiffs filed their opposition brief on November 22, 2024, and Defendants filed their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could complete a private mediation. The parties conducted the private mediation on March 27, 2025. The parties were unable to reach a settlement at the mediation. On May 5, 2025, the plaintiffs filed a second amended complaint (the “SAC”), pursuant to the parties’ stipulation, which was so-ordered by the Court on April 16, 2025. On July 11, 2025, Defendants filed a motion to dismiss the SAC in its entirety. The Court scheduled a hearing on Defendants’ motion for September 17, 2025. On September 15, 2025, the Court vacated the hearing </w:t>
      </w:r>
      <w:r>
        <w:rPr>
          <w:rFonts w:ascii="Times New Roman;serif" w:hAnsi="Times New Roman;serif"/>
          <w:b w:val="false"/>
          <w:i/>
          <w:color w:val="000000"/>
          <w:sz w:val="20"/>
        </w:rPr>
        <w:t>sua sponte</w:t>
      </w:r>
      <w:r>
        <w:rPr>
          <w:rFonts w:ascii="Times New Roman;serif" w:hAnsi="Times New Roman;serif"/>
          <w:b w:val="false"/>
          <w:color w:val="000000"/>
          <w:sz w:val="20"/>
        </w:rPr>
        <w:t>. On September 25, 2025, the Court denied Defendants’ motion to dismiss. On November 24, 2025, each Defendant filed an answer to the SAC. On November 26, 2025, the parties filed a Fed. R. Civ. P. 26(f) joint report and proposed stipulated pretrial schedule. On December 15, 2025, the Court so-ordered the parties’ stipulated pretrial schedule, set the final pretrial conference for November 17, 2027, and set trial for December 7, 2027. On the same day, the Court referred the parties to a private mediation before a private mediator of their choice, to be completed by October 13, 2027. On March 24, 2026, the parties entered into a stipulation to extend the case schedule by approximately three months to allow them to focus on mediation efforts. The Court approved the stipulation on March 25, 2026, resulting in a three-month extension of the case schedule, including all discovery deadlines. The parties have agreed to participate in a private mediation, which is currently scheduled to take place on May 20,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Securities Class Action have no merit and intends to vigorously defend them.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Customer Class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(the “Complaint”) against Hydrafacial LLC d/b/a The Hydrafacial Company (“Hydrafacial”) and The Beauty Health Company (“BHC” and collectively with Hydrafacial, the “Class Action Defendants”) for alleged violations of New York consumer fraud statutes, breach of contract, and common law breach of implied warranties (the “Customer Class Action”). The case is captioned Jason Davalos, Sonia Davalos, Sol Tan Tanning &amp; Spa LLC, on behalf of themselves and all others similarly situated v. Hydrafacial LLC dba The Hydrafacial Company, and The Beauty Health Company, Case No. 24-cv-8073 (S.D.N.Y.) (Caproni, J.) The Complaint alleged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purported to bring claims on behalf of themselves, and all other similarly situated purchasers within the United States, of Class Action Defendants’ Syndeo machines. The Complaint asserted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30, 2024, the Class Action Defendants filed a motion to dismiss the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Customer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to file an amended complaint no later than June 2, 2025, and scheduled an initial pretrial conference for July 18,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June 2, 2025, Plaintiff and fifteen other alleged purchasers of the Syndeo machines (“Plaintiffs”) filed an amended complaint (the “Amended Complaint”) asserting: (1) violations of N.Y. G.B.L., § 349 (Count IV), the state consumer protection statute; (2) violations of N.Y. G.B.L., § 350 (Count V), the state’s false advertising statute; (3) breach of the implied warranty of merchantability (Count I); (4) breach of express and implied contract and class-wide rescission (Count II); and (5) breach of express warranty (Count III). The relief sought in the Amended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For Counts IV (violations of N.Y. G.B.L., § 349) and V (violations of N.Y. G.B.L., § 350), plaintiff Jennifer Skuratov d/b/a Spa Thirsty, Inc. (“Spa Thirsty”), sought certification of an alternative subclass of New York purchasers of Syndeo devices (the “Putative New York Subclass”). On June 23, 2025, Defendants moved to (i) dismiss Counts I, II, IV, and V in full; (ii) partially dismiss Count III to the extent it alleges design defects; (iii) dismiss all claims brought by plaintiff Spa Thirsty in full; (iv) dismiss all claims against BHC in full; and (v) dismiss Plaintiffs’ claim for injunctive relief. On December 22, 2025, the Court granted Defendants’ motion to dismiss in its entirety, except it denied Defendants’ request that the claims brought by plaintiff Spa Thirsty be dismissed with prejudice. Specifically, the Court dismissed (i) all of Plaintiffs’ claims against BHC; (ii) Plaintiffs’ claims for breach of the implied warranty of merchantability (Count I), breach of express and implied contract and class-wide rescission based on fraudulent inducement (Count II), and violations of N.Y. G.B.L., §§ 349 and 350 (Counts IV and V), and their request for injunctive relief; and (iii) the Class Action Plaintiffs’ claim for breach of express warranty (Count III) to the extent it arises out of alleged defects affirmatively identified as “design defects” in the amended complaint. In addition, the Court denied the Class Action Plaintiffs’ request for leave to amend as to all of the dismissed causes of action except for plaintiff Spa Thirsty’s claims pursuant to N.Y. G.B.L. §§ 349 and 350. The Court gave plaintiff Spa Thirsty until January 9, 2026 to move for leave to file a second amended complaint that addresses the deficiencies with plaintiff Spa Thirsty’s §§ 349 and 350 claims.</w:t>
      </w:r>
      <w:r>
        <w:rPr>
          <w:color w:val="000000"/>
        </w:rPr>
        <w:t xml:space="preserve"> </w:t>
      </w:r>
      <w:r>
        <w:rPr>
          <w:rFonts w:ascii="Times New Roman;serif" w:hAnsi="Times New Roman;serif"/>
          <w:b w:val="false"/>
          <w:color w:val="000000"/>
          <w:sz w:val="20"/>
        </w:rPr>
        <w:t>Those deficiencies included plaintiff Spa Thirsty’s failure to allege that it “was aware of any of Defendants’ purportedly deceptive statements ‘before [it] purchased or came into possession’ of the Syndeo.”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January 9, 2026, Class Action Plaintiffs filed a letter motion for leave to file a second amended complaint and for reconsideration of the Court’s dismissal of Plaintiffs’ claims for breach of express and implied contract and class-wide rescission based on fraudulent inducement (Count II). Class Action Plaintiffs appended a proposed second amended complaint (the “Second Amended Complaint”) to their letter motion. The Second Amended Complaint alleged that plaintiff Spa Thirsty purchased a Syndeo in reliance on representations made by Hydrafacial to plaintiff Spa Thirsty at an aesthetic conference in New York, including that Syndeo was “top of the line,” “hands free,” “had superior cleanliness,” “superior,” “a major upgrade,” “works great,” and “yielded ‘more than 15 uses per bottle of solution serum.” The Second Amended Complaint alleged that those representations were deceptive in violation of N.Y. G.B.L. §§ 349 and 350 because the Syndeo allegedly lacked attributes Hydrafacial had represented to plaintiff Spa Thirsty and did not yield the promised treatments per bottle of solution serum. On January 23, 2026, Hydrafacial filed its opposition to Class Action Plaintiffs’ letter motion. Hydrafacial argued that the Second Amended Complaint was futile because all of its alleged representations about the Syndeo were inactionable puffery, except for, arguably, the representation regarding the number of treatments per bottle of solution serum.</w:t>
      </w:r>
      <w:r>
        <w:rPr>
          <w:color w:val="000000"/>
        </w:rPr>
        <w:t xml:space="preserve"> </w:t>
      </w:r>
      <w:r>
        <w:rPr>
          <w:rFonts w:ascii="Times New Roman;serif" w:hAnsi="Times New Roman;serif"/>
          <w:b w:val="false"/>
          <w:color w:val="000000"/>
          <w:sz w:val="20"/>
        </w:rPr>
        <w:t>For that representation, Hydrafacial argued that plaintiff Spa Thirsty did not allege that its Syndeo yielded fewer than 15 treatments per bottle and failed to allege other facts required to state §§ 349 and 350 claims.</w:t>
      </w:r>
      <w:r>
        <w:rPr>
          <w:color w:val="000000"/>
        </w:rPr>
        <w:t xml:space="preserve"> </w:t>
      </w:r>
      <w:r>
        <w:rPr>
          <w:rFonts w:ascii="Times New Roman;serif" w:hAnsi="Times New Roman;serif"/>
          <w:b w:val="false"/>
          <w:color w:val="000000"/>
          <w:sz w:val="20"/>
        </w:rPr>
        <w:t>Hydrafacial also argued that Class Action Plaintiffs’ request for reconsideration of the dismissal of Count II should be denied as untimely.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27, 2026, the Court issued an order granting Class Action Plaintiffs’ motion for leave to file the Second Amended Complaint but denied their request that the Court reconsider its order dismissing the claim for breach of contract in Count II of the Amended Complaint. Although the Court agreed with Hydrafacial that “many of the claims attributed to HydraFacial in the Second Amended Complaint are non-actionable puffery, the claim that the Syndeo ‘yielded more than 15 uses per bottle of serum’ is a verifiable statement of fact,” and the Court could “infer that plaintiff Spa Thirsty’s machine failed to yield the promised number of uses per bottle of serum …. From plaintiff Spa Thirsty’s allegation that its ‘machines run through serums faster than Defendant states it should.’” The Court denied reconsideration because Class Action Plaintiffs’ request was both untimely and “would fail on the merits,” as Class Action Plaintiffs “failed to allege the specific provisions of the contract upon which liability was predicated.” Pursuant to the Court’s order, Class Action Plaintiffs filed the Second Amended Complaint on January 29, 2026. As a result of the Court’s ruling, the only claims still pending before the Court in the Customer Class Action are (i) the Class Action Plaintiffs’ claim against Hydrafacial for breach of its express warranty against defects in materials and workmanship; and (ii) plaintiff Spa Thirsty’s claim, asserted on behalf of itself and the Putative New York Subclass against Hydrafacial, for alleged violations of N.Y. G.B.L., § 349 and § 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26, 2026, the parties jointly notified the Court that a settlement-in-principle had been reached and requested that all deadlines be stayed for sixty (60) days. On March 2, 2026, the Court ordered Class Action Plaintiffs to file the necessary motion papers for preliminary approval of the settlement on or before May 29, 2026, and canceled all other deadlines in the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Customer Class Action have no merit and it intends to vigorously defend them.</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Action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was filed on May 2, 2025, and Defendants’ reply brief was filed on June 3, 2025. The parties held a mediation on November 4, 2025 and reached agreement on terms of a mutually agreeable resolution. On February 9, 2026, the parties entered into a Stipulation of Settlement, which is subject to court approval. On February 20, 2026, the Delaware Court of Chancery entered a Scheduling Order with respect to Notice and Settlement Hearing, requiring the Company to file a copy of the Notice of Pendency and Proposed Settlement of Derivative Action as an exhibit to a Current Report on Form 8-K, which the Company filed on March 6, 2026. The Court has scheduled the settlement hearing for May 13, 2026</w:t>
      </w:r>
      <w:r>
        <w:rPr>
          <w:rFonts w:ascii="Times New Roman;serif" w:hAnsi="Times New Roman;serif"/>
          <w:b w:val="false"/>
          <w:color w:val="008080"/>
          <w:sz w:val="20"/>
        </w:rPr>
        <w: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and Exchange Commission (the “SEC”) Subpoena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11, 2024, the Company was informed that the SEC is conducting a formal investigation of the Company related to, among other things, the allegations brought against the Company in the Securities Class Action lawsuit. The Company has subsequently received subpoenas from the SEC for the production of documents and witness testimony related to its investigation. The Company is in the process of responding to the subpoenas and intends to continue to fully cooperate with the SEC investigation. We cannot predict the duration, scope, or outcome of this matter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Registration Rights Agreement, (i) any outstanding shares of Class A Common Stock or any other equity securities (including the 9,333,333 warrants to purchase shares of the Company’s Class A Common Stock at $11.50 per share (the “Private Placement Warrants”) and including shares of Class A Common Stock issued or issuable upon the exercise of any other equity security) of the Company held by BLS Investor Group LLC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Class A Common Stock by way of a stock dividend or stock split or in connection with a combination of shares, recapitalization, merger, consolidation or other reorganization or otherwise will be entitled to registration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Registration Rights Agreement provides that the Company will, within 60 days after the consummation of the Business Combination, file with the SEC a shelf registration statement registering the resale of the shares of Class A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Class A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Class A Common Stock effected pursuant to the terms of the 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Class A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Class A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Class A Common Stock issuable upon the exercise thereof for 30 days following the Closing.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March 31, 2026 and December 31, 2025</w:t>
      </w:r>
      <w:r>
        <w:rPr>
          <w:rFonts w:ascii="Times New Roman;serif" w:hAnsi="Times New Roman;serif"/>
          <w:b w:val="false"/>
          <w:color w:val="000000"/>
          <w:sz w:val="20"/>
        </w:rPr>
        <w:t xml:space="preserve">, the Company had approximately 7 million Private Placement Warrants outstanding, which will expire in May 2026. The fair value of the Private Placement Warrants was immaterial as of </w:t>
      </w:r>
      <w:r>
        <w:rPr>
          <w:rFonts w:ascii="Times New Roman;serif" w:hAnsi="Times New Roman;serif"/>
          <w:b w:val="false"/>
          <w:color w:val="231F20"/>
          <w:sz w:val="20"/>
        </w:rPr>
        <w:t>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Investor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Stockholders' Equity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Company is authorized to issue 320,000,000 shares of Class A Common Stock, par value of $0.0001 per share. Holders of Class A Common Stock are entitled to </w:t>
      </w:r>
      <w:r>
        <w:rPr>
          <w:rFonts w:ascii="Times New Roman;serif" w:hAnsi="Times New Roman;serif"/>
          <w:b w:val="false"/>
          <w:color w:val="000000"/>
          <w:sz w:val="20"/>
        </w:rPr>
        <w:t>one</w:t>
      </w:r>
      <w:r>
        <w:rPr>
          <w:color w:val="231F20"/>
        </w:rPr>
        <w:t xml:space="preserve"> </w:t>
      </w:r>
      <w:r>
        <w:rPr>
          <w:rFonts w:ascii="Times New Roman;serif" w:hAnsi="Times New Roman;serif"/>
          <w:b w:val="false"/>
          <w:color w:val="231F20"/>
          <w:sz w:val="20"/>
        </w:rPr>
        <w:t>vote for each share. As of March 31, 2026 and December 31, 2025, there were 129,144,801 and 127,520,823, respectively, of Class A Common Stock issued and outstanding. The Company has not declared or paid any dividends with respect to its Class A Common Stock</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The</w:t>
      </w:r>
      <w:r>
        <w:rPr>
          <w:color w:val="000000"/>
        </w:rPr>
        <w:t xml:space="preserve"> </w:t>
      </w:r>
      <w:r>
        <w:rPr>
          <w:rFonts w:ascii="Times New Roman;serif" w:hAnsi="Times New Roman;serif"/>
          <w:b w:val="false"/>
          <w:color w:val="000000"/>
          <w:sz w:val="20"/>
        </w:rPr>
        <w:t xml:space="preserve">Company is authorized to issue 1,000,000 shares of preferred stock with a par value of $0.0001 per share with such designations, voting and other rights and preferences as may be determined from time to time by the Company’s Board of Directors. At March 31, 2026 and </w:t>
      </w:r>
      <w:r>
        <w:rPr>
          <w:rFonts w:ascii="Times New Roman;serif" w:hAnsi="Times New Roman;serif"/>
          <w:b w:val="false"/>
          <w:color w:val="231F20"/>
          <w:sz w:val="20"/>
        </w:rPr>
        <w:t>December 31, 2025</w:t>
      </w:r>
      <w:r>
        <w:rPr>
          <w:rFonts w:ascii="Times New Roman;serif" w:hAnsi="Times New Roman;serif"/>
          <w:b w:val="false"/>
          <w:color w:val="000000"/>
          <w:sz w:val="20"/>
        </w:rPr>
        <w:t>, there were no shares of preferred stock issued or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assets and liabilities that are measured at fair value on a recurring basis as of March 31, 2026 and December 31, 2025, and indicate the fair value hierarchy of the valuation inputs the Company utilized to determine such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three levels of the fair value hierarchy are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based on our assessment of the assumptions that market participants would use in pricing the asset or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11" w:type="dxa"/>
        <w:jc w:val="left"/>
        <w:tblInd w:w="0" w:type="dxa"/>
        <w:tblLayout w:type="fixed"/>
        <w:tblCellMar>
          <w:top w:w="28" w:type="dxa"/>
          <w:left w:w="28" w:type="dxa"/>
          <w:bottom w:w="28" w:type="dxa"/>
          <w:right w:w="28" w:type="dxa"/>
        </w:tblCellMar>
      </w:tblPr>
      <w:tblGrid>
        <w:gridCol w:w="1307"/>
        <w:gridCol w:w="1152"/>
        <w:gridCol w:w="1155"/>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As of March 31, 2026</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Total</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128,303 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711" w:type="dxa"/>
        <w:jc w:val="left"/>
        <w:tblInd w:w="0" w:type="dxa"/>
        <w:tblLayout w:type="fixed"/>
        <w:tblCellMar>
          <w:top w:w="28" w:type="dxa"/>
          <w:left w:w="28" w:type="dxa"/>
          <w:bottom w:w="28" w:type="dxa"/>
          <w:right w:w="28" w:type="dxa"/>
        </w:tblCellMar>
      </w:tblPr>
      <w:tblGrid>
        <w:gridCol w:w="1307"/>
        <w:gridCol w:w="1152"/>
        <w:gridCol w:w="1155"/>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As of December 31, 2025</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Total</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consist of the sale of products to retail and wholesale customers through e-commerce and distributor sales. The Company generates revenue through manufacturing and selling its patented hydradermabrasion delivery systems (“Delivery Systems”). In conjunction with the sale of Delivery Systems, the Company also sells single-use tips, solutions, serums, and other products used to provide a Hydrafacial treatment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Net sales disaggregated by major product line were as follows for the periods indicated:</w:t>
      </w:r>
    </w:p>
    <w:tbl>
      <w:tblPr>
        <w:tblW w:w="4637" w:type="dxa"/>
        <w:jc w:val="left"/>
        <w:tblInd w:w="0" w:type="dxa"/>
        <w:tblLayout w:type="fixed"/>
        <w:tblCellMar>
          <w:top w:w="28" w:type="dxa"/>
          <w:left w:w="28" w:type="dxa"/>
          <w:bottom w:w="28" w:type="dxa"/>
          <w:right w:w="28" w:type="dxa"/>
        </w:tblCellMar>
      </w:tblPr>
      <w:tblGrid>
        <w:gridCol w:w="553"/>
        <w:gridCol w:w="487"/>
        <w:gridCol w:w="489"/>
        <w:gridCol w:w="211"/>
        <w:gridCol w:w="721"/>
        <w:gridCol w:w="109"/>
        <w:gridCol w:w="109"/>
        <w:gridCol w:w="109"/>
        <w:gridCol w:w="109"/>
        <w:gridCol w:w="211"/>
        <w:gridCol w:w="721"/>
        <w:gridCol w:w="109"/>
        <w:gridCol w:w="109"/>
        <w:gridCol w:w="109"/>
        <w:gridCol w:w="109"/>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720"/>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10" w:after="283"/>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18,539 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20,218 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64,910 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geographic region were as follows for the periods indicated:</w:t>
      </w:r>
    </w:p>
    <w:p>
      <w:pPr>
        <w:pStyle w:val="TextBody"/>
        <w:bidi w:val="0"/>
        <w:spacing w:before="0" w:after="0"/>
        <w:jc w:val="left"/>
        <w:rPr/>
      </w:pPr>
      <w:r>
        <w:rPr/>
      </w:r>
    </w:p>
    <w:tbl>
      <w:tblPr>
        <w:tblW w:w="6077" w:type="dxa"/>
        <w:jc w:val="left"/>
        <w:tblInd w:w="0" w:type="dxa"/>
        <w:tblLayout w:type="fixed"/>
        <w:tblCellMar>
          <w:top w:w="28" w:type="dxa"/>
          <w:left w:w="28" w:type="dxa"/>
          <w:bottom w:w="28" w:type="dxa"/>
          <w:right w:w="28" w:type="dxa"/>
        </w:tblCellMar>
      </w:tblPr>
      <w:tblGrid>
        <w:gridCol w:w="1074"/>
        <w:gridCol w:w="946"/>
        <w:gridCol w:w="949"/>
        <w:gridCol w:w="211"/>
        <w:gridCol w:w="721"/>
        <w:gridCol w:w="109"/>
        <w:gridCol w:w="109"/>
        <w:gridCol w:w="109"/>
        <w:gridCol w:w="109"/>
        <w:gridCol w:w="211"/>
        <w:gridCol w:w="721"/>
        <w:gridCol w:w="109"/>
        <w:gridCol w:w="109"/>
        <w:gridCol w:w="109"/>
        <w:gridCol w:w="109"/>
        <w:gridCol w:w="109"/>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Europe, the Middle East and Africa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Asia-Pacific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64,910 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Share-Based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various stock compensation plans, which are more fully described in Part II, Item 8 “Financial Statements and Supplementary Data—Note 12 to the Consolidated Financial Statements—Share-Based Compensation” in the Company’s 2025 Annual Report on Form 10-K. Under The Beauty Health Company 2021 Incentive Award Plan, the Company may grant stock options, stock appreciation rights, restricted stock, restricted stock units, dividend equivalents, other stock or cash-based awards to eligible service providers.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was as follows for the periods indicated:</w:t>
      </w:r>
    </w:p>
    <w:p>
      <w:pPr>
        <w:pStyle w:val="TextBody"/>
        <w:bidi w:val="0"/>
        <w:spacing w:before="0" w:after="0"/>
        <w:jc w:val="left"/>
        <w:rPr/>
      </w:pPr>
      <w:r>
        <w:rPr/>
      </w:r>
    </w:p>
    <w:tbl>
      <w:tblPr>
        <w:tblW w:w="5610" w:type="dxa"/>
        <w:jc w:val="left"/>
        <w:tblInd w:w="0" w:type="dxa"/>
        <w:tblLayout w:type="fixed"/>
        <w:tblCellMar>
          <w:top w:w="28" w:type="dxa"/>
          <w:left w:w="28" w:type="dxa"/>
          <w:bottom w:w="28" w:type="dxa"/>
          <w:right w:w="28" w:type="dxa"/>
        </w:tblCellMar>
      </w:tblPr>
      <w:tblGrid>
        <w:gridCol w:w="987"/>
        <w:gridCol w:w="871"/>
        <w:gridCol w:w="872"/>
        <w:gridCol w:w="230"/>
        <w:gridCol w:w="672"/>
        <w:gridCol w:w="119"/>
        <w:gridCol w:w="119"/>
        <w:gridCol w:w="119"/>
        <w:gridCol w:w="119"/>
        <w:gridCol w:w="230"/>
        <w:gridCol w:w="672"/>
        <w:gridCol w:w="119"/>
        <w:gridCol w:w="109"/>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erif" w:hAnsi="Times New Roman;serif"/>
          <w:b w:val="false"/>
          <w:i/>
          <w:color w:val="000000"/>
          <w:sz w:val="20"/>
        </w:rPr>
        <w:t xml:space="preserve">Restricted Stock Units (“RSU”) and </w:t>
      </w:r>
      <w:r>
        <w:rPr>
          <w:rFonts w:ascii="Times New Roman;serif" w:hAnsi="Times New Roman;serif"/>
          <w:b w:val="false"/>
          <w:i/>
          <w:color w:val="231F20"/>
          <w:sz w:val="20"/>
        </w:rPr>
        <w:t>Performance-based Restricted Stock Units (“PSU”)</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and PSU activity:</w:t>
      </w:r>
    </w:p>
    <w:tbl>
      <w:tblPr>
        <w:tblW w:w="9448" w:type="dxa"/>
        <w:jc w:val="left"/>
        <w:tblInd w:w="0" w:type="dxa"/>
        <w:tblLayout w:type="fixed"/>
        <w:tblCellMar>
          <w:top w:w="28" w:type="dxa"/>
          <w:left w:w="28" w:type="dxa"/>
          <w:bottom w:w="28" w:type="dxa"/>
          <w:right w:w="28" w:type="dxa"/>
        </w:tblCellMar>
      </w:tblPr>
      <w:tblGrid>
        <w:gridCol w:w="929"/>
        <w:gridCol w:w="815"/>
        <w:gridCol w:w="820"/>
        <w:gridCol w:w="109"/>
        <w:gridCol w:w="109"/>
        <w:gridCol w:w="109"/>
        <w:gridCol w:w="540"/>
        <w:gridCol w:w="541"/>
        <w:gridCol w:w="321"/>
        <w:gridCol w:w="109"/>
        <w:gridCol w:w="109"/>
        <w:gridCol w:w="109"/>
        <w:gridCol w:w="488"/>
        <w:gridCol w:w="488"/>
        <w:gridCol w:w="316"/>
        <w:gridCol w:w="109"/>
        <w:gridCol w:w="109"/>
        <w:gridCol w:w="109"/>
        <w:gridCol w:w="333"/>
        <w:gridCol w:w="806"/>
        <w:gridCol w:w="172"/>
        <w:gridCol w:w="172"/>
        <w:gridCol w:w="172"/>
        <w:gridCol w:w="172"/>
        <w:gridCol w:w="333"/>
        <w:gridCol w:w="806"/>
        <w:gridCol w:w="24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Grant Date Fair Value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RSU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PSU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RSU</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PSU</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12,311,446 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2,154,230 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9,007,477 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434,068 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Vested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(2,469,895)</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(1,241,717)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(378,245)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17,607,311 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2,210,053 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March 31, 2026</w:t>
      </w:r>
      <w:r>
        <w:rPr>
          <w:rFonts w:ascii="Times New Roman;serif" w:hAnsi="Times New Roman;serif"/>
          <w:b w:val="false"/>
          <w:color w:val="000000"/>
          <w:sz w:val="20"/>
        </w:rPr>
        <w:t>, total unrecognized compensation expense related to unvested RSU and PSU totaled $25.7 million and is expected to be recognized over a weighted-average period of 2.3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pPr>
      <w:r>
        <w:rPr>
          <w:rFonts w:ascii="Times New Roman;serif" w:hAnsi="Times New Roman;serif"/>
          <w:b w:val="false"/>
          <w:i/>
          <w:color w:val="000000"/>
          <w:sz w:val="20"/>
        </w:rPr>
        <w:t xml:space="preserve">Stock </w:t>
      </w:r>
      <w:r>
        <w:rPr>
          <w:rFonts w:ascii="Times New Roman;serif" w:hAnsi="Times New Roman;serif"/>
          <w:b w:val="false"/>
          <w:i/>
          <w:color w:val="231F20"/>
          <w:sz w:val="20"/>
        </w:rPr>
        <w:t>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9"/>
        <w:gridCol w:w="964"/>
        <w:gridCol w:w="970"/>
        <w:gridCol w:w="109"/>
        <w:gridCol w:w="109"/>
        <w:gridCol w:w="109"/>
        <w:gridCol w:w="488"/>
        <w:gridCol w:w="488"/>
        <w:gridCol w:w="196"/>
        <w:gridCol w:w="109"/>
        <w:gridCol w:w="109"/>
        <w:gridCol w:w="109"/>
        <w:gridCol w:w="413"/>
        <w:gridCol w:w="1208"/>
        <w:gridCol w:w="213"/>
        <w:gridCol w:w="109"/>
        <w:gridCol w:w="109"/>
        <w:gridCol w:w="109"/>
        <w:gridCol w:w="971"/>
        <w:gridCol w:w="971"/>
        <w:gridCol w:w="974"/>
        <w:gridCol w:w="109"/>
        <w:gridCol w:w="160"/>
      </w:tblGrid>
      <w:tr>
        <w:trPr/>
        <w:tc>
          <w:tcPr>
            <w:tcW w:w="10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Remaining Contractual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2,459,920 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2,459,920 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Vested and Exercisable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2,459,920 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231F20"/>
                <w:sz w:val="20"/>
              </w:rPr>
            </w:pPr>
            <w:r>
              <w:rPr>
                <w:rFonts w:ascii="Times New Roman;serif" w:hAnsi="Times New Roman;serif"/>
                <w:b w:val="false"/>
                <w:color w:val="231F20"/>
                <w:sz w:val="20"/>
              </w:rPr>
              <w:t>Options vested and expected to vest -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2,459,920 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Cash Performance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cash performance awards with a total target value of $2.8 million were granted for which the final payout will range from 0% to 200% of the target value based on the total shareholder return of the Company’s Class A Common stock relative to a defined peer group. The cash performance awards vest over a two to three-year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cash performance awards can be settled in either cash or Class A Common Stock upon vesting at the Company’s discretion. These awards are accounted for as liability awards under Accounting Standards Codification (“ASC”) 718 and are measured at fair value through the end of the performance period using the Monte Carlo simulation model. For the three months ended March 31, 2026, the expense associated with the cash performance awards was immaterial. The estimated future cash payments of these awards are included within other long-term liabilities in the Condensed Consolidated Balance Sheets.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March 31, 2026</w:t>
      </w:r>
      <w:r>
        <w:rPr>
          <w:rFonts w:ascii="Times New Roman;serif" w:hAnsi="Times New Roman;serif"/>
          <w:b w:val="false"/>
          <w:color w:val="000000"/>
          <w:sz w:val="20"/>
        </w:rPr>
        <w:t>, total unrecognized compensation expense related to unvested cash performance awards totaled $0.9 million and is expected to be recognized over a weighted-average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calculate its interim income tax provision using the estimated annual effective tax rate (“AETR”) method prescribed by ASC 740-270, and as such, excludes losses in jurisdictions where the Company cannot benefit in computing its worldwide AETR. A separate AETR is computed and applied to ordinary losses in the U.S. and China as required by ASC 740-270-30-36(a). For the three months ended March 31, 2026, the Company recorded income tax benefit of $0.2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AETR differed from the U.S. federal statutory tax rate of 21% due primarily to a full valuation allowance against the Company's deferred tax assets in the U.S. and China, income in foreign jurisdictions that are taxed at higher rates than the U.S. federal rate, and the impact of discrete items that may occur in any given year but are not consistent from year to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the Company recorded income tax expense of $0.9 million. The estimated worldwide AETR differed from the U.S. federal statutory tax rate of 21% due primarily to a full valuation allowance against the Company's U.S. deferred tax assets, income in foreign jurisdictions that are taxed at higher rates than the U.S. federal rate, and the impact of discrete items that may occur in any given year but are not consistent from year to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established a valuation allowance against its deferred tax assets in the U.S. and China, because it is more likely than not that the deferred tax assets will not be realized. In determining whether deferred tax assets are realizable, the Company considers numerous factors including historical profitability, the amount of future taxable income and the existence of taxable temporary differences that can be used to realize deferred tax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applies ASC 740, the accounting standard addressing the accounting for uncertainty in income taxes, which prescribes rules for recognition, measurement and classification in the financial statements of tax positions taken or expected to be taken in a tax return. The Company has gross unrecognized tax benefits of $1.8 million and $1.7 million as of March 31, 2026 and December 31, 2025,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Net Loss Attributable to Common Stockholders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following table sets forth the calculation of both basic and diluted net </w:t>
      </w:r>
      <w:r>
        <w:rPr>
          <w:rFonts w:ascii="Times New Roman;serif" w:hAnsi="Times New Roman;serif"/>
          <w:b w:val="false"/>
          <w:color w:val="000000"/>
          <w:sz w:val="20"/>
        </w:rPr>
        <w:t>loss</w:t>
      </w:r>
      <w:r>
        <w:rPr>
          <w:color w:val="231F20"/>
        </w:rPr>
        <w:t xml:space="preserve"> </w:t>
      </w:r>
      <w:r>
        <w:rPr>
          <w:rFonts w:ascii="Times New Roman;serif" w:hAnsi="Times New Roman;serif"/>
          <w:b w:val="false"/>
          <w:color w:val="231F20"/>
          <w:sz w:val="20"/>
        </w:rPr>
        <w:t xml:space="preserve">per share as follows for the periods indicated: </w:t>
      </w:r>
    </w:p>
    <w:tbl>
      <w:tblPr>
        <w:tblW w:w="8191" w:type="dxa"/>
        <w:jc w:val="left"/>
        <w:tblInd w:w="0" w:type="dxa"/>
        <w:tblLayout w:type="fixed"/>
        <w:tblCellMar>
          <w:top w:w="28" w:type="dxa"/>
          <w:left w:w="28" w:type="dxa"/>
          <w:bottom w:w="28" w:type="dxa"/>
          <w:right w:w="28" w:type="dxa"/>
        </w:tblCellMar>
      </w:tblPr>
      <w:tblGrid>
        <w:gridCol w:w="1658"/>
        <w:gridCol w:w="1455"/>
        <w:gridCol w:w="1462"/>
        <w:gridCol w:w="297"/>
        <w:gridCol w:w="889"/>
        <w:gridCol w:w="109"/>
        <w:gridCol w:w="109"/>
        <w:gridCol w:w="109"/>
        <w:gridCol w:w="109"/>
        <w:gridCol w:w="264"/>
        <w:gridCol w:w="922"/>
        <w:gridCol w:w="109"/>
        <w:gridCol w:w="109"/>
        <w:gridCol w:w="109"/>
        <w:gridCol w:w="109"/>
        <w:gridCol w:w="109"/>
        <w:gridCol w:w="109"/>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 except share and per share amounts)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available to common stockholders - basic</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(6,630)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(10,096)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 xml:space="preserve">Adjustments related to the 2026 Notes </w:t>
            </w:r>
            <w:r>
              <w:rPr>
                <w:rFonts w:ascii="Times New Roman;serif" w:hAnsi="Times New Roman;serif"/>
                <w:b w:val="false"/>
                <w:color w:val="231F2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available to common stockholders - diluted</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common stock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127,792,611 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125,079,470 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Effect of dilutive shares: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2026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3,607,287 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common stock outstanding -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131,399,898 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125,079,470 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Basic net loss per share:</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Diluted net loss per share:</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three months ended March 31, 2026, the adjustments related to the 2026 Notes include the net gain related to the repurchase offset by interest expense and amortization of debt issuance costs related to the 2026 Notes (net of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shares have been excluded from the calculation of the weighted average diluted shares outstanding as the effect would have been anti-dilutive:</w:t>
      </w:r>
    </w:p>
    <w:p>
      <w:pPr>
        <w:pStyle w:val="TextBody"/>
        <w:bidi w:val="0"/>
        <w:spacing w:before="0" w:after="0"/>
        <w:jc w:val="left"/>
        <w:rPr/>
      </w:pPr>
      <w:r>
        <w:rPr/>
      </w:r>
    </w:p>
    <w:tbl>
      <w:tblPr>
        <w:tblW w:w="5465" w:type="dxa"/>
        <w:jc w:val="left"/>
        <w:tblInd w:w="0" w:type="dxa"/>
        <w:tblLayout w:type="fixed"/>
        <w:tblCellMar>
          <w:top w:w="28" w:type="dxa"/>
          <w:left w:w="28" w:type="dxa"/>
          <w:bottom w:w="28" w:type="dxa"/>
          <w:right w:w="28" w:type="dxa"/>
        </w:tblCellMar>
      </w:tblPr>
      <w:tblGrid>
        <w:gridCol w:w="461"/>
        <w:gridCol w:w="404"/>
        <w:gridCol w:w="409"/>
        <w:gridCol w:w="708"/>
        <w:gridCol w:w="373"/>
        <w:gridCol w:w="266"/>
        <w:gridCol w:w="266"/>
        <w:gridCol w:w="266"/>
        <w:gridCol w:w="266"/>
        <w:gridCol w:w="750"/>
        <w:gridCol w:w="331"/>
        <w:gridCol w:w="266"/>
        <w:gridCol w:w="109"/>
        <w:gridCol w:w="109"/>
        <w:gridCol w:w="109"/>
        <w:gridCol w:w="109"/>
        <w:gridCol w:w="109"/>
        <w:gridCol w:w="154"/>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2026 Notes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17,559,686 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2028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87,412,575 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17,607,311 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15,813,008 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2,459,920 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3,145,320 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2,210,053 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2,845,617 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income and shares related to the Private Placement Warrants were excluded from the calculation of diluted net loss per share of Class A Common Stock because their effect would be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on the basis of one operating segment and one reportable segment. The chief operating decision maker (“CODM”), who is the Chief Executive Officer, assesses performance for the one operating segment and decides how to allocate resources based on consolidated net income (loss) and consolidated income (loss) from operations, which is also reported on the Condensed Consolidated Statements of Comprehensive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expenses within consolidated net (loss) income include cost of sales, total operating expenses, interest expense, interest income, other (income) expense, net, change in fair value of warrant liabilities, foreign currency transaction loss (gain), net, and income tax expense (benefit), all of which are each separately reported on the Condensed Consolidated Statements of Comprehensive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also reviews the disaggregation of total operating expenses, of which significant segment expenses are related to personnel-related expenses, which includes sales commission and share-based compensation expense. Other segment expenses included in total operating expenses primarily consist of fees for professional services principally comprising legal, audit, tax and accounting services, depreciation and amortization expenses, advertising and marketing-related expenses, software, facilities-related costs, credit card and wire fees, and insurance.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components of operating expenses for the periods indicated: </w:t>
      </w:r>
    </w:p>
    <w:p>
      <w:pPr>
        <w:pStyle w:val="TextBody"/>
        <w:bidi w:val="0"/>
        <w:spacing w:before="0" w:after="0"/>
        <w:jc w:val="left"/>
        <w:rPr/>
      </w:pPr>
      <w:r>
        <w:rPr/>
      </w:r>
    </w:p>
    <w:tbl>
      <w:tblPr>
        <w:tblW w:w="5418" w:type="dxa"/>
        <w:jc w:val="left"/>
        <w:tblInd w:w="0" w:type="dxa"/>
        <w:tblLayout w:type="fixed"/>
        <w:tblCellMar>
          <w:top w:w="28" w:type="dxa"/>
          <w:left w:w="28" w:type="dxa"/>
          <w:bottom w:w="28" w:type="dxa"/>
          <w:right w:w="28" w:type="dxa"/>
        </w:tblCellMar>
      </w:tblPr>
      <w:tblGrid>
        <w:gridCol w:w="836"/>
        <w:gridCol w:w="736"/>
        <w:gridCol w:w="738"/>
        <w:gridCol w:w="211"/>
        <w:gridCol w:w="721"/>
        <w:gridCol w:w="109"/>
        <w:gridCol w:w="109"/>
        <w:gridCol w:w="109"/>
        <w:gridCol w:w="109"/>
        <w:gridCol w:w="211"/>
        <w:gridCol w:w="721"/>
        <w:gridCol w:w="109"/>
        <w:gridCol w:w="109"/>
        <w:gridCol w:w="10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720"/>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hanging="720"/>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64" w:before="0" w:after="0"/>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Personnel-related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Other segment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New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Standards Accounting Board (“FASB”) issued Accounting Standards Update (“ASU”) 2024-04 “Debt with Conversion and Other Options (Subtopic 470-20): Induced Conversions of Convertible Debt Instruments” which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The Company adopted ASU 2024-04 on a prospective basis beginning January 1, 2026 and the adoption did not have a material impact on its consolidated financial statements and related disclosures.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which simplifies the application of the current expected credit loss model for current accounts receivable and current contract assets under ASC 606. The Company adopted ASU 2025-05 on a prospective basis beginning January 1, 2026 and the adoption did not have a material impact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expands interim and annual requirements to disclose about specific types of expenses included in the expense captions presented on the face of the income statement as well as disclosures about selling expenses. ASU 2024-03 is effective for annual reporting periods beginning after December 15, 2026 and interim reporting periods beginning after December 15, 2027, which was clarified in ASU 2025-01. The standard allows for early adoption of these requirements. The Company is currently evaluating the potential effect that the updated standard will have on its consolidated financial statement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Goodwill and Other - Internal-Use Software (Subtopic 350-40): Targeted Improvements to the Accounting for Internal-Use Software” which modernizes the accounting for internal-use software to current development practices, clarifies when to begin capitalizing costs, and enhances disclosure requirements. ASU 2025-06 is effective for interim and annual reporting periods beginning after December 15, 2027, with early adoption permitted, and should be applied either prospectively, retrospectively, or under a modified prospective transition approach.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 Scope Improvements” which clarifies and reorganize GAAP interim reporting guidance to improve navigability, applicability, and consistency without changing the fundamental nature or volume of required interim disclosures. This amendment clarifies when ASC 270 is applicable, establishes a disclosure principle requiring disclosure of material events or changes occurring since the most recent annual reporting period, and consolidates into ASC Topic 270 a comprehensive list of interim disclosures required by other Codification Topics. The amendment also clarifies the form and content of interim financial statements, including guidance for condensed interim reporting. ASU 2025-11 is effective for interim reporting periods beginning after December 15, 2027, with early adoption permitted.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to address suggestions received from stakeholders on the Accounting Standards Codification and to make other incremental improvements to GAAP. The update represents changes to the Codification that (1) clarify, (2) correct errors or (3) make minor improvements. ASU 2025-12 is effective for annual reporting periods beginning after December 15, 2026, and interim reporting periods within those annual reporting periods, with early adoption permitted, and should be applied either prospectively or retrospectively.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three months ended March 31, 2026 (the “Quarterly Report on Form 10-Q”) contains “forward looking statements” within the meaning of the “safe harbor” provisions of the United States Private Securities Litigation Reform Act of 1995. When used in this Quarterly Report on Form 10-Q,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 and our Annual Report on Form 10-K for the fiscal year ended December 31, 2025 filed with the Securities and Exchange Commission (the “SEC”) on March 12, 2026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Important factors that may affect actual results or outcomes include, among others: the inability to recognize the benefits of the business combination consummated on May 4, 2021 pursuant to a certain Agreement and Plan of Merger entered into by and among the Company and other parties (the “Business Combination”); the Company’s availability of cash for debt service and exposure to risk of default under debt obligations; the Company’s ability to manage growth; the Company’s ability to execute its business plan; potential negative reactions or outcomes related to the Company’s name change in general and focused shift in operations; potential litigation involving the Company; changes in applicable laws or regulations; and the possibility that the Company may be adversely affected by other economic, business, and/or competitive factors. The Company does not undertake any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to the “Company”, “Hydrafacial”, “we”, “us”, and “our” in this section are intended to mean the business and operations of SkinHealth Systems Inc. and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SkinHealth Systems Inc. (the “Company” or “SkinHealth Systems”) is a global medical aesthetics company delivering an integrated ecosystem of clinically proven solutions designed to help consumers achieve superior skin health and support the success of providers. Anchored by Hydrafacial, a leading and widely requested professional skincare treatment, and supported by complementary offerings including SkinStylus microneedling and HydraScalp powered by Keravive, the Company combines advanced device technology, proprietary consumables, and clinical validation to deliver trusted treatment experiences through an omnichannel network of providers worldwide.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and Macroeconomic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During the </w:t>
      </w:r>
      <w:r>
        <w:rPr>
          <w:rFonts w:ascii="Times New Roman;serif" w:hAnsi="Times New Roman;serif"/>
          <w:b w:val="false"/>
          <w:color w:val="000000"/>
          <w:sz w:val="20"/>
        </w:rPr>
        <w:t>three months ended</w:t>
      </w:r>
      <w:r>
        <w:rPr>
          <w:color w:val="231F20"/>
        </w:rPr>
        <w:t xml:space="preserve"> </w:t>
      </w:r>
      <w:r>
        <w:rPr>
          <w:rFonts w:ascii="Times New Roman;serif" w:hAnsi="Times New Roman;serif"/>
          <w:b w:val="false"/>
          <w:color w:val="000000"/>
          <w:sz w:val="20"/>
        </w:rPr>
        <w:t>March 31, 2026</w:t>
      </w:r>
      <w:r>
        <w:rPr>
          <w:rFonts w:ascii="Times New Roman;serif" w:hAnsi="Times New Roman;serif"/>
          <w:b w:val="false"/>
          <w:color w:val="231F20"/>
          <w:sz w:val="20"/>
        </w:rPr>
        <w:t>, we continued to strengthen the foundation of the business while expanding our footprint by selling and placing our patented hydradermabrasion delivery systems (“Delivery Systems”) worldwide, driving consumables, which consist of single-use tips, solutions, serums, and other products used to provide a Hydrafacial treatment (collectively “Consumables”), investing in our community of providers, partners, and consumers, driving brand awareness, advancing our science-backed innovation product pipeline, and optimizing our global infrastructure. Although we believe we can be successful in our current operating environment, various factors may impact our business in unpredictable ways such as: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Global economic conditions, including inflation, recession, changes in foreign currency exchange rates, higher interest rates, and other changes in economic conditions;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 xml:space="preserve">Market conditions, including increased competition and the interest rate environment, affecting the ability of potential customers to obtain credit on acceptable terms and longer sales cycles; </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The imposition of tariffs and/or trade restrictions, due to geopolitical tensions or otherwise, may impact material costs and pricing;</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Changes in applicable laws, regulations, regulatory interpretations, or enforcement policies in countries in which we operate;</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Disruptions in transportation and other supply chain related constraints, such as labor strife in the transportation industry or geopolitical tensions; and</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Issues related to older models of Syndeo and our actions to remediate such issues.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in the face of these unfolding conditions to remain agile in adopting to changing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Comparison of Three Months Ended March 31, 2026 to Three Months Ended March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March 31, 2026 and March 31, 2025, have been derived from the condensed consolidated financial statements included elsewhere in this Quarterly Report on Form 10-Q. Amounts and percentages may not foot due to rounding.</w:t>
      </w:r>
    </w:p>
    <w:p>
      <w:pPr>
        <w:pStyle w:val="TextBody"/>
        <w:bidi w:val="0"/>
        <w:spacing w:before="0" w:after="0"/>
        <w:jc w:val="left"/>
        <w:rPr/>
      </w:pPr>
      <w:r>
        <w:rPr/>
      </w:r>
    </w:p>
    <w:tbl>
      <w:tblPr>
        <w:tblW w:w="8991" w:type="dxa"/>
        <w:jc w:val="left"/>
        <w:tblInd w:w="0" w:type="dxa"/>
        <w:tblLayout w:type="fixed"/>
        <w:tblCellMar>
          <w:top w:w="28" w:type="dxa"/>
          <w:left w:w="28" w:type="dxa"/>
          <w:bottom w:w="28" w:type="dxa"/>
          <w:right w:w="28" w:type="dxa"/>
        </w:tblCellMar>
      </w:tblPr>
      <w:tblGrid>
        <w:gridCol w:w="1330"/>
        <w:gridCol w:w="1169"/>
        <w:gridCol w:w="1175"/>
        <w:gridCol w:w="211"/>
        <w:gridCol w:w="511"/>
        <w:gridCol w:w="109"/>
        <w:gridCol w:w="109"/>
        <w:gridCol w:w="109"/>
        <w:gridCol w:w="109"/>
        <w:gridCol w:w="308"/>
        <w:gridCol w:w="308"/>
        <w:gridCol w:w="648"/>
        <w:gridCol w:w="109"/>
        <w:gridCol w:w="109"/>
        <w:gridCol w:w="109"/>
        <w:gridCol w:w="211"/>
        <w:gridCol w:w="586"/>
        <w:gridCol w:w="109"/>
        <w:gridCol w:w="109"/>
        <w:gridCol w:w="109"/>
        <w:gridCol w:w="109"/>
        <w:gridCol w:w="308"/>
        <w:gridCol w:w="308"/>
        <w:gridCol w:w="719"/>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Cost of sales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31.5 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30.2 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68.5 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69.8 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expenses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37.4 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33.8 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48.2 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operating expenses </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71.2 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87.1 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Loss from operations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(17.3)</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9.8 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(0.5)</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transaction loss (gain),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Loss before provision for income taxes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(10.5)</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(13.2)</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(benefit)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(10.2)</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(14.5)</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Net Sales</w:t>
      </w:r>
    </w:p>
    <w:tbl>
      <w:tblPr>
        <w:tblW w:w="6597" w:type="dxa"/>
        <w:jc w:val="left"/>
        <w:tblInd w:w="0" w:type="dxa"/>
        <w:tblLayout w:type="fixed"/>
        <w:tblCellMar>
          <w:top w:w="28" w:type="dxa"/>
          <w:left w:w="28" w:type="dxa"/>
          <w:bottom w:w="28" w:type="dxa"/>
          <w:right w:w="28" w:type="dxa"/>
        </w:tblCellMar>
      </w:tblPr>
      <w:tblGrid>
        <w:gridCol w:w="706"/>
        <w:gridCol w:w="621"/>
        <w:gridCol w:w="622"/>
        <w:gridCol w:w="254"/>
        <w:gridCol w:w="617"/>
        <w:gridCol w:w="131"/>
        <w:gridCol w:w="131"/>
        <w:gridCol w:w="131"/>
        <w:gridCol w:w="131"/>
        <w:gridCol w:w="254"/>
        <w:gridCol w:w="617"/>
        <w:gridCol w:w="131"/>
        <w:gridCol w:w="109"/>
        <w:gridCol w:w="109"/>
        <w:gridCol w:w="109"/>
        <w:gridCol w:w="211"/>
        <w:gridCol w:w="481"/>
        <w:gridCol w:w="109"/>
        <w:gridCol w:w="109"/>
        <w:gridCol w:w="109"/>
        <w:gridCol w:w="109"/>
        <w:gridCol w:w="239"/>
        <w:gridCol w:w="241"/>
        <w:gridCol w:w="31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64.9 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Percentage of net sales</w:t>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71.4%</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w:t>
            </w:r>
          </w:p>
        </w:tc>
        <w:tc>
          <w:tcPr>
            <w:tcW w:w="10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net sales for the three months ended March 31, 2026 decreased $4.7 million, or 6.7%, compared to the three months ended March 31, 2025. Delivery Systems net sales for the three months ended March 31, 2026 decreased $1.7 million, or 8.3%, compared to the three months ended March 31, 2025, with decreases in the Americas and Europe, the Middle East, and Africa. Delivery Systems net sales were negatively impacted globally by unfavorable macroeconomic and credit conditions.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Consumables net sales for the three months ended March 31, 2026 decreased $3.0 million, or 6.1%, compared to the three months ended March 31, 2025, with decreases across all regions. Consumables net sales were negatively impacted by the transition to a distributor model in China, the timing of distributor orders, and promotions in the fourth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 Gross Profit, and Gross Margin</w:t>
      </w:r>
    </w:p>
    <w:tbl>
      <w:tblPr>
        <w:tblW w:w="5727" w:type="dxa"/>
        <w:jc w:val="left"/>
        <w:tblInd w:w="0" w:type="dxa"/>
        <w:tblLayout w:type="fixed"/>
        <w:tblCellMar>
          <w:top w:w="28" w:type="dxa"/>
          <w:left w:w="28" w:type="dxa"/>
          <w:bottom w:w="28" w:type="dxa"/>
          <w:right w:w="28" w:type="dxa"/>
        </w:tblCellMar>
      </w:tblPr>
      <w:tblGrid>
        <w:gridCol w:w="429"/>
        <w:gridCol w:w="377"/>
        <w:gridCol w:w="378"/>
        <w:gridCol w:w="219"/>
        <w:gridCol w:w="530"/>
        <w:gridCol w:w="281"/>
        <w:gridCol w:w="113"/>
        <w:gridCol w:w="113"/>
        <w:gridCol w:w="113"/>
        <w:gridCol w:w="219"/>
        <w:gridCol w:w="530"/>
        <w:gridCol w:w="281"/>
        <w:gridCol w:w="109"/>
        <w:gridCol w:w="109"/>
        <w:gridCol w:w="109"/>
        <w:gridCol w:w="211"/>
        <w:gridCol w:w="481"/>
        <w:gridCol w:w="109"/>
        <w:gridCol w:w="109"/>
        <w:gridCol w:w="109"/>
        <w:gridCol w:w="109"/>
        <w:gridCol w:w="201"/>
        <w:gridCol w:w="201"/>
        <w:gridCol w:w="287"/>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Cost of sales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(2.5)%</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(8.5)%</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margin</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68.5 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69.8 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 for the three months ended March 31, 2026 decreased $0.5 million, compared to the three months ended March 31, 2025. Gross margin decreased to 68.5% for the three months ended March 31, 2026 from 69.8% for the three months ended March 31, 2025 primarily due to higher amortization expense.</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 xml:space="preserve">Operating Expenses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erif" w:hAnsi="Times New Roman;serif"/>
          <w:b/>
          <w:i/>
          <w:color w:val="231F20"/>
          <w:sz w:val="20"/>
        </w:rPr>
      </w:pPr>
      <w:r>
        <w:rPr>
          <w:rFonts w:ascii="Times New Roman;serif" w:hAnsi="Times New Roman;serif"/>
          <w:b/>
          <w:i/>
          <w:color w:val="231F20"/>
          <w:sz w:val="20"/>
        </w:rPr>
        <w:t>Selling and Marketing</w:t>
      </w:r>
    </w:p>
    <w:tbl>
      <w:tblPr>
        <w:tblW w:w="7140" w:type="dxa"/>
        <w:jc w:val="left"/>
        <w:tblInd w:w="0" w:type="dxa"/>
        <w:tblLayout w:type="fixed"/>
        <w:tblCellMar>
          <w:top w:w="28" w:type="dxa"/>
          <w:left w:w="28" w:type="dxa"/>
          <w:bottom w:w="28" w:type="dxa"/>
          <w:right w:w="28" w:type="dxa"/>
        </w:tblCellMar>
      </w:tblPr>
      <w:tblGrid>
        <w:gridCol w:w="864"/>
        <w:gridCol w:w="759"/>
        <w:gridCol w:w="761"/>
        <w:gridCol w:w="219"/>
        <w:gridCol w:w="530"/>
        <w:gridCol w:w="281"/>
        <w:gridCol w:w="113"/>
        <w:gridCol w:w="113"/>
        <w:gridCol w:w="113"/>
        <w:gridCol w:w="219"/>
        <w:gridCol w:w="530"/>
        <w:gridCol w:w="281"/>
        <w:gridCol w:w="109"/>
        <w:gridCol w:w="109"/>
        <w:gridCol w:w="109"/>
        <w:gridCol w:w="211"/>
        <w:gridCol w:w="481"/>
        <w:gridCol w:w="109"/>
        <w:gridCol w:w="109"/>
        <w:gridCol w:w="109"/>
        <w:gridCol w:w="109"/>
        <w:gridCol w:w="293"/>
        <w:gridCol w:w="29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23.2 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26.0 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As a percentage of net sales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37.4 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 for the three months ended March 31, 2026 decreased $2.8 million, or 10.9%, compared to the three months ended March 31, 2025. The decrease is primarily driven by lower depreciation expense, sales commission expense, and marketing-related spend. </w:t>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Research and Development</w:t>
      </w:r>
    </w:p>
    <w:tbl>
      <w:tblPr>
        <w:tblW w:w="7032" w:type="dxa"/>
        <w:jc w:val="left"/>
        <w:tblInd w:w="0" w:type="dxa"/>
        <w:tblLayout w:type="fixed"/>
        <w:tblCellMar>
          <w:top w:w="28" w:type="dxa"/>
          <w:left w:w="28" w:type="dxa"/>
          <w:bottom w:w="28" w:type="dxa"/>
          <w:right w:w="28" w:type="dxa"/>
        </w:tblCellMar>
      </w:tblPr>
      <w:tblGrid>
        <w:gridCol w:w="879"/>
        <w:gridCol w:w="772"/>
        <w:gridCol w:w="778"/>
        <w:gridCol w:w="240"/>
        <w:gridCol w:w="463"/>
        <w:gridCol w:w="309"/>
        <w:gridCol w:w="124"/>
        <w:gridCol w:w="124"/>
        <w:gridCol w:w="124"/>
        <w:gridCol w:w="240"/>
        <w:gridCol w:w="463"/>
        <w:gridCol w:w="309"/>
        <w:gridCol w:w="109"/>
        <w:gridCol w:w="109"/>
        <w:gridCol w:w="109"/>
        <w:gridCol w:w="211"/>
        <w:gridCol w:w="406"/>
        <w:gridCol w:w="109"/>
        <w:gridCol w:w="109"/>
        <w:gridCol w:w="109"/>
        <w:gridCol w:w="109"/>
        <w:gridCol w:w="255"/>
        <w:gridCol w:w="256"/>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Research and development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for the three months ended March 31, 2026 increased slightly compared to the three months ended March 31, 2025, reflecting increased investment in future product development.</w:t>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General and Administrative</w:t>
      </w:r>
    </w:p>
    <w:tbl>
      <w:tblPr>
        <w:tblW w:w="7291" w:type="dxa"/>
        <w:jc w:val="left"/>
        <w:tblInd w:w="0" w:type="dxa"/>
        <w:tblLayout w:type="fixed"/>
        <w:tblCellMar>
          <w:top w:w="28" w:type="dxa"/>
          <w:left w:w="28" w:type="dxa"/>
          <w:bottom w:w="28" w:type="dxa"/>
          <w:right w:w="28" w:type="dxa"/>
        </w:tblCellMar>
      </w:tblPr>
      <w:tblGrid>
        <w:gridCol w:w="879"/>
        <w:gridCol w:w="772"/>
        <w:gridCol w:w="779"/>
        <w:gridCol w:w="219"/>
        <w:gridCol w:w="530"/>
        <w:gridCol w:w="281"/>
        <w:gridCol w:w="113"/>
        <w:gridCol w:w="113"/>
        <w:gridCol w:w="113"/>
        <w:gridCol w:w="219"/>
        <w:gridCol w:w="530"/>
        <w:gridCol w:w="281"/>
        <w:gridCol w:w="109"/>
        <w:gridCol w:w="109"/>
        <w:gridCol w:w="109"/>
        <w:gridCol w:w="211"/>
        <w:gridCol w:w="586"/>
        <w:gridCol w:w="109"/>
        <w:gridCol w:w="109"/>
        <w:gridCol w:w="109"/>
        <w:gridCol w:w="109"/>
        <w:gridCol w:w="293"/>
        <w:gridCol w:w="29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General and administrative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33.8 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48.2 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for the three months ended March 31, 2026 decreased $11.6 million, or 34.6%, compared to the three months ended March 31, 2025. The decrease is primarily driven by lower personnel-related expenses, including severance and share-based compensation expense, legal fees, and depreciation and amortization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Interest Expense, Interest Income, and Other Income, Net</w:t>
      </w:r>
    </w:p>
    <w:tbl>
      <w:tblPr>
        <w:tblW w:w="6702" w:type="dxa"/>
        <w:jc w:val="left"/>
        <w:tblInd w:w="0" w:type="dxa"/>
        <w:tblLayout w:type="fixed"/>
        <w:tblCellMar>
          <w:top w:w="28" w:type="dxa"/>
          <w:left w:w="28" w:type="dxa"/>
          <w:bottom w:w="28" w:type="dxa"/>
          <w:right w:w="28" w:type="dxa"/>
        </w:tblCellMar>
      </w:tblPr>
      <w:tblGrid>
        <w:gridCol w:w="696"/>
        <w:gridCol w:w="611"/>
        <w:gridCol w:w="613"/>
        <w:gridCol w:w="262"/>
        <w:gridCol w:w="598"/>
        <w:gridCol w:w="135"/>
        <w:gridCol w:w="135"/>
        <w:gridCol w:w="135"/>
        <w:gridCol w:w="135"/>
        <w:gridCol w:w="262"/>
        <w:gridCol w:w="598"/>
        <w:gridCol w:w="135"/>
        <w:gridCol w:w="109"/>
        <w:gridCol w:w="109"/>
        <w:gridCol w:w="109"/>
        <w:gridCol w:w="211"/>
        <w:gridCol w:w="481"/>
        <w:gridCol w:w="109"/>
        <w:gridCol w:w="109"/>
        <w:gridCol w:w="109"/>
        <w:gridCol w:w="109"/>
        <w:gridCol w:w="308"/>
        <w:gridCol w:w="308"/>
        <w:gridCol w:w="316"/>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N/M - Not meaningful</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March 31, 2026 increased $3.8 million compared to the three months ended March 31, 2025, primarily due to interest and amortization of debt issuance costs related to the 7.95% Convertible Senior Secured Notes due November 15, 2028 (the “2028 Notes”), partially offset by lower outstanding balances related to the 1.25% Convertible Senior Notes due October 2026 (the “2026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March 31, 2026 decreased $1.5 million compared to the three months ended March 31, 2025 primarily due to lower average invested balances and interest rates during the three months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for the three months ended March 31, 2026 included $1.0 million net gain related to the repurchase of the 2026 Notes.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sources of capital have been (i) cash flow from operating activities, (ii) net proceeds received from the consummation of the Business Combination, (iii) net proceeds received from the Notes, and (iv) net proceeds received from the exercise of public and private placement warrants. As of March 31, 2026, we had cash, cash equivalents, and restricted cash of $204.4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for our Notes. Cash received from our customers and other activities generally corresponds to our net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sources of liquidity and cash flows are used to fund ongoing operations, research and development projects for new products, services, and technologies, and provide ongoing support services for our providers and customers.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our sources of capital,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from time to time, seek to redeem or repurchase our outstanding debt or equity securities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Convertible Senior Notes, Net</w:t>
      </w:r>
    </w:p>
    <w:p>
      <w:pPr>
        <w:pStyle w:val="TextBody"/>
        <w:bidi w:val="0"/>
        <w:spacing w:before="0" w:after="0"/>
        <w:jc w:val="left"/>
        <w:rPr/>
      </w:pPr>
      <w:r>
        <w:rPr/>
      </w:r>
    </w:p>
    <w:p>
      <w:pPr>
        <w:pStyle w:val="TextBody"/>
        <w:bidi w:val="0"/>
        <w:spacing w:lineRule="auto" w:line="288" w:before="0" w:after="12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Convertible Senior Secured Notes - 2028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21, 2025, the Company entered into privately negotiated exchange agreements (the “Exchange Agreements”) with certain holders (the “Exchanging Holders”) of the 2026 Notes. Pursuant to the Exchange Agreements, the Company exchanged and repurchased $413.2 million aggregate principal amount of the 2026 Notes. Of the $413.2 million aggregate principal amount of the 2026 Notes, $263.2 million principal amount were exchanged at a weighted-average price equal to 95% for $250.0 million principal amount of new 2028 Notes, and $150.1 million principal amount were repurchased at a weighted-average price equal to 95% for $142.6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27, 2025, the Company issued the 2028 Notes to the Exchanging Holders. The 2028 Notes were issued pursuant to, and are governed by, an indenture, dated as of May 27, 2025, between the Company, the guarantors party thereto, and U.S. Bank Trust Company, National Association, as trustee and collateral agent.</w:t>
      </w:r>
    </w:p>
    <w:p>
      <w:pPr>
        <w:pStyle w:val="TextBody"/>
        <w:bidi w:val="0"/>
        <w:spacing w:before="0" w:after="0"/>
        <w:jc w:val="left"/>
        <w:rPr/>
      </w:pPr>
      <w:r>
        <w:rPr/>
      </w:r>
    </w:p>
    <w:p>
      <w:pPr>
        <w:pStyle w:val="TextBody"/>
        <w:bidi w:val="0"/>
        <w:spacing w:lineRule="auto" w:line="288" w:before="0" w:after="12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2021, the Company issued an aggregate of $750.0 million in principal amount of its 2026 Notes pursuant to, and governed by, an indenture dated as of September 14, 2021, between the Company and U.S. Bank National Association, as trustee. Pursuant to the purchase agreement between the Company and the initial purchasers of the 2026 Notes, the Company granted the initial purchasers an option to purchase, for settlement within a period of 13 days from, and including, the date the 2026 Notes were first issued, up to an additional $100.0 million principal amount of 2026 Notes. The 2026 Notes issued on September 14, 2021 include the $100.0 million principal amount of 2026 Notes issued pursuant to the full exercise by the initial purchasers of such option.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repurchased $21.3 million principal amount of its 2026 Notes at a weighted-average price equal to 94.875% for $20.2 million and recognized a net gain of $1.0 million, which includes $0.1 million of unamortized debt issuance costs. During the three months ended March 31, 2025, there were no repurchases related to the 2026 Notes. Since inception through December 31, 2025, the Company exchanged and repurchased in total $625.5 million principal amount of its 2026 Notes. For more information, see Part I, Item 1 “Financial Statements — Note 5 - “Long-term Debt” in this Quarterly Report on Form 10-Q.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Known Trends or Uncertainties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majority of our customers operate within the medical industry (dermatologists and plastic surgeons), esthetician industry, and beauty retail industry. Although we have not seen any significant reduction in revenues to date due to consolidations, we have seen some consolidation in these industries during economic downturns. These consolidations have not had a negative effect on our total net sales; however, should consolidations and downsizing in the industries continue to occur, those events could adversely impact our revenues and earnings going forward.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continue to face macroeconomic challenges such as the possibility of recession or financial market instability, and the impact of any governmental actions on the economy, such as tariffs and/or trade restrictions. Furthermore, the geopolitical landscape poses inherent risks that could significantly impact the operations and financial performance of the Company. In the event of a military conflict, supply chain disruptions, geopolitical uncertainties, and economic repercussions may adversely affect the Company’s ability to develop, test and manufacture products, and distribute them globally. This could lead to delays in product development, interruptions in the supply of critical materials, thereby impeding the Company’s commercialization plans. These factors may adversely impact consumers, business, and government spending as well as our customers' ability to pay for our products and services on an ongoing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economic and social conditions or the degree of uncertainty or volatility worsen, or the adverse conditions previously described are further prolonged, our revenues could be adversely affected. Furthermore, the impact of a conflict on global financial markets may result in increased volatility and uncertainty in the capital markets, thereby affecting the valuation of the Company’s Class A Common Stock. Investor confidence, market sentiment, and access to capital could all be negatively influenced. Such geopolitical risks are outside the control of the Company, and the actual effects on the Company’s business, financial condition and results of operations may differ from current estimates. Macroeconomic challenges and credit conditions have negatively impacted our revenues in 2026. We are continuing to monitor these and other risks that may affect our business so that we can respond appropriately. Negative trends in our financial performance or financial condition may result in a sustained decline in our stock price, which may result in a triggering event necessitating an interim goodwill impairment assessment and potential goodwill impairment.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Cash Flows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from our statements of cash flows. Amounts may not foot due to rounding.</w:t>
      </w:r>
    </w:p>
    <w:tbl>
      <w:tblPr>
        <w:tblW w:w="7853" w:type="dxa"/>
        <w:jc w:val="left"/>
        <w:tblInd w:w="0" w:type="dxa"/>
        <w:tblLayout w:type="fixed"/>
        <w:tblCellMar>
          <w:top w:w="28" w:type="dxa"/>
          <w:left w:w="28" w:type="dxa"/>
          <w:bottom w:w="28" w:type="dxa"/>
          <w:right w:w="28" w:type="dxa"/>
        </w:tblCellMar>
      </w:tblPr>
      <w:tblGrid>
        <w:gridCol w:w="1957"/>
        <w:gridCol w:w="1725"/>
        <w:gridCol w:w="1732"/>
        <w:gridCol w:w="229"/>
        <w:gridCol w:w="671"/>
        <w:gridCol w:w="118"/>
        <w:gridCol w:w="118"/>
        <w:gridCol w:w="118"/>
        <w:gridCol w:w="118"/>
        <w:gridCol w:w="229"/>
        <w:gridCol w:w="671"/>
        <w:gridCol w:w="167"/>
      </w:tblGrid>
      <w:tr>
        <w:trPr/>
        <w:tc>
          <w:tcPr>
            <w:tcW w:w="195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March 31,</w:t>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 at beginning of period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activities:</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Non-cash adjustments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Changes in working capital</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(used for) provided by operating activities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used for investing activities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used for financing activities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Net change in cash, cash equivalents, and restricted cash</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Effect of foreign currency translation</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 at end of period</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 for the three months ended March 31, 2026 was $5.6 million, as compared to net cash provided by operating activities of $3.0 million for the three months ended March 31, 2025. The change in cash used for operating activities was primarily related to changes in working capital and net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three months ended March 31, 2026 was $1.6 million, as compared to $1.1 million for the three months ended March 31, 2025. The change in cash used for investing activities was due to higher capital expenditures during the three months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for the three months ended March 31, 2026 was $20.9 million, as compared to $0.3 million for the three months ended March 31, 2025. The cash used for financing activities for the three months ended March 31, 2026 was primarily related to the repurchase of the Company’s 2026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critical accounting policies since our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Part I, Item 1 "Financial Statements—Note 15 to the Consolidated Financial Statements—New Accounting Pronouncements"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risks relating to our operations result primarily from changes in interest rates, foreign currency, and inflation risk. There were no material changes to our market risks disclosed in our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conducted an evaluation, under the supervision and with the participation of the Company’s management, including the Company’s principal executive officer and principal financial officer, of the effectiveness of the design and operation of its disclosure controls and procedures as defined in Rules 13a-15(e) and 15-d-15(e) under the Securities Exchange Act of 1934, as amended (the “Exchange Act”) as of the end of the period covered by this Quarterly Report on Form 10-Q. 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on that evaluation, the Company’s principal executive officer and principal financial officer have concluded that the Company’s disclosure controls and procedures were effective as of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(as such term is defined in the Exchange Act) that occurred during the three months ended March 31, 2026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various lawsuits, claims, and other legal proceedings that arise from time to time in the ordinary course of business, including but not limited to commercial disputes, product liability, and employment related matters. In addition, the Company may bring claims or initiate lawsuits from time to time against various third parties with respect to matters arising out of the ordinary course of the Company’s business, including but not limited to commercial and intellectual property related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Until the final resolution of such matters, if any of our estimates and assumptions change or prove to have been incorrect, we may experience losses in excess of the amounts recorded, which could have a material effect on our business, consolidated financial position,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otherwise disclosed below, we believe that none of our pending lawsuits, claims, and other proceedings are expected to have a material adverse effect on the Company’s business, consolidated financial position, results of operations, or cash flows. However, management’s judgment may prove materially inaccurate, and such judgment is made subject to the known uncertainties of litigation.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Cartessa Aesthetics,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14, 2020, Hydrafacial LLC (“Hydrafacial”) filed a complaint (the “Cartessa Complaint”) against Cartessa Aesthetics, LLC (“Cartessa”) in the United States District Court for the Eastern District of New York (the “New York Court”), captioned Edge Systems LLC v. Cartessa Aesthetics, LLC, Case No. 1:20-cv-6082 (the “Cartessa Case”), for patent infringement arising from Cartessa’s sale of Cartessa’s hydrodermabrasion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 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The parties agreed to dismiss the remaining claims without prejudice so that Hydrafacial can appeal the New York Court’s grant of Cartessa’s Motion for Summary Judgment. Final judgment was entered on October 15,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8, 2024, Hydrafacial filed an appeal in the Federal Circuit Court of Appeals challenging the New York Court’s final judgment and summary judgment decision of Cartessa’s non-infringement regarding the fourth patent-in-suit. On November 13, 2024, Cartessa filed a cross-appeal challenging the New York Court’s final judgment and summary judgment decision of granting Hydrafacial’s motion for summary judgment of no invalidity regarding the fourth patent-in-suit. The parties exchanged their opening briefs on March 12, 2025 and June 20, 2025. Hydrafacial expects the hearing for this appeal to be scheduled in the later half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11, 2024, Hydrafacial filed a complaint against Cartessa and its foreign manufacturer, Eunsung Global Corp (“Eunsung”), in the United States International Trade Commission. A Notice of Institution of Investigation was issued on July 11, 2024, and the investigation was assigned investigation number 337-TA-1408 (the “ITC Cartessa Matter”). In the ITC Cartessa Matter, Hydrafacial has asserted that Cartessa and Eunsung infringe Hydrafacial’s U.S. Patent No. 11,865,287, which relates to hydrodermabrasion systems but was not asserted in the Cartessa Case. Eunsung has consented to an exclusion order during the term of the Hydrafacial patent-in-suit. In the ITC Cartessa Matter, the parties concluded the evidentiary hearing on April 9-15, 2025. The parties filed post-hearing briefs in May 2025 and the judge issued an initial determination on August 26, 2025, finding that the patent is valid and infringed by Cartessa’s products. The initial determination recommended an exclusion order and cease and desist order against Cartessa that would prevent importation or sale of Cartessa’s hydrodermabrasion systems within the United States. The Commission issued its final determination on March 23, 2026, confirming infringement by Cartessa’s products and validity of Hydrafacial’s patent. On March 26, 2026, Cartessa filed a petition for review by the Federal Circuit Court of Appeals. Hydrafacial expects this appeal to be dismissed by the end of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Cartessa Aesthetics, LLC - Second Complaint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14, 2024, Hydrafacial filed a complaint (the “Second Cartessa Complaint”) against Cartessa in the New York Court, captioned HydraFacial LLC v. Cartessa Aesthetics, LLC, Case No. 2:24-cv-04253 (the “Second Cartessa Case”), for patent infringement arising from Cartessa’s sale of Cartessa’s hydrodermabrasion system that Hydrafacial alleged has infringed Hydrafacial’s U.S. Patent No. 11,865,287. The Second Cartessa Case has been stayed pending resolution of the ITC Cartessa Matter. Although Cartessa filed a petition for review of the Commission’s final determination in the ITC Cartessa Matter, Hydrafacial plans to file a motion to reopen the Second Cartessa Case in the second quarter of 2026 to vigorously pursue its claims against Cartessa and seek monetary damages because Hydrafacial believes and expects that Cartessa’s appeal will likely be dismissed.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Eunsung Global Corp (and Sinclair Pharma Ltd. and Aesthetic Management Partners, Inc.) - IPRs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30, 2024, Eunsung filed a Petition for inter partes review (“IPR”), IPR2024-01491, challenging the validity of Hydrafacial’s U.S. Patent No. 11,865, 287 (the “’287 Patent”). On November 25, 2024, Sinclair Pharma Ltd and Aesthetic Management Partners, Inc. (“AMP”) filed a similar IPR Petition, IPR2025-00145, challenging the same patent and relying on the same arguments. On January 10, 2025, Eunsung filed an IPR Petition, IPR2025-00445, challenging the validity of Hydrafacial’s U.S. Patent No. 9,550,052 (the “’052 Patent”). On January 13, 2025, Eunsung filed an IPR Petition, IPR2025-00452, challenging the validity of Hydrafacial’s U.S. Patent No. 12,053,607. On January 14, 2025, Eunsung filed an IPR Petition, IPR2025-00453, challenging the validity of Hydrafacial’s U.S. Patent No. 11,446,477 (the “’477 Patent”). On April 11, 2025, the U.S.P.T.O. Board denied institution of the first IPR challenging the ’287 Patent (IPR2024-01491). On June 2, 2025, the U.S.P.T.O. Board granted institution of the second IPR challenging the ’287 Patent (IPR2025-00145). In July 2025, Sinclair and AMP filed copycat IPR Petitions challenging the ’052 Patent and ’477 Patent (IPR2025-01169 and IPR2025-01217, respectively) based on the same arguments as Eunsung’s corresponding IPR Petitions. In July 2025, Eunsung terminated each of its IPR proceedings against Hydrafacial.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12, 2026, the director of the U.S.P.T.O. de-instituted and denied the second IPR challenging the ’287 Patent (IPR2025-00145). On April 20, 2026, the director denied Sinclair’s request for rehearing of that de-institution decision. The only IPR proceedings still pending against Hydrafacial are the two copycat IPRs from Sinclair and AMP (IPR2025-01169 and IPR2025-01217, respectively), which have been stayed by the director in view of the pending Director Review of the institution decision in IPR2025-00145. Hydrafacial expects these two remaining copycat IPRs challenging the ’052 Patent and ’477 Patent to also be de-instituted given that they were stayed pending the decision on the ’287 Patent, which has now been issued. Hydrafacial plans to continue vigorously defending its patents against each of these challenges.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Medicreations LLC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6, 2024, Hydrafacial filed a complaint against Medicreations LLC (“Medicreations”) in the United States District Court for Nevada, Case Number 2:24-cv-00855 (the “Medicreations Case”), for patent infringement arising from Medicreations’ sale of hydrodermabrasion systems that Hydrafacial alleged to have infringed twelve of Hydrafacial’s patents. On July 26, 2024, Medicreations filed a motion to dismiss the complaint. On March 3, 2025, the court issued an order dismissing a few of Hydrafacial’s claims to specific remedies, but the majority of the case and claims will move forward. On May 13, 2025, Hydrafacial filed a Motion for Preliminary Injunction that was denied in October 2025. This case continued against Medicreations until the parties achieved a settlement on March 19, 2026, wherein Medicreations agreed to pay Hydrafacial $225,000 in past damages and a royalty of 35% of sales Medicreations made in February and March 2026. As a result, the Medicreations Case has been dismissed.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Sinclair Pharma US,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24, 2024, Hydrafacial filed a complaint against Sinclair Pharma US, Inc (“Sinclair”), and its distributor Viora, Inc (“Viora”), in the United States District Court for the Central District of California, Case No. 2:24-cv-06250 (the “Sinclair Case”), for patent infringement arising from Sinclair’s sale of hydrodermabrasion systems that Hydrafacial alleged to have infringed five of Hydrafacial’s patents on its device. The Sinclair Case was stayed pending the resolution of an ITC investigation against Sinclair. The ITC investigation was terminated in February 2025, and the district court judge lifted the stay for a short time before staying discovery again in view of the IPRs that were instituted and stayed. Hydrafacial expects for this stay to be lifted once the remaining IPRs are de-instituted. Hydrafacial plans to seek monetary damages and vigorously pursue its claims against Sinclair and Viora.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Aesthetic Management Partners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8, 2024, Hydrafacial filed a complaint against AMP in the United States District Court for the Western District of Tennessee, Case No. 2:24-cv-02480-JPM-TMP (the “AMP Case”), for patent infringement arising from Aesthetic Management Partners’ sale of hydrodermabrasion systems that Hydrafacial alleged to have infringed five of Hydrafacial’s patents on its device. The AMP Case was stayed due to a corresponding ITC investigation. The ITC investigation was terminated in February 2025, and the judge lifted the stay.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13, 2025, Hydrafacial filed a motion for preliminary injunction for which the judge held a hearing on July 25, 2025, but the judge has not yet issued an order. On June 23, 2025, AMP filed a partial motion to dismiss which only addresses a small portion of Hydrafacial’s claims and remedies in this case, but a hearing has not been scheduled for this motion yet. The judge held a claim construction hearing on February 27, 2026. Discovery is proceeding as the parties await the judge’s orders on the pending motions and claim construction. Hydrafacial will continue to seek monetary damages, and plans to vigorously pursue its claims against AMP.</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Medical Purchasing Resource,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4, 2024, Hydrafacial filed a complaint against Medical Purchasing Resource, LLC (“Medical Purchasing Resource”) in the United States District Court for the Central District of California, Case No. 2:24-cv-4655 (the “MPR Case”), for trademark infringement, false designation of origin, unfair competition, tortious interference, and other causes of action relating to Hydrafacial’s trademark rights. On April 3, 2025, the parties participated in a mediation and came to a tentative agreement to settle the case. In the mediation, the parties reached a settlement agreement and ultimately agreed that Medical Purchasing Resource will stop using Hydrafacial’s trademarks and any marks that are confusingly similar to those marks. Medical Purchasing Resource also agreed to stop the other activities identified by Hydrafacial in its complaint, including selling products to known Hydrafacial customers. Medical Purchasing Resource also agreed to take additional measures to ensure that customers are aware that Medical Purchasing Resource and its products have no relation or affiliation with Hydrafacial. Medical Purchasing Resource also agreed to pay Hydrafacial a total of $105,000 for past damages which will be paid to Hydrafacial in four quarterly payments of $26,250 starting in July 2025, and the parties filed a consent judgment with the court to end the lawsuit. As a result, the MPR Case has been dismissed.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Luvo Medical Technologies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16, 2024, Hydrafacial filed a complaint against Luvo Medical Technologies Inc (“Luvo”), Healthcare Markets, Inc (“Healthcare Markets”), and their foreign manufacturer Eunsung in the United States District Court of Utah, Case No. 2:24-cv-00587 (the “Luvo Case”), for patent infringement arising from Healthcare Markets’ sale of Luvo’s hydrodermabrasion systems that Hydrafacial alleged to have infringed five of Hydrafacial’s patents on its device. The Luvo Case was stayed due to the corresponding ITC Luvo Matter, but pursuant to the ITC settlement agreement, the parties filed a consent judgment in the Luvo Case that terminated the case as to Luvo and Healthcare Markets. This case continued against Eunsung until the parties achieved a settlement in July 2025, wherein Eunsung agreed to a consent judgment as well. As a result, the Luvo Case has been dismissed.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2024, Hydrafacial filed a complaint against Luvo, its distributor Healthcare Markets, Medical Purchasing Resource, eMIRAmed, and its manufacturer, MIRAmedtech, in the United States International Trade Commission. A Notice of Institution of Investigation was issued on September 16, 2024, and the investigation was assigned investigation number 337-TA-1417 (the “ITC Luvo Matter”). In the ITC Luvo Matter, Hydrafacial has asserted that Luvo, Healthcare Markets, Medical Purchasing Resource, and eMIRAmed USA, LLC (“eMIRAmed”) infringe Hydrafacial’s U.S. Patent No. 11,446,477, which is not asserted in the ITC Cartessa Matter or ITC Sinclair Matter, and relates to hydrodermabrasion systems. After a mediation between the parties, on March 17, 2025, Hydrafacial signed a settlement agreement with Luvo and Healthcare Markets. As a result, the ITC has terminated the investigation as to Luvo and Healthcare Markets, and issued default judgment against the remaining respondents.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eMIRAmed USA,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26, 2024, Hydrafacial filed a complaint against eMIRAmed USA, LLC (“eMIRAmed”), and its manufacturer MIRAmedtech UG (“MIRAmedtech”), in the United States District Court for the Central District of California, Case No. 2:24-cv-01865 (the “eMIRAmed Case”), for patent infringement arising from eMIRAmed’s sale of hydrodermabrasion systems that Hydrafacial alleged to have infringed five of Hydrafacial’s patents on its device. Hydrafacial is seeking monetary damages and plans to vigorously pursue its claims against eMIRAmed and MIRAmedtech. On January 22, 2025, Hydrafacial moved for default judgment against eMIRAmed and MIRAmedtech. On January 30, 2025, eMIRAmed filed notice of Chapter 7 bankruptcy. On March 21, 2025, the court granted default judgment against MIRAmedtech but denied default judgment against eMIRAmed due to its bankruptcy filing. As a result, the eMIRAmed Case has been closed.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Med Spa Essentials,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6, 2025, Hydrafacial filed a complaint against Med Spa Essentials, LLC (“MS Essentials”) in the United States District Court for the Central District of California, Case No. 2:25-cv-01994 (the “MS Essentials Case”), for trademark infringement, false designation of origin, unfair competition, tortious interference, and other causes of action relating to Hydrafacial’s trademark rights. Before filing any response to the complaint, MS Essentials agreed to shut down its business and stop all unlawful acts alleged in the complaint. The parties entered into a settlement agreement and filed a consent judgment, dismissing this case in July 2025.</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Candela Corp.</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3, 2025, Hydrafacial filed a complaint against Candela Corp. (“Candela”), and its manufacturer Termosalud S.L. (“Termosalud”), in the United States District Court for the District of Delaware, Case No. 1:25-cv-00418-JLH (the “Candela Case”), for patent infringement arising from Candela’s sale of hydrodermabrasion systems that Hydrafacial alleged to have infringed five of Hydrafacial’s patents on its device. Hydrafacial reached a settlement with Candela in April 2026 and will dismiss the case as to Candela by the end of May 2026. Hydrafacial has not reached a settlement with Termosalud yet, and as a result, Hydrafacial plans to vigorously pursue its claims against Termosalud, including monetary damages.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BQ Aesthetix &amp; Co.,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24, 2025, Hydrafacial filed a complaint against BQ Aesthetix &amp; Co., LLC d/b/a Bellatrix USA (“Bellatrix”) in the United States District Court for the Southern District of Florida, Case No. 0:25-cv-61262-AHS (the “Bellatrix Case”), for patent infringement arising from Bellatrix’s sale of hydrodermabrasion systems that Hydrafacial alleged to have infringed seven of Hydrafacial’s patents on its device. The Bellatrix Case is in its early stages of discovery and Hydrafacial is seeking monetary damages and plans to vigorously pursue its claims against Bellatrix.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“Defendants”). The complaint, styled Abduladhim A. Alghazwi, individually and on behalf of all others similarly situated, v. The Beauty Health Company, Andrew Stanleick, Liyuan Woo, and Michael Monahan, Case No. 2:23-cv-09733 (C.D. Ca.) (the “Securities Class Action”), asserted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alleged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included a request for compensatory damages suffered by the plaintiff and other members of the putative class for damages allegedly sustained as a result of the alleged securities violations.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The Securities Class Action case was assigned to U.S. District Judge Sherilyn Peace Garnett. On September 30, 2024, Defendants filed a motion to dismiss the consolidated amended class action complaint in its entirety. Plaintiffs filed their opposition brief on November 22, 2024, and Defendants filed their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could complete a private mediation. The parties conducted the private mediation on March 27, 2025. The parties were unable to reach a settlement at the mediation. On May 5, 2025, the plaintiffs filed a second amended complaint (the “SAC”), pursuant to the parties’ stipulation, which was so-ordered by the Court on April 16, 2025. On July 11, 2025, Defendants filed a motion to dismiss the SAC in its entirety. The Court scheduled a hearing on Defendants’ motion for September 17, 2025. On September 15, 2025, the Court vacated the hearing </w:t>
      </w:r>
      <w:r>
        <w:rPr>
          <w:rFonts w:ascii="Times New Roman;serif" w:hAnsi="Times New Roman;serif"/>
          <w:b w:val="false"/>
          <w:i/>
          <w:color w:val="000000"/>
          <w:sz w:val="20"/>
        </w:rPr>
        <w:t>sua sponte</w:t>
      </w:r>
      <w:r>
        <w:rPr>
          <w:rFonts w:ascii="Times New Roman;serif" w:hAnsi="Times New Roman;serif"/>
          <w:b w:val="false"/>
          <w:color w:val="000000"/>
          <w:sz w:val="20"/>
        </w:rPr>
        <w:t xml:space="preserve">. On September 25, 2025, the Court denied Defendants’ motion to dismiss. On November 24, 2025, each Defendant filed an answer to the SAC. On November 26, 2025, the parties filed a Fed. R. Civ. P. 26(f) joint report and proposed stipulated pretrial schedule. On December 15, 2025, the Court so-ordered the parties’ stipulated pretrial schedule, set the final pretrial conference for November 17, 2027, and set trial for December 7, 2027. On the same day, the Court referred the parties to a private mediation before a private mediator of their choice, to be completed by October 13, 2027. On March 24, 2026, the parties entered into a stipulation to extend the case schedule by approximately three months to allow them to focus on mediation efforts. The Court approved the stipulation on March 25, 2026, resulting in a three-month extension of the case schedule, including all discovery deadlines. The parties have agreed to participate in a private mediation, which is currently scheduled to take place on May 20,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Securities Class Action have no merit and intends to vigorously defend them.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Customer Class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(the “Complaint”) against Hydrafacial LLC d/b/a The Hydrafacial Company (“Hydrafacial”) and The Beauty Health Company (“BHC” and collectively with Hydrafacial, the “Class Action Defendants”) for alleged violations of New York consumer fraud statutes, breach of contract, and common law breach of implied warranties (the “Customer Class Action”). The case is captioned Jason Davalos, Sonia Davalos, Sol Tan Tanning &amp; Spa LLC, on behalf of themselves and all others similarly situated v. Hydrafacial LLC dba The Hydrafacial Company, and The Beauty Health Company, Case No. 24-cv-8073 (S.D.N.Y.) (Caproni, J.) The Complaint alleged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purported to bring claims on behalf of themselves, and all other similarly situated purchasers within the United States, of Class Action Defendants’ Syndeo machines. The Complaint asserted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30, 2024, the Class Action Defendants filed a motion to dismiss the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Customer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to file an amended complaint no later than June 2, 2025, and scheduled an initial pretrial conference for July 18,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June 2, 2025, Plaintiff and fifteen other alleged purchasers of the Syndeo machines (“Plaintiffs”) filed an amended complaint (the “Amended Complaint”) asserting: (1) violations of N.Y. G.B.L., § 349 (Count IV), the state consumer protection statute; (2) violations of N.Y. G.B.L., § 350 (Count V), the state’s false advertising statute; (3) breach of the implied warranty of merchantability (Count I); (4) breach of express and implied contract and class-wide rescission (Count II); and (5) breach of express warranty (Count III). The relief sought in the Amended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For Counts IV (violations of N.Y. G.B.L., § 349) and V (violations of N.Y. G.B.L., § 350), plaintiff Jennifer Skuratov d/b/a Spa Thirsty, Inc. (“Spa Thirsty”), sought certification of an alternative subclass of New York purchasers of Syndeo devices (the “Putative New York Subclass”). On June 23, 2025, Defendants moved to (i) dismiss Counts I, II, IV, and V in full; (ii) partially dismiss Count III to the extent it alleges design defects; (iii) dismiss all claims brought by plaintiff Spa Thirsty in full; (iv) dismiss all claims against BHC in full; and (v) dismiss Plaintiffs’ claim for injunctive relief. On December 22, 2025, the Court granted Defendants’ motion to dismiss in its entirety, except it denied Defendants’ request that the claims brought by plaintiff Spa Thirsty be dismissed with prejudice. Specifically, the Court dismissed (i) all of Plaintiffs’ claims against BHC; (ii) Plaintiffs’ claims for breach of the implied warranty of merchantability (Count I), breach of express and implied contract and class-wide rescission based on fraudulent inducement (Count II), and violations of N.Y. G.B.L., §§ 349 and 350 (Counts IV and V), and their request for injunctive relief; and (iii) the Class Action Plaintiffs’ claim for breach of express warranty (Count III) to the extent it arises out of alleged defects affirmatively identified as “design defects” in the amended complaint. In addition, the Court denied the Class Action Plaintiffs’ request for leave to amend as to all of the dismissed causes of action except for plaintiff Spa Thirsty’s claims pursuant to N.Y. G.B.L. §§ 349 and 350. The Court gave plaintiff Spa Thirsty until January 9, 2026 to move for leave to file a second amended complaint that addresses the deficiencies with plaintiff Spa Thirsty’s §§ 349 and 350 claims.</w:t>
      </w:r>
      <w:r>
        <w:rPr>
          <w:color w:val="000000"/>
        </w:rPr>
        <w:t xml:space="preserve"> </w:t>
      </w:r>
      <w:r>
        <w:rPr>
          <w:rFonts w:ascii="Times New Roman;serif" w:hAnsi="Times New Roman;serif"/>
          <w:b w:val="false"/>
          <w:color w:val="000000"/>
          <w:sz w:val="20"/>
        </w:rPr>
        <w:t>Those deficiencies included plaintiff Spa Thirsty’s failure to allege that it “was aware of any of Defendants’ purportedly deceptive statements ‘before [it] purchased or came into possession’ of the Syndeo.”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January 9, 2026, Class Action Plaintiffs filed a letter motion for leave to file a second amended complaint and for reconsideration of the Court’s dismissal of Plaintiffs’ claims for breach of express and implied contract and class-wide rescission based on fraudulent inducement (Count II). Class Action Plaintiffs appended a proposed second amended complaint (the “Second Amended Complaint”) to their letter motion. The Second Amended Complaint alleged that plaintiff Spa Thirsty purchased a Syndeo in reliance on representations made by Hydrafacial to plaintiff Spa Thirsty at an aesthetic conference in New York, including that Syndeo was “top of the line,” “hands free,” “had superior cleanliness,” “superior,” “a major upgrade,” “works great,” and “yielded ‘more than 15 uses per bottle of solution serum.” The Second Amended Complaint alleged that those representations were deceptive in violation of N.Y. G.B.L. §§ 349 and 350 because the Syndeo allegedly lacked attributes Hydrafacial had represented to plaintiff Spa Thirsty and did not yield the promised treatments per bottle of solution serum. On January 23, 2026, Hydrafacial filed its opposition to Class Action Plaintiffs’ letter motion. Hydrafacial argued that the Second Amended Complaint was futile because all of its alleged representations about the Syndeo were inactionable puffery, except for, arguably, the representation regarding the number of treatments per bottle of solution serum.</w:t>
      </w:r>
      <w:r>
        <w:rPr>
          <w:color w:val="000000"/>
        </w:rPr>
        <w:t xml:space="preserve"> </w:t>
      </w:r>
      <w:r>
        <w:rPr>
          <w:rFonts w:ascii="Times New Roman;serif" w:hAnsi="Times New Roman;serif"/>
          <w:b w:val="false"/>
          <w:color w:val="000000"/>
          <w:sz w:val="20"/>
        </w:rPr>
        <w:t>For that representation, Hydrafacial argued that plaintiff Spa Thirsty did not allege that its Syndeo yielded fewer than 15 treatments per bottle and failed to allege other facts required to state §§ 349 and 350 claims.</w:t>
      </w:r>
      <w:r>
        <w:rPr>
          <w:color w:val="000000"/>
        </w:rPr>
        <w:t xml:space="preserve"> </w:t>
      </w:r>
      <w:r>
        <w:rPr>
          <w:rFonts w:ascii="Times New Roman;serif" w:hAnsi="Times New Roman;serif"/>
          <w:b w:val="false"/>
          <w:color w:val="000000"/>
          <w:sz w:val="20"/>
        </w:rPr>
        <w:t>Hydrafacial also argued that Class Action Plaintiffs’ request for reconsideration of the dismissal of Count II should be denied as untimely.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27, 2026, the Court issued an order granting Class Action Plaintiffs’ motion for leave to file the Second Amended Complaint but denied their request that the Court reconsider its order dismissing the claim for breach of contract in Count II of the Amended Complaint. Although the Court agreed with Hydrafacial that “many of the claims attributed to HydraFacial in the Second Amended Complaint are non-actionable puffery, the claim that the Syndeo ‘yielded more than 15 uses per bottle of serum’ is a verifiable statement of fact,” and the Court could “infer that plaintiff Spa Thirsty’s machine failed to yield the promised number of uses per bottle of serum …. From plaintiff Spa Thirsty’s allegation that its ‘machines run through serums faster than Defendant states it should.’” The Court denied reconsideration because Class Action Plaintiffs’ request was both untimely and “would fail on the merits,” as Class Action Plaintiffs “failed to allege the specific provisions of the contract upon which liability was predicated.” Pursuant to the Court’s order, Class Action Plaintiffs filed the Second Amended Complaint on January 29, 2026. As a result of the Court’s ruling, the only claims still pending before the Court in the Customer Class Action are (i) the Class Action Plaintiffs’ claim against Hydrafacial for breach of its express warranty against defects in materials and workmanship; and (ii) plaintiff Spa Thirsty’s claim, asserted on behalf of itself and the Putative New York Subclass against Hydrafacial, for alleged violations of N.Y. G.B.L., § 349 and § 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26, 2026, the parties jointly notified the Court that a settlement-in-principle had been reached and requested that all deadlines be stayed for sixty (60) days. On March 2, 2026, the Court ordered Class Action Plaintiffs to file the necessary motion papers for preliminary approval of the settlement on or before May 29, 2026, and canceled all other deadlines in the case.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Customer Class Action have no merit and it intends to vigorously defend them.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Action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was filed on May 2, 2025, and Defendants’ reply brief was filed on June 3, 2025. The parties held a mediation on November 4, 2025 and reached agreement on terms of a mutually agreeable resolution. On February 9, 2026, the parties entered into a Stipulation of Settlement, which is subject to court approval. On February 20, 2026, the Delaware Court of Chancery entered a Scheduling Order with respect to Notice and Settlement Hearing, requiring the Company to file a copy of the Notice of Pendency and Proposed Settlement of Derivative Action as an exhibit to a Current Report on Form 8-K, which the Company filed on March 6, 2026. The Court has scheduled the settlement hearing for May 13, 2026.</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and Exchange Commission (the “SEC”) Subpoena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11, 2024, the Company was informed that the SEC is conducting a formal investigation of the Company related to, among other things, the allegations brought against the Company in the Securities Class Action lawsuit. The Company has subsequently received subpoenas from the SEC for the production of documents and witness testimony related to its investigation. The Company is in the process of responding to the subpoenas and intends to continue to fully cooperate with the SEC investigation. We cannot predict the duration, scope, or outcome of this matter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Please carefully consider the information set forth in this Quarterly Report on Form 10-Q and the risk factors discussed in Part I, “Item 1A. Risk Factors” in the Annual Report on Form 10-K, which could materially affect our business, financial condition, or future results. The risks described in our Annual Report on Form 10-K, as well as additional risks and uncertainties not presently known to us or that we currently deem immaterial, could materially and adversely affect our business, results of operations, and financial condition, which in turn could materially and adversely affect the trading price of shares of our Class A Common Stock. As of the date of this Quarterly Report on Form 10-Q, there have been no material updates or changes with respect to the risk factors previously disclosed in our Annual Report on Form 10-K, other than as set forth below, which should be read in conjunction with the risks described in our Annual Report on Form 10-K.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Our rebranding involves costs and may not be favorably received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22, 2026, we changed our name from “The Beauty Health Company” to “SkinHealth Systems Inc.” We have incurred costs as a result of the rebranding and the SkinHealth Systems brand name may not achieve or maintain the brand name recognition or status of our former BeautyHealth brand. Our corporate structure and how we report on our financial results remains unchanged. Developing and maintaining awareness of our brand is important to retain and attract customers. The success of our new brand is integral to our growth strategy and the importance of brand recognition will increase as competition in our market increases. Successful promotion of our brand will depend on the effectiveness of our marketing efforts, our ability to provide a reliable and useful platform to meet the needs of our customers at competitive prices, our ability to maintain our customers’ trust, our ability to continue to develop new functionality and solutions, and our ability to successfully differentiate our platform. Additionally, our partners’ performance may affect our brand and reputation if customers do not have a positive experience. We rely on free and paid search engine marketing efforts to help drive traffic to our products, which efforts could be adversely affected by the rebranding initiative in the short and/or long term. Specifically, the rebranding could adversely affect the placement and ranking of our website within free and paid search results (as well as the pricing of paid search results), any or all of which could increase marketing costs (particularly if free traffic is replaced with paid traffic) and adversely affect the effectiveness of our marketing efforts overall. Even if our brand recognition and loyalty increases, this may not generate customer awareness or yield increased revenue and profitability. Even if they do, any increased revenue may not offset the expenses we incurred in building our brand. For these reasons, our rebranding may not produce the benefits expected, could adversely affect our ability to retain and attract customers, and may have a material adverse effect on our results of operations, cash flows and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did not issue any shares of its Class A Common Stock or other equity securities that were not registered under the Securities Act of 1933, as amended.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Purchase of Equity Securities by Issuer and Affiliated Purchasers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and its affiliated purchasers did not make any purchases of the Company’s equity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filed as part of, or incorporated by reference into, this Quarterly Report on Form 10-Q. </w:t>
      </w:r>
    </w:p>
    <w:tbl>
      <w:tblPr>
        <w:tblW w:w="10205" w:type="dxa"/>
        <w:jc w:val="left"/>
        <w:tblInd w:w="0" w:type="dxa"/>
        <w:tblLayout w:type="fixed"/>
        <w:tblCellMar>
          <w:top w:w="28" w:type="dxa"/>
          <w:left w:w="28" w:type="dxa"/>
          <w:bottom w:w="28" w:type="dxa"/>
          <w:right w:w="28" w:type="dxa"/>
        </w:tblCellMar>
      </w:tblPr>
      <w:tblGrid>
        <w:gridCol w:w="209"/>
        <w:gridCol w:w="171"/>
        <w:gridCol w:w="175"/>
        <w:gridCol w:w="109"/>
        <w:gridCol w:w="109"/>
        <w:gridCol w:w="109"/>
        <w:gridCol w:w="1397"/>
        <w:gridCol w:w="1129"/>
        <w:gridCol w:w="1132"/>
        <w:gridCol w:w="109"/>
        <w:gridCol w:w="109"/>
        <w:gridCol w:w="109"/>
        <w:gridCol w:w="196"/>
        <w:gridCol w:w="196"/>
        <w:gridCol w:w="197"/>
        <w:gridCol w:w="109"/>
        <w:gridCol w:w="109"/>
        <w:gridCol w:w="109"/>
        <w:gridCol w:w="262"/>
        <w:gridCol w:w="241"/>
        <w:gridCol w:w="166"/>
        <w:gridCol w:w="109"/>
        <w:gridCol w:w="109"/>
        <w:gridCol w:w="109"/>
        <w:gridCol w:w="246"/>
        <w:gridCol w:w="246"/>
        <w:gridCol w:w="247"/>
        <w:gridCol w:w="109"/>
        <w:gridCol w:w="109"/>
        <w:gridCol w:w="109"/>
        <w:gridCol w:w="413"/>
        <w:gridCol w:w="372"/>
        <w:gridCol w:w="256"/>
        <w:gridCol w:w="109"/>
        <w:gridCol w:w="109"/>
        <w:gridCol w:w="109"/>
        <w:gridCol w:w="286"/>
        <w:gridCol w:w="286"/>
        <w:gridCol w:w="420"/>
      </w:tblGrid>
      <w:tr>
        <w:trPr/>
        <w:tc>
          <w:tcPr>
            <w:tcW w:w="2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INDEX </w:t>
            </w:r>
          </w:p>
        </w:tc>
      </w:tr>
      <w:tr>
        <w:trPr/>
        <w:tc>
          <w:tcPr>
            <w:tcW w:w="5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Merger, dated as of December 8, 2020, by and among Vesper Healthcare Acquisition Corp., Hydrate Merger Sub I, Inc., Hydrate Merger Sub II, LLC, LCP Edge Intermediate, Inc. and LCP Edge Holdco, LLC, in its capacity as the Stockholders’ Representative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9,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20"/>
                  <w:u w:val="single"/>
                </w:rPr>
                <w:t>Third Certificate of Amendment to the Second Amended and Restated Certificate of Incorporation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erif" w:hAnsi="Times New Roman;serif"/>
                  <w:b w:val="false"/>
                  <w:color w:val="0000FF"/>
                  <w:sz w:val="20"/>
                  <w:u w:val="single"/>
                </w:rPr>
                <w:t>Restated Certificate of Incorporation of SkinHealth Systems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erif" w:hAnsi="Times New Roman;serif"/>
                  <w:b w:val="false"/>
                  <w:color w:val="0000FF"/>
                  <w:sz w:val="20"/>
                  <w:u w:val="single"/>
                </w:rPr>
                <w:t>Second Amended and Restated Bylaws of SkinHealth Systems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Indenture, dated as of September 14, 2021, between The Beauty Health Company and U.S. Bank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erif" w:hAnsi="Times New Roman;serif"/>
                  <w:b w:val="false"/>
                  <w:color w:val="0000FF"/>
                  <w:sz w:val="20"/>
                  <w:u w:val="single"/>
                </w:rPr>
                <w:t xml:space="preserve">Form of certificate representing the 1.25% Convertible Senior Notes due 2026 (included as Exhibit A to Exhibit 4.1)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4.3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Warrant Agreement, dated September 29, 2020, between the Company and Continental Stock Transfer &amp; Trust Company, as warrant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5,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4.4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Indenture, dated May 27, 2025, between The Beauty Health Company, the guarantors party thereto and U.S. Bank Trust Company, National Association, as trustee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4.5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Note representing the 7.95% Convertible Senior Secured Notes due 2028 (included as Exhibit A to Exhibit 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4.6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Supplemental Indenture No. 1, dated September 4, 2025, among The Beauty Health Company, the guarantors party thereto and U.S. Bank Trust Company, National Association, as trustee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4.7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Description of Registrant’s Securities Registered Pursuant to Section 12 of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2026q110q.htm">
              <w:r>
                <w:rPr>
                  <w:rStyle w:val="InternetLink"/>
                  <w:rFonts w:ascii="Times New Roman;serif" w:hAnsi="Times New Roman;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2026q110q.htm">
              <w:r>
                <w:rPr>
                  <w:rStyle w:val="InternetLink"/>
                  <w:rFonts w:ascii="Times New Roman;serif" w:hAnsi="Times New Roman;serif"/>
                  <w:b w:val="false"/>
                  <w:color w:val="0000FF"/>
                  <w:sz w:val="20"/>
                  <w:u w:val="single"/>
                </w:rPr>
                <w:t>Certification of Principal Executive Officer Pursuant to Securities Exchange Act Rules 13a-14(a),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2026q110q.htm">
              <w:r>
                <w:rPr>
                  <w:rStyle w:val="InternetLink"/>
                  <w:rFonts w:ascii="Times New Roman;serif" w:hAnsi="Times New Roman;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2026q110q.htm">
              <w:r>
                <w:rPr>
                  <w:rStyle w:val="InternetLink"/>
                  <w:rFonts w:ascii="Times New Roman;serif" w:hAnsi="Times New Roman;serif"/>
                  <w:b w:val="false"/>
                  <w:color w:val="0000FF"/>
                  <w:sz w:val="20"/>
                  <w:u w:val="single"/>
                </w:rPr>
                <w:t>Certification of Principal Financial Officer Pursuant to Securities Exchange Act Rules 13a-14(a),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2026q110q.htm">
              <w:r>
                <w:rPr>
                  <w:rStyle w:val="InternetLink"/>
                  <w:rFonts w:ascii="Times New Roman;serif" w:hAnsi="Times New Roman;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2026q110q.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2026q110q.htm">
              <w:r>
                <w:rPr>
                  <w:rStyle w:val="InternetLink"/>
                  <w:rFonts w:ascii="Times New Roman;serif" w:hAnsi="Times New Roman;serif"/>
                  <w:b w:val="false"/>
                  <w:color w:val="0000FF"/>
                  <w:sz w:val="20"/>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2026q110q.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9"/>
        <w:gridCol w:w="226"/>
        <w:gridCol w:w="229"/>
        <w:gridCol w:w="109"/>
        <w:gridCol w:w="109"/>
        <w:gridCol w:w="109"/>
        <w:gridCol w:w="1259"/>
        <w:gridCol w:w="1240"/>
        <w:gridCol w:w="1244"/>
        <w:gridCol w:w="109"/>
        <w:gridCol w:w="109"/>
        <w:gridCol w:w="109"/>
        <w:gridCol w:w="200"/>
        <w:gridCol w:w="200"/>
        <w:gridCol w:w="201"/>
        <w:gridCol w:w="109"/>
        <w:gridCol w:w="109"/>
        <w:gridCol w:w="109"/>
        <w:gridCol w:w="184"/>
        <w:gridCol w:w="184"/>
        <w:gridCol w:w="185"/>
        <w:gridCol w:w="109"/>
        <w:gridCol w:w="109"/>
        <w:gridCol w:w="109"/>
        <w:gridCol w:w="250"/>
        <w:gridCol w:w="250"/>
        <w:gridCol w:w="251"/>
        <w:gridCol w:w="109"/>
        <w:gridCol w:w="109"/>
        <w:gridCol w:w="109"/>
        <w:gridCol w:w="256"/>
        <w:gridCol w:w="256"/>
        <w:gridCol w:w="258"/>
        <w:gridCol w:w="109"/>
        <w:gridCol w:w="109"/>
        <w:gridCol w:w="109"/>
        <w:gridCol w:w="322"/>
        <w:gridCol w:w="322"/>
        <w:gridCol w:w="467"/>
      </w:tblGrid>
      <w:tr>
        <w:trPr/>
        <w:tc>
          <w:tcPr>
            <w:tcW w:w="2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INDEX </w:t>
            </w:r>
          </w:p>
        </w:tc>
      </w:tr>
      <w:tr>
        <w:trPr/>
        <w:tc>
          <w:tcPr>
            <w:tcW w:w="7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 attachments)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16"/>
        </w:rPr>
        <w:t xml:space="preserve">Confidential portions of this exhibit were redacted pursuant to Item 601(b)(10) of Regulation S-K, and the Company agrees to furnish to the SEC a copy of any omitted schedule and/or exhibit upon request.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Management contract or compensatory plan or arrangement.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38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442"/>
        <w:gridCol w:w="442"/>
        <w:gridCol w:w="442"/>
        <w:gridCol w:w="1278"/>
        <w:gridCol w:w="1278"/>
        <w:gridCol w:w="18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Pedro Malha,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SkinHealth Systems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49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Monahan,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SkinHealth Systems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78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SkinHealth Systems Inc. (the “Company”) on Form 10-Q for the quarterly period ended March 31, 2026, as filed with the Securities and Exchange Commission (the “Report”), I, Pedro Malha, Chief Executive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49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ind w:left="0" w:right="0" w:firstLine="5424"/>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SkinHealth Systems Inc. (the “Company”) on Form 10-Q for the quarterly period ended March 31, 2026, as filed with the Securities and Exchange Commission (the “Report”), I, Michael Monahan, Chief Financial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78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and Financial Officer)</w:t>
            </w:r>
          </w:p>
        </w:tc>
      </w:tr>
    </w:tbl>
    <w:p>
      <w:pPr>
        <w:pStyle w:val="TextBody"/>
        <w:bidi w:val="0"/>
        <w:ind w:left="0" w:right="0" w:firstLine="5424"/>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093/000121390020041690/ea131234ex2-1_vesperhealth.htm" TargetMode="External"/><Relationship Id="rId3" Type="http://schemas.openxmlformats.org/officeDocument/2006/relationships/hyperlink" Target="https://www.sec.gov/Archives/edgar/data/1818093/000121390020041690/ea131234ex2-1_vesperhealth.htm" TargetMode="External"/><Relationship Id="rId4" Type="http://schemas.openxmlformats.org/officeDocument/2006/relationships/hyperlink" Target="https://www.sec.gov/Archives/edgar/data/1818093/000162828026026555/ex31-certificateofamendmen.htm" TargetMode="External"/><Relationship Id="rId5" Type="http://schemas.openxmlformats.org/officeDocument/2006/relationships/hyperlink" Target="https://www.sec.gov/Archives/edgar/data/1818093/000162828026026555/ex31-certificateofamendmen.htm" TargetMode="External"/><Relationship Id="rId6" Type="http://schemas.openxmlformats.org/officeDocument/2006/relationships/hyperlink" Target="https://www.sec.gov/Archives/edgar/data/1818093/000162828026026555/ex32-restatedcertificateof.htm" TargetMode="External"/><Relationship Id="rId7" Type="http://schemas.openxmlformats.org/officeDocument/2006/relationships/hyperlink" Target="https://www.sec.gov/Archives/edgar/data/1818093/000162828026026555/ex32-restatedcertificateof.htm" TargetMode="External"/><Relationship Id="rId8" Type="http://schemas.openxmlformats.org/officeDocument/2006/relationships/hyperlink" Target="https://www.sec.gov/Archives/edgar/data/1818093/000162828026026555/ex33-secondamendedandresta.htm" TargetMode="External"/><Relationship Id="rId9" Type="http://schemas.openxmlformats.org/officeDocument/2006/relationships/hyperlink" Target="https://www.sec.gov/Archives/edgar/data/1818093/000162828026026555/ex33-secondamendedandresta.htm" TargetMode="External"/><Relationship Id="rId10" Type="http://schemas.openxmlformats.org/officeDocument/2006/relationships/hyperlink" Target="https://www.sec.gov/Archives/edgar/data/1818093/000181809321000062/exhibit41-convdebtclosing.htm" TargetMode="External"/><Relationship Id="rId11" Type="http://schemas.openxmlformats.org/officeDocument/2006/relationships/hyperlink" Target="https://www.sec.gov/Archives/edgar/data/1818093/000181809321000062/exhibit41-convdebtclosing.htm" TargetMode="External"/><Relationship Id="rId12" Type="http://schemas.openxmlformats.org/officeDocument/2006/relationships/hyperlink" Target="https://www.sec.gov/Archives/edgar/data/1818093/000181809321000062/exhibit41-convdebtclosing.htm" TargetMode="External"/><Relationship Id="rId13" Type="http://schemas.openxmlformats.org/officeDocument/2006/relationships/hyperlink" Target="https://www.sec.gov/Archives/edgar/data/1818093/000181809321000062/exhibit41-convdebtclosing.htm" TargetMode="External"/><Relationship Id="rId14" Type="http://schemas.openxmlformats.org/officeDocument/2006/relationships/hyperlink" Target="https://www.sec.gov/Archives/edgar/data/1818093/000121390020030149/ea127784ex4-1_vesper.htm" TargetMode="External"/><Relationship Id="rId15" Type="http://schemas.openxmlformats.org/officeDocument/2006/relationships/hyperlink" Target="https://www.sec.gov/Archives/edgar/data/1818093/000121390020030149/ea127784ex4-1_vesper.htm" TargetMode="External"/><Relationship Id="rId16" Type="http://schemas.openxmlformats.org/officeDocument/2006/relationships/hyperlink" Target="https://www.sec.gov/Archives/edgar/data/1818093/000162828025038993/beautyhealth-indenturedate.htm" TargetMode="External"/><Relationship Id="rId17" Type="http://schemas.openxmlformats.org/officeDocument/2006/relationships/hyperlink" Target="https://www.sec.gov/Archives/edgar/data/1818093/000162828025038993/beautyhealth-indenturedate.htm" TargetMode="External"/><Relationship Id="rId18" Type="http://schemas.openxmlformats.org/officeDocument/2006/relationships/hyperlink" Target="https://www.sec.gov/Archives/edgar/data/1818093/000162828025038993/beautyhealth-indenturedate.htm" TargetMode="External"/><Relationship Id="rId19" Type="http://schemas.openxmlformats.org/officeDocument/2006/relationships/hyperlink" Target="https://www.sec.gov/Archives/edgar/data/1818093/000162828025038993/beautyhealth-indenturedate.htm" TargetMode="External"/><Relationship Id="rId20" Type="http://schemas.openxmlformats.org/officeDocument/2006/relationships/hyperlink" Target="https://www.sec.gov/Archives/edgar/data/1818093/000168316825006690/skin_ex0401.htm" TargetMode="External"/><Relationship Id="rId21" Type="http://schemas.openxmlformats.org/officeDocument/2006/relationships/hyperlink" Target="https://www.sec.gov/Archives/edgar/data/1818093/000168316825006690/skin_ex0401.htm" TargetMode="External"/><Relationship Id="rId22" Type="http://schemas.openxmlformats.org/officeDocument/2006/relationships/hyperlink" Target="https://www.sec.gov/Archives/edgar/data/1818093/000162828025012407/exhibit44-descriptionofsec.htm" TargetMode="External"/><Relationship Id="rId23" Type="http://schemas.openxmlformats.org/officeDocument/2006/relationships/hyperlink" Target="https://www.sec.gov/Archives/edgar/data/1818093/000162828025012407/exhibit44-descriptionofsec.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23718</Words>
  <Characters>132066</Characters>
  <CharactersWithSpaces>154519</CharactersWithSpaces>
  <Paragraphs>1808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