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231F20"/>
          <w:sz w:val="36"/>
        </w:rPr>
      </w:pPr>
      <w:r>
        <w:rPr>
          <w:rFonts w:ascii="Times New Roman;sans-serif" w:hAnsi="Times New Roman;sans-serif"/>
          <w:b/>
          <w:color w:val="231F20"/>
          <w:sz w:val="36"/>
        </w:rPr>
        <w:t>UNITED STATES</w:t>
      </w:r>
    </w:p>
    <w:p>
      <w:pPr>
        <w:pStyle w:val="TextBody"/>
        <w:bidi w:val="0"/>
        <w:spacing w:lineRule="auto" w:line="288" w:before="0" w:after="0"/>
        <w:jc w:val="center"/>
        <w:rPr>
          <w:rFonts w:ascii="Times New Roman;sans-serif" w:hAnsi="Times New Roman;sans-serif"/>
          <w:b/>
          <w:color w:val="231F20"/>
          <w:sz w:val="36"/>
        </w:rPr>
      </w:pPr>
      <w:r>
        <w:rPr>
          <w:rFonts w:ascii="Times New Roman;sans-serif" w:hAnsi="Times New Roman;sans-serif"/>
          <w:b/>
          <w:color w:val="231F20"/>
          <w:sz w:val="36"/>
        </w:rPr>
        <w:t>SECURITIES AND EXCHANGE COMMISSION</w:t>
      </w:r>
    </w:p>
    <w:p>
      <w:pPr>
        <w:pStyle w:val="TextBody"/>
        <w:bidi w:val="0"/>
        <w:spacing w:lineRule="auto" w:line="288" w:before="0" w:after="0"/>
        <w:jc w:val="center"/>
        <w:rPr>
          <w:rFonts w:ascii="Times New Roman;sans-serif" w:hAnsi="Times New Roman;sans-serif"/>
          <w:b/>
          <w:color w:val="231F20"/>
          <w:sz w:val="28"/>
        </w:rPr>
      </w:pPr>
      <w:r>
        <w:rPr>
          <w:rFonts w:ascii="Times New Roman;sans-serif" w:hAnsi="Times New Roman;sans-serif"/>
          <w:b/>
          <w:color w:val="231F20"/>
          <w:sz w:val="28"/>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center"/>
        <w:rPr>
          <w:rFonts w:ascii="Times New Roman;sans-serif" w:hAnsi="Times New Roman;sans-serif"/>
          <w:b/>
          <w:color w:val="231F20"/>
          <w:sz w:val="36"/>
        </w:rPr>
      </w:pPr>
      <w:r>
        <w:rPr>
          <w:rFonts w:ascii="Times New Roman;sans-serif" w:hAnsi="Times New Roman;sans-serif"/>
          <w:b/>
          <w:color w:val="231F20"/>
          <w:sz w:val="36"/>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center"/>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bidi w:val="0"/>
        <w:spacing w:lineRule="auto" w:line="288" w:before="57" w:after="283"/>
        <w:jc w:val="center"/>
        <w:rPr/>
      </w:pPr>
      <w:r>
        <w:rPr>
          <w:rFonts w:ascii="Times New Roman;sans-serif" w:hAnsi="Times New Roman;sans-serif"/>
          <w:b/>
          <w:color w:val="000000"/>
          <w:sz w:val="18"/>
        </w:rPr>
        <w:t>For the quarterly period ended September 30, 2024</w:t>
      </w:r>
      <w:r>
        <w:rPr>
          <w:color w:val="000000"/>
        </w:rPr>
        <w:t> </w:t>
      </w:r>
    </w:p>
    <w:p>
      <w:pPr>
        <w:pStyle w:val="TextBody"/>
        <w:bidi w:val="0"/>
        <w:spacing w:lineRule="auto" w:line="288" w:before="57" w:after="283"/>
        <w:jc w:val="center"/>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0" w:after="0"/>
        <w:jc w:val="center"/>
        <w:rPr/>
      </w:pPr>
      <w:r>
        <w:rPr>
          <w:color w:val="000000"/>
        </w:rPr>
        <w:t> </w:t>
      </w:r>
      <w:r>
        <w:rPr>
          <w:rFonts w:ascii="Times New Roman;sans-serif" w:hAnsi="Times New Roman;sans-serif"/>
          <w:b/>
          <w:color w:val="000000"/>
          <w:sz w:val="18"/>
        </w:rPr>
        <w:t>For the transition period from __________ to</w:t>
      </w:r>
      <w:r>
        <w:rPr>
          <w:color w:val="000000"/>
        </w:rPr>
        <w:t> </w:t>
      </w:r>
      <w:r>
        <w:rPr>
          <w:rFonts w:ascii="Times New Roman;sans-serif" w:hAnsi="Times New Roman;sans-serif"/>
          <w:b/>
          <w:color w:val="000000"/>
          <w:sz w:val="18"/>
        </w:rPr>
        <w:t>__________.</w:t>
      </w:r>
    </w:p>
    <w:p>
      <w:pPr>
        <w:pStyle w:val="TextBody"/>
        <w:bidi w:val="0"/>
        <w:spacing w:lineRule="auto" w:line="288" w:before="57" w:after="283"/>
        <w:jc w:val="center"/>
        <w:rPr/>
      </w:pPr>
      <w:r>
        <w:rPr>
          <w:rFonts w:ascii="Times New Roman;sans-serif" w:hAnsi="Times New Roman;sans-serif"/>
          <w:b/>
          <w:color w:val="000000"/>
          <w:sz w:val="18"/>
        </w:rPr>
        <w:t>Commission File Number: 001-39565</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Times New Roman;sans-serif" w:hAnsi="Times New Roman;sans-serif"/>
          <w:b/>
          <w:color w:val="000000"/>
          <w:sz w:val="40"/>
        </w:rPr>
        <w:t>The Beauty Health Company</w:t>
      </w:r>
      <w:r>
        <w:rPr>
          <w:color w:val="231F20"/>
        </w:rPr>
        <w:t xml:space="preserve"> </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36" w:type="dxa"/>
        <w:jc w:val="left"/>
        <w:tblInd w:w="0" w:type="dxa"/>
        <w:tblLayout w:type="fixed"/>
        <w:tblCellMar>
          <w:top w:w="28" w:type="dxa"/>
          <w:left w:w="28" w:type="dxa"/>
          <w:bottom w:w="28" w:type="dxa"/>
          <w:right w:w="28" w:type="dxa"/>
        </w:tblCellMar>
      </w:tblPr>
      <w:tblGrid>
        <w:gridCol w:w="933"/>
        <w:gridCol w:w="819"/>
        <w:gridCol w:w="828"/>
        <w:gridCol w:w="109"/>
        <w:gridCol w:w="109"/>
        <w:gridCol w:w="109"/>
        <w:gridCol w:w="884"/>
        <w:gridCol w:w="884"/>
        <w:gridCol w:w="126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85-1908962</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9551" w:type="dxa"/>
        <w:jc w:val="center"/>
        <w:tblInd w:w="0" w:type="dxa"/>
        <w:tblLayout w:type="fixed"/>
        <w:tblCellMar>
          <w:top w:w="28" w:type="dxa"/>
          <w:left w:w="28" w:type="dxa"/>
          <w:bottom w:w="28" w:type="dxa"/>
          <w:right w:w="28" w:type="dxa"/>
        </w:tblCellMar>
      </w:tblPr>
      <w:tblGrid>
        <w:gridCol w:w="1780"/>
        <w:gridCol w:w="1566"/>
        <w:gridCol w:w="1573"/>
        <w:gridCol w:w="109"/>
        <w:gridCol w:w="109"/>
        <w:gridCol w:w="109"/>
        <w:gridCol w:w="1257"/>
        <w:gridCol w:w="1257"/>
        <w:gridCol w:w="1791"/>
      </w:tblGrid>
      <w:tr>
        <w:trPr/>
        <w:tc>
          <w:tcPr>
            <w:tcW w:w="1780"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231F20"/>
                <w:sz w:val="20"/>
              </w:rPr>
            </w:pPr>
            <w:r>
              <w:rPr>
                <w:rFonts w:ascii="Times New Roman;sans-serif" w:hAnsi="Times New Roman;sans-serif"/>
                <w:b/>
                <w:color w:val="231F20"/>
                <w:sz w:val="20"/>
              </w:rPr>
              <w:t>2165 Spring Street</w:t>
            </w:r>
          </w:p>
          <w:p>
            <w:pPr>
              <w:pStyle w:val="TableContents"/>
              <w:bidi w:val="0"/>
              <w:spacing w:lineRule="auto" w:line="240" w:before="0" w:after="0"/>
              <w:jc w:val="center"/>
              <w:rPr>
                <w:rFonts w:ascii="Times New Roman;sans-serif" w:hAnsi="Times New Roman;sans-serif"/>
                <w:b/>
                <w:color w:val="231F20"/>
                <w:sz w:val="20"/>
              </w:rPr>
            </w:pPr>
            <w:r>
              <w:rPr>
                <w:rFonts w:ascii="Times New Roman;sans-serif" w:hAnsi="Times New Roman;sans-serif"/>
                <w:b/>
                <w:color w:val="231F20"/>
                <w:sz w:val="20"/>
              </w:rPr>
              <w:t>Long Beach, CA 90806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231F20"/>
                <w:sz w:val="20"/>
              </w:rPr>
            </w:pPr>
            <w:r>
              <w:rPr>
                <w:rFonts w:ascii="Times New Roman;sans-serif" w:hAnsi="Times New Roman;sans-serif"/>
                <w:b/>
                <w:color w:val="231F20"/>
                <w:sz w:val="20"/>
              </w:rPr>
              <w:t>(800) 603-4996</w:t>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(Address of principal executive offices, including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Registrant's telephone number, including area code</w:t>
            </w:r>
          </w:p>
        </w:tc>
      </w:tr>
    </w:tbl>
    <w:tbl>
      <w:tblPr>
        <w:tblW w:w="6645" w:type="dxa"/>
        <w:jc w:val="center"/>
        <w:tblInd w:w="0" w:type="dxa"/>
        <w:tblLayout w:type="fixed"/>
        <w:tblCellMar>
          <w:top w:w="28" w:type="dxa"/>
          <w:left w:w="28" w:type="dxa"/>
          <w:bottom w:w="28" w:type="dxa"/>
          <w:right w:w="28" w:type="dxa"/>
        </w:tblCellMar>
      </w:tblPr>
      <w:tblGrid>
        <w:gridCol w:w="2127"/>
        <w:gridCol w:w="1871"/>
        <w:gridCol w:w="2647"/>
      </w:tblGrid>
      <w:tr>
        <w:trPr/>
        <w:tc>
          <w:tcPr>
            <w:tcW w:w="212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w:t>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231F20"/>
          <w:sz w:val="20"/>
        </w:rPr>
      </w:pPr>
      <w:r>
        <w:rPr>
          <w:rFonts w:ascii="Times New Roman;sans-serif" w:hAnsi="Times New Roman;sans-serif"/>
          <w:b/>
          <w:color w:val="231F20"/>
          <w:sz w:val="20"/>
        </w:rPr>
        <w:t xml:space="preserve">Securities registered pursuant to Section 12(b) of the Act: </w:t>
      </w:r>
    </w:p>
    <w:tbl>
      <w:tblPr>
        <w:tblW w:w="9966"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484"/>
        <w:gridCol w:w="484"/>
        <w:gridCol w:w="486"/>
        <w:gridCol w:w="109"/>
        <w:gridCol w:w="109"/>
        <w:gridCol w:w="109"/>
        <w:gridCol w:w="970"/>
        <w:gridCol w:w="970"/>
        <w:gridCol w:w="1374"/>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Nasdaq Capital Market</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lineRule="auto" w:line="24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30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84"/>
        <w:gridCol w:w="784"/>
        <w:gridCol w:w="787"/>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November 8, 2024, there were 124,122,158 shares of Class A Common Stock, par value $0.0001 per share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BEAUTY HEALTH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FOR THE QUARTER ENDED 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p>
      <w:pPr>
        <w:pStyle w:val="TextBody"/>
        <w:bidi w:val="0"/>
        <w:spacing w:before="0" w:after="0"/>
        <w:jc w:val="center"/>
        <w:rPr/>
      </w:pPr>
      <w:r>
        <w:rPr/>
      </w:r>
    </w:p>
    <w:tbl>
      <w:tblPr>
        <w:tblW w:w="9562" w:type="dxa"/>
        <w:jc w:val="left"/>
        <w:tblInd w:w="0" w:type="dxa"/>
        <w:tblLayout w:type="fixed"/>
        <w:tblCellMar>
          <w:top w:w="28" w:type="dxa"/>
          <w:left w:w="28" w:type="dxa"/>
          <w:bottom w:w="28" w:type="dxa"/>
          <w:right w:w="28" w:type="dxa"/>
        </w:tblCellMar>
      </w:tblPr>
      <w:tblGrid>
        <w:gridCol w:w="591"/>
        <w:gridCol w:w="518"/>
        <w:gridCol w:w="518"/>
        <w:gridCol w:w="2435"/>
        <w:gridCol w:w="2435"/>
        <w:gridCol w:w="2494"/>
        <w:gridCol w:w="167"/>
        <w:gridCol w:w="167"/>
        <w:gridCol w:w="237"/>
      </w:tblGrid>
      <w:tr>
        <w:trPr/>
        <w:tc>
          <w:tcPr>
            <w:tcW w:w="5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9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PART I—FINANCIAL INFORMATION</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6cff86bf14945fdbdafb247887781cc_13">
              <w:r>
                <w:rPr>
                  <w:rStyle w:val="InternetLink"/>
                  <w:rFonts w:ascii="Times New Roman;sans-serif" w:hAnsi="Times New Roman;sans-serif"/>
                  <w:b w:val="false"/>
                  <w:color w:val="0000FF"/>
                  <w:sz w:val="20"/>
                  <w:u w:val="single"/>
                </w:rPr>
                <w:t>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6cff86bf14945fdbdafb247887781cc_13">
              <w:r>
                <w:rPr>
                  <w:rStyle w:val="InternetLink"/>
                  <w:rFonts w:ascii="Times New Roman;sans-serif" w:hAnsi="Times New Roman;sans-serif"/>
                  <w:b w:val="false"/>
                  <w:color w:val="0000FF"/>
                  <w:sz w:val="20"/>
                  <w:u w:val="single"/>
                </w:rPr>
                <w:t>3</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6cff86bf14945fdbdafb247887781cc_16">
              <w:r>
                <w:rPr>
                  <w:rStyle w:val="InternetLink"/>
                  <w:rFonts w:ascii="Times New Roman;sans-serif" w:hAnsi="Times New Roman;sans-serif"/>
                  <w:b w:val="false"/>
                  <w:color w:val="0000FF"/>
                  <w:sz w:val="20"/>
                  <w:u w:val="single"/>
                </w:rPr>
                <w:t>Condensed Consolidated Balance Sheets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6cff86bf14945fdbdafb247887781cc_16">
              <w:r>
                <w:rPr>
                  <w:rStyle w:val="InternetLink"/>
                  <w:rFonts w:ascii="Times New Roman;sans-serif" w:hAnsi="Times New Roman;sans-serif"/>
                  <w:b w:val="false"/>
                  <w:color w:val="0000FF"/>
                  <w:sz w:val="20"/>
                  <w:u w:val="single"/>
                </w:rPr>
                <w:t>3</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6cff86bf14945fdbdafb247887781cc_19">
              <w:r>
                <w:rPr>
                  <w:rStyle w:val="InternetLink"/>
                  <w:rFonts w:ascii="Times New Roman;sans-serif" w:hAnsi="Times New Roman;sans-serif"/>
                  <w:b w:val="false"/>
                  <w:color w:val="0000FF"/>
                  <w:sz w:val="20"/>
                  <w:u w:val="single"/>
                </w:rPr>
                <w:t>Condensed Consolidated Statements of Comprehensive Income (Loss)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6cff86bf14945fdbdafb247887781cc_19">
              <w:r>
                <w:rPr>
                  <w:rStyle w:val="InternetLink"/>
                  <w:rFonts w:ascii="Times New Roman;sans-serif" w:hAnsi="Times New Roman;sans-serif"/>
                  <w:b w:val="false"/>
                  <w:color w:val="0000FF"/>
                  <w:sz w:val="20"/>
                  <w:u w:val="single"/>
                </w:rPr>
                <w:t>4</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6cff86bf14945fdbdafb247887781cc_22">
              <w:r>
                <w:rPr>
                  <w:rStyle w:val="InternetLink"/>
                  <w:rFonts w:ascii="Times New Roman;sans-serif" w:hAnsi="Times New Roman;sans-serif"/>
                  <w:b w:val="false"/>
                  <w:color w:val="0000FF"/>
                  <w:sz w:val="20"/>
                  <w:u w:val="single"/>
                </w:rPr>
                <w:t>Condensed Consolidated Statements of Stockholders’ Equity (Deficit)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6cff86bf14945fdbdafb247887781cc_22">
              <w:r>
                <w:rPr>
                  <w:rStyle w:val="InternetLink"/>
                  <w:rFonts w:ascii="Times New Roman;sans-serif" w:hAnsi="Times New Roman;sans-serif"/>
                  <w:b w:val="false"/>
                  <w:color w:val="0000FF"/>
                  <w:sz w:val="20"/>
                  <w:u w:val="single"/>
                </w:rPr>
                <w:t>5</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6cff86bf14945fdbdafb247887781cc_28">
              <w:r>
                <w:rPr>
                  <w:rStyle w:val="InternetLink"/>
                  <w:rFonts w:ascii="Times New Roman;sans-serif" w:hAnsi="Times New Roman;sans-serif"/>
                  <w:b w:val="false"/>
                  <w:color w:val="0000FF"/>
                  <w:sz w:val="20"/>
                  <w:u w:val="single"/>
                </w:rPr>
                <w:t>Condensed Consolidated Statements of Cash Flows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6cff86bf14945fdbdafb247887781cc_28">
              <w:r>
                <w:rPr>
                  <w:rStyle w:val="InternetLink"/>
                  <w:rFonts w:ascii="Times New Roman;sans-serif" w:hAnsi="Times New Roman;sans-serif"/>
                  <w:b w:val="false"/>
                  <w:color w:val="0000FF"/>
                  <w:sz w:val="20"/>
                  <w:u w:val="single"/>
                </w:rPr>
                <w:t>7</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6cff86bf14945fdbdafb247887781cc_31">
              <w:r>
                <w:rPr>
                  <w:rStyle w:val="InternetLink"/>
                  <w:rFonts w:ascii="Times New Roman;sans-serif" w:hAnsi="Times New Roman;sans-serif"/>
                  <w:b w:val="false"/>
                  <w:color w:val="0000FF"/>
                  <w:sz w:val="20"/>
                  <w:u w:val="single"/>
                </w:rPr>
                <w:t>Notes to Condensed Consolidated Financial Statements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6cff86bf14945fdbdafb247887781cc_31">
              <w:r>
                <w:rPr>
                  <w:rStyle w:val="InternetLink"/>
                  <w:rFonts w:ascii="Times New Roman;sans-serif" w:hAnsi="Times New Roman;sans-serif"/>
                  <w:b w:val="false"/>
                  <w:color w:val="0000FF"/>
                  <w:sz w:val="20"/>
                  <w:u w:val="single"/>
                </w:rPr>
                <w:t>8</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6cff86bf14945fdbdafb247887781cc_28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6cff86bf14945fdbdafb247887781cc_283">
              <w:r>
                <w:rPr>
                  <w:rStyle w:val="InternetLink"/>
                  <w:rFonts w:ascii="Times New Roman;sans-serif" w:hAnsi="Times New Roman;sans-serif"/>
                  <w:b w:val="false"/>
                  <w:color w:val="0000FF"/>
                  <w:sz w:val="20"/>
                  <w:u w:val="single"/>
                </w:rPr>
                <w:t>23</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6cff86bf14945fdbdafb247887781cc_322">
              <w:r>
                <w:rPr>
                  <w:rStyle w:val="InternetLink"/>
                  <w:rFonts w:ascii="Times New Roman;sans-serif" w:hAnsi="Times New Roman;sans-serif"/>
                  <w:b w:val="false"/>
                  <w:color w:val="0000FF"/>
                  <w:sz w:val="20"/>
                  <w:u w:val="single"/>
                </w:rPr>
                <w:t>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6cff86bf14945fdbdafb247887781cc_322">
              <w:r>
                <w:rPr>
                  <w:rStyle w:val="InternetLink"/>
                  <w:rFonts w:ascii="Times New Roman;sans-serif" w:hAnsi="Times New Roman;sans-serif"/>
                  <w:b w:val="false"/>
                  <w:color w:val="0000FF"/>
                  <w:sz w:val="20"/>
                  <w:u w:val="single"/>
                </w:rPr>
                <w:t>33</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6cff86bf14945fdbdafb247887781cc_325">
              <w:r>
                <w:rPr>
                  <w:rStyle w:val="InternetLink"/>
                  <w:rFonts w:ascii="Times New Roman;sans-serif" w:hAnsi="Times New Roman;sans-serif"/>
                  <w:b w:val="false"/>
                  <w:color w:val="0000FF"/>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6cff86bf14945fdbdafb247887781cc_325">
              <w:r>
                <w:rPr>
                  <w:rStyle w:val="InternetLink"/>
                  <w:rFonts w:ascii="Times New Roman;sans-serif" w:hAnsi="Times New Roman;sans-serif"/>
                  <w:b w:val="false"/>
                  <w:color w:val="0000FF"/>
                  <w:sz w:val="20"/>
                  <w:u w:val="single"/>
                </w:rPr>
                <w:t>33</w:t>
              </w:r>
            </w:hyperlink>
          </w:p>
        </w:tc>
      </w:tr>
      <w:tr>
        <w:trPr/>
        <w:tc>
          <w:tcPr>
            <w:tcW w:w="89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PART II—OTHER INFORMATION</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6cff86bf14945fdbdafb247887781cc_331">
              <w:r>
                <w:rPr>
                  <w:rStyle w:val="InternetLink"/>
                  <w:rFonts w:ascii="Times New Roman;sans-serif" w:hAnsi="Times New Roman;sans-serif"/>
                  <w:b w:val="false"/>
                  <w:color w:val="0000FF"/>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6cff86bf14945fdbdafb247887781cc_331">
              <w:r>
                <w:rPr>
                  <w:rStyle w:val="InternetLink"/>
                  <w:rFonts w:ascii="Times New Roman;sans-serif" w:hAnsi="Times New Roman;sans-serif"/>
                  <w:b w:val="false"/>
                  <w:color w:val="0000FF"/>
                  <w:sz w:val="20"/>
                  <w:u w:val="single"/>
                </w:rPr>
                <w:t>35</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6cff86bf14945fdbdafb247887781cc_334">
              <w:r>
                <w:rPr>
                  <w:rStyle w:val="InternetLink"/>
                  <w:rFonts w:ascii="Times New Roman;sans-serif" w:hAnsi="Times New Roman;sans-serif"/>
                  <w:b w:val="false"/>
                  <w:color w:val="0000FF"/>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6cff86bf14945fdbdafb247887781cc_334">
              <w:r>
                <w:rPr>
                  <w:rStyle w:val="InternetLink"/>
                  <w:rFonts w:ascii="Times New Roman;sans-serif" w:hAnsi="Times New Roman;sans-serif"/>
                  <w:b w:val="false"/>
                  <w:color w:val="0000FF"/>
                  <w:sz w:val="20"/>
                  <w:u w:val="single"/>
                </w:rPr>
                <w:t>35</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6cff86bf14945fdbdafb247887781cc_337">
              <w:r>
                <w:rPr>
                  <w:rStyle w:val="InternetLink"/>
                  <w:rFonts w:ascii="Times New Roman;sans-serif" w:hAnsi="Times New Roman;sans-serif"/>
                  <w:b w:val="false"/>
                  <w:color w:val="0000FF"/>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6cff86bf14945fdbdafb247887781cc_337">
              <w:r>
                <w:rPr>
                  <w:rStyle w:val="InternetLink"/>
                  <w:rFonts w:ascii="Times New Roman;sans-serif" w:hAnsi="Times New Roman;sans-serif"/>
                  <w:b w:val="false"/>
                  <w:color w:val="0000FF"/>
                  <w:sz w:val="20"/>
                  <w:u w:val="single"/>
                </w:rPr>
                <w:t>35</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6cff86bf14945fdbdafb247887781cc_343">
              <w:r>
                <w:rPr>
                  <w:rStyle w:val="InternetLink"/>
                  <w:rFonts w:ascii="Times New Roman;sans-serif" w:hAnsi="Times New Roman;sans-serif"/>
                  <w:b w:val="false"/>
                  <w:color w:val="0000FF"/>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6cff86bf14945fdbdafb247887781cc_343">
              <w:r>
                <w:rPr>
                  <w:rStyle w:val="InternetLink"/>
                  <w:rFonts w:ascii="Times New Roman;sans-serif" w:hAnsi="Times New Roman;sans-serif"/>
                  <w:b w:val="false"/>
                  <w:color w:val="0000FF"/>
                  <w:sz w:val="20"/>
                  <w:u w:val="single"/>
                </w:rPr>
                <w:t>35</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6cff86bf14945fdbdafb247887781cc_346">
              <w:r>
                <w:rPr>
                  <w:rStyle w:val="InternetLink"/>
                  <w:rFonts w:ascii="Times New Roman;sans-serif" w:hAnsi="Times New Roman;sans-serif"/>
                  <w:b w:val="false"/>
                  <w:color w:val="0000FF"/>
                  <w:sz w:val="20"/>
                  <w:u w:val="single"/>
                </w:rPr>
                <w:t>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6cff86bf14945fdbdafb247887781cc_346">
              <w:r>
                <w:rPr>
                  <w:rStyle w:val="InternetLink"/>
                  <w:rFonts w:ascii="Times New Roman;sans-serif" w:hAnsi="Times New Roman;sans-serif"/>
                  <w:b w:val="false"/>
                  <w:color w:val="0000FF"/>
                  <w:sz w:val="20"/>
                  <w:u w:val="single"/>
                </w:rPr>
                <w:t>35</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6cff86bf14945fdbdafb247887781cc_349">
              <w:r>
                <w:rPr>
                  <w:rStyle w:val="InternetLink"/>
                  <w:rFonts w:ascii="Times New Roman;sans-serif" w:hAnsi="Times New Roman;sans-serif"/>
                  <w:b w:val="false"/>
                  <w:color w:val="0000FF"/>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6cff86bf14945fdbdafb247887781cc_349">
              <w:r>
                <w:rPr>
                  <w:rStyle w:val="InternetLink"/>
                  <w:rFonts w:ascii="Times New Roman;sans-serif" w:hAnsi="Times New Roman;sans-serif"/>
                  <w:b w:val="false"/>
                  <w:color w:val="0000FF"/>
                  <w:sz w:val="20"/>
                  <w:u w:val="single"/>
                </w:rPr>
                <w:t>35</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6cff86bf14945fdbdafb247887781cc_352">
              <w:r>
                <w:rPr>
                  <w:rStyle w:val="InternetLink"/>
                  <w:rFonts w:ascii="Times New Roman;sans-serif" w:hAnsi="Times New Roman;sans-serif"/>
                  <w:b w:val="false"/>
                  <w:color w:val="0000FF"/>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6cff86bf14945fdbdafb247887781cc_352">
              <w:r>
                <w:rPr>
                  <w:rStyle w:val="InternetLink"/>
                  <w:rFonts w:ascii="Times New Roman;sans-serif" w:hAnsi="Times New Roman;sans-serif"/>
                  <w:b w:val="false"/>
                  <w:color w:val="0000FF"/>
                  <w:sz w:val="20"/>
                  <w:u w:val="single"/>
                </w:rPr>
                <w:t>36</w:t>
              </w:r>
            </w:hyperlink>
          </w:p>
        </w:tc>
      </w:tr>
      <w:tr>
        <w:trPr/>
        <w:tc>
          <w:tcPr>
            <w:tcW w:w="89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6cff86bf14945fdbdafb247887781cc_355">
              <w:r>
                <w:rPr>
                  <w:rStyle w:val="InternetLink"/>
                  <w:rFonts w:ascii="Times New Roman;sans-serif" w:hAnsi="Times New Roman;sans-serif"/>
                  <w:b w:val="false"/>
                  <w:color w:val="0000FF"/>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231F20"/>
          <w:sz w:val="20"/>
          <w:shd w:fill="FFFFFF" w:val="clear"/>
        </w:rPr>
      </w:pPr>
      <w:r>
        <w:rPr>
          <w:rFonts w:ascii="Times New Roman;sans-serif" w:hAnsi="Times New Roman;sans-serif"/>
          <w:b/>
          <w:color w:val="231F20"/>
          <w:sz w:val="20"/>
          <w:shd w:fill="FFFFFF" w:val="clear"/>
        </w:rPr>
        <w:t>THE BEAUTY HEALTH COMPANY</w:t>
      </w:r>
    </w:p>
    <w:p>
      <w:pPr>
        <w:pStyle w:val="TextBody"/>
        <w:bidi w:val="0"/>
        <w:spacing w:lineRule="auto" w:line="288" w:before="10" w:after="283"/>
        <w:jc w:val="center"/>
        <w:rPr>
          <w:rFonts w:ascii="Times New Roman;sans-serif" w:hAnsi="Times New Roman;sans-serif"/>
          <w:b/>
          <w:color w:val="231F20"/>
          <w:sz w:val="20"/>
        </w:rPr>
      </w:pPr>
      <w:r>
        <w:rPr>
          <w:rFonts w:ascii="Times New Roman;sans-serif" w:hAnsi="Times New Roman;sans-serif"/>
          <w:b/>
          <w:color w:val="231F20"/>
          <w:sz w:val="20"/>
        </w:rPr>
        <w:t>CONDENSED CONSOLIDATED BALANCE SHEETS</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 except for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28"/>
        <w:gridCol w:w="2173"/>
        <w:gridCol w:w="2115"/>
        <w:gridCol w:w="242"/>
        <w:gridCol w:w="951"/>
        <w:gridCol w:w="125"/>
        <w:gridCol w:w="109"/>
        <w:gridCol w:w="109"/>
        <w:gridCol w:w="109"/>
        <w:gridCol w:w="237"/>
        <w:gridCol w:w="930"/>
        <w:gridCol w:w="177"/>
      </w:tblGrid>
      <w:tr>
        <w:trPr/>
        <w:tc>
          <w:tcPr>
            <w:tcW w:w="2928"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ASSETS</w:t>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Current assets:</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Cash, cash equivalents, and restricted cash</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358,892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523,025</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231F20"/>
                <w:sz w:val="20"/>
              </w:rPr>
            </w:pPr>
            <w:r>
              <w:rPr>
                <w:rFonts w:ascii="Times New Roman;sans-serif" w:hAnsi="Times New Roman;sans-serif"/>
                <w:b w:val="false"/>
                <w:color w:val="231F20"/>
                <w:sz w:val="20"/>
              </w:rPr>
              <w:t>Accounts receivable, net of allowances for estimated credit losses of $11,025 and $6,604 at September 30, 2024 and December 31, 2023, respectively</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54,697</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Inventories </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73,443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91,321</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Income tax receivable </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332</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Prepaid expenses and other current assets</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28,877</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current assets</w:t>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485,047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698,252</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Property and equipment, net</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14,226</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Right-of-use assets, net</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12,120</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Intangible assets, net </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50,979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62,123</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Goodwill</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125,455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125,818</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Deferred income tax assets, net</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531</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Other assets </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16,043</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TOTAL ASSETS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699,548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929,113</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71" w:before="36" w:after="283"/>
              <w:jc w:val="left"/>
              <w:rPr>
                <w:rFonts w:ascii="Times New Roman;sans-serif" w:hAnsi="Times New Roman;sans-serif"/>
                <w:b/>
                <w:color w:val="231F20"/>
                <w:sz w:val="20"/>
              </w:rPr>
            </w:pPr>
            <w:r>
              <w:rPr>
                <w:rFonts w:ascii="Times New Roman;sans-serif" w:hAnsi="Times New Roman;sans-serif"/>
                <w:b/>
                <w:color w:val="231F20"/>
                <w:sz w:val="20"/>
              </w:rPr>
              <w:t>LIABILITIES AND STOCKHOLDERS’ EQUITY</w:t>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Current liabilities:</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Accounts payable</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23,084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44,768</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Accrued payroll-related expenses</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16,543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22,028</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Lease liabilities, current</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4,598</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Income tax payable</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2,759</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Syndeo Program reserves</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21,009</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accrued expenses</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19,846</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current liabilities </w:t>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73,948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115,008</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Lease liabilities, non-current</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9,319</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Deferred income tax liabilities, net </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702</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Warrant liabilities </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3,555</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Convertible senior notes, net</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551,411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738,372</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long-term liabilities</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2,767</w:t>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Total liabilities</w:t>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639,824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869,723</w:t>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Commitments (Note 10) </w:t>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Stockholders’ equity:</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231F20"/>
                <w:sz w:val="20"/>
              </w:rPr>
            </w:pPr>
            <w:r>
              <w:rPr>
                <w:rFonts w:ascii="Times New Roman;sans-serif" w:hAnsi="Times New Roman;sans-serif"/>
                <w:b w:val="false"/>
                <w:color w:val="231F20"/>
                <w:sz w:val="20"/>
              </w:rPr>
              <w:t>Class A Common Stock, $0.0001 par value; 320,000,000 shares authorized; 124,111,434 and 122,899,002 shares issued and outstanding at September 30, 2024 and December 31, 2023, respectively</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Additional paid-in capital </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561,059 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541,281 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Accumulated other comprehensive loss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(3,712)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(3,036)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Accumulated deficit</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(497,635)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(478,867)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stockholders’ equity</w:t>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59,724 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59,390 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color w:val="231F20"/>
                <w:sz w:val="20"/>
              </w:rPr>
            </w:pPr>
            <w:r>
              <w:rPr>
                <w:rFonts w:ascii="Times New Roman;sans-serif" w:hAnsi="Times New Roman;sans-serif"/>
                <w:b/>
                <w:color w:val="231F20"/>
                <w:sz w:val="20"/>
              </w:rPr>
              <w:t>TOTAL LIABILITIES AND STOCKHOLDERS’ EQUITY</w:t>
            </w:r>
          </w:p>
        </w:tc>
        <w:tc>
          <w:tcPr>
            <w:tcW w:w="2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699,548 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929,113 </w:t>
            </w:r>
          </w:p>
        </w:tc>
        <w:tc>
          <w:tcPr>
            <w:tcW w:w="1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ans-serif" w:hAnsi="Times New Roman;sans-serif"/>
          <w:b/>
          <w:color w:val="231F20"/>
          <w:sz w:val="20"/>
          <w:shd w:fill="FFFFFF" w:val="clear"/>
        </w:rPr>
      </w:pPr>
      <w:r>
        <w:rPr>
          <w:rFonts w:ascii="Times New Roman;sans-serif" w:hAnsi="Times New Roman;sans-serif"/>
          <w:b/>
          <w:color w:val="231F20"/>
          <w:sz w:val="20"/>
          <w:shd w:fill="FFFFFF" w:val="clear"/>
        </w:rPr>
        <w:t>THE BEAUTY HEALTH COMPANY</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 except for share and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82"/>
        <w:gridCol w:w="1184"/>
        <w:gridCol w:w="1190"/>
        <w:gridCol w:w="264"/>
        <w:gridCol w:w="922"/>
        <w:gridCol w:w="113"/>
        <w:gridCol w:w="113"/>
        <w:gridCol w:w="113"/>
        <w:gridCol w:w="113"/>
        <w:gridCol w:w="264"/>
        <w:gridCol w:w="922"/>
        <w:gridCol w:w="113"/>
        <w:gridCol w:w="109"/>
        <w:gridCol w:w="109"/>
        <w:gridCol w:w="109"/>
        <w:gridCol w:w="241"/>
        <w:gridCol w:w="945"/>
        <w:gridCol w:w="109"/>
        <w:gridCol w:w="109"/>
        <w:gridCol w:w="109"/>
        <w:gridCol w:w="109"/>
        <w:gridCol w:w="241"/>
        <w:gridCol w:w="945"/>
        <w:gridCol w:w="109"/>
        <w:gridCol w:w="109"/>
        <w:gridCol w:w="159"/>
      </w:tblGrid>
      <w:tr>
        <w:trPr/>
        <w:tc>
          <w:tcPr>
            <w:tcW w:w="138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268" w:type="dxa"/>
            <w:gridSpan w:val="2"/>
            <w:tcBorders/>
          </w:tcPr>
          <w:p>
            <w:pPr>
              <w:pStyle w:val="TableContents"/>
              <w:bidi w:val="0"/>
              <w:spacing w:before="0" w:after="283"/>
              <w:jc w:val="left"/>
              <w:rPr>
                <w:sz w:val="4"/>
                <w:szCs w:val="4"/>
              </w:rPr>
            </w:pPr>
            <w:r>
              <w:rPr>
                <w:sz w:val="4"/>
                <w:szCs w:val="4"/>
              </w:rPr>
            </w:r>
          </w:p>
        </w:tc>
      </w:tr>
      <w:tr>
        <w:trPr/>
        <w:tc>
          <w:tcPr>
            <w:tcW w:w="3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Net sales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78,802 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97,413 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250,799 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301,170 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Cost of sales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38,153 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109,966 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120,849 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231F20"/>
                <w:sz w:val="20"/>
              </w:rPr>
            </w:pPr>
            <w:r>
              <w:rPr>
                <w:rFonts w:ascii="Times New Roman;sans-serif" w:hAnsi="Times New Roman;sans-serif"/>
                <w:b/>
                <w:color w:val="231F20"/>
                <w:sz w:val="20"/>
              </w:rPr>
              <w:t>Gross profit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40,649 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(12,553)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129,950 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109,427 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Operating expenses:</w:t>
            </w:r>
          </w:p>
        </w:tc>
        <w:tc>
          <w:tcPr>
            <w:tcW w:w="1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Selling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27,620 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30,731 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33,436 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36,978 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62,164 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69,548 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190,567 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221,984 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231F20"/>
                <w:sz w:val="20"/>
              </w:rPr>
            </w:pPr>
            <w:r>
              <w:rPr>
                <w:rFonts w:ascii="Times New Roman;sans-serif" w:hAnsi="Times New Roman;sans-serif"/>
                <w:b/>
                <w:color w:val="231F2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(21,515)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(82,101)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(60,617)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(112,557)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expense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2,468 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3,445 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(4,876)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(6,750)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(4,872)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Change in fair value of warrant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(418)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(5,855)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Foreign currency transaction (gain) loss,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color w:val="231F20"/>
                <w:sz w:val="20"/>
              </w:rPr>
            </w:pPr>
            <w:r>
              <w:rPr>
                <w:rFonts w:ascii="Times New Roman;sans-serif" w:hAnsi="Times New Roman;sans-serif"/>
                <w:b/>
                <w:color w:val="231F20"/>
                <w:sz w:val="20"/>
              </w:rPr>
              <w:t>Loss before provision for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(16,343)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(70,339)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(17,832)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(93,089)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Income tax expense (benefit)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(18,291)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(73,818)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(90,713)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Comprehensive loss, net of tax:</w:t>
            </w:r>
          </w:p>
        </w:tc>
        <w:tc>
          <w:tcPr>
            <w:tcW w:w="1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Foreign currency translation adjustments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(1,093)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231F20"/>
                <w:sz w:val="20"/>
              </w:rPr>
            </w:pPr>
            <w:r>
              <w:rPr>
                <w:rFonts w:ascii="Times New Roman;sans-serif" w:hAnsi="Times New Roman;sans-serif"/>
                <w:b/>
                <w:color w:val="231F20"/>
                <w:sz w:val="20"/>
              </w:rPr>
              <w:t>Comprehensive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(17,104)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(74,911)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(91,285)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 per share</w:t>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Basic</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(0.68)</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Diluted</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(0.68)</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Weighted average common stock outstanding </w:t>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124,057,602 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132,896,626 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123,630,811 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132,679,547 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124,057,602 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132,896,626 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142,667,209 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132,679,547 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ans-serif" w:hAnsi="Times New Roman;sans-serif"/>
          <w:b/>
          <w:color w:val="231F20"/>
          <w:sz w:val="20"/>
        </w:rPr>
      </w:pPr>
      <w:r>
        <w:rPr>
          <w:rFonts w:ascii="Times New Roman;sans-serif" w:hAnsi="Times New Roman;sans-serif"/>
          <w:b/>
          <w:color w:val="231F20"/>
          <w:sz w:val="20"/>
        </w:rPr>
        <w:t>THE BEAUTY HEALTH COMPANY</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CONDENSED CONSOLIDATED STATEMENTS OF STOCKHOLDERS’ EQUITY (DEFICIT)</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 except for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67"/>
        <w:gridCol w:w="438"/>
        <w:gridCol w:w="439"/>
        <w:gridCol w:w="525"/>
        <w:gridCol w:w="526"/>
        <w:gridCol w:w="196"/>
        <w:gridCol w:w="109"/>
        <w:gridCol w:w="109"/>
        <w:gridCol w:w="109"/>
        <w:gridCol w:w="212"/>
        <w:gridCol w:w="359"/>
        <w:gridCol w:w="120"/>
        <w:gridCol w:w="109"/>
        <w:gridCol w:w="109"/>
        <w:gridCol w:w="109"/>
        <w:gridCol w:w="212"/>
        <w:gridCol w:w="799"/>
        <w:gridCol w:w="118"/>
        <w:gridCol w:w="109"/>
        <w:gridCol w:w="109"/>
        <w:gridCol w:w="109"/>
        <w:gridCol w:w="109"/>
        <w:gridCol w:w="109"/>
        <w:gridCol w:w="323"/>
        <w:gridCol w:w="942"/>
        <w:gridCol w:w="180"/>
        <w:gridCol w:w="109"/>
        <w:gridCol w:w="109"/>
        <w:gridCol w:w="109"/>
        <w:gridCol w:w="203"/>
        <w:gridCol w:w="787"/>
        <w:gridCol w:w="113"/>
        <w:gridCol w:w="109"/>
        <w:gridCol w:w="109"/>
        <w:gridCol w:w="109"/>
        <w:gridCol w:w="231"/>
        <w:gridCol w:w="872"/>
        <w:gridCol w:w="190"/>
      </w:tblGrid>
      <w:tr>
        <w:trPr/>
        <w:tc>
          <w:tcPr>
            <w:tcW w:w="5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 Equity (Deficit)</w:t>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132,214,695 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550,320 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(378,751)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167,053 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(20,259)</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473,049 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relating to employee stock purchase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2,034 </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3,577 </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relating to asset acquisition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888 </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132,626,954 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555,046 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(399,010)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152,408 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3,364 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3,364 </w:t>
            </w:r>
          </w:p>
        </w:tc>
        <w:tc>
          <w:tcPr>
            <w:tcW w:w="1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relating to employee stock purchase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698 </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8,524 </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share repurchase payment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June 30,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132,881,417 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561,483 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(4,009)</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(395,646)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161,842 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(73,818)</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(73,818)</w:t>
            </w:r>
          </w:p>
        </w:tc>
        <w:tc>
          <w:tcPr>
            <w:tcW w:w="1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(419,242)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(4,828)</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8,185 </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September 30, 2023</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132,569,193 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564,509 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(5,102)</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(469,464)</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89,957 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before="20" w:after="283"/>
        <w:jc w:val="center"/>
        <w:rPr/>
      </w:pPr>
      <w:r>
        <w:rPr/>
      </w:r>
    </w:p>
    <w:p>
      <w:pPr>
        <w:pStyle w:val="TextBody"/>
        <w:bidi w:val="0"/>
        <w:spacing w:before="20" w:after="283"/>
        <w:jc w:val="center"/>
        <w:rPr/>
      </w:pPr>
      <w:r>
        <w:rPr/>
      </w:r>
    </w:p>
    <w:p>
      <w:pPr>
        <w:pStyle w:val="TextBody"/>
        <w:bidi w:val="0"/>
        <w:spacing w:before="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67"/>
        <w:gridCol w:w="438"/>
        <w:gridCol w:w="439"/>
        <w:gridCol w:w="525"/>
        <w:gridCol w:w="526"/>
        <w:gridCol w:w="196"/>
        <w:gridCol w:w="109"/>
        <w:gridCol w:w="109"/>
        <w:gridCol w:w="109"/>
        <w:gridCol w:w="212"/>
        <w:gridCol w:w="359"/>
        <w:gridCol w:w="120"/>
        <w:gridCol w:w="109"/>
        <w:gridCol w:w="109"/>
        <w:gridCol w:w="109"/>
        <w:gridCol w:w="212"/>
        <w:gridCol w:w="799"/>
        <w:gridCol w:w="118"/>
        <w:gridCol w:w="109"/>
        <w:gridCol w:w="109"/>
        <w:gridCol w:w="109"/>
        <w:gridCol w:w="109"/>
        <w:gridCol w:w="109"/>
        <w:gridCol w:w="323"/>
        <w:gridCol w:w="942"/>
        <w:gridCol w:w="180"/>
        <w:gridCol w:w="109"/>
        <w:gridCol w:w="109"/>
        <w:gridCol w:w="109"/>
        <w:gridCol w:w="203"/>
        <w:gridCol w:w="787"/>
        <w:gridCol w:w="113"/>
        <w:gridCol w:w="109"/>
        <w:gridCol w:w="109"/>
        <w:gridCol w:w="109"/>
        <w:gridCol w:w="252"/>
        <w:gridCol w:w="835"/>
        <w:gridCol w:w="206"/>
      </w:tblGrid>
      <w:tr>
        <w:trPr/>
        <w:tc>
          <w:tcPr>
            <w:tcW w:w="5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 Equity (Deficit)</w:t>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122,899,002 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541,281 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(3,036)</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(478,867)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59,390 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843,950 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6,636 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123,453,419 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546,912 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(479,546)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63,295 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2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relating to employee stock purchase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6,498 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June 30, 2024</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123,993,785 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553,420 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(4,899)</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(479,344)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69,189 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(18,291)</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(18,291)</w:t>
            </w:r>
          </w:p>
        </w:tc>
        <w:tc>
          <w:tcPr>
            <w:tcW w:w="2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equity compensation plan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 withholdings on vested stock awards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(53,372)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7,712 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September 30,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124,111,434 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561,059 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(497,635)</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59,724 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before="20" w:after="283"/>
        <w:jc w:val="center"/>
        <w:rPr/>
      </w:pPr>
      <w:r>
        <w:rPr/>
      </w:r>
    </w:p>
    <w:p>
      <w:pPr>
        <w:pStyle w:val="TextBody"/>
        <w:bidi w:val="0"/>
        <w:spacing w:lineRule="auto" w:line="288"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00" w:after="283"/>
        <w:jc w:val="center"/>
        <w:rPr>
          <w:rFonts w:ascii="Times New Roman;sans-serif" w:hAnsi="Times New Roman;sans-serif"/>
          <w:b/>
          <w:color w:val="231F20"/>
          <w:sz w:val="20"/>
        </w:rPr>
      </w:pPr>
      <w:r>
        <w:rPr>
          <w:rFonts w:ascii="Times New Roman;sans-serif" w:hAnsi="Times New Roman;sans-serif"/>
          <w:b/>
          <w:color w:val="231F20"/>
          <w:sz w:val="20"/>
        </w:rPr>
        <w:t>THE BEAUTY HEALTH COMPANY</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CONDENSED CONSOLIDATED STATEMENTS OF CASH FLOWS</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(Unaudited) </w:t>
      </w:r>
    </w:p>
    <w:p>
      <w:pPr>
        <w:pStyle w:val="TextBody"/>
        <w:bidi w:val="0"/>
        <w:spacing w:before="100" w:after="283"/>
        <w:jc w:val="center"/>
        <w:rPr/>
      </w:pPr>
      <w:r>
        <w:rPr/>
      </w:r>
    </w:p>
    <w:p>
      <w:pPr>
        <w:pStyle w:val="TextBody"/>
        <w:bidi w:val="0"/>
        <w:spacing w:before="0" w:after="0"/>
        <w:jc w:val="center"/>
        <w:rPr/>
      </w:pPr>
      <w:r>
        <w:rPr/>
      </w:r>
    </w:p>
    <w:tbl>
      <w:tblPr>
        <w:tblW w:w="8072" w:type="dxa"/>
        <w:jc w:val="center"/>
        <w:tblInd w:w="0" w:type="dxa"/>
        <w:tblLayout w:type="fixed"/>
        <w:tblCellMar>
          <w:top w:w="28" w:type="dxa"/>
          <w:left w:w="28" w:type="dxa"/>
          <w:bottom w:w="28" w:type="dxa"/>
          <w:right w:w="28" w:type="dxa"/>
        </w:tblCellMar>
      </w:tblPr>
      <w:tblGrid>
        <w:gridCol w:w="1815"/>
        <w:gridCol w:w="1591"/>
        <w:gridCol w:w="1603"/>
        <w:gridCol w:w="228"/>
        <w:gridCol w:w="857"/>
        <w:gridCol w:w="126"/>
        <w:gridCol w:w="126"/>
        <w:gridCol w:w="126"/>
        <w:gridCol w:w="126"/>
        <w:gridCol w:w="228"/>
        <w:gridCol w:w="857"/>
        <w:gridCol w:w="126"/>
        <w:gridCol w:w="109"/>
        <w:gridCol w:w="154"/>
      </w:tblGrid>
      <w:tr>
        <w:trPr/>
        <w:tc>
          <w:tcPr>
            <w:tcW w:w="1815"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8"/>
              </w:rPr>
            </w:pPr>
            <w:r>
              <w:rPr>
                <w:rFonts w:ascii="Times New Roman;sans-serif" w:hAnsi="Times New Roman;sans-serif"/>
                <w:b/>
                <w:color w:val="231F2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8"/>
              </w:rPr>
            </w:pPr>
            <w:r>
              <w:rPr>
                <w:rFonts w:ascii="Times New Roman;sans-serif" w:hAnsi="Times New Roman;sans-serif"/>
                <w:b/>
                <w:color w:val="231F20"/>
                <w:sz w:val="18"/>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8"/>
              </w:rPr>
            </w:pPr>
            <w:r>
              <w:rPr>
                <w:rFonts w:ascii="Times New Roman;sans-serif" w:hAnsi="Times New Roman;sans-serif"/>
                <w:b/>
                <w:color w:val="231F2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8"/>
              </w:rPr>
            </w:pPr>
            <w:r>
              <w:rPr>
                <w:rFonts w:ascii="Times New Roman;sans-serif" w:hAnsi="Times New Roman;sans-serif"/>
                <w:b/>
                <w:color w:val="231F20"/>
                <w:sz w:val="18"/>
              </w:rPr>
              <w:t>Cash flows from operating activities:</w:t>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loss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(90,713)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Adjustments to reconcile net loss to net cash from operating activities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Share-based compensation</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Amortization of intangible assets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Depreciation of property and equipment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Amortization of other assets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Amortization of debt issuance costs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Inventory write-down</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Syndeo inventory write-down</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Provision for estimated credit losses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Change in fair value of warrant liabilities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Gain on repurchase of convertible senior notes, net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(33,411)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Deferred income taxes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Other, net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Changes in operating assets and liabilities:</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Accounts receivable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Inventories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Prepaid expenses, other current assets, and income tax receivable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Accounts payable, accrued expenses, and income tax payable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Other, net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cash (used for) provided by operating activities</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(338)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26,920 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8"/>
              </w:rPr>
            </w:pPr>
            <w:r>
              <w:rPr>
                <w:rFonts w:ascii="Times New Roman;sans-serif" w:hAnsi="Times New Roman;sans-serif"/>
                <w:b/>
                <w:color w:val="231F20"/>
                <w:sz w:val="18"/>
              </w:rPr>
              <w:t>Cash flows from investing activities:</w:t>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paid for intangible assets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paid for property and equipment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paid for asset acquisitions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cash used for investing activities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(5,932)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(29,339)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8"/>
              </w:rPr>
            </w:pPr>
            <w:r>
              <w:rPr>
                <w:rFonts w:ascii="Times New Roman;sans-serif" w:hAnsi="Times New Roman;sans-serif"/>
                <w:b/>
                <w:color w:val="231F20"/>
                <w:sz w:val="18"/>
              </w:rPr>
              <w:t>Cash flows from financing activities:</w:t>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Repurchase of convertible senior notes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(156,082)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Payment of tax withholdings on vested stock awards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Payment of accelerated share repurchases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Payment of contingent considerations related to acquisitions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Other, net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cash used for financing activities</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(157,571)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(6,091)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change in cash, cash equivalents, and restricted cash</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(163,841)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Effect of foreign currency translation on cash</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cash equivalents, and restricted cash beginning of period</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523,025 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568,197 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cash equivalents, and restricted cash end of period</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358,892 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559,444 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840"/>
                <wp:effectExtent l="0" t="0" r="0" b="0"/>
                <wp:wrapNone/>
                <wp:docPr id="7" name="Frame7"/>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60" w:after="283"/>
        <w:jc w:val="left"/>
        <w:rPr/>
      </w:pPr>
      <w:r>
        <w:rPr/>
      </w:r>
    </w:p>
    <w:p>
      <w:pPr>
        <w:pStyle w:val="TextBody"/>
        <w:bidi w:val="0"/>
        <w:spacing w:before="240" w:after="283"/>
        <w:jc w:val="left"/>
        <w:rPr/>
      </w:pPr>
      <w:r>
        <w:rPr/>
      </w:r>
    </w:p>
    <w:p>
      <w:pPr>
        <w:pStyle w:val="TextBody"/>
        <w:bidi w:val="0"/>
        <w:spacing w:lineRule="auto" w:line="288" w:before="100" w:after="283"/>
        <w:jc w:val="center"/>
        <w:rPr>
          <w:rFonts w:ascii="Times New Roman;sans-serif" w:hAnsi="Times New Roman;sans-serif"/>
          <w:b/>
          <w:color w:val="231F20"/>
          <w:sz w:val="20"/>
          <w:shd w:fill="FFFFFF" w:val="clear"/>
        </w:rPr>
      </w:pPr>
      <w:r>
        <w:rPr>
          <w:rFonts w:ascii="Times New Roman;sans-serif" w:hAnsi="Times New Roman;sans-serif"/>
          <w:b/>
          <w:color w:val="231F20"/>
          <w:sz w:val="20"/>
          <w:shd w:fill="FFFFFF" w:val="clear"/>
        </w:rPr>
        <w:t>THE BEAUTY HEALTH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 — Description of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The Beauty Health Company (the “Company”) is a global category-creating company focused on delivering skin health experiences that help consumers reinvent their relationship with their skin, bodies, and self-confidence. The Company and its subsidiaries design, develop, manufacture, market, and sell esthetic technologies and products. The Company’s brands are pioneers: Hydrafacial in hydradermabrasion; SkinStylus in microneedling; and Keravive in scalp health. Together, with its powerful global community of estheticians, partners, and consumers, the Company is personalizing skin health for all ages, genders, skin tones, and skin types.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Historical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(f.k.a. Vesper Healthcare Acquisition Corp.) was incorporated in the State of Delaware on July 8, 2020. On May 4, 2021, we consummated the business combination pursuant to that certain Agreement and Plan of Merger, dated December 8, 2020, by and among Vesper Healthcare Acquisition Corp. (“Vesper Healthcare”), Hydrate Merger Sub I, Inc. (“Merger Sub I”), Hydrate Merger Sub II, LLC (“Merger Sub II”), LCP Edge Intermediate, Inc., the indirect parent of HydraFacial LLC, f.k.a. Edge Systems LLC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“Closing”),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financial statements have been prepared in accordance with the instructions to Form 10-Q and Article 10 of Regulation S-X. Accordingly, they do not include all information and footnotes required by accounting principles generally accepted in the United States of America (“GAAP”) for complete financial statements. These statements reflect all normal and recurring adjustments which, in the opinion of management, are necessary to present fairly the financial position, results of operations and cash flows of the Company for the interim periods presented.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interim financial statements should be read in conjunction with the audited consolidated financial statements and notes thereto included in, or presented as exhibits to, the Company’s Annual Report on Form 10-K for the year ended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The Company generates revenue through manufacturing and selling its patented hydradermabrasion delivery systems (“Delivery Systems”). In conjunction with the sale of Delivery Systems, the Company also sells single-use tips, solutions, and serums used to provide a Hydrafacial treatment that cleanses, extracts, and hydrates the skin (collectively “Consumables”). Original Consumables are sold solely and exclusively by the Company (and from authorized retailers) and are available for purchase separately from the purchase of Delivery Systems. For both Delivery Systems and Consumables, revenue is recognized upon transfer of control to the customer, which generally takes place at the point of shipment.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The Company manages its business on the basis of one operating segment and one reportable segment. As a result, the chief operating decision maker, who is the Chief Executive Officer, reviews financial information presented on a consolidated basis for purposes of making operating decisions, allocating resources and evaluating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60" w:after="283"/>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231F20"/>
          <w:sz w:val="20"/>
        </w:rPr>
      </w:pPr>
      <w:r>
        <w:rPr>
          <w:rFonts w:ascii="Times New Roman;sans-serif" w:hAnsi="Times New Roman;sans-serif"/>
          <w:b w:val="false"/>
          <w:color w:val="231F20"/>
          <w:sz w:val="20"/>
        </w:rPr>
        <w:t>The Company’s revenue disaggregated by major product line consists of the following for the periods indicated:</w:t>
      </w:r>
    </w:p>
    <w:tbl>
      <w:tblPr>
        <w:tblW w:w="7419" w:type="dxa"/>
        <w:jc w:val="left"/>
        <w:tblInd w:w="0" w:type="dxa"/>
        <w:tblLayout w:type="fixed"/>
        <w:tblCellMar>
          <w:top w:w="28" w:type="dxa"/>
          <w:left w:w="28" w:type="dxa"/>
          <w:bottom w:w="28" w:type="dxa"/>
          <w:right w:w="28" w:type="dxa"/>
        </w:tblCellMar>
      </w:tblPr>
      <w:tblGrid>
        <w:gridCol w:w="553"/>
        <w:gridCol w:w="487"/>
        <w:gridCol w:w="489"/>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ind w:left="0" w:right="0" w:hanging="720"/>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64" w:before="10" w:after="283"/>
              <w:ind w:left="0" w:right="0" w:hanging="720"/>
              <w:jc w:val="left"/>
              <w:rPr>
                <w:rFonts w:ascii="Times New Roman;sans-serif" w:hAnsi="Times New Roman;sans-serif"/>
                <w:b w:val="false"/>
                <w:color w:val="231F20"/>
                <w:sz w:val="20"/>
              </w:rPr>
            </w:pPr>
            <w:r>
              <w:rPr>
                <w:rFonts w:ascii="Times New Roman;sans-serif" w:hAnsi="Times New Roman;sans-serif"/>
                <w:b w:val="false"/>
                <w:color w:val="231F20"/>
                <w:sz w:val="20"/>
              </w:rPr>
              <w:t>Net Sales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64" w:before="1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Delivery Systems</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27,613 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51,043 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98,605 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Consumables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51,189 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46,370 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139,184 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net sales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78,802 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97,413 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250,799 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301,170 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 by geographic region were as follows for the periods indicated:</w:t>
      </w:r>
    </w:p>
    <w:p>
      <w:pPr>
        <w:pStyle w:val="TextBody"/>
        <w:bidi w:val="0"/>
        <w:spacing w:before="0" w:after="0"/>
        <w:jc w:val="left"/>
        <w:rPr/>
      </w:pPr>
      <w:r>
        <w:rPr/>
      </w:r>
    </w:p>
    <w:tbl>
      <w:tblPr>
        <w:tblW w:w="9760" w:type="dxa"/>
        <w:jc w:val="left"/>
        <w:tblInd w:w="0" w:type="dxa"/>
        <w:tblLayout w:type="fixed"/>
        <w:tblCellMar>
          <w:top w:w="28" w:type="dxa"/>
          <w:left w:w="28" w:type="dxa"/>
          <w:bottom w:w="28" w:type="dxa"/>
          <w:right w:w="28" w:type="dxa"/>
        </w:tblCellMar>
      </w:tblPr>
      <w:tblGrid>
        <w:gridCol w:w="1400"/>
        <w:gridCol w:w="1233"/>
        <w:gridCol w:w="1237"/>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09"/>
        <w:gridCol w:w="109"/>
        <w:gridCol w:w="154"/>
      </w:tblGrid>
      <w:tr>
        <w:trPr/>
        <w:tc>
          <w:tcPr>
            <w:tcW w:w="140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Americas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51,878 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51,703 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159,935 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168,325 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Asia-Pacific (“APAC”)</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10,829 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24,657 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63,525 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Europe, the Middle East and Africa (“EMEA”)</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16,095 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21,053 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net sales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78,802 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97,413 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250,799 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301,170 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 Balance Sheet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Inventories consist of the following as of the periods indicated:</w:t>
      </w:r>
    </w:p>
    <w:p>
      <w:pPr>
        <w:pStyle w:val="TextBody"/>
        <w:bidi w:val="0"/>
        <w:spacing w:before="0" w:after="0"/>
        <w:jc w:val="left"/>
        <w:rPr/>
      </w:pPr>
      <w:r>
        <w:rPr/>
      </w:r>
    </w:p>
    <w:tbl>
      <w:tblPr>
        <w:tblW w:w="4975" w:type="dxa"/>
        <w:jc w:val="left"/>
        <w:tblInd w:w="0" w:type="dxa"/>
        <w:tblLayout w:type="fixed"/>
        <w:tblCellMar>
          <w:top w:w="28" w:type="dxa"/>
          <w:left w:w="28" w:type="dxa"/>
          <w:bottom w:w="28" w:type="dxa"/>
          <w:right w:w="28" w:type="dxa"/>
        </w:tblCellMar>
      </w:tblPr>
      <w:tblGrid>
        <w:gridCol w:w="564"/>
        <w:gridCol w:w="497"/>
        <w:gridCol w:w="498"/>
        <w:gridCol w:w="313"/>
        <w:gridCol w:w="1070"/>
        <w:gridCol w:w="161"/>
        <w:gridCol w:w="109"/>
        <w:gridCol w:w="109"/>
        <w:gridCol w:w="109"/>
        <w:gridCol w:w="300"/>
        <w:gridCol w:w="1026"/>
        <w:gridCol w:w="219"/>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December 31, 2023</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Raw materials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26,373 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24,406 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Finished goods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47,070 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66,915 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inventories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73,443 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91,321 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231F20"/>
          <w:sz w:val="20"/>
        </w:rPr>
        <w:t xml:space="preserve">During the </w:t>
      </w:r>
      <w:r>
        <w:rPr>
          <w:rFonts w:ascii="Times New Roman;sans-serif" w:hAnsi="Times New Roman;sans-serif"/>
          <w:b w:val="false"/>
          <w:color w:val="000000"/>
          <w:sz w:val="20"/>
        </w:rPr>
        <w:t>nine months ended</w:t>
      </w:r>
      <w:r>
        <w:rPr>
          <w:color w:val="231F20"/>
        </w:rPr>
        <w:t xml:space="preserve"> </w:t>
      </w:r>
      <w:r>
        <w:rPr>
          <w:rFonts w:ascii="Times New Roman;sans-serif" w:hAnsi="Times New Roman;sans-serif"/>
          <w:b w:val="false"/>
          <w:color w:val="000000"/>
          <w:sz w:val="20"/>
        </w:rPr>
        <w:t xml:space="preserve">September 30, 2024, the Company recognized </w:t>
      </w:r>
      <w:r>
        <w:rPr>
          <w:rFonts w:ascii="Times New Roman;sans-serif" w:hAnsi="Times New Roman;sans-serif"/>
          <w:b w:val="false"/>
          <w:color w:val="231F20"/>
          <w:sz w:val="20"/>
        </w:rPr>
        <w:t>$22.7 million of inventory charges for discontinued, excess, obsolete inventory, including the write-down of Delivery System inventory to its net realizable value and the write-off of excess raw materials.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Accrued payroll-related expenses consist of the following as of the periods indicated:</w:t>
      </w:r>
    </w:p>
    <w:p>
      <w:pPr>
        <w:pStyle w:val="TextBody"/>
        <w:bidi w:val="0"/>
        <w:spacing w:before="0" w:after="0"/>
        <w:jc w:val="left"/>
        <w:rPr/>
      </w:pPr>
      <w:r>
        <w:rPr/>
      </w:r>
    </w:p>
    <w:tbl>
      <w:tblPr>
        <w:tblW w:w="6835" w:type="dxa"/>
        <w:jc w:val="left"/>
        <w:tblInd w:w="0" w:type="dxa"/>
        <w:tblLayout w:type="fixed"/>
        <w:tblCellMar>
          <w:top w:w="28" w:type="dxa"/>
          <w:left w:w="28" w:type="dxa"/>
          <w:bottom w:w="28" w:type="dxa"/>
          <w:right w:w="28" w:type="dxa"/>
        </w:tblCellMar>
      </w:tblPr>
      <w:tblGrid>
        <w:gridCol w:w="1234"/>
        <w:gridCol w:w="1087"/>
        <w:gridCol w:w="1098"/>
        <w:gridCol w:w="313"/>
        <w:gridCol w:w="1070"/>
        <w:gridCol w:w="161"/>
        <w:gridCol w:w="109"/>
        <w:gridCol w:w="109"/>
        <w:gridCol w:w="109"/>
        <w:gridCol w:w="300"/>
        <w:gridCol w:w="1026"/>
        <w:gridCol w:w="219"/>
      </w:tblGrid>
      <w:tr>
        <w:trPr/>
        <w:tc>
          <w:tcPr>
            <w:tcW w:w="123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payroll taxes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commissions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benefits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payroll-related expenses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Other accrued expenses consist of the following as of the periods indicated:</w:t>
      </w:r>
    </w:p>
    <w:p>
      <w:pPr>
        <w:pStyle w:val="TextBody"/>
        <w:bidi w:val="0"/>
        <w:spacing w:before="0" w:after="0"/>
        <w:jc w:val="left"/>
        <w:rPr/>
      </w:pPr>
      <w:r>
        <w:rPr/>
      </w:r>
    </w:p>
    <w:tbl>
      <w:tblPr>
        <w:tblW w:w="5890" w:type="dxa"/>
        <w:jc w:val="left"/>
        <w:tblInd w:w="0" w:type="dxa"/>
        <w:tblLayout w:type="fixed"/>
        <w:tblCellMar>
          <w:top w:w="28" w:type="dxa"/>
          <w:left w:w="28" w:type="dxa"/>
          <w:bottom w:w="28" w:type="dxa"/>
          <w:right w:w="28" w:type="dxa"/>
        </w:tblCellMar>
      </w:tblPr>
      <w:tblGrid>
        <w:gridCol w:w="895"/>
        <w:gridCol w:w="788"/>
        <w:gridCol w:w="791"/>
        <w:gridCol w:w="313"/>
        <w:gridCol w:w="1070"/>
        <w:gridCol w:w="161"/>
        <w:gridCol w:w="109"/>
        <w:gridCol w:w="109"/>
        <w:gridCol w:w="109"/>
        <w:gridCol w:w="300"/>
        <w:gridCol w:w="1026"/>
        <w:gridCol w:w="21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December 31, 2023</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Sales and VAT tax payables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4,971 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Accrued interest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2,344 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Royalty liabilities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3,914 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Deferred revenue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12,516 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8,167 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other accrued expenses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28,093 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19,846 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As of September 30, 2024 and December 31, 2023, the Company has approximately $3 million and $15 million, respectively, of non-trade receivables from certain of its manufacturing vendors resulting from the sale of components to these vendors who manufacture or assemble final products for the Company, which is included in prepaid expenses and other current assets on the Consolidated Balance Sheets. The Company purchases components directly from suppliers and do not reflect the sale of these components to the manufacturing vendors in net sales.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During the three months ended September 30, 2024, in connection with the Company’s manufacturing optimization plans, the Company recorded approximately $8 million of contract termination related costs, which was recorded within cost of sales on the Condensed Consolidated Statements of Comprehensive Income (Loss). As of September 30, 2024, the Company has accrued approximately $2 million for the contract termination related costs, which was included in other accrued expenses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231F20"/>
          <w:sz w:val="20"/>
        </w:rPr>
        <w:t>September 30, 2024,</w:t>
      </w:r>
      <w:r>
        <w:rPr>
          <w:color w:val="000000"/>
        </w:rPr>
        <w:t xml:space="preserve"> </w:t>
      </w:r>
      <w:r>
        <w:rPr>
          <w:rFonts w:ascii="Times New Roman;sans-serif" w:hAnsi="Times New Roman;sans-serif"/>
          <w:b w:val="false"/>
          <w:color w:val="000000"/>
          <w:sz w:val="20"/>
        </w:rPr>
        <w:t xml:space="preserve">total warranty reserve was approximately $6 million, which was included in other accrued expenses on the Condensed Consolidated Balance Sheets. As of </w:t>
      </w:r>
      <w:r>
        <w:rPr>
          <w:rFonts w:ascii="Times New Roman;sans-serif" w:hAnsi="Times New Roman;sans-serif"/>
          <w:b w:val="false"/>
          <w:color w:val="231F20"/>
          <w:sz w:val="20"/>
        </w:rPr>
        <w:t>December 31, 2023</w:t>
      </w:r>
      <w:r>
        <w:rPr>
          <w:rFonts w:ascii="Times New Roman;sans-serif" w:hAnsi="Times New Roman;sans-serif"/>
          <w:b w:val="false"/>
          <w:color w:val="000000"/>
          <w:sz w:val="20"/>
        </w:rPr>
        <w:t>, total warranty reserve was approximately $6 million, of which approximately $4 million was included in other accrued expenses and approximately $2 million was included in other long-term liabilities on the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231F20"/>
          <w:sz w:val="20"/>
        </w:rPr>
        <w:t>September 30, 2024, the Company has approximately $2 million in restricted cash held as collateral for the Company’s credit cards.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the Company’s assets and liabilities that are measured at fair value on a recurring basis as of September 30, 2024 and December 31, 2023, and indicate the fair value hierarchy of the valuation inputs the Company utilized to determine such fair value.</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three levels of the fair value hierarchy are as follows: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Unobservable inputs based on our assessment of the assumptions that market participants would use in pricing the asset or liability.</w:t>
      </w:r>
    </w:p>
    <w:p>
      <w:pPr>
        <w:pStyle w:val="TextBody"/>
        <w:bidi w:val="0"/>
        <w:spacing w:before="0" w:after="0"/>
        <w:jc w:val="left"/>
        <w:rPr/>
      </w:pPr>
      <w:r>
        <w:rPr/>
      </w:r>
    </w:p>
    <w:tbl>
      <w:tblPr>
        <w:tblW w:w="9341" w:type="dxa"/>
        <w:jc w:val="left"/>
        <w:tblInd w:w="0" w:type="dxa"/>
        <w:tblLayout w:type="fixed"/>
        <w:tblCellMar>
          <w:top w:w="28" w:type="dxa"/>
          <w:left w:w="28" w:type="dxa"/>
          <w:bottom w:w="28" w:type="dxa"/>
          <w:right w:w="28" w:type="dxa"/>
        </w:tblCellMar>
      </w:tblPr>
      <w:tblGrid>
        <w:gridCol w:w="1437"/>
        <w:gridCol w:w="1267"/>
        <w:gridCol w:w="1270"/>
        <w:gridCol w:w="109"/>
        <w:gridCol w:w="109"/>
        <w:gridCol w:w="109"/>
        <w:gridCol w:w="211"/>
        <w:gridCol w:w="826"/>
        <w:gridCol w:w="109"/>
        <w:gridCol w:w="109"/>
        <w:gridCol w:w="109"/>
        <w:gridCol w:w="109"/>
        <w:gridCol w:w="211"/>
        <w:gridCol w:w="616"/>
        <w:gridCol w:w="109"/>
        <w:gridCol w:w="109"/>
        <w:gridCol w:w="109"/>
        <w:gridCol w:w="109"/>
        <w:gridCol w:w="211"/>
        <w:gridCol w:w="466"/>
        <w:gridCol w:w="109"/>
        <w:gridCol w:w="109"/>
        <w:gridCol w:w="109"/>
        <w:gridCol w:w="109"/>
        <w:gridCol w:w="211"/>
        <w:gridCol w:w="82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As of September 30, 2024</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Total</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283,977 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International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Warrant liability — Private Placement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491" w:type="dxa"/>
        <w:jc w:val="left"/>
        <w:tblInd w:w="0" w:type="dxa"/>
        <w:tblLayout w:type="fixed"/>
        <w:tblCellMar>
          <w:top w:w="28" w:type="dxa"/>
          <w:left w:w="28" w:type="dxa"/>
          <w:bottom w:w="28" w:type="dxa"/>
          <w:right w:w="28" w:type="dxa"/>
        </w:tblCellMar>
      </w:tblPr>
      <w:tblGrid>
        <w:gridCol w:w="1437"/>
        <w:gridCol w:w="1267"/>
        <w:gridCol w:w="1270"/>
        <w:gridCol w:w="109"/>
        <w:gridCol w:w="109"/>
        <w:gridCol w:w="109"/>
        <w:gridCol w:w="211"/>
        <w:gridCol w:w="826"/>
        <w:gridCol w:w="109"/>
        <w:gridCol w:w="109"/>
        <w:gridCol w:w="109"/>
        <w:gridCol w:w="109"/>
        <w:gridCol w:w="211"/>
        <w:gridCol w:w="616"/>
        <w:gridCol w:w="109"/>
        <w:gridCol w:w="109"/>
        <w:gridCol w:w="109"/>
        <w:gridCol w:w="109"/>
        <w:gridCol w:w="211"/>
        <w:gridCol w:w="616"/>
        <w:gridCol w:w="109"/>
        <w:gridCol w:w="109"/>
        <w:gridCol w:w="109"/>
        <w:gridCol w:w="109"/>
        <w:gridCol w:w="211"/>
        <w:gridCol w:w="82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As of December 31, 2023</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Total</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458,676 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458,676 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International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Warrant liability — Private Placement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2020, in connection with the consummation of Vesper Healthcare’s initial public offering, the Company issued 9,333,333 warrants to purchase shares of the Company’s Class A Common Stock at $11.50 per share (the “Private Placement Warrants”), to BLS Investor Group LLC. As of September 30, 2024 and December 31, 2023, the Company had approximately 7 million Private Placement Warrants outstanding for which the fair value was determined using a Monte Carlo simulation.</w:t>
      </w:r>
    </w:p>
    <w:p>
      <w:pPr>
        <w:pStyle w:val="TextBody"/>
        <w:bidi w:val="0"/>
        <w:spacing w:before="0" w:after="0"/>
        <w:ind w:left="0" w:right="0" w:firstLine="5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Property and Equipment, net</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 as of the periods indicated:</w:t>
      </w:r>
    </w:p>
    <w:tbl>
      <w:tblPr>
        <w:tblW w:w="10205" w:type="dxa"/>
        <w:jc w:val="left"/>
        <w:tblInd w:w="0" w:type="dxa"/>
        <w:tblLayout w:type="fixed"/>
        <w:tblCellMar>
          <w:top w:w="28" w:type="dxa"/>
          <w:left w:w="28" w:type="dxa"/>
          <w:bottom w:w="28" w:type="dxa"/>
          <w:right w:w="28" w:type="dxa"/>
        </w:tblCellMar>
      </w:tblPr>
      <w:tblGrid>
        <w:gridCol w:w="1483"/>
        <w:gridCol w:w="1307"/>
        <w:gridCol w:w="1317"/>
        <w:gridCol w:w="780"/>
        <w:gridCol w:w="780"/>
        <w:gridCol w:w="791"/>
        <w:gridCol w:w="109"/>
        <w:gridCol w:w="109"/>
        <w:gridCol w:w="109"/>
        <w:gridCol w:w="758"/>
        <w:gridCol w:w="392"/>
        <w:gridCol w:w="393"/>
        <w:gridCol w:w="109"/>
        <w:gridCol w:w="109"/>
        <w:gridCol w:w="109"/>
        <w:gridCol w:w="299"/>
        <w:gridCol w:w="1025"/>
        <w:gridCol w:w="226"/>
      </w:tblGrid>
      <w:tr>
        <w:trPr/>
        <w:tc>
          <w:tcPr>
            <w:tcW w:w="148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2351" w:type="dxa"/>
            <w:gridSpan w:val="3"/>
            <w:tcBorders/>
            <w:tcMar>
              <w:top w:w="0" w:type="dxa"/>
              <w:left w:w="0" w:type="dxa"/>
              <w:bottom w:w="0" w:type="dxa"/>
              <w:right w:w="0" w:type="dxa"/>
            </w:tcMar>
            <w:vAlign w:val="center"/>
          </w:tcPr>
          <w:p>
            <w:pPr>
              <w:pStyle w:val="TableContents"/>
              <w:bidi w:val="0"/>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p>
            <w:pPr>
              <w:pStyle w:val="TableContents"/>
              <w:bidi w:val="0"/>
              <w:spacing w:lineRule="auto" w:line="240" w:before="0" w:after="0"/>
              <w:jc w:val="center"/>
              <w:rPr>
                <w:rFonts w:ascii="Times New Roman;sans-serif" w:hAnsi="Times New Roman;sans-serif"/>
                <w:b/>
                <w:color w:val="231F20"/>
                <w:sz w:val="16"/>
              </w:rPr>
            </w:pPr>
            <w:r>
              <w:rPr>
                <w:rFonts w:ascii="Times New Roman;sans-serif" w:hAnsi="Times New Roman;sans-serif"/>
                <w:b/>
                <w:color w:val="231F2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December 31, 2023</w:t>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Leasehold improvements</w:t>
            </w:r>
          </w:p>
        </w:tc>
        <w:tc>
          <w:tcPr>
            <w:tcW w:w="2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9"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Shorter of remaining lease</w:t>
              <w:br/>
              <w:t>term or estimated useful 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12,323 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Machinery and equipment</w:t>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8,597 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Furniture and fixtures</w:t>
            </w:r>
          </w:p>
        </w:tc>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5,903 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Computers and equipment</w:t>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Tooling</w:t>
            </w:r>
          </w:p>
        </w:tc>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887 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Autos and trucks</w:t>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Construction in progress </w:t>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748 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property and equipment </w:t>
            </w:r>
          </w:p>
        </w:tc>
        <w:tc>
          <w:tcPr>
            <w:tcW w:w="2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34,179 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Less: accumulated depreciation and amortization</w:t>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(26,587)</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(19,953)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Property and equipment, net</w:t>
            </w:r>
          </w:p>
        </w:tc>
        <w:tc>
          <w:tcPr>
            <w:tcW w:w="2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2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14,226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 Goodwill and Intangible Assets, net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The changes in the carrying value of goodwill for the </w:t>
      </w:r>
      <w:r>
        <w:rPr>
          <w:rFonts w:ascii="Times New Roman;sans-serif" w:hAnsi="Times New Roman;sans-serif"/>
          <w:b w:val="false"/>
          <w:color w:val="000000"/>
          <w:sz w:val="20"/>
        </w:rPr>
        <w:t>nine months ended September 30, 2024</w:t>
      </w:r>
      <w:r>
        <w:rPr>
          <w:color w:val="231F20"/>
        </w:rPr>
        <w:t xml:space="preserve"> </w:t>
      </w:r>
      <w:r>
        <w:rPr>
          <w:rFonts w:ascii="Times New Roman;sans-serif" w:hAnsi="Times New Roman;sans-serif"/>
          <w:b w:val="false"/>
          <w:color w:val="231F20"/>
          <w:sz w:val="20"/>
        </w:rPr>
        <w:t>is as follows (in thousands):</w:t>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r>
    </w:p>
    <w:tbl>
      <w:tblPr>
        <w:tblW w:w="4205" w:type="dxa"/>
        <w:jc w:val="left"/>
        <w:tblInd w:w="0" w:type="dxa"/>
        <w:tblLayout w:type="fixed"/>
        <w:tblCellMar>
          <w:top w:w="28" w:type="dxa"/>
          <w:left w:w="28" w:type="dxa"/>
          <w:bottom w:w="28" w:type="dxa"/>
          <w:right w:w="28" w:type="dxa"/>
        </w:tblCellMar>
      </w:tblPr>
      <w:tblGrid>
        <w:gridCol w:w="1091"/>
        <w:gridCol w:w="959"/>
        <w:gridCol w:w="964"/>
        <w:gridCol w:w="211"/>
        <w:gridCol w:w="826"/>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impact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Intangible Assets, Net</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231F20"/>
          <w:sz w:val="20"/>
        </w:rPr>
      </w:pPr>
      <w:r>
        <w:rPr>
          <w:rFonts w:ascii="Times New Roman;sans-serif" w:hAnsi="Times New Roman;sans-serif"/>
          <w:b w:val="false"/>
          <w:color w:val="231F20"/>
          <w:sz w:val="20"/>
        </w:rPr>
        <w:t>The gross carrying amount and accumulated amortization of the Company’s intangible assets, net, as of September 30, 2024 were as follows:</w:t>
      </w:r>
    </w:p>
    <w:tbl>
      <w:tblPr>
        <w:tblW w:w="7762" w:type="dxa"/>
        <w:jc w:val="left"/>
        <w:tblInd w:w="0" w:type="dxa"/>
        <w:tblLayout w:type="fixed"/>
        <w:tblCellMar>
          <w:top w:w="28" w:type="dxa"/>
          <w:left w:w="28" w:type="dxa"/>
          <w:bottom w:w="28" w:type="dxa"/>
          <w:right w:w="28" w:type="dxa"/>
        </w:tblCellMar>
      </w:tblPr>
      <w:tblGrid>
        <w:gridCol w:w="759"/>
        <w:gridCol w:w="669"/>
        <w:gridCol w:w="671"/>
        <w:gridCol w:w="211"/>
        <w:gridCol w:w="826"/>
        <w:gridCol w:w="109"/>
        <w:gridCol w:w="109"/>
        <w:gridCol w:w="109"/>
        <w:gridCol w:w="109"/>
        <w:gridCol w:w="538"/>
        <w:gridCol w:w="447"/>
        <w:gridCol w:w="453"/>
        <w:gridCol w:w="109"/>
        <w:gridCol w:w="109"/>
        <w:gridCol w:w="109"/>
        <w:gridCol w:w="228"/>
        <w:gridCol w:w="779"/>
        <w:gridCol w:w="117"/>
        <w:gridCol w:w="109"/>
        <w:gridCol w:w="109"/>
        <w:gridCol w:w="109"/>
        <w:gridCol w:w="285"/>
        <w:gridCol w:w="285"/>
        <w:gridCol w:w="40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w:t>
              <w:br/>
              <w:t xml:space="preserve">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Estimated </w:t>
              <w:br/>
              <w:t xml:space="preserve">Useful Life </w:t>
              <w:br/>
              <w:t>(Years)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Developed technology</w:t>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91,629 </w:t>
            </w:r>
          </w:p>
        </w:tc>
        <w:tc>
          <w:tcPr>
            <w:tcW w:w="109" w:type="dxa"/>
            <w:tcBorders>
              <w:top w:val="single" w:sz="8"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00"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(72,658)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18,971 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Capitalized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15,178 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3 - 5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4,799 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5,642 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15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Non-compete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3</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2,926 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3 - 19</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153,497 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(102,518)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50,979 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The gross carrying amount and accumulated amortization of the Company’s intangible assets, net, as of December 31, 2023 were as follows:</w:t>
      </w:r>
    </w:p>
    <w:tbl>
      <w:tblPr>
        <w:tblW w:w="7440" w:type="dxa"/>
        <w:jc w:val="left"/>
        <w:tblInd w:w="0" w:type="dxa"/>
        <w:tblLayout w:type="fixed"/>
        <w:tblCellMar>
          <w:top w:w="28" w:type="dxa"/>
          <w:left w:w="28" w:type="dxa"/>
          <w:bottom w:w="28" w:type="dxa"/>
          <w:right w:w="28" w:type="dxa"/>
        </w:tblCellMar>
      </w:tblPr>
      <w:tblGrid>
        <w:gridCol w:w="759"/>
        <w:gridCol w:w="669"/>
        <w:gridCol w:w="671"/>
        <w:gridCol w:w="211"/>
        <w:gridCol w:w="826"/>
        <w:gridCol w:w="109"/>
        <w:gridCol w:w="109"/>
        <w:gridCol w:w="109"/>
        <w:gridCol w:w="109"/>
        <w:gridCol w:w="211"/>
        <w:gridCol w:w="796"/>
        <w:gridCol w:w="109"/>
        <w:gridCol w:w="109"/>
        <w:gridCol w:w="109"/>
        <w:gridCol w:w="109"/>
        <w:gridCol w:w="228"/>
        <w:gridCol w:w="779"/>
        <w:gridCol w:w="117"/>
        <w:gridCol w:w="109"/>
        <w:gridCol w:w="109"/>
        <w:gridCol w:w="109"/>
        <w:gridCol w:w="285"/>
        <w:gridCol w:w="285"/>
        <w:gridCol w:w="40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w:t>
              <w:br/>
              <w:t xml:space="preserve">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Estimated </w:t>
              <w:br/>
              <w:t xml:space="preserve">Useful Life </w:t>
              <w:br/>
              <w:t>(Years)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Developed technology</w:t>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91,629 </w:t>
            </w:r>
          </w:p>
        </w:tc>
        <w:tc>
          <w:tcPr>
            <w:tcW w:w="109" w:type="dxa"/>
            <w:tcBorders>
              <w:top w:val="single" w:sz="8"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05"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(64,453)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96"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27,176</w:t>
            </w:r>
          </w:p>
        </w:tc>
        <w:tc>
          <w:tcPr>
            <w:tcW w:w="327" w:type="dxa"/>
            <w:gridSpan w:val="3"/>
            <w:tcBorders>
              <w:top w:val="single" w:sz="8"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Capitalized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14,345 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3 - 5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7,492 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6,154 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15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Non-compete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4,348 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3</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3 - 19</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149,392 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(87,269)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62,123 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firstLine="18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Acquisition of Esthetic Medical, Inc. and Anacapa Aesthetics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Edge Systems Intermediate, LLC, an indirect, wholly-owned subsidiary of the Company, acquired all of the outstanding shares of Esthetic Medical, Inc. (“EMI”) in exchange for (i) a cash payment of $11.8 million and (ii) 109,625 shares of Class A Common Stock of the Company ($1.3 million). In addition, Dr. Lawrence Groop (the “Seller”) is entitled to receive up to an additional $3.2 million in contingent consideration based upon the achievement of certain conditions defined in the purchase agreement, of which $1.9 million was considered probable as of the acquisition date. Applicable tax guidance was used to apply the simultaneous equation method to incrementally assign $4.6 million to the book value of the intangible asset in excess of the purchase price. The Company accounted for this transaction as an asset acquisition and allocated substantially all of the purchase price and the tax basis difference totaling $19.9 million to intangible assets, primarily related to developed technology.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2023, EMI obtained clearance from the U.S. Food and Drug Administration that the SkinStylus Sterilock MicroSystem is cleared for use as a treatment to improve the appearance of facial acne scars in Fitzpatrick skin types I, II, and III in adults aged 22 years and older (the “Facial Indication Approval”). Obtaining the Facial Indication Approval triggered a $1.3 million contingent payment made in July 2023 by the Company to the Seller, which was previously not considered probable of payment.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the Company acquired assets from Anacapa Aesthetics LLC and recognized approximately $5 million of intangible assets, primarily related to non-compete agreements.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Long-Term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18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Convertible Senior Notes</w:t>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On September 14, 2021, the Company issued an aggregate of </w:t>
      </w:r>
      <w:r>
        <w:rPr>
          <w:rFonts w:ascii="Times New Roman;sans-serif" w:hAnsi="Times New Roman;sans-serif"/>
          <w:b w:val="false"/>
          <w:color w:val="000000"/>
          <w:sz w:val="20"/>
        </w:rPr>
        <w:t>$750.0 million</w:t>
      </w:r>
      <w:r>
        <w:rPr>
          <w:color w:val="000000"/>
          <w:shd w:fill="FFFFFF" w:val="clear"/>
        </w:rPr>
        <w:t xml:space="preserve"> </w:t>
      </w:r>
      <w:r>
        <w:rPr>
          <w:rFonts w:ascii="Times New Roman;sans-serif" w:hAnsi="Times New Roman;sans-serif"/>
          <w:b w:val="false"/>
          <w:color w:val="000000"/>
          <w:sz w:val="20"/>
          <w:shd w:fill="FFFFFF" w:val="clear"/>
        </w:rPr>
        <w:t xml:space="preserve">in principal amount of its 1.25% Convertible Senior Notes due 2026 (the “Notes”). The Notes were issued pursuant to, and are governed by, an indenture dated as of September 14, 2021, between the Company and U.S. Bank National Association, as trustee (the “Indenture”).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w:t>
      </w:r>
      <w:r>
        <w:rPr>
          <w:rFonts w:ascii="Times New Roman;sans-serif" w:hAnsi="Times New Roman;sans-serif"/>
          <w:b w:val="false"/>
          <w:color w:val="000000"/>
          <w:sz w:val="20"/>
        </w:rPr>
        <w:t>$100.0 million</w:t>
      </w:r>
      <w:r>
        <w:rPr>
          <w:color w:val="000000"/>
          <w:shd w:fill="FFFFFF" w:val="clear"/>
        </w:rPr>
        <w:t xml:space="preserve"> </w:t>
      </w:r>
      <w:r>
        <w:rPr>
          <w:rFonts w:ascii="Times New Roman;sans-serif" w:hAnsi="Times New Roman;sans-serif"/>
          <w:b w:val="false"/>
          <w:color w:val="000000"/>
          <w:sz w:val="20"/>
          <w:shd w:fill="FFFFFF" w:val="clear"/>
        </w:rPr>
        <w:t xml:space="preserve">principal amount of Notes. The Notes issued on September 14, 2021 include the </w:t>
      </w:r>
      <w:r>
        <w:rPr>
          <w:rFonts w:ascii="Times New Roman;sans-serif" w:hAnsi="Times New Roman;sans-serif"/>
          <w:b w:val="false"/>
          <w:color w:val="000000"/>
          <w:sz w:val="20"/>
        </w:rPr>
        <w:t>$100.0 million</w:t>
      </w:r>
      <w:r>
        <w:rPr>
          <w:color w:val="000000"/>
          <w:shd w:fill="FFFFFF" w:val="clear"/>
        </w:rPr>
        <w:t xml:space="preserve"> </w:t>
      </w:r>
      <w:r>
        <w:rPr>
          <w:rFonts w:ascii="Times New Roman;sans-serif" w:hAnsi="Times New Roman;sans-serif"/>
          <w:b w:val="false"/>
          <w:color w:val="000000"/>
          <w:sz w:val="20"/>
          <w:shd w:fill="FFFFFF" w:val="clear"/>
        </w:rPr>
        <w:t>principal amount of Notes issued pursuant to the full exercise by the initial purchasers of such option.</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following is a summary of the Company’s Notes for the periods indicated:</w:t>
      </w:r>
    </w:p>
    <w:tbl>
      <w:tblPr>
        <w:tblW w:w="6176" w:type="dxa"/>
        <w:jc w:val="left"/>
        <w:tblInd w:w="0" w:type="dxa"/>
        <w:tblLayout w:type="fixed"/>
        <w:tblCellMar>
          <w:top w:w="28" w:type="dxa"/>
          <w:left w:w="28" w:type="dxa"/>
          <w:bottom w:w="28" w:type="dxa"/>
          <w:right w:w="28" w:type="dxa"/>
        </w:tblCellMar>
      </w:tblPr>
      <w:tblGrid>
        <w:gridCol w:w="998"/>
        <w:gridCol w:w="879"/>
        <w:gridCol w:w="883"/>
        <w:gridCol w:w="284"/>
        <w:gridCol w:w="1114"/>
        <w:gridCol w:w="147"/>
        <w:gridCol w:w="109"/>
        <w:gridCol w:w="109"/>
        <w:gridCol w:w="109"/>
        <w:gridCol w:w="273"/>
        <w:gridCol w:w="1072"/>
        <w:gridCol w:w="199"/>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due in 2026</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557,700 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(11,628)</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value</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551,411 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738,372 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60" w:after="283"/>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During the three months ended </w:t>
      </w:r>
      <w:r>
        <w:rPr>
          <w:rFonts w:ascii="Times New Roman;sans-serif" w:hAnsi="Times New Roman;sans-serif"/>
          <w:b w:val="false"/>
          <w:color w:val="231F20"/>
          <w:sz w:val="20"/>
        </w:rPr>
        <w:t>September 30, 2024, there were no repurchases related to the Notes. During the nine months ended September 30, 2024, the Company repurchased</w:t>
      </w:r>
      <w:r>
        <w:rPr>
          <w:color w:val="000000"/>
        </w:rPr>
        <w:t xml:space="preserve"> </w:t>
      </w:r>
      <w:r>
        <w:rPr>
          <w:rFonts w:ascii="Times New Roman;sans-serif" w:hAnsi="Times New Roman;sans-serif"/>
          <w:b w:val="false"/>
          <w:color w:val="000000"/>
          <w:sz w:val="20"/>
        </w:rPr>
        <w:t xml:space="preserve">$192.3 million principal amount of the Notes for $156.1 million and recognized a net gain of $33.4 million, which includes $2.8 million of unamortized debt issuance costs related to the repurchase. The net gain is included in other income, net in the Condensed Consolidated Statements of Comprehensive Income (Loss).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shd w:fill="FFFFFF" w:val="clear"/>
        </w:rPr>
        <w:t xml:space="preserve">As of September 30, 2024 and </w:t>
      </w:r>
      <w:r>
        <w:rPr>
          <w:rFonts w:ascii="Times New Roman;sans-serif" w:hAnsi="Times New Roman;sans-serif"/>
          <w:b w:val="false"/>
          <w:color w:val="000000"/>
          <w:sz w:val="20"/>
        </w:rPr>
        <w:t>December 31, 2023</w:t>
      </w:r>
      <w:r>
        <w:rPr>
          <w:rFonts w:ascii="Times New Roman;sans-serif" w:hAnsi="Times New Roman;sans-serif"/>
          <w:b w:val="false"/>
          <w:color w:val="231F20"/>
          <w:sz w:val="20"/>
          <w:shd w:fill="FFFFFF" w:val="clear"/>
        </w:rPr>
        <w:t xml:space="preserve">, the estimated fair value of the Notes was approximately $461 million and $558 million, respectively. The estimated fair value of the Notes was determined based on the actual bid price of the Notes on September 30, 2024 and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and are classified as Level 2 within the fair value hierarchy.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Capped Call Transactions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9, 2021, in connection with the pricing of the offering of Notes, the Company entered into privately negotiated capped call transactions (the “Base Capped Call Transactions”) with Bank of Montreal, Credit Suisse Capital LLC, Deutsche Bank AG, London Branch, Goldman Sachs &amp; Co. LLC, JPMorgan Chase Bank, National Association, Mizuho Markets Americas LLC and Wells Fargo Bank, National Association (collectively, the “Option Counterparties”).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cover, subject to customary anti-dilution adjustments, the aggregate number of shares of the Company’s Class A Common Stock that initially underlie the Notes, and are expected generally to reduce potential dilution to the Company’s Class A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Class A Common Stock on September 9, 2021. The cost of the Capped Call Transactions was $90.2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Amended and Restated Credit Facility</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14, 2022, the Company, as successor by assumption to Hydrafacial, a California limited liability company, entered into an Amended and Restated Credit Agreement (as it may be further amended, restated, supplemented or modified from time to time, the “Credit Agreement”) with JPMorgan Chase Bank, N.A. (the “Administrative Agent”). The Credit Agreement provided the Company with a $50.0 million revolving credit facility that had a maturity date of November 14, 2027.</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6, 2024, the Company prepaid all obligations and terminated all commitments, liabilities, and other obligations under the Credit Agreement. There were no material early termination penalties incurred in connection therewith, all outstanding obligations and commitments under the Credit Agreement were satisfied and terminated, and all related security interests and liens securing such obligations and commitments were released.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Income Taxes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The Company is required to calculate its interim income tax provision using the estimated annual effective tax rate (“AETR”) method prescribed by Accounting Standards Codification (“ASC”) 740-270, and as such, excludes losses in jurisdictions where the Company cannot benefit in computing its worldwide AETR. A separate AETR is computed and applied to ordinary losses in the U.S. jurisdiction as required by ASC 740-270-30-36(a). For the </w:t>
      </w:r>
      <w:r>
        <w:rPr>
          <w:rFonts w:ascii="Times New Roman;sans-serif" w:hAnsi="Times New Roman;sans-serif"/>
          <w:b w:val="false"/>
          <w:color w:val="000000"/>
          <w:sz w:val="20"/>
        </w:rPr>
        <w:t>three and nine months</w:t>
      </w:r>
      <w:r>
        <w:rPr>
          <w:color w:val="231F20"/>
        </w:rPr>
        <w:t xml:space="preserve"> </w:t>
      </w:r>
      <w:r>
        <w:rPr>
          <w:rFonts w:ascii="Times New Roman;sans-serif" w:hAnsi="Times New Roman;sans-serif"/>
          <w:b w:val="false"/>
          <w:color w:val="231F20"/>
          <w:sz w:val="20"/>
        </w:rPr>
        <w:t xml:space="preserve">ended </w:t>
      </w:r>
      <w:r>
        <w:rPr>
          <w:rFonts w:ascii="Times New Roman;sans-serif" w:hAnsi="Times New Roman;sans-serif"/>
          <w:b w:val="false"/>
          <w:color w:val="000000"/>
          <w:sz w:val="20"/>
        </w:rPr>
        <w:t>September 30, 2024</w:t>
      </w:r>
      <w:r>
        <w:rPr>
          <w:rFonts w:ascii="Times New Roman;sans-serif" w:hAnsi="Times New Roman;sans-serif"/>
          <w:b w:val="false"/>
          <w:color w:val="231F20"/>
          <w:sz w:val="20"/>
        </w:rPr>
        <w:t xml:space="preserve">, the Company recorded foreign income tax expense of $1.9 million and $0.9 million, respectively, and U.S. income tax expense of zero. The Company’s effective tax rate for the three months ended </w:t>
      </w:r>
      <w:r>
        <w:rPr>
          <w:rFonts w:ascii="Times New Roman;sans-serif" w:hAnsi="Times New Roman;sans-serif"/>
          <w:b w:val="false"/>
          <w:color w:val="000000"/>
          <w:sz w:val="20"/>
        </w:rPr>
        <w:t>September 30, 2024</w:t>
      </w:r>
      <w:r>
        <w:rPr>
          <w:color w:val="231F20"/>
        </w:rPr>
        <w:t xml:space="preserve"> </w:t>
      </w:r>
      <w:r>
        <w:rPr>
          <w:rFonts w:ascii="Times New Roman;sans-serif" w:hAnsi="Times New Roman;sans-serif"/>
          <w:b w:val="false"/>
          <w:color w:val="231F20"/>
          <w:sz w:val="20"/>
        </w:rPr>
        <w:t xml:space="preserve">was affected by a mix of ordinary income in foreign jurisdictions that are tax-effected using a blended worldwide AETR of 30%, and ordinary loss in the U.S. jurisdiction that was tax-effected using a separate U.S. AETR of 0%. The separate U.S. AETR differed from the U.S. federal statutory tax rate of 21% due primarily to a full valuation allowance against the Company’s U.S. deferred tax assets.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three and nine months</w:t>
      </w:r>
      <w:r>
        <w:rPr>
          <w:color w:val="231F20"/>
        </w:rPr>
        <w:t xml:space="preserve"> </w:t>
      </w:r>
      <w:r>
        <w:rPr>
          <w:rFonts w:ascii="Times New Roman;sans-serif" w:hAnsi="Times New Roman;sans-serif"/>
          <w:b w:val="false"/>
          <w:color w:val="231F20"/>
          <w:sz w:val="20"/>
        </w:rPr>
        <w:t xml:space="preserve">ended </w:t>
      </w:r>
      <w:r>
        <w:rPr>
          <w:rFonts w:ascii="Times New Roman;sans-serif" w:hAnsi="Times New Roman;sans-serif"/>
          <w:b w:val="false"/>
          <w:color w:val="000000"/>
          <w:sz w:val="20"/>
        </w:rPr>
        <w:t>September 30, 2023</w:t>
      </w:r>
      <w:r>
        <w:rPr>
          <w:rFonts w:ascii="Times New Roman;sans-serif" w:hAnsi="Times New Roman;sans-serif"/>
          <w:b w:val="false"/>
          <w:color w:val="231F20"/>
          <w:sz w:val="20"/>
        </w:rPr>
        <w:t xml:space="preserve">, the Company recorded income tax </w:t>
      </w:r>
      <w:r>
        <w:rPr>
          <w:rFonts w:ascii="Times New Roman;sans-serif" w:hAnsi="Times New Roman;sans-serif"/>
          <w:b w:val="false"/>
          <w:color w:val="000000"/>
          <w:sz w:val="20"/>
        </w:rPr>
        <w:t>expense</w:t>
      </w:r>
      <w:r>
        <w:rPr>
          <w:color w:val="231F20"/>
        </w:rPr>
        <w:t xml:space="preserve"> </w:t>
      </w:r>
      <w:r>
        <w:rPr>
          <w:rFonts w:ascii="Times New Roman;sans-serif" w:hAnsi="Times New Roman;sans-serif"/>
          <w:b w:val="false"/>
          <w:color w:val="231F20"/>
          <w:sz w:val="20"/>
        </w:rPr>
        <w:t xml:space="preserve">of $3.5 million and income tax </w:t>
      </w:r>
      <w:r>
        <w:rPr>
          <w:rFonts w:ascii="Times New Roman;sans-serif" w:hAnsi="Times New Roman;sans-serif"/>
          <w:b w:val="false"/>
          <w:color w:val="000000"/>
          <w:sz w:val="20"/>
        </w:rPr>
        <w:t>benefit</w:t>
      </w:r>
      <w:r>
        <w:rPr>
          <w:color w:val="231F20"/>
        </w:rPr>
        <w:t xml:space="preserve"> </w:t>
      </w:r>
      <w:r>
        <w:rPr>
          <w:rFonts w:ascii="Times New Roman;sans-serif" w:hAnsi="Times New Roman;sans-serif"/>
          <w:b w:val="false"/>
          <w:color w:val="231F20"/>
          <w:sz w:val="20"/>
        </w:rPr>
        <w:t xml:space="preserve">of $2.4 million, respectively. The estimated worldwide AETR differed from the U.S. federal statutory tax rate of 21% due primarily to income in foreign jurisdictions that are taxed at higher rates than the U.S. federal rate, a full valuation allowance against the Company's U.S. deferred tax assets, and the impact of accounting for business combination.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a valuation allowance in the U.S. against its deferred tax assets because it is more likely than not that the deferred tax assets will not be realized. In determining whether deferred tax assets are realizable, the Company considers numerous factors including historical profitability, the amount of future taxable income and the existence of taxable temporary differences that can be used to realize deferred tax assets.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applies ASC 740, the accounting standard addressing the accounting for uncertainty in income taxes, which prescribes rules for recognition, measurement and classification in the financial statements of tax positions taken or expected to be taken in a tax return. The Company has gross unrecognized tax benefits </w:t>
      </w:r>
      <w:r>
        <w:rPr>
          <w:rFonts w:ascii="Times New Roman;sans-serif" w:hAnsi="Times New Roman;sans-serif"/>
          <w:b w:val="false"/>
          <w:color w:val="231F20"/>
          <w:sz w:val="20"/>
        </w:rPr>
        <w:t xml:space="preserve">of $1.4 million and $1.1 million as of September 30, 2024 and December 31, 2023,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 Share-Based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various stock compensation plans, which are more fully described in Part II, Item 8 “Financial Statements and Supplementary Data—Note 13 to the Consolidated Financial Statements—Equity-Based Compensation” in the Company’s 2023 Annual Report on Form 10-K. Under the Beauty Health Company 2021 Incentive Award Plan, the Company may grant stock options, stock appreciation rights, restricted stock, restricted stock units, dividend equivalents, other stock or cash-based awards to eligible service providers. Additionally, the Company maintains the Employee Stock Purchase Plan for employees located in the United States, whereby eligible employees can have up to 10% of their earnings withheld, subject to certain maximums, to be used to purchase shares of the Company’s Class A Common Stock at certain purchase dates.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was as follows for the periods indicated:</w:t>
      </w:r>
    </w:p>
    <w:p>
      <w:pPr>
        <w:pStyle w:val="TextBody"/>
        <w:bidi w:val="0"/>
        <w:spacing w:before="0" w:after="0"/>
        <w:jc w:val="left"/>
        <w:rPr/>
      </w:pPr>
      <w:r>
        <w:rPr/>
      </w:r>
    </w:p>
    <w:tbl>
      <w:tblPr>
        <w:tblW w:w="8377" w:type="dxa"/>
        <w:jc w:val="left"/>
        <w:tblInd w:w="0" w:type="dxa"/>
        <w:tblLayout w:type="fixed"/>
        <w:tblCellMar>
          <w:top w:w="28" w:type="dxa"/>
          <w:left w:w="28" w:type="dxa"/>
          <w:bottom w:w="28" w:type="dxa"/>
          <w:right w:w="28" w:type="dxa"/>
        </w:tblCellMar>
      </w:tblPr>
      <w:tblGrid>
        <w:gridCol w:w="987"/>
        <w:gridCol w:w="871"/>
        <w:gridCol w:w="872"/>
        <w:gridCol w:w="257"/>
        <w:gridCol w:w="752"/>
        <w:gridCol w:w="133"/>
        <w:gridCol w:w="133"/>
        <w:gridCol w:w="133"/>
        <w:gridCol w:w="133"/>
        <w:gridCol w:w="257"/>
        <w:gridCol w:w="752"/>
        <w:gridCol w:w="133"/>
        <w:gridCol w:w="109"/>
        <w:gridCol w:w="109"/>
        <w:gridCol w:w="109"/>
        <w:gridCol w:w="227"/>
        <w:gridCol w:w="775"/>
        <w:gridCol w:w="117"/>
        <w:gridCol w:w="117"/>
        <w:gridCol w:w="117"/>
        <w:gridCol w:w="117"/>
        <w:gridCol w:w="227"/>
        <w:gridCol w:w="775"/>
        <w:gridCol w:w="165"/>
      </w:tblGrid>
      <w:tr>
        <w:trPr/>
        <w:tc>
          <w:tcPr>
            <w:tcW w:w="98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231F20"/>
          <w:sz w:val="20"/>
        </w:rPr>
        <w:t>September 30, 2024</w:t>
      </w:r>
      <w:r>
        <w:rPr>
          <w:rFonts w:ascii="Times New Roman;sans-serif" w:hAnsi="Times New Roman;sans-serif"/>
          <w:b w:val="false"/>
          <w:color w:val="000000"/>
          <w:sz w:val="20"/>
        </w:rPr>
        <w:t>, total unrecognized compensation expense related to unvested share-based compensation totaled $38.2 million and is expected to be recognized over a weighted-average period of 1.8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 Commitments and Contingencies</w:t>
      </w:r>
    </w:p>
    <w:p>
      <w:pPr>
        <w:pStyle w:val="TextBody"/>
        <w:bidi w:val="0"/>
        <w:spacing w:before="0" w:after="0"/>
        <w:jc w:val="left"/>
        <w:rPr/>
      </w:pPr>
      <w:r>
        <w:rPr/>
      </w:r>
    </w:p>
    <w:p>
      <w:pPr>
        <w:pStyle w:val="TextBody"/>
        <w:bidi w:val="0"/>
        <w:spacing w:lineRule="auto" w:line="256"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Cartessa Aesthetics,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14, 2020, Hydrafacial filed a complaint (the “Cartessa Complaint”) against Cartessa Aesthetics, LLC (“Cartessa”) in the United States District Court for the Eastern District of New York (the “New York Court”), captioned Edge Systems LLC v. Cartessa Aesthetics, LLC, Case No. 1:20-cv-6082 (the “Cartessa Case”), for patent infringement arising from Cartessa’s sale of Cartessa’s hydrodermabrasion system that Hydrafacial alleged has infringed five of Hydrafacial’s patents on its device. Hydrafacial narrowed its allegation in the Cartessa Complaint to assert infringement of just four of its patents. On September 15, 2022, the New York Court granted Hydrafacial’s Motion for Summary Judgment of No Unclean Hands and denied Cartessa’s Motion for Summary Judgment of non-infringement on three of the four patents-in-suit. On June 6, 2023, the New York Court granted Hydrafacial’s Motion for Summary Judgment of No Invalidity of the fourth patent-in-suit and granted Cartessa’s Motion for Summary Judgment of non-infringement of that same patent. The parties have agreed to dimiss the remaining claims without prejudice so that Hydrafacial can appeal the New York Court’s grant of Cartessa’s Motion for Summary Judgment.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11, 2024, Hydrafacial filed a complaint against Cartessa and its foreign manufacturer, Eunsung Global Corp (“Eunsung”), in the United States International Trade Commission. A Notice of Institution of Investigation was issued on July 11, 2024, and the investigation was assigned investigation number 337-TA-1408 (the “ITC Cartessa Matter”). In the ITC Cartessa Matter, Hydrafacial has asserted that Cartessa and Eunsung infringe Hydrafacial’s U.S. Patent No. 11,865,287, which relates to hydrodermabrasion systems but was not asserted in the Cartessa Case. Eunsung has consented to an exclusion order during the term of the Hydrafacial patent-in-suit. The ITC Cartessa Matter is in its early stages, and Hydrafacial continues to seek an exclusion order preventing importation or sale of Cartessa’s hydrodermabrasion systems within the United States. </w:t>
      </w:r>
    </w:p>
    <w:p>
      <w:pPr>
        <w:pStyle w:val="TextBody"/>
        <w:bidi w:val="0"/>
        <w:spacing w:before="0" w:after="0"/>
        <w:jc w:val="left"/>
        <w:rPr/>
      </w:pPr>
      <w:r>
        <w:rPr/>
      </w:r>
    </w:p>
    <w:p>
      <w:pPr>
        <w:pStyle w:val="TextBody"/>
        <w:bidi w:val="0"/>
        <w:spacing w:lineRule="auto" w:line="256"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Medicreations LLC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6, 2024, Hydrafacial filed a complaint against Medicreations LLC (“Medicreations”) in the United States District Court for Nevada, Case Number 2:24-cv-00855 (the “Medicreations Case”), for patent infringement arising from Medicreations’ sale of hydrodermabrasion systems that Hydrafacial alleged to have infringed twelve of Hydrafacial’s patents. The Medicreations Case is in its early stages, and Hydrafacial is seeking monetary damages and plans to vigorously pursue its claims against Medicreations.</w:t>
      </w:r>
    </w:p>
    <w:p>
      <w:pPr>
        <w:pStyle w:val="TextBody"/>
        <w:bidi w:val="0"/>
        <w:spacing w:before="0" w:after="0"/>
        <w:jc w:val="left"/>
        <w:rPr/>
      </w:pPr>
      <w:r>
        <w:rPr/>
      </w:r>
    </w:p>
    <w:p>
      <w:pPr>
        <w:pStyle w:val="TextBody"/>
        <w:bidi w:val="0"/>
        <w:spacing w:lineRule="auto" w:line="256"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Sinclair Pharma US, Inc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July 24, 2024, Hydrafacial filed a complaint against Sinclair Pharma US, Inc (“Sinclair”), and its distributor Viora, Inc (“Viora”), in the United States District Court for the Central District of California, Case No. 2:24-cv-06250 (the “Sinclair Case”), for patent infringement arising from Sinclair’s sale of hydrodermabrasion systems that Hydrafacial alleged to have infringed five of Hydrafacial’s patents on its device. The Sinclair Case is in its early stages. Hydrafacial is seeking monetary damages and plans to vigorously pursue its claims against Sinclair and Viora.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2024, Hydrafacial filed a complaint against Sinclair, Aesthetic Management Partners, their foreign manufacturer, EMA Aesthetics, Ltd. (“EMA Aesthetics”), and H.R. Meditech (“H.R. Meditech”) in the United States International Trade Commission. A Notice of Institution of Investigation was issued on September 10, 2024, and the investigation was assigned investigation number 337-TA-1416 (the “ITC Sinclair Matter”). In the ITC Sinclair Matter, Hydrafacial has asserted that Sinclair, Aesthetic Management Partners, EMA Aesthetics, and H.R. Meditech infringe Hydrafacial’s U.S. Patent Nos. 11,865,287 and 9,550,052, which relate to hydrodermabrasion systems. The ITC Sinclair Matter is in its early stages, and Hydrafacial is seeking an exclusion order preventing importation or sale of each of the respondents’ hydrodermabrasion systems within the United States.</w:t>
      </w:r>
    </w:p>
    <w:p>
      <w:pPr>
        <w:pStyle w:val="TextBody"/>
        <w:bidi w:val="0"/>
        <w:spacing w:before="0" w:after="0"/>
        <w:jc w:val="left"/>
        <w:rPr/>
      </w:pPr>
      <w:r>
        <w:rPr/>
      </w:r>
    </w:p>
    <w:p>
      <w:pPr>
        <w:pStyle w:val="TextBody"/>
        <w:bidi w:val="0"/>
        <w:spacing w:lineRule="auto" w:line="256"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Aesthetic Management Partners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July 8, 2024, Hydrafacial filed a complaint against Aesthetic Management Partners Inc. (“Aesthetic Management Partners”) in the United States District Court for the Western District of Tennessee, Case No. 2:24-cv-02480-JPM-TMP (the “AMP Case”), for patent infringement arising from Aesthetic Management Partners’ sale of hydrodermabrasion systems that Hydrafacial alleged to have infringed five of Hydrafacial’s patents on its device. The AMP Case is now stayed, and there will be no activity until the conclusion of the ITC Sinclair Matter. After conclusion of the ITC Sinclair Matter, Hydrafacial plans to reopen the AMP Case to seek monetary damages and plans to vigorously pursue its claims against Aesthetic Management Partners.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60" w:after="283"/>
        <w:jc w:val="left"/>
        <w:rPr/>
      </w:pPr>
      <w:r>
        <w:rPr/>
      </w:r>
    </w:p>
    <w:p>
      <w:pPr>
        <w:pStyle w:val="TextBody"/>
        <w:bidi w:val="0"/>
        <w:spacing w:lineRule="auto" w:line="256"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Medical Purchasing Resource,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4, 2024, Hydrafacial filed a complaint against Medical Purchasing Resource, LLC (“Medical Purchasing Resource”) in the United States District Court for the Central District of California, Case No. 2:24-cv-4655 (the “MPR Case”), for trademark infringement, false designation of origin, unfair competition, tortious interference, and other causes of action relating to Hydrafacial’s trademark rights. The MPR Case is in its early stages, and Hydrafacial is seeking monetary damages and plans to vigorously pursue its claims against Medical Purchasing Resource. </w:t>
      </w:r>
    </w:p>
    <w:p>
      <w:pPr>
        <w:pStyle w:val="TextBody"/>
        <w:bidi w:val="0"/>
        <w:spacing w:before="0" w:after="0"/>
        <w:jc w:val="left"/>
        <w:rPr/>
      </w:pPr>
      <w:r>
        <w:rPr/>
      </w:r>
    </w:p>
    <w:p>
      <w:pPr>
        <w:pStyle w:val="TextBody"/>
        <w:bidi w:val="0"/>
        <w:spacing w:lineRule="auto" w:line="256"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Luvo Medical Technologies Inc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2024, Hydrafacial filed a complaint against Luvo Medical Technologies Inc (“Luvo”), Healthcare Markets, Inc (“Healthcare Markets”), and their foreign manufacturer Eunsung in the United States District Court of Utah, Case No. 2:24-cv-00587 (the “Luvo Case”), for patent infringement arising from Healthcare Markets’ sale of Luvo’s hydrodermabrasion systems that Hydrafacial alleged to have infringed five of Hydrafacial’s patents on its device. The Luvo Case is now stayed, and there will be no any activity until the conclusion of the ITC Luvo Matter. After conclusion of the ITC’s investigation, Hydrafacial plans to reopen the Luvo Case to seek monetary damages and plans to vigorously pursue its claims against Luvo, Healthcare Markets, and Eunsung.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7, 2024, Hydrafacial filed a complaint against Luvo, its distributor Healthcare Markets, Medical Purchasing Resource, eMIRAmed, and its manufacturer, MIRAmedtech, in the United States International Trade Commission. A Notice of Institution of Investigation was issued on September 16, 2024, and the investigation was assigned investigation number 337-TA-1417 (the “ITC Luvo Matter”). In the ITC Luvo Matter, Hydrafacial has asserted that Luvo, Healthcare Markets, Medical Purchasing Resource, and eMIRAmed USA, LLC (“eMIRAmed”) infringe Hydrafacial’s U.S. Patent No. 11,446,477, which is not asserted in the ITC Cartessa Matter or ITC Sinclair Matter, and relates to hydrodermabrasion systems. The ITC Luvo Matter is in its early stages, and Hydrafacial is seeking an exclusion order preventing importation or sale of each of the respondents’ hydrodermabrasion systems within the United States.</w:t>
      </w:r>
    </w:p>
    <w:p>
      <w:pPr>
        <w:pStyle w:val="TextBody"/>
        <w:bidi w:val="0"/>
        <w:spacing w:before="0" w:after="0"/>
        <w:jc w:val="left"/>
        <w:rPr/>
      </w:pPr>
      <w:r>
        <w:rPr/>
      </w:r>
    </w:p>
    <w:p>
      <w:pPr>
        <w:pStyle w:val="TextBody"/>
        <w:bidi w:val="0"/>
        <w:spacing w:lineRule="auto" w:line="256"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eMIRAmed USA,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26, 2024, Hydrafacial filed a complaint against eMIRAmed USA, LLC (“eMIRAmed”), and its manufacturer MIRAmedtech UG (“MIRAmedtech”), in the United States District Court for the Central District of California, Case No. 2:24-cv-01865 (the “eMIRAmed Case”), for patent infringement arising from eMIRAmed’s sale of hydrodermabrasion systems that Hydrafacial alleged to have infringed five of Hydrafacial’s patents on its device. The eMIRAmed Case is in its early stages. Hydrafacial is seeking monetary damages and plans to vigorously pursue its claims against eMIRAmed and MIRAmedtech.</w:t>
      </w:r>
    </w:p>
    <w:p>
      <w:pPr>
        <w:pStyle w:val="TextBody"/>
        <w:bidi w:val="0"/>
        <w:spacing w:before="0" w:after="0"/>
        <w:jc w:val="left"/>
        <w:rPr/>
      </w:pPr>
      <w:r>
        <w:rPr/>
      </w:r>
    </w:p>
    <w:p>
      <w:pPr>
        <w:pStyle w:val="TextBody"/>
        <w:bidi w:val="0"/>
        <w:spacing w:lineRule="auto" w:line="256"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Securities Class Action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16, 2023, a putative class action was filed in the United States District Court for the Central District of California against the Company, its then-current President and Chief Executive Officer, Andrew Stanleick, its former Chief Financial Officer, Liyuan Woo, and its current Chief Financial Officer, Michael Monahan. The complaint, styled Abduladhim A. Alghazwi, individually and on behalf of all others similarly situated, v. The Beauty Health Company, Andrew Stanleick, Liyuan Woo, and Michael Monahan, Case No. 2:23-cv-09733 (C.D. Ca.) (the “Securities Class Action”), asserts claims for violation of Section 10(b) of the Securities Exchange Act of 1934, as amended (the “Exchange Act”) and Rule 10b-5 promulgated thereunder against all defendants (First Claim), and violation of Section 20(a) of the Exchange Act against the individual defendants (Second Claim). The complaint alleges that, between May 10, 2022 and November 13, 2023, defendants materially misled the investing public by publicly issuing false and/or misleading statements and/or omissions relating to Hydrafacial's business, operations, and prospects, specifically with respect to the performance of and demand for the Syndeo 1.0 and 2.0 devices. The relief sought in the complaint includes a request for compensatory damages suffered by the plaintiff and other members of the putative class for damages allegedly sustained as a result of the alleged securities violations.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2024, putative class members Jeff and Kevin Brown (the “Browns”), Priscilla and Martjn Dijkgraaf (the “Dijkgraafs”), and Joseph Jou filed three competing motions for appointment as lead plaintiff under the Private Securities Litigation Reform Act (“PSLRA”), 17 U.S.C. § 78u-4(a)(3). On January 31, 2024, Joseph Jou filed a notice of non-opposition to the Browns’ and Dijkgraafs’ motions for appointment as lead plaintiff. On May 2, 2024, the court granted the Dijkgraafs’ motion for appointment as lead plaintiff and approved the Dijkgraafs’ counsel, Hagens Berman, as lead counsel. On May 9, 2024, the parties submitted a joint stipulation to the court setting forth a proposed schedule for the filing of an amended complaint and defendants’ response thereto. The proposed schedule has not yet been approved by the court. On July 1, 2024, lead plaintiffs filed a consolidated amended class action complaint asserting the same causes of action as the original complaint. The Securities Class Action case is assigned to U.S. District Judge Sherilyn Peace Garnett. On September 30, 2024, the Company filed a motion to dismiss the consolidated amended class action complaint in its entirety. Plaintiffs’ opposition brief is due on November 22, 2024, the Company’s reply brief is due December 23, 2024, and the hearing on the motion is set for January 15,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claims asserted in the Securities Class Action have no merit and intends to vigorously defend them. The Company is unable to reasonably estimate the possible loss or range of loss, if any, associated with these claims, and, accordingly, it has not accrued any liability associated with the Securities Class Action.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Consumer Class Action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2024, Jason Davalos, Sonia Davalos, and Sol Tan Tanning &amp; Spa LLC (“Class Action Plaintiffs”), individually and on behalf of all others similarly situated, filed a putative class action complaint against Hydrafacial LLC d/b/a The Hydrafacial Company and The Beauty Health Company (collectively, the “Class Action Defendants”) for alleged violations of New York consumer fraud statutes, breach of contract, and common law breach of implied warranties (the “Consumer Class Action”). The case is captioned Jason Davalos, Sonia Davalos, Sol Tan Tanning &amp; Spa LLC, on behalf of themselves and all others similarly situated v. Hydrafacial LLC dba The Hydrafacial Company, and The Beauty Health Company, Case No. 24-cv-8073 (S.D.N.Y.) (Caproni, J.) The complaint alleges that all three versions of the Syndeo machine (Syndeo 1.0, Syndeo 2.0, and Syndeo 3.0) were defective and did not perform in the manner in which it had been represented by Class Action Defendants. Class Action Plaintiffs claim that Class Action Defendants made various misrepresentations in its marketing and sales of the Syndeo machines and, rather than provide a refund to customers for the defective machines, replaced them with another Syndeo machine that exhibited the same defects. Class Action Plaintiffs purport to bring claims on behalf of themselves, and all other similarly situated purchasers within the United States, of Class Action Defendants’ Syndeo machines. The complaint asserts five causes of action: (1) violations of N.Y. G.B.L., § 349, the state consumer production statute; (2) violations of N.Y. G.B.L., § 350, the state’s false advertising statute; (3) breach of contract; (4) breach of the implied warranty of merchantability; and (5) breach of the implied warranty of fitness. The relief sought in the complaint includes monetary damages allegedly suffered by Class Action Plaintiffs and other members of the putative class as a result of Class Action Defendants’ alleged violations and breaches, including a trebling of any money damages award for alleged violations of N.Y. G.B.L., § 349 and § 350.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claims asserted in the Consumer Class Action have no merit and Class Action Defendants intend to vigorously defend them. The Company is unable to reasonably estimate the possible loss or range of loss, if any, associated with these claims, and, accordingly, it has not accrued any liability associated with the Consumer Class Action.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60" w:after="283"/>
        <w:jc w:val="left"/>
        <w:rPr/>
      </w:pPr>
      <w:r>
        <w:rPr/>
      </w:r>
    </w:p>
    <w:p>
      <w:pPr>
        <w:pStyle w:val="TextBody"/>
        <w:bidi w:val="0"/>
        <w:spacing w:lineRule="auto" w:line="256"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Consolidated Derivative Action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8, 2024, a derivative complaint was filed in the Delaware Court of Chancery against the Company’s former President and Chief Executive Officer, Andrew Stanleick; its former Chief Financial Officer, Liyuan Woo, and current members of the Company’s Board of Directors (the “Board of Directors”): Brenton Saunders, Marla Beck, Michael Capellas, Julius Few, Desiree Gruber, Michelle Kerrick, Brian Miller, and Doug Schillinger, with the Company as the nominal defendant. The complaint, styled Margie Elstein, derivatively on behalf of The Beauty Health Company v. Brenton Saunders, Marla Beck, Michael Capellas, Julius Few, Desiree Gruber, Michelle Kerrick, Brian Miller, Doug Schillinger, Andrew Stanleick, and Liyuan Woo, C.A. No. 2024-0114-LWW (Del. Ch.) (the “Elstein Derivative Action”), asserts a single claim for breach of fiduciary duty against the individual defendants based on the alleged disclosure of knowingly false information and/or the alleged failure to respond to red flags relating to Hydrafacial’s business, operations, and prospects, specifically with respect to the performance of and demand for the Syndeo 1.0 and 2.0 devices. The plaintiff-stockholder further maintains that no demand was made upon the Company’s Board of Directors prior to the initiation of the Elstein Derivative Action based on allegations that a majority of the Board of Directors was not disinterested or independent with respect to the fiduciary duty claim, such that demand should be excused as futile. The relief sought in the complaint includes a finding of demand futility, a finding that the individual defendants are liable for breaching their fiduciary duties (as current/former officers and directors), and an award of compensatory damages for harm suffered by the Company and its stockholders for harm allegedly sustained as a result of the alleged fiduciary duty violation.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1, 2024, a derivative complaint was filed in the Delaware Court of Chancery against the Company’s former President and Chief Executive Officer, Andrew Stanleick; its former Chief Financial Officer, Liyuan Woo, and current members of the Company’s Board of Directors: Brent Saunders, Marla Beck, Michael Capellas, Julius Few, Desiree Gruber, Michelle Kerrick, Brian Miller, and Doug Schillinger, with the Company as the nominal defendant. The complaint, styled Richard Montague, derivatively on behalf of The Beauty Health Company v. Andrew Stanleick, Liyuan Woo, Brent Saunders, Marla Beck, Michael Capellas, Julius Few, Desiree Gruber, Michelle Kerrick, Brian Miller, and Doug Schillinger, C.A. No. 2024-0463-LWW (Del. Ch.) (the “Montague Derivative Action”), asserts claims for (i) breach of fiduciary duty, (ii) gross mismanagement, (iii) waste of corporate assets, (iv) unjust enrichment, and (v) aiding and abetting against the individual defendants based on allegations that the individual defendants made materially false and/or misleading statements, as well as failing to disclose material adverse facts about the Company’s business, operations, and prospects, specifically relating to the Syndeo 1.0 and 2.0 devices. The relief sought in the Montague Derivative Action includes (a) awarding damages for harm suffered by the Company allegedly sustained as a result of the individual defendants’ alleged breach of fiduciary duties, gross mismanagement, waste of corporate assets, and unjust enrichment, (b) awarding damages for harm suffered by the Company allegedly sustained as a result of the Company’s directors’ alleged aiding and abetting of breaching their fiduciary duties, (c) directing the Company to reform and improve its corporate governance and internal procedures, to comply with its existing governance obligations and all applicable laws, and to protect its investors from a recurrence of the alleged damaging events, and (d) awarding the plaintiff-stockholder the costs and disbursements of the Montague Derivative Action, including reasonable attorneys’ fees, accountants’ and experts’ fees, costs, and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22, 2024, the parties to the Elstein Derivative Action and Montague Derivative Action submitted a Stipulation and Proposed Order Governing Consolidation, Appointment of Lead, and Deadline to Respond to Operative Complaint. On May 24, 2024, Vice Chancellor Will, who was assigned to both the Elstein Derivative Action and the Montague Derivative Action, entered the Stipulation and Order Governing Consolidation, Appointment of Lead, and Deadline to Respond to Operative Complaint (the “Consolidation Order”). Per the Consolidation Order, the Elstein Derivative Action and the Montague Derivative Action were consolidated into a single derivative action, styled In re The Beauty Health Company Consolidated Stockholder Derivative Litigation, C.A. No. 2024-0114-LWW (Del. Ch.) (the “Consolidated Derivative Action”). The Consolidation Order designated the law firms of Gainey McKenna &amp; Egleston and Komlossy Law, P.A. as co-lead counsel for plaintiffs in the Consolidated Derivative Action, and designated the law firm of Cooch and Taylor, P.A. as Delaware counsel for plaintiffs in the Consolidated Derivative Action. Additionally, the Consolidation Order designated the complaint filed in the Elstein Derivative Action as the operative complaint for the Consolidated Derivative Action, further providing that defendants are not obligated to answer or otherwise respond to the complaint filed in the Montague Derivative Action. The Consolidation Order further provided that defendants shall answer or otherwise respond to the complaint filed in the Elstein Derivative Action by August 25, 2024. This response deadline was subsequently vacated, prior to plaintiffs’ filing, on September 9, 2024, of their Verified Consolidated Amended Stockholder Derivative Complaint (the “Operative Complaint”). On September 16, 2024, defendants filed their Motion to Dismiss the Operative Complaint, or Alternatively, Stay the Proceedings (the “Motion to Dismiss”). A briefing schedule for the Motion to Dismiss has not yet been 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claims asserted in the Consolidated Derivative Action have no merit and intends to vigorously defend them. The Company is unable to reasonably estimate the possible loss or range of loss, if any, associated with these claims, and, accordingly, it has not accrued any liability associated with the Consolidated Derivative Action.</w:t>
      </w:r>
    </w:p>
    <w:p>
      <w:pPr>
        <w:pStyle w:val="TextBody"/>
        <w:bidi w:val="0"/>
        <w:spacing w:before="0" w:after="0"/>
        <w:jc w:val="left"/>
        <w:rPr/>
      </w:pPr>
      <w:r>
        <w:rPr/>
      </w:r>
    </w:p>
    <w:p>
      <w:pPr>
        <w:pStyle w:val="TextBody"/>
        <w:bidi w:val="0"/>
        <w:spacing w:lineRule="auto" w:line="256" w:before="0" w:after="0"/>
        <w:ind w:left="0" w:right="0" w:firstLine="180"/>
        <w:jc w:val="left"/>
        <w:rPr/>
      </w:pPr>
      <w:r>
        <w:rPr>
          <w:rFonts w:ascii="Times New Roman;sans-serif" w:hAnsi="Times New Roman;sans-serif"/>
          <w:b w:val="false"/>
          <w:i/>
          <w:color w:val="000000"/>
          <w:sz w:val="20"/>
        </w:rPr>
        <w:t>Securities and Exchange Commission</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the</w:t>
      </w:r>
      <w:r>
        <w:rPr>
          <w:color w:val="000000"/>
        </w:rPr>
        <w:t xml:space="preserve"> “</w:t>
      </w:r>
      <w:r>
        <w:rPr>
          <w:rFonts w:ascii="Times New Roman;sans-serif" w:hAnsi="Times New Roman;sans-serif"/>
          <w:b w:val="false"/>
          <w:i/>
          <w:color w:val="000000"/>
          <w:sz w:val="20"/>
        </w:rPr>
        <w:t xml:space="preserve">SEC”) Subpoena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Division of Enforcement of the SEC has issued a subpoena in connection with a formal order of investigation of the Company seeking documents and information from us. The Company is in the process of responding to the subpoena and intends to fully cooperate with the SEC investigation. We cannot predict the duration, scope, or outcome of this matter at this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 Related-Party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Registration Rights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consummation of the Business Combination, on May 4, 2021, the Company entered into that certain Amended and Restated Registration Rights Agreement (the “Registration Rights Agreement”) with BLS Investor Group LLC and the Hydrafacial Stockholders.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Registration Rights Agreement, (i) any outstanding shares of Class A Common Stock or any other equity securities (including the Private Placement Warrants and including shares of Class A Common Stock issued or issuable upon the exercise of any other equity security) of the Company held by BLS Investor Group LLC (the “Sponsor”) or the Hydrafacial Stockholders (together, the “Restricted Stockholders”) as of the date of the Registration Rights Agreement or thereafter acquired by a Restricted Stockholder (including the shares of Class A Common Stock issued upon conversion of the 11,500,000 shares of Class B common stock (the “Founder Shares”) that were owned by the Sponsor and converted into shares of Class A Common Stock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Class A Common Stock by way of a stock dividend or stock split or in connection with a combination of shares, recapitalization, merger, consolidation or other reorganization or otherwise will be entitled to registration rights.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Registration Rights Agreement provides that the Company will, within 60 days after the consummation of the Business Combination, file with the SEC a shelf registration statement registering the resale of the shares of Class A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Class A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Class A Common Stock effected pursuant to the terms of the Registration Rights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Registration Rights Agreement, the Sponsor agreed to restrictions on the transfer of its securities issued in the Company’s initial public offering, which (i) in the case of the Founder Shares is one year after the completion of the Business Combination unless (A) the closing price of the Class A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Class A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Class A Common Stock issuable upon the exercise thereof for 30 days following the Closing.</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Investor Rights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consummation of the Business Combination, on May 4, 2021, the Company and LCP Edge Holdco, LLC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 Stockholders' Equity</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The Company is authorized to issue 320,000,000 shares of Class A Common Stock, par value of $0.0001 per share. Holders of Class A Common Stock are entitled to </w:t>
      </w:r>
      <w:r>
        <w:rPr>
          <w:rFonts w:ascii="Times New Roman;sans-serif" w:hAnsi="Times New Roman;sans-serif"/>
          <w:b w:val="false"/>
          <w:color w:val="000000"/>
          <w:sz w:val="20"/>
        </w:rPr>
        <w:t>one</w:t>
      </w:r>
      <w:r>
        <w:rPr>
          <w:color w:val="231F20"/>
        </w:rPr>
        <w:t xml:space="preserve"> </w:t>
      </w:r>
      <w:r>
        <w:rPr>
          <w:rFonts w:ascii="Times New Roman;sans-serif" w:hAnsi="Times New Roman;sans-serif"/>
          <w:b w:val="false"/>
          <w:color w:val="231F20"/>
          <w:sz w:val="20"/>
        </w:rPr>
        <w:t>vote for each share. As of September 30, 2024 and December 31, 2023, there were 124,111,434 and 122,899,002, respectively, of Class A Common Stock issued and outstanding. The Company has not declared or paid any dividends with respect to its Class A Common Stock</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Common Stock Repurchases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12, 2023, the Company’s Board of Directors approved a share repurchase program authorizing the Company to repurchase up to $100.0 million of the Company’s Class A Common Stock. Under the share repurchase program, repurchases can be made from time to time using a variety of methods, which may include open market purchases, privately negotiated transactions, transactions structured through investment banking institutions, or a combination of the foregoing. Under this share repurchase program, for the year ended December 31, 2023, the Company repurchased and retired 10.4 million shares for $30.2 million excluding taxes. During the three and nine months ended September 30, 2024, the Company did not repurchase any shares of its Class A Common Stock.</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The</w:t>
      </w:r>
      <w:r>
        <w:rPr>
          <w:color w:val="000000"/>
        </w:rPr>
        <w:t xml:space="preserve"> </w:t>
      </w:r>
      <w:r>
        <w:rPr>
          <w:rFonts w:ascii="Times New Roman;sans-serif" w:hAnsi="Times New Roman;sans-serif"/>
          <w:b w:val="false"/>
          <w:color w:val="000000"/>
          <w:sz w:val="20"/>
        </w:rPr>
        <w:t xml:space="preserve">Company is authorized to issue 1,000,000 shares of preferred stock with a par value of $0.0001 per share with such designations, voting and other rights and preferences as may be determined from time to time by the Company’s Board of Directors. At September 30, 2024 and </w:t>
      </w:r>
      <w:r>
        <w:rPr>
          <w:rFonts w:ascii="Times New Roman;sans-serif" w:hAnsi="Times New Roman;sans-serif"/>
          <w:b w:val="false"/>
          <w:color w:val="231F20"/>
          <w:sz w:val="20"/>
        </w:rPr>
        <w:t>December 31, 2023</w:t>
      </w:r>
      <w:r>
        <w:rPr>
          <w:rFonts w:ascii="Times New Roman;sans-serif" w:hAnsi="Times New Roman;sans-serif"/>
          <w:b w:val="false"/>
          <w:color w:val="000000"/>
          <w:sz w:val="20"/>
        </w:rPr>
        <w:t>, there were no shares of preferred stock issued or outstanding.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 Net Loss Attributable to Common Stockholders</w:t>
      </w:r>
    </w:p>
    <w:p>
      <w:pPr>
        <w:pStyle w:val="TextBody"/>
        <w:bidi w:val="0"/>
        <w:spacing w:before="0" w:after="0"/>
        <w:jc w:val="left"/>
        <w:rPr/>
      </w:pPr>
      <w:r>
        <w:rPr/>
      </w:r>
    </w:p>
    <w:p>
      <w:pPr>
        <w:pStyle w:val="TextBody"/>
        <w:bidi w:val="0"/>
        <w:spacing w:lineRule="auto" w:line="288" w:before="0" w:after="120"/>
        <w:jc w:val="left"/>
        <w:rPr/>
      </w:pPr>
      <w:r>
        <w:rPr>
          <w:rFonts w:ascii="Times New Roman;sans-serif" w:hAnsi="Times New Roman;sans-serif"/>
          <w:b w:val="false"/>
          <w:color w:val="231F20"/>
          <w:sz w:val="20"/>
        </w:rPr>
        <w:t xml:space="preserve">The following table sets forth the calculation of both basic and diluted net </w:t>
      </w:r>
      <w:r>
        <w:rPr>
          <w:rFonts w:ascii="Times New Roman;sans-serif" w:hAnsi="Times New Roman;sans-serif"/>
          <w:b w:val="false"/>
          <w:color w:val="000000"/>
          <w:sz w:val="20"/>
        </w:rPr>
        <w:t>loss</w:t>
      </w:r>
      <w:r>
        <w:rPr>
          <w:color w:val="231F20"/>
        </w:rPr>
        <w:t xml:space="preserve"> </w:t>
      </w:r>
      <w:r>
        <w:rPr>
          <w:rFonts w:ascii="Times New Roman;sans-serif" w:hAnsi="Times New Roman;sans-serif"/>
          <w:b w:val="false"/>
          <w:color w:val="231F20"/>
          <w:sz w:val="20"/>
        </w:rPr>
        <w:t xml:space="preserve">per share as follows for the periods indicated: </w:t>
      </w:r>
    </w:p>
    <w:tbl>
      <w:tblPr>
        <w:tblW w:w="10205" w:type="dxa"/>
        <w:jc w:val="left"/>
        <w:tblInd w:w="0" w:type="dxa"/>
        <w:tblLayout w:type="fixed"/>
        <w:tblCellMar>
          <w:top w:w="28" w:type="dxa"/>
          <w:left w:w="28" w:type="dxa"/>
          <w:bottom w:w="28" w:type="dxa"/>
          <w:right w:w="28" w:type="dxa"/>
        </w:tblCellMar>
      </w:tblPr>
      <w:tblGrid>
        <w:gridCol w:w="1403"/>
        <w:gridCol w:w="1174"/>
        <w:gridCol w:w="1180"/>
        <w:gridCol w:w="264"/>
        <w:gridCol w:w="922"/>
        <w:gridCol w:w="112"/>
        <w:gridCol w:w="112"/>
        <w:gridCol w:w="112"/>
        <w:gridCol w:w="112"/>
        <w:gridCol w:w="264"/>
        <w:gridCol w:w="922"/>
        <w:gridCol w:w="112"/>
        <w:gridCol w:w="109"/>
        <w:gridCol w:w="109"/>
        <w:gridCol w:w="109"/>
        <w:gridCol w:w="264"/>
        <w:gridCol w:w="922"/>
        <w:gridCol w:w="109"/>
        <w:gridCol w:w="109"/>
        <w:gridCol w:w="109"/>
        <w:gridCol w:w="109"/>
        <w:gridCol w:w="264"/>
        <w:gridCol w:w="922"/>
        <w:gridCol w:w="109"/>
        <w:gridCol w:w="109"/>
        <w:gridCol w:w="163"/>
      </w:tblGrid>
      <w:tr>
        <w:trPr/>
        <w:tc>
          <w:tcPr>
            <w:tcW w:w="140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Nine Months Ended September 30,</w:t>
            </w:r>
          </w:p>
        </w:tc>
        <w:tc>
          <w:tcPr>
            <w:tcW w:w="272" w:type="dxa"/>
            <w:gridSpan w:val="2"/>
            <w:tcBorders/>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 except share and per share amounts)</w:t>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 available to common stockholders - basic</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(18,291)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(73,818)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(90,713)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231F20"/>
                <w:sz w:val="20"/>
              </w:rPr>
              <w:t xml:space="preserve">Adjustments related to the Notes </w:t>
            </w:r>
            <w:r>
              <w:rPr>
                <w:rFonts w:ascii="Times New Roman;sans-serif" w:hAnsi="Times New Roman;sans-serif"/>
                <w:b w:val="false"/>
                <w:color w:val="231F20"/>
                <w:sz w:val="13"/>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 available to common stockholders - diluted</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(18,291)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(73,818)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(43,954)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(90,713)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Weighted average common stock outstanding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124,057,602 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132,896,626 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123,630,811 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132,679,547 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Effect of dilutive shares:</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19,036,398 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Weighted average common stock outstanding - diluted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124,057,602 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132,896,626 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142,667,209 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132,679,547 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Basic net loss per share:</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(0.56)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Dilutive net loss per share:</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(0.56)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For the nine months ended September 30, 2024, the adjustments related to the Notes include the net gain on repurchase offset by interest expense and amortization of debt issuance costs related to the Company’s Notes (net of taxes).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shares have been excluded from the calculation of the weighted average diluted shares outstanding as the effect would have been anti-dilutive: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07"/>
        <w:gridCol w:w="970"/>
        <w:gridCol w:w="905"/>
        <w:gridCol w:w="750"/>
        <w:gridCol w:w="331"/>
        <w:gridCol w:w="244"/>
        <w:gridCol w:w="244"/>
        <w:gridCol w:w="244"/>
        <w:gridCol w:w="244"/>
        <w:gridCol w:w="750"/>
        <w:gridCol w:w="331"/>
        <w:gridCol w:w="244"/>
        <w:gridCol w:w="109"/>
        <w:gridCol w:w="109"/>
        <w:gridCol w:w="109"/>
        <w:gridCol w:w="692"/>
        <w:gridCol w:w="286"/>
        <w:gridCol w:w="237"/>
        <w:gridCol w:w="237"/>
        <w:gridCol w:w="237"/>
        <w:gridCol w:w="237"/>
        <w:gridCol w:w="750"/>
        <w:gridCol w:w="331"/>
        <w:gridCol w:w="237"/>
        <w:gridCol w:w="109"/>
        <w:gridCol w:w="161"/>
      </w:tblGrid>
      <w:tr>
        <w:trPr/>
        <w:tc>
          <w:tcPr>
            <w:tcW w:w="110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Nine Months Ended September 30,</w:t>
            </w:r>
          </w:p>
        </w:tc>
        <w:tc>
          <w:tcPr>
            <w:tcW w:w="270" w:type="dxa"/>
            <w:gridSpan w:val="2"/>
            <w:tcBorders/>
          </w:tcPr>
          <w:p>
            <w:pPr>
              <w:pStyle w:val="TableContents"/>
              <w:bidi w:val="0"/>
              <w:spacing w:before="0" w:after="283"/>
              <w:jc w:val="left"/>
              <w:rPr>
                <w:sz w:val="4"/>
                <w:szCs w:val="4"/>
              </w:rPr>
            </w:pPr>
            <w:r>
              <w:rPr>
                <w:sz w:val="4"/>
                <w:szCs w:val="4"/>
              </w:rPr>
            </w:r>
          </w:p>
        </w:tc>
      </w:tr>
      <w:tr>
        <w:trPr/>
        <w:tc>
          <w:tcPr>
            <w:tcW w:w="2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Notes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17,559,686 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23,614,425 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23,614,425 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7,827,861 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4,471,807 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7,827,861 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4,471,807 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3,571,820 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3,776,720 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3,571,820 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3,776,720 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Performance-based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2,302,162 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1,890,862 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2,302,162 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1,890,862 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and 2023, income and shares related to the Private Placement Warrants were excluded from the calculation of diluted net loss per share of Class A Common Stock because their effect would be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 New Accounting Pronouncements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Standards Accounting Board (“FASB”) issued Accounting Standards Update 2023-07 "Segment Reporting (Topic 280): Improvements to Reportable Segment Disclosures" which expands annual and interim disclosure requirements for reportable segments, primarily through enhanced disclosures about significant segment expenses. ASU 2023-07 is effective for annual periods beginning January 1, 2024, and for interim periods beginning January 1, 2025, with early adoption permitted. The Company is currently evaluating the potential effect that the updated standard will have on its financial statement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to expand the disclosure requirements for income taxes, specifically related to the rate reconciliation and income taxes paid. ASU 2023-09 is effective for annual periods beginning January 1, 2025, with early adoption permitted. The Company is currently evaluating the potential effect that the updated standard will have on its financial statement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FASB issued ASU 2024-02 "Codification Improvements—Amendments to Remove References to the Concepts Statements." ASU 2024-02 amends the FASB Accounting Standards Codification to remove references to various FASB Concept Statements. The amendments are considered to be codification improvements only and are effective for annual periods beginning January 1, 2025, with early adoption permitted. Adoption of ASU 2024-02 is not expected to have a material impact to our consolidated financial statements or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 Syndeo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stand behind its commitment to its customers and protect the Company’s brand reputation, in October 2023, the Company’s management decided that, with respect to Syndeo devices, the Company would only market and sell Syndeo 3.0 devices. The Company provided, at no cost to the customer, the option of (i) a technician upgrade to their Syndeo 1.0 or 2.0 devices to 3.0 standards in the field; or (ii) a replacement Syndeo 3.0 device for their existing device (the “Syndeo Program”). Additionally, the Company extended the customer’s warranty by one year for each system from the date it was either brought to the 3.0 standards or the customer received a Syndeo 3.0 device. As of September 30, 2024, the Syndeo Program is complete.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accrued costs of $21.0 million, primarily for the estimated cost to remediate, upgrade or exchange the remaining Syndeo 1.0 and 2.0 builds.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Syndeo Program usage for the three and nine months ended September 30, 2024 (in thousands):</w:t>
      </w:r>
    </w:p>
    <w:p>
      <w:pPr>
        <w:pStyle w:val="TextBody"/>
        <w:bidi w:val="0"/>
        <w:spacing w:before="0" w:after="0"/>
        <w:jc w:val="left"/>
        <w:rPr/>
      </w:pPr>
      <w:r>
        <w:rPr/>
      </w:r>
    </w:p>
    <w:tbl>
      <w:tblPr>
        <w:tblW w:w="4671" w:type="dxa"/>
        <w:jc w:val="left"/>
        <w:tblInd w:w="0" w:type="dxa"/>
        <w:tblLayout w:type="fixed"/>
        <w:tblCellMar>
          <w:top w:w="28" w:type="dxa"/>
          <w:left w:w="28" w:type="dxa"/>
          <w:bottom w:w="28" w:type="dxa"/>
          <w:right w:w="28" w:type="dxa"/>
        </w:tblCellMar>
      </w:tblPr>
      <w:tblGrid>
        <w:gridCol w:w="1298"/>
        <w:gridCol w:w="1139"/>
        <w:gridCol w:w="1148"/>
        <w:gridCol w:w="211"/>
        <w:gridCol w:w="72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Program liability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Usage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liability as of March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Usage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liability as of June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Usage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liability as of September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for the three months ended September 30, 2024 (the “Quarterly Report on Form 10-Q”) contains “forward looking statements” within the meaning of the “safe harbor” provisions of the United States Private Securities Litigation Reform Act of 1995. When used in this Quarterly Report on Form 10-Q,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not guarantees of future performance, conditions or results, and involve a number of known and unknown risks, uncertainties, assumptions and other important factors, many of which are outside the Company’s control, that could cause actual results or outcomes to differ materially from those discussed in the forward-looking statements. Factors that could cause or contribute to these differences include, but are not limited to, those identified below and those discussed in the section titled Risk Factors of this filing and our Annual Report on Form 10-K for the fiscal year ended December 31, 2023 filed with the Securities and Exchange Commission (the “SEC”) on March 12, 2024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Important factors, among others, that may affect actual results or outcomes include the inability to recognize the anticipated benefits of the business combination consummated on May 4, 2021 pursuant to a certain Agreement and Plan of Merger entered into by and among the Company and other parties (the “Business Combination”); costs related to the Business Combination; the Company’s availability of cash for debt service and exposure to risk of default under debt obligations; the Company’s ability to manage growth; the Company’s ability to execute its business plan; potential litigation involving the Company; changes in applicable laws or regulations; and the possibility that the Company may be adversely affected by other economic, business, and/or competitive factors. The Company does not undertake any obligation to update or revise any forward-looking statements, whether as a result of new information, future events or otherwise, except as required by law.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also with our audited consolidated financial statements and notes thereto included in our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references to the “Company”, “Hydrafacial”, “we”, “us”, and “our” in this section are intended to mean the business and operations of The Beauty Health Company and its consolidated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The Beauty Health Company is a global category-creating company delivering skin health experiences that help consumers reinvent their relationship with their skin, bodies and self-confidence. The Company and its subsidiaries design, develop, manufacture, market, and sell esthetic technologies and products. The Company’s brands are pioneers: Hydrafacial in hydradermabrasion; SkinStylus in microneedling; and Keravive in scalp health. Together, with its powerful global community of estheticians, partners and consumers, the Company is personalizing skin health for all ages, genders, skin tones, and skin types.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Business and Macroeconomic Conditions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During the </w:t>
      </w:r>
      <w:r>
        <w:rPr>
          <w:rFonts w:ascii="Times New Roman;sans-serif" w:hAnsi="Times New Roman;sans-serif"/>
          <w:b w:val="false"/>
          <w:color w:val="000000"/>
          <w:sz w:val="20"/>
        </w:rPr>
        <w:t>three and nine months ended</w:t>
      </w:r>
      <w:r>
        <w:rPr>
          <w:color w:val="231F20"/>
        </w:rPr>
        <w:t xml:space="preserve"> </w:t>
      </w:r>
      <w:r>
        <w:rPr>
          <w:rFonts w:ascii="Times New Roman;sans-serif" w:hAnsi="Times New Roman;sans-serif"/>
          <w:b w:val="false"/>
          <w:color w:val="000000"/>
          <w:sz w:val="20"/>
        </w:rPr>
        <w:t>September 30, 2024</w:t>
      </w:r>
      <w:r>
        <w:rPr>
          <w:rFonts w:ascii="Times New Roman;sans-serif" w:hAnsi="Times New Roman;sans-serif"/>
          <w:b w:val="false"/>
          <w:color w:val="231F20"/>
          <w:sz w:val="20"/>
        </w:rPr>
        <w:t xml:space="preserve">, we continued to execute against our plan to expand our footprint by selling and placing our patented hydradermabrasion delivery systems (“Delivery Systems”) worldwide, drive consumables, which consist of single-use tips, solutions, serums and other consumables used to provide a hydrafacial treatment that cleanses, extracts, and hydrates the skin (collectively “Consumables”), invest in our community of providers, partners, and consumers, drive brand awareness, and optimize our global infrastructure. Although we believe we can be successful in our current operating environment, various factors may impact our business in unpredictable ways such as: </w:t>
      </w:r>
    </w:p>
    <w:p>
      <w:pPr>
        <w:pStyle w:val="TextBody"/>
        <w:bidi w:val="0"/>
        <w:spacing w:lineRule="auto" w:line="268" w:before="0" w:after="0"/>
        <w:ind w:left="0" w:right="0" w:hanging="360"/>
        <w:jc w:val="left"/>
        <w:rPr/>
      </w:pPr>
      <w:r>
        <w:rPr>
          <w:color w:val="231F20"/>
        </w:rPr>
        <w:t>•</w:t>
      </w:r>
      <w:r>
        <w:rPr>
          <w:rFonts w:ascii="Times New Roman;sans-serif" w:hAnsi="Times New Roman;sans-serif"/>
          <w:b w:val="false"/>
          <w:color w:val="231F20"/>
          <w:sz w:val="20"/>
        </w:rPr>
        <w:t xml:space="preserve">Disruptions in transportation and other supply chain related constraints, such as labor strife in the transportation industry; </w:t>
      </w:r>
    </w:p>
    <w:p>
      <w:pPr>
        <w:pStyle w:val="TextBody"/>
        <w:bidi w:val="0"/>
        <w:spacing w:lineRule="auto" w:line="268" w:before="0" w:after="0"/>
        <w:ind w:left="0" w:right="0" w:hanging="360"/>
        <w:jc w:val="left"/>
        <w:rPr/>
      </w:pPr>
      <w:r>
        <w:rPr>
          <w:color w:val="231F20"/>
        </w:rPr>
        <w:t>•</w:t>
      </w:r>
      <w:r>
        <w:rPr>
          <w:rFonts w:ascii="Times New Roman;sans-serif" w:hAnsi="Times New Roman;sans-serif"/>
          <w:b w:val="false"/>
          <w:color w:val="231F20"/>
          <w:sz w:val="20"/>
        </w:rPr>
        <w:t>Global economic conditions, including inflation, recession, changes in foreign currency exchange rates, higher interest rates, and other changes in economic conditions; and</w:t>
      </w:r>
    </w:p>
    <w:p>
      <w:pPr>
        <w:pStyle w:val="TextBody"/>
        <w:bidi w:val="0"/>
        <w:spacing w:lineRule="auto" w:line="268" w:before="0" w:after="0"/>
        <w:ind w:left="0" w:right="0" w:hanging="360"/>
        <w:jc w:val="left"/>
        <w:rPr/>
      </w:pPr>
      <w:r>
        <w:rPr>
          <w:color w:val="231F20"/>
        </w:rPr>
        <w:t>•</w:t>
      </w:r>
      <w:r>
        <w:rPr>
          <w:rFonts w:ascii="Times New Roman;sans-serif" w:hAnsi="Times New Roman;sans-serif"/>
          <w:b w:val="false"/>
          <w:color w:val="231F20"/>
          <w:sz w:val="20"/>
        </w:rPr>
        <w:t>Ongoing issues related to new and older models of Hydrafacial’s current generation Delivery System, Syndeo, and our actions to remediate such ongoing issues. The Company provided, at no cost to the customer, the option of (i) a technician upgrade to their Syndeo 1.0 or 2.0 devices to 3.0 standards in the field; or (ii) a replacement Syndeo 3.0 device for their existing device (the “Syndeo Program”). The Company executed replacements under the Syndeo Program and continues to address customer cases under warranty. As of September 30, 2024, the Syndeo Program is complete.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We may be able to offset cost pressures through increasing the selling prices of some of our products, increasing value engineering efforts to optimize product costs, increasing the diversification of our suppliers and supplier contracts, increasing natural foreign currency hedging, as applicable, and reducing discretionary spending. However, our pricing actions could have an adverse impact on demand, and may in turn, cause our providers to halt or decrease Delivery Systems and/or Consumables spending, and our actions may not be sufficient to cover unexpected increased costs that we may experience.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Business and macroeconomic factors may also negatively impact, in the short-term or long-term, the global economy, the beauty health industry, our providers and their budgets with us, our business, the Company’s brand reputation, financial condition, and results of operations. We remain attentive to these business and macroeconomic conditions that may materially impact our business, and we continue to explore and implement reporting and quality management systems and risk mitigation strategies so that the Company can remain agile in responding to changing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Comparison of Three Months Ended September 30, 2024 to Three Months Ended September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three months ended September 30, 2024 and September 30, 2023, have been derived from the condensed consolidated financial statements included elsewhere in this Quarterly Report on Form 10-Q. Amounts and percentages may not foot due to rounding.</w:t>
      </w:r>
    </w:p>
    <w:tbl>
      <w:tblPr>
        <w:tblW w:w="9066" w:type="dxa"/>
        <w:jc w:val="left"/>
        <w:tblInd w:w="0" w:type="dxa"/>
        <w:tblLayout w:type="fixed"/>
        <w:tblCellMar>
          <w:top w:w="28" w:type="dxa"/>
          <w:left w:w="28" w:type="dxa"/>
          <w:bottom w:w="28" w:type="dxa"/>
          <w:right w:w="28" w:type="dxa"/>
        </w:tblCellMar>
      </w:tblPr>
      <w:tblGrid>
        <w:gridCol w:w="1332"/>
        <w:gridCol w:w="1169"/>
        <w:gridCol w:w="1173"/>
        <w:gridCol w:w="211"/>
        <w:gridCol w:w="586"/>
        <w:gridCol w:w="109"/>
        <w:gridCol w:w="109"/>
        <w:gridCol w:w="109"/>
        <w:gridCol w:w="109"/>
        <w:gridCol w:w="308"/>
        <w:gridCol w:w="308"/>
        <w:gridCol w:w="648"/>
        <w:gridCol w:w="109"/>
        <w:gridCol w:w="109"/>
        <w:gridCol w:w="109"/>
        <w:gridCol w:w="211"/>
        <w:gridCol w:w="586"/>
        <w:gridCol w:w="109"/>
        <w:gridCol w:w="109"/>
        <w:gridCol w:w="109"/>
        <w:gridCol w:w="109"/>
        <w:gridCol w:w="308"/>
        <w:gridCol w:w="308"/>
        <w:gridCol w:w="719"/>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September 30,</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of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of Net Sales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Cost of sales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48.4 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112.9 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Gross profit (loss)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51.6 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(12.9)</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Operating expenses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Selling and marketing</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35.0 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31.5 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Research and development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General and administrative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42.4 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38.0 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operating expenses </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78.9 </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71.4 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Loss from operations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(27.3)</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(84.3)</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income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(6.2)</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income,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(5.0)</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Change in fair value of warrant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(0.5)</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(6.0)</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Foreign currency transaction (gain) loss,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(2.9)</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Loss before provision for income taxes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(20.7)</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(72.2)</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Income tax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(23.2)</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(75.8)</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bl>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Net Sales</w:t>
      </w:r>
    </w:p>
    <w:tbl>
      <w:tblPr>
        <w:tblW w:w="7094" w:type="dxa"/>
        <w:jc w:val="left"/>
        <w:tblInd w:w="0" w:type="dxa"/>
        <w:tblLayout w:type="fixed"/>
        <w:tblCellMar>
          <w:top w:w="28" w:type="dxa"/>
          <w:left w:w="28" w:type="dxa"/>
          <w:bottom w:w="28" w:type="dxa"/>
          <w:right w:w="28" w:type="dxa"/>
        </w:tblCellMar>
      </w:tblPr>
      <w:tblGrid>
        <w:gridCol w:w="706"/>
        <w:gridCol w:w="621"/>
        <w:gridCol w:w="622"/>
        <w:gridCol w:w="284"/>
        <w:gridCol w:w="690"/>
        <w:gridCol w:w="147"/>
        <w:gridCol w:w="147"/>
        <w:gridCol w:w="147"/>
        <w:gridCol w:w="147"/>
        <w:gridCol w:w="284"/>
        <w:gridCol w:w="690"/>
        <w:gridCol w:w="147"/>
        <w:gridCol w:w="109"/>
        <w:gridCol w:w="109"/>
        <w:gridCol w:w="109"/>
        <w:gridCol w:w="211"/>
        <w:gridCol w:w="586"/>
        <w:gridCol w:w="109"/>
        <w:gridCol w:w="109"/>
        <w:gridCol w:w="109"/>
        <w:gridCol w:w="109"/>
        <w:gridCol w:w="293"/>
        <w:gridCol w:w="293"/>
        <w:gridCol w:w="316"/>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sales</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64" w:before="1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Delivery Systems</w:t>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Consumables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46.4 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net sales</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78.8 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97.4 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(19.1)</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Percentage of net sales</w:t>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Delivery Systems</w:t>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35.0%</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Consumables</w:t>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65.0%</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w:t>
            </w:r>
          </w:p>
        </w:tc>
        <w:tc>
          <w:tcPr>
            <w:tcW w:w="112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231F20"/>
          <w:sz w:val="20"/>
        </w:rPr>
        <w:t xml:space="preserve">Total net sales for the three months ended September 30, 2024 </w:t>
      </w:r>
      <w:r>
        <w:rPr>
          <w:rFonts w:ascii="Times New Roman;sans-serif" w:hAnsi="Times New Roman;sans-serif"/>
          <w:b w:val="false"/>
          <w:color w:val="000000"/>
          <w:sz w:val="20"/>
        </w:rPr>
        <w:t>decreased</w:t>
      </w:r>
      <w:r>
        <w:rPr>
          <w:color w:val="231F20"/>
        </w:rPr>
        <w:t xml:space="preserve"> </w:t>
      </w:r>
      <w:r>
        <w:rPr>
          <w:rFonts w:ascii="Times New Roman;sans-serif" w:hAnsi="Times New Roman;sans-serif"/>
          <w:b w:val="false"/>
          <w:color w:val="000000"/>
          <w:sz w:val="20"/>
        </w:rPr>
        <w:t>$18.6 million</w:t>
      </w:r>
      <w:r>
        <w:rPr>
          <w:rFonts w:ascii="Times New Roman;sans-serif" w:hAnsi="Times New Roman;sans-serif"/>
          <w:b w:val="false"/>
          <w:color w:val="231F20"/>
          <w:sz w:val="20"/>
        </w:rPr>
        <w:t xml:space="preserve">, or </w:t>
      </w:r>
      <w:r>
        <w:rPr>
          <w:rFonts w:ascii="Times New Roman;sans-serif" w:hAnsi="Times New Roman;sans-serif"/>
          <w:b w:val="false"/>
          <w:color w:val="000000"/>
          <w:sz w:val="20"/>
        </w:rPr>
        <w:t>19.1%</w:t>
      </w:r>
      <w:r>
        <w:rPr>
          <w:rFonts w:ascii="Times New Roman;sans-serif" w:hAnsi="Times New Roman;sans-serif"/>
          <w:b w:val="false"/>
          <w:color w:val="231F20"/>
          <w:sz w:val="20"/>
        </w:rPr>
        <w:t xml:space="preserve">, compared to the three months ended September 30, 2023. Delivery Systems net sales for the three months ended September 30, 2024 </w:t>
      </w:r>
      <w:r>
        <w:rPr>
          <w:rFonts w:ascii="Times New Roman;sans-serif" w:hAnsi="Times New Roman;sans-serif"/>
          <w:b w:val="false"/>
          <w:color w:val="000000"/>
          <w:sz w:val="20"/>
        </w:rPr>
        <w:t>decreased</w:t>
      </w:r>
      <w:r>
        <w:rPr>
          <w:color w:val="231F20"/>
        </w:rPr>
        <w:t xml:space="preserve"> </w:t>
      </w:r>
      <w:r>
        <w:rPr>
          <w:rFonts w:ascii="Times New Roman;sans-serif" w:hAnsi="Times New Roman;sans-serif"/>
          <w:b w:val="false"/>
          <w:color w:val="000000"/>
          <w:sz w:val="20"/>
        </w:rPr>
        <w:t>$23.4 million</w:t>
      </w:r>
      <w:r>
        <w:rPr>
          <w:rFonts w:ascii="Times New Roman;sans-serif" w:hAnsi="Times New Roman;sans-serif"/>
          <w:b w:val="false"/>
          <w:color w:val="231F20"/>
          <w:sz w:val="20"/>
        </w:rPr>
        <w:t xml:space="preserve">, or </w:t>
      </w:r>
      <w:r>
        <w:rPr>
          <w:rFonts w:ascii="Times New Roman;sans-serif" w:hAnsi="Times New Roman;sans-serif"/>
          <w:b w:val="false"/>
          <w:color w:val="000000"/>
          <w:sz w:val="20"/>
        </w:rPr>
        <w:t>45.9%</w:t>
      </w:r>
      <w:r>
        <w:rPr>
          <w:rFonts w:ascii="Times New Roman;sans-serif" w:hAnsi="Times New Roman;sans-serif"/>
          <w:b w:val="false"/>
          <w:color w:val="231F20"/>
          <w:sz w:val="20"/>
        </w:rPr>
        <w:t>, compared to the three months ended September 30, 2023, with decreases across all regions. The decrease in Delivery Systems net sales reflects a challenging year-over-year comparison due to the prior year international launch of Syndeo, which included net sales from the trade-up program. Delivery Systems net sales were also negatively impacted globally by unfavorable macroeconomic and credit conditions and as the Company works to strengthen customer confidence in Syndeo.</w:t>
      </w:r>
    </w:p>
    <w:p>
      <w:pPr>
        <w:pStyle w:val="TextBody"/>
        <w:bidi w:val="0"/>
        <w:spacing w:lineRule="auto" w:line="288" w:before="240" w:after="283"/>
        <w:jc w:val="left"/>
        <w:rPr/>
      </w:pPr>
      <w:r>
        <w:rPr>
          <w:rFonts w:ascii="Times New Roman;sans-serif" w:hAnsi="Times New Roman;sans-serif"/>
          <w:b w:val="false"/>
          <w:color w:val="231F20"/>
          <w:sz w:val="20"/>
        </w:rPr>
        <w:t xml:space="preserve">Consumables net sales for the three months ended September 30, 2024 </w:t>
      </w:r>
      <w:r>
        <w:rPr>
          <w:rFonts w:ascii="Times New Roman;sans-serif" w:hAnsi="Times New Roman;sans-serif"/>
          <w:b w:val="false"/>
          <w:color w:val="000000"/>
          <w:sz w:val="20"/>
        </w:rPr>
        <w:t>increased</w:t>
      </w:r>
      <w:r>
        <w:rPr>
          <w:color w:val="231F20"/>
        </w:rPr>
        <w:t xml:space="preserve"> </w:t>
      </w:r>
      <w:r>
        <w:rPr>
          <w:rFonts w:ascii="Times New Roman;sans-serif" w:hAnsi="Times New Roman;sans-serif"/>
          <w:b w:val="false"/>
          <w:color w:val="000000"/>
          <w:sz w:val="20"/>
        </w:rPr>
        <w:t>$4.8 million</w:t>
      </w:r>
      <w:r>
        <w:rPr>
          <w:rFonts w:ascii="Times New Roman;sans-serif" w:hAnsi="Times New Roman;sans-serif"/>
          <w:b w:val="false"/>
          <w:color w:val="231F20"/>
          <w:sz w:val="20"/>
        </w:rPr>
        <w:t xml:space="preserve">, or </w:t>
      </w:r>
      <w:r>
        <w:rPr>
          <w:rFonts w:ascii="Times New Roman;sans-serif" w:hAnsi="Times New Roman;sans-serif"/>
          <w:b w:val="false"/>
          <w:color w:val="000000"/>
          <w:sz w:val="20"/>
        </w:rPr>
        <w:t>10.4%</w:t>
      </w:r>
      <w:r>
        <w:rPr>
          <w:rFonts w:ascii="Times New Roman;sans-serif" w:hAnsi="Times New Roman;sans-serif"/>
          <w:b w:val="false"/>
          <w:color w:val="231F20"/>
          <w:sz w:val="20"/>
        </w:rPr>
        <w:t>, compared to the three months ended September 30, 2023. The increase in Consumables net sales was primarily attributable to increased placements of Delivery Systems and the adjoining consumption of Consumables during the three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 Gross Profit (Loss), and Gross Margin</w:t>
      </w:r>
    </w:p>
    <w:tbl>
      <w:tblPr>
        <w:tblW w:w="6957" w:type="dxa"/>
        <w:jc w:val="left"/>
        <w:tblInd w:w="0" w:type="dxa"/>
        <w:tblLayout w:type="fixed"/>
        <w:tblCellMar>
          <w:top w:w="28" w:type="dxa"/>
          <w:left w:w="28" w:type="dxa"/>
          <w:bottom w:w="28" w:type="dxa"/>
          <w:right w:w="28" w:type="dxa"/>
        </w:tblCellMar>
      </w:tblPr>
      <w:tblGrid>
        <w:gridCol w:w="696"/>
        <w:gridCol w:w="611"/>
        <w:gridCol w:w="612"/>
        <w:gridCol w:w="234"/>
        <w:gridCol w:w="567"/>
        <w:gridCol w:w="301"/>
        <w:gridCol w:w="121"/>
        <w:gridCol w:w="121"/>
        <w:gridCol w:w="121"/>
        <w:gridCol w:w="234"/>
        <w:gridCol w:w="684"/>
        <w:gridCol w:w="301"/>
        <w:gridCol w:w="109"/>
        <w:gridCol w:w="109"/>
        <w:gridCol w:w="109"/>
        <w:gridCol w:w="211"/>
        <w:gridCol w:w="586"/>
        <w:gridCol w:w="109"/>
        <w:gridCol w:w="109"/>
        <w:gridCol w:w="109"/>
        <w:gridCol w:w="109"/>
        <w:gridCol w:w="232"/>
        <w:gridCol w:w="232"/>
        <w:gridCol w:w="330"/>
      </w:tblGrid>
      <w:tr>
        <w:trPr/>
        <w:tc>
          <w:tcPr>
            <w:tcW w:w="6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Cost of sales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(65.3)%</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Gross profit (loss)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N/M</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Gross margin</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N/M - Not meaningful</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231F20"/>
          <w:sz w:val="20"/>
        </w:rPr>
        <w:t xml:space="preserve">Cost of sales for the three months ended September 30, 2024 </w:t>
      </w:r>
      <w:r>
        <w:rPr>
          <w:rFonts w:ascii="Times New Roman;sans-serif" w:hAnsi="Times New Roman;sans-serif"/>
          <w:b w:val="false"/>
          <w:color w:val="000000"/>
          <w:sz w:val="20"/>
        </w:rPr>
        <w:t>decreased</w:t>
      </w:r>
      <w:r>
        <w:rPr>
          <w:color w:val="231F20"/>
        </w:rPr>
        <w:t xml:space="preserve"> </w:t>
      </w:r>
      <w:r>
        <w:rPr>
          <w:rFonts w:ascii="Times New Roman;sans-serif" w:hAnsi="Times New Roman;sans-serif"/>
          <w:b w:val="false"/>
          <w:color w:val="000000"/>
          <w:sz w:val="20"/>
        </w:rPr>
        <w:t xml:space="preserve">$71.8 million, compared to the three months ended September 30, 2023 primarily due to the absence of charges and inventory write-downs associated with the Syndeo Program of $63.1 million in 2023, and lower net sales, inventory related charges and product costs, partially offset by approximately $8 million of manufacturing optimization related costs incurred during the three months ended </w:t>
      </w:r>
      <w:r>
        <w:rPr>
          <w:rFonts w:ascii="Times New Roman;sans-serif" w:hAnsi="Times New Roman;sans-serif"/>
          <w:b w:val="false"/>
          <w:color w:val="231F20"/>
          <w:sz w:val="20"/>
        </w:rPr>
        <w:t>September 30, 2024</w:t>
      </w:r>
      <w:r>
        <w:rPr>
          <w:rFonts w:ascii="Times New Roman;sans-serif" w:hAnsi="Times New Roman;sans-serif"/>
          <w:b w:val="false"/>
          <w:color w:val="000000"/>
          <w:sz w:val="20"/>
        </w:rPr>
        <w:t xml:space="preserve">. </w:t>
      </w:r>
      <w:r>
        <w:rPr>
          <w:rFonts w:ascii="Times New Roman;sans-serif" w:hAnsi="Times New Roman;sans-serif"/>
          <w:b w:val="false"/>
          <w:color w:val="231F20"/>
          <w:sz w:val="20"/>
        </w:rPr>
        <w:t xml:space="preserve">Gross margin increased to </w:t>
      </w:r>
      <w:r>
        <w:rPr>
          <w:rFonts w:ascii="Times New Roman;sans-serif" w:hAnsi="Times New Roman;sans-serif"/>
          <w:b w:val="false"/>
          <w:color w:val="000000"/>
          <w:sz w:val="20"/>
        </w:rPr>
        <w:t>51.6%</w:t>
      </w:r>
      <w:r>
        <w:rPr>
          <w:color w:val="231F20"/>
        </w:rPr>
        <w:t xml:space="preserve"> </w:t>
      </w:r>
      <w:r>
        <w:rPr>
          <w:rFonts w:ascii="Times New Roman;sans-serif" w:hAnsi="Times New Roman;sans-serif"/>
          <w:b w:val="false"/>
          <w:color w:val="231F20"/>
          <w:sz w:val="20"/>
        </w:rPr>
        <w:t xml:space="preserve">for the three months ended September 30, 2024 from </w:t>
      </w:r>
      <w:r>
        <w:rPr>
          <w:rFonts w:ascii="Times New Roman;sans-serif" w:hAnsi="Times New Roman;sans-serif"/>
          <w:b w:val="false"/>
          <w:color w:val="000000"/>
          <w:sz w:val="20"/>
        </w:rPr>
        <w:t>(12.9)%</w:t>
      </w:r>
      <w:r>
        <w:rPr>
          <w:color w:val="231F20"/>
        </w:rPr>
        <w:t xml:space="preserve"> </w:t>
      </w:r>
      <w:r>
        <w:rPr>
          <w:rFonts w:ascii="Times New Roman;sans-serif" w:hAnsi="Times New Roman;sans-serif"/>
          <w:b w:val="false"/>
          <w:color w:val="231F20"/>
          <w:sz w:val="20"/>
        </w:rPr>
        <w:t xml:space="preserve">for the three months ended </w:t>
      </w:r>
      <w:r>
        <w:rPr>
          <w:rFonts w:ascii="Times New Roman;sans-serif" w:hAnsi="Times New Roman;sans-serif"/>
          <w:b w:val="false"/>
          <w:color w:val="000000"/>
          <w:sz w:val="20"/>
        </w:rPr>
        <w:t>September 30, 2023</w:t>
      </w:r>
      <w:r>
        <w:rPr>
          <w:color w:val="231F20"/>
        </w:rPr>
        <w:t xml:space="preserve"> </w:t>
      </w:r>
      <w:r>
        <w:rPr>
          <w:rFonts w:ascii="Times New Roman;sans-serif" w:hAnsi="Times New Roman;sans-serif"/>
          <w:b w:val="false"/>
          <w:color w:val="231F20"/>
          <w:sz w:val="20"/>
        </w:rPr>
        <w:t>primarily due to prior year’s charges and inventory write-downs associated with the Syndeo Program and lower inventory related charges and product costs, partially offset by the manufacturing optimization related costs.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 xml:space="preserve">Operating Expenses </w:t>
      </w:r>
    </w:p>
    <w:p>
      <w:pPr>
        <w:pStyle w:val="TextBody"/>
        <w:bidi w:val="0"/>
        <w:spacing w:before="0" w:after="0"/>
        <w:jc w:val="left"/>
        <w:rPr/>
      </w:pPr>
      <w:r>
        <w:rPr/>
      </w:r>
    </w:p>
    <w:p>
      <w:pPr>
        <w:pStyle w:val="TextBody"/>
        <w:bidi w:val="0"/>
        <w:spacing w:lineRule="auto" w:line="288" w:before="0" w:after="120"/>
        <w:ind w:left="0" w:right="0" w:firstLine="540"/>
        <w:jc w:val="left"/>
        <w:rPr>
          <w:rFonts w:ascii="Times New Roman;sans-serif" w:hAnsi="Times New Roman;sans-serif"/>
          <w:b/>
          <w:i/>
          <w:color w:val="231F20"/>
          <w:sz w:val="20"/>
        </w:rPr>
      </w:pPr>
      <w:r>
        <w:rPr>
          <w:rFonts w:ascii="Times New Roman;sans-serif" w:hAnsi="Times New Roman;sans-serif"/>
          <w:b/>
          <w:i/>
          <w:color w:val="231F20"/>
          <w:sz w:val="20"/>
        </w:rPr>
        <w:t>Selling and Marketing</w:t>
      </w:r>
    </w:p>
    <w:tbl>
      <w:tblPr>
        <w:tblW w:w="7423" w:type="dxa"/>
        <w:jc w:val="left"/>
        <w:tblInd w:w="0" w:type="dxa"/>
        <w:tblLayout w:type="fixed"/>
        <w:tblCellMar>
          <w:top w:w="28" w:type="dxa"/>
          <w:left w:w="28" w:type="dxa"/>
          <w:bottom w:w="28" w:type="dxa"/>
          <w:right w:w="28" w:type="dxa"/>
        </w:tblCellMar>
      </w:tblPr>
      <w:tblGrid>
        <w:gridCol w:w="864"/>
        <w:gridCol w:w="759"/>
        <w:gridCol w:w="761"/>
        <w:gridCol w:w="245"/>
        <w:gridCol w:w="593"/>
        <w:gridCol w:w="314"/>
        <w:gridCol w:w="126"/>
        <w:gridCol w:w="126"/>
        <w:gridCol w:w="126"/>
        <w:gridCol w:w="245"/>
        <w:gridCol w:w="593"/>
        <w:gridCol w:w="314"/>
        <w:gridCol w:w="109"/>
        <w:gridCol w:w="109"/>
        <w:gridCol w:w="109"/>
        <w:gridCol w:w="211"/>
        <w:gridCol w:w="481"/>
        <w:gridCol w:w="109"/>
        <w:gridCol w:w="109"/>
        <w:gridCol w:w="109"/>
        <w:gridCol w:w="109"/>
        <w:gridCol w:w="293"/>
        <w:gridCol w:w="293"/>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Selling and marketing</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27.6 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30.7 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As a percentage of net sales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35.0 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31.5 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for the three months ended September 30, 2024 decreased $3.1 million, or 10.1%, compared to the three months ended September 30, 2023. The decrease is primarily driven by lower sales commission expense, personnel-related expenses, and marketing tradeshows and event expenses.</w:t>
      </w:r>
    </w:p>
    <w:p>
      <w:pPr>
        <w:pStyle w:val="TextBody"/>
        <w:bidi w:val="0"/>
        <w:spacing w:lineRule="auto" w:line="288" w:before="240" w:after="283"/>
        <w:ind w:left="0" w:right="0" w:firstLine="540"/>
        <w:jc w:val="left"/>
        <w:rPr>
          <w:rFonts w:ascii="Times New Roman;sans-serif" w:hAnsi="Times New Roman;sans-serif"/>
          <w:b/>
          <w:i/>
          <w:color w:val="231F20"/>
          <w:sz w:val="20"/>
        </w:rPr>
      </w:pPr>
      <w:r>
        <w:rPr>
          <w:rFonts w:ascii="Times New Roman;sans-serif" w:hAnsi="Times New Roman;sans-serif"/>
          <w:b/>
          <w:i/>
          <w:color w:val="231F20"/>
          <w:sz w:val="20"/>
        </w:rPr>
        <w:t>Research and Development</w:t>
      </w:r>
    </w:p>
    <w:tbl>
      <w:tblPr>
        <w:tblW w:w="7469" w:type="dxa"/>
        <w:jc w:val="left"/>
        <w:tblInd w:w="0" w:type="dxa"/>
        <w:tblLayout w:type="fixed"/>
        <w:tblCellMar>
          <w:top w:w="28" w:type="dxa"/>
          <w:left w:w="28" w:type="dxa"/>
          <w:bottom w:w="28" w:type="dxa"/>
          <w:right w:w="28" w:type="dxa"/>
        </w:tblCellMar>
      </w:tblPr>
      <w:tblGrid>
        <w:gridCol w:w="879"/>
        <w:gridCol w:w="772"/>
        <w:gridCol w:w="778"/>
        <w:gridCol w:w="269"/>
        <w:gridCol w:w="518"/>
        <w:gridCol w:w="346"/>
        <w:gridCol w:w="139"/>
        <w:gridCol w:w="139"/>
        <w:gridCol w:w="139"/>
        <w:gridCol w:w="269"/>
        <w:gridCol w:w="518"/>
        <w:gridCol w:w="346"/>
        <w:gridCol w:w="109"/>
        <w:gridCol w:w="109"/>
        <w:gridCol w:w="109"/>
        <w:gridCol w:w="211"/>
        <w:gridCol w:w="481"/>
        <w:gridCol w:w="109"/>
        <w:gridCol w:w="109"/>
        <w:gridCol w:w="109"/>
        <w:gridCol w:w="109"/>
        <w:gridCol w:w="293"/>
        <w:gridCol w:w="293"/>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Research and development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 xml:space="preserve">As a percentage of net sales </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for the three months ended September 30, 2024 decreased $0.7 million, or 39.7%, compared to the three months ended September 30, 2023. The decrease is primarily driven by lower personnel-related expenses, including share-based compensation expense.</w:t>
      </w:r>
    </w:p>
    <w:p>
      <w:pPr>
        <w:pStyle w:val="TextBody"/>
        <w:bidi w:val="0"/>
        <w:spacing w:lineRule="auto" w:line="288" w:before="240" w:after="283"/>
        <w:ind w:left="0" w:right="0" w:firstLine="540"/>
        <w:jc w:val="left"/>
        <w:rPr>
          <w:rFonts w:ascii="Times New Roman;sans-serif" w:hAnsi="Times New Roman;sans-serif"/>
          <w:b/>
          <w:i/>
          <w:color w:val="231F20"/>
          <w:sz w:val="20"/>
        </w:rPr>
      </w:pPr>
      <w:r>
        <w:rPr>
          <w:rFonts w:ascii="Times New Roman;sans-serif" w:hAnsi="Times New Roman;sans-serif"/>
          <w:b/>
          <w:i/>
          <w:color w:val="231F20"/>
          <w:sz w:val="20"/>
        </w:rPr>
        <w:t>General and Administrative</w:t>
      </w:r>
    </w:p>
    <w:tbl>
      <w:tblPr>
        <w:tblW w:w="7363" w:type="dxa"/>
        <w:jc w:val="left"/>
        <w:tblInd w:w="0" w:type="dxa"/>
        <w:tblLayout w:type="fixed"/>
        <w:tblCellMar>
          <w:top w:w="28" w:type="dxa"/>
          <w:left w:w="28" w:type="dxa"/>
          <w:bottom w:w="28" w:type="dxa"/>
          <w:right w:w="28" w:type="dxa"/>
        </w:tblCellMar>
      </w:tblPr>
      <w:tblGrid>
        <w:gridCol w:w="879"/>
        <w:gridCol w:w="772"/>
        <w:gridCol w:w="779"/>
        <w:gridCol w:w="245"/>
        <w:gridCol w:w="593"/>
        <w:gridCol w:w="314"/>
        <w:gridCol w:w="126"/>
        <w:gridCol w:w="126"/>
        <w:gridCol w:w="126"/>
        <w:gridCol w:w="245"/>
        <w:gridCol w:w="593"/>
        <w:gridCol w:w="314"/>
        <w:gridCol w:w="109"/>
        <w:gridCol w:w="109"/>
        <w:gridCol w:w="109"/>
        <w:gridCol w:w="211"/>
        <w:gridCol w:w="481"/>
        <w:gridCol w:w="109"/>
        <w:gridCol w:w="109"/>
        <w:gridCol w:w="109"/>
        <w:gridCol w:w="109"/>
        <w:gridCol w:w="239"/>
        <w:gridCol w:w="241"/>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General and administrative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33.4 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37.0 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 xml:space="preserve">As a percentage of net sales </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42.4 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38.0 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ans-serif" w:hAnsi="Times New Roman;sans-serif"/>
          <w:b w:val="false"/>
          <w:color w:val="231F20"/>
          <w:sz w:val="20"/>
        </w:rPr>
        <w:t xml:space="preserve">General and administrative expense for the three months ended </w:t>
      </w:r>
      <w:r>
        <w:rPr>
          <w:rFonts w:ascii="Times New Roman;sans-serif" w:hAnsi="Times New Roman;sans-serif"/>
          <w:b w:val="false"/>
          <w:color w:val="000000"/>
          <w:sz w:val="20"/>
        </w:rPr>
        <w:t>September 30, 2024</w:t>
      </w:r>
      <w:r>
        <w:rPr>
          <w:color w:val="231F20"/>
        </w:rPr>
        <w:t xml:space="preserve"> </w:t>
      </w:r>
      <w:r>
        <w:rPr>
          <w:rFonts w:ascii="Times New Roman;sans-serif" w:hAnsi="Times New Roman;sans-serif"/>
          <w:b w:val="false"/>
          <w:color w:val="000000"/>
          <w:sz w:val="20"/>
        </w:rPr>
        <w:t>decreased</w:t>
      </w:r>
      <w:r>
        <w:rPr>
          <w:color w:val="231F20"/>
        </w:rPr>
        <w:t xml:space="preserve"> </w:t>
      </w:r>
      <w:r>
        <w:rPr>
          <w:rFonts w:ascii="Times New Roman;sans-serif" w:hAnsi="Times New Roman;sans-serif"/>
          <w:b w:val="false"/>
          <w:color w:val="231F20"/>
          <w:sz w:val="20"/>
        </w:rPr>
        <w:t>$3.5 million, or 9.6%, compared to the three months ended September 30, 2023. The decrease is primarily driven by lower losses on sale of assets and personnel-related expenses, partially offset by higher provision for estimated credit losses.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Interest Income, Change in Fair Value of Warrant Liabilities, and Other Income, Net</w:t>
      </w:r>
    </w:p>
    <w:tbl>
      <w:tblPr>
        <w:tblW w:w="8411" w:type="dxa"/>
        <w:jc w:val="left"/>
        <w:tblInd w:w="0" w:type="dxa"/>
        <w:tblLayout w:type="fixed"/>
        <w:tblCellMar>
          <w:top w:w="28" w:type="dxa"/>
          <w:left w:w="28" w:type="dxa"/>
          <w:bottom w:w="28" w:type="dxa"/>
          <w:right w:w="28" w:type="dxa"/>
        </w:tblCellMar>
      </w:tblPr>
      <w:tblGrid>
        <w:gridCol w:w="1251"/>
        <w:gridCol w:w="1097"/>
        <w:gridCol w:w="1102"/>
        <w:gridCol w:w="293"/>
        <w:gridCol w:w="669"/>
        <w:gridCol w:w="151"/>
        <w:gridCol w:w="151"/>
        <w:gridCol w:w="151"/>
        <w:gridCol w:w="151"/>
        <w:gridCol w:w="293"/>
        <w:gridCol w:w="669"/>
        <w:gridCol w:w="151"/>
        <w:gridCol w:w="109"/>
        <w:gridCol w:w="109"/>
        <w:gridCol w:w="109"/>
        <w:gridCol w:w="211"/>
        <w:gridCol w:w="406"/>
        <w:gridCol w:w="109"/>
        <w:gridCol w:w="109"/>
        <w:gridCol w:w="109"/>
        <w:gridCol w:w="109"/>
        <w:gridCol w:w="293"/>
        <w:gridCol w:w="293"/>
        <w:gridCol w:w="316"/>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Interest income</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(6.8)</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Change in fair value of warrant liabilities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Other income, net</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00" w:after="283"/>
        <w:jc w:val="left"/>
        <w:rPr/>
      </w:pPr>
      <w:r>
        <w:rPr>
          <w:rFonts w:ascii="Times New Roman;sans-serif" w:hAnsi="Times New Roman;sans-serif"/>
          <w:b w:val="false"/>
          <w:color w:val="231F20"/>
          <w:sz w:val="20"/>
        </w:rPr>
        <w:t xml:space="preserve">Interest income for the three months ended </w:t>
      </w:r>
      <w:r>
        <w:rPr>
          <w:rFonts w:ascii="Times New Roman;sans-serif" w:hAnsi="Times New Roman;sans-serif"/>
          <w:b w:val="false"/>
          <w:color w:val="000000"/>
          <w:sz w:val="20"/>
        </w:rPr>
        <w:t>September 30, 2024</w:t>
      </w:r>
      <w:r>
        <w:rPr>
          <w:color w:val="231F20"/>
        </w:rPr>
        <w:t xml:space="preserve"> </w:t>
      </w:r>
      <w:r>
        <w:rPr>
          <w:rFonts w:ascii="Times New Roman;sans-serif" w:hAnsi="Times New Roman;sans-serif"/>
          <w:b w:val="false"/>
          <w:color w:val="000000"/>
          <w:sz w:val="20"/>
        </w:rPr>
        <w:t>decreased</w:t>
      </w:r>
      <w:r>
        <w:rPr>
          <w:color w:val="231F20"/>
        </w:rPr>
        <w:t xml:space="preserve"> </w:t>
      </w:r>
      <w:r>
        <w:rPr>
          <w:rFonts w:ascii="Times New Roman;sans-serif" w:hAnsi="Times New Roman;sans-serif"/>
          <w:b w:val="false"/>
          <w:color w:val="231F20"/>
          <w:sz w:val="20"/>
        </w:rPr>
        <w:t xml:space="preserve">$1.9 million compared to the three months ended </w:t>
      </w:r>
      <w:r>
        <w:rPr>
          <w:rFonts w:ascii="Times New Roman;sans-serif" w:hAnsi="Times New Roman;sans-serif"/>
          <w:b w:val="false"/>
          <w:color w:val="000000"/>
          <w:sz w:val="20"/>
        </w:rPr>
        <w:t>September 30, 2023</w:t>
      </w:r>
      <w:r>
        <w:rPr>
          <w:color w:val="231F20"/>
        </w:rPr>
        <w:t xml:space="preserve"> </w:t>
      </w:r>
      <w:r>
        <w:rPr>
          <w:rFonts w:ascii="Times New Roman;sans-serif" w:hAnsi="Times New Roman;sans-serif"/>
          <w:b w:val="false"/>
          <w:color w:val="231F20"/>
          <w:sz w:val="20"/>
        </w:rPr>
        <w:t xml:space="preserve">primarily due to lower average invested balances during the three months ended </w:t>
      </w:r>
      <w:r>
        <w:rPr>
          <w:rFonts w:ascii="Times New Roman;sans-serif" w:hAnsi="Times New Roman;sans-serif"/>
          <w:b w:val="false"/>
          <w:color w:val="000000"/>
          <w:sz w:val="20"/>
        </w:rPr>
        <w:t>September 30, 2024</w:t>
      </w:r>
      <w:r>
        <w:rPr>
          <w:rFonts w:ascii="Times New Roman;sans-serif" w:hAnsi="Times New Roman;sans-serif"/>
          <w:b w:val="false"/>
          <w:color w:val="231F2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During the three months ended </w:t>
      </w:r>
      <w:r>
        <w:rPr>
          <w:rFonts w:ascii="Times New Roman;sans-serif" w:hAnsi="Times New Roman;sans-serif"/>
          <w:b w:val="false"/>
          <w:color w:val="000000"/>
          <w:sz w:val="20"/>
        </w:rPr>
        <w:t>September 30, 2024</w:t>
      </w:r>
      <w:r>
        <w:rPr>
          <w:rFonts w:ascii="Times New Roman;sans-serif" w:hAnsi="Times New Roman;sans-serif"/>
          <w:b w:val="false"/>
          <w:color w:val="231F20"/>
          <w:sz w:val="20"/>
        </w:rPr>
        <w:t xml:space="preserve">, the Company recognized income of $0.4 million related to the change in the fair value of the warrant liabilities, a </w:t>
      </w:r>
      <w:r>
        <w:rPr>
          <w:rFonts w:ascii="Times New Roman;sans-serif" w:hAnsi="Times New Roman;sans-serif"/>
          <w:b w:val="false"/>
          <w:color w:val="000000"/>
          <w:sz w:val="20"/>
        </w:rPr>
        <w:t>decrease</w:t>
      </w:r>
      <w:r>
        <w:rPr>
          <w:color w:val="231F20"/>
        </w:rPr>
        <w:t xml:space="preserve"> </w:t>
      </w:r>
      <w:r>
        <w:rPr>
          <w:rFonts w:ascii="Times New Roman;sans-serif" w:hAnsi="Times New Roman;sans-serif"/>
          <w:b w:val="false"/>
          <w:color w:val="231F20"/>
          <w:sz w:val="20"/>
        </w:rPr>
        <w:t xml:space="preserve">of $5.4 million, as compared to income of $5.9 million for the three months ended </w:t>
      </w:r>
      <w:r>
        <w:rPr>
          <w:rFonts w:ascii="Times New Roman;sans-serif" w:hAnsi="Times New Roman;sans-serif"/>
          <w:b w:val="false"/>
          <w:color w:val="000000"/>
          <w:sz w:val="20"/>
        </w:rPr>
        <w:t>September 30, 2023</w:t>
      </w:r>
      <w:r>
        <w:rPr>
          <w:rFonts w:ascii="Times New Roman;sans-serif" w:hAnsi="Times New Roman;sans-serif"/>
          <w:b w:val="false"/>
          <w:color w:val="231F20"/>
          <w:sz w:val="20"/>
        </w:rPr>
        <w:t>, driven primarily by the fluctuation of the price of the Company’s Class A common stock (the “Class A Common Stock”).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shd w:fill="FFFFFF" w:val="clear"/>
        </w:rPr>
        <w:t xml:space="preserve">Other income, net </w:t>
      </w:r>
      <w:r>
        <w:rPr>
          <w:rFonts w:ascii="Times New Roman;sans-serif" w:hAnsi="Times New Roman;sans-serif"/>
          <w:b w:val="false"/>
          <w:color w:val="231F20"/>
          <w:sz w:val="20"/>
        </w:rPr>
        <w:t xml:space="preserve">for the three months ended </w:t>
      </w:r>
      <w:r>
        <w:rPr>
          <w:rFonts w:ascii="Times New Roman;sans-serif" w:hAnsi="Times New Roman;sans-serif"/>
          <w:b w:val="false"/>
          <w:color w:val="000000"/>
          <w:sz w:val="20"/>
        </w:rPr>
        <w:t>September 30, 2024</w:t>
      </w:r>
      <w:r>
        <w:rPr>
          <w:color w:val="231F20"/>
          <w:shd w:fill="FFFFFF" w:val="clear"/>
        </w:rPr>
        <w:t xml:space="preserve"> </w:t>
      </w:r>
      <w:r>
        <w:rPr>
          <w:rFonts w:ascii="Times New Roman;sans-serif" w:hAnsi="Times New Roman;sans-serif"/>
          <w:b w:val="false"/>
          <w:color w:val="000000"/>
          <w:sz w:val="20"/>
        </w:rPr>
        <w:t xml:space="preserve">decreased </w:t>
      </w:r>
      <w:r>
        <w:rPr>
          <w:rFonts w:ascii="Times New Roman;sans-serif" w:hAnsi="Times New Roman;sans-serif"/>
          <w:b w:val="false"/>
          <w:color w:val="231F20"/>
          <w:sz w:val="20"/>
        </w:rPr>
        <w:t xml:space="preserve">$4.8 million compared to the three months ended </w:t>
      </w:r>
      <w:r>
        <w:rPr>
          <w:rFonts w:ascii="Times New Roman;sans-serif" w:hAnsi="Times New Roman;sans-serif"/>
          <w:b w:val="false"/>
          <w:color w:val="000000"/>
          <w:sz w:val="20"/>
        </w:rPr>
        <w:t>September 30, 2023</w:t>
      </w:r>
      <w:r>
        <w:rPr>
          <w:color w:val="231F20"/>
        </w:rPr>
        <w:t xml:space="preserve"> </w:t>
      </w:r>
      <w:r>
        <w:rPr>
          <w:rFonts w:ascii="Times New Roman;sans-serif" w:hAnsi="Times New Roman;sans-serif"/>
          <w:b w:val="false"/>
          <w:color w:val="231F20"/>
          <w:sz w:val="20"/>
        </w:rPr>
        <w:t>primarily due to $4.9 million received for the Employee Retention Credit under the Coronavirus Aid, Relief, and Economic Security Act (the “CARES Act”) during the three months ended September 30,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pPr>
      <w:r>
        <w:rPr>
          <w:rFonts w:ascii="Times New Roman;sans-serif" w:hAnsi="Times New Roman;sans-serif"/>
          <w:b/>
          <w:color w:val="231F20"/>
          <w:sz w:val="20"/>
        </w:rPr>
        <w:t xml:space="preserve">Comparison of </w:t>
      </w:r>
      <w:r>
        <w:rPr>
          <w:rFonts w:ascii="Times New Roman;sans-serif" w:hAnsi="Times New Roman;sans-serif"/>
          <w:b/>
          <w:color w:val="000000"/>
          <w:sz w:val="20"/>
        </w:rPr>
        <w:t>Nine Months Ended</w:t>
      </w:r>
      <w:r>
        <w:rPr>
          <w:color w:val="231F20"/>
        </w:rPr>
        <w:t xml:space="preserve"> </w:t>
      </w:r>
      <w:r>
        <w:rPr>
          <w:rFonts w:ascii="Times New Roman;sans-serif" w:hAnsi="Times New Roman;sans-serif"/>
          <w:b/>
          <w:color w:val="231F20"/>
          <w:sz w:val="20"/>
        </w:rPr>
        <w:t xml:space="preserve">September 30, 2024 to </w:t>
      </w:r>
      <w:r>
        <w:rPr>
          <w:rFonts w:ascii="Times New Roman;sans-serif" w:hAnsi="Times New Roman;sans-serif"/>
          <w:b/>
          <w:color w:val="000000"/>
          <w:sz w:val="20"/>
        </w:rPr>
        <w:t>Nine Months Ended</w:t>
      </w:r>
      <w:r>
        <w:rPr>
          <w:color w:val="231F20"/>
        </w:rPr>
        <w:t xml:space="preserve"> </w:t>
      </w:r>
      <w:r>
        <w:rPr>
          <w:rFonts w:ascii="Times New Roman;sans-serif" w:hAnsi="Times New Roman;sans-serif"/>
          <w:b/>
          <w:color w:val="231F20"/>
          <w:sz w:val="20"/>
        </w:rPr>
        <w:t>September 30, 2023</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w:t>
      </w:r>
      <w:r>
        <w:rPr>
          <w:rFonts w:ascii="Times New Roman;sans-serif" w:hAnsi="Times New Roman;sans-serif"/>
          <w:b w:val="false"/>
          <w:color w:val="000000"/>
          <w:sz w:val="20"/>
        </w:rPr>
        <w:t>nine months ended</w:t>
      </w:r>
      <w:r>
        <w:rPr>
          <w:color w:val="231F20"/>
        </w:rPr>
        <w:t xml:space="preserve"> </w:t>
      </w:r>
      <w:r>
        <w:rPr>
          <w:rFonts w:ascii="Times New Roman;sans-serif" w:hAnsi="Times New Roman;sans-serif"/>
          <w:b w:val="false"/>
          <w:color w:val="231F20"/>
          <w:sz w:val="20"/>
        </w:rPr>
        <w:t>September 30, 2024 and September 30, 2023 have been derived from the condensed consolidated financial statements included elsewhere in this Form 10-Q. Amounts and percentages may not foot due to rounding.</w:t>
      </w:r>
    </w:p>
    <w:tbl>
      <w:tblPr>
        <w:tblW w:w="8902" w:type="dxa"/>
        <w:jc w:val="left"/>
        <w:tblInd w:w="0" w:type="dxa"/>
        <w:tblLayout w:type="fixed"/>
        <w:tblCellMar>
          <w:top w:w="28" w:type="dxa"/>
          <w:left w:w="28" w:type="dxa"/>
          <w:bottom w:w="28" w:type="dxa"/>
          <w:right w:w="28" w:type="dxa"/>
        </w:tblCellMar>
      </w:tblPr>
      <w:tblGrid>
        <w:gridCol w:w="1249"/>
        <w:gridCol w:w="1098"/>
        <w:gridCol w:w="1103"/>
        <w:gridCol w:w="211"/>
        <w:gridCol w:w="616"/>
        <w:gridCol w:w="109"/>
        <w:gridCol w:w="109"/>
        <w:gridCol w:w="109"/>
        <w:gridCol w:w="109"/>
        <w:gridCol w:w="308"/>
        <w:gridCol w:w="308"/>
        <w:gridCol w:w="648"/>
        <w:gridCol w:w="109"/>
        <w:gridCol w:w="109"/>
        <w:gridCol w:w="109"/>
        <w:gridCol w:w="211"/>
        <w:gridCol w:w="616"/>
        <w:gridCol w:w="109"/>
        <w:gridCol w:w="109"/>
        <w:gridCol w:w="109"/>
        <w:gridCol w:w="109"/>
        <w:gridCol w:w="308"/>
        <w:gridCol w:w="308"/>
        <w:gridCol w:w="719"/>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Nine Months Ended September 30,</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of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of Net Sales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Cost of sales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48.2 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63.7 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51.8 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36.3 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Selling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36.6 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37.3 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37.4 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34.0 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operating expenses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76.0 </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73.7 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Loss from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(24.2)</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(37.4)</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(5.8)</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(5.6)</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(13.3)</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Change in fair value of warrant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Foreign currency transaction loss,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0.2 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Loss before provision for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(30.9)</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Income tax expense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0.4 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(0.8)</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(7.5)</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(30.1)</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bl>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Net Sales</w:t>
      </w:r>
    </w:p>
    <w:tbl>
      <w:tblPr>
        <w:tblW w:w="7005" w:type="dxa"/>
        <w:jc w:val="left"/>
        <w:tblInd w:w="0" w:type="dxa"/>
        <w:tblLayout w:type="fixed"/>
        <w:tblCellMar>
          <w:top w:w="28" w:type="dxa"/>
          <w:left w:w="28" w:type="dxa"/>
          <w:bottom w:w="28" w:type="dxa"/>
          <w:right w:w="28" w:type="dxa"/>
        </w:tblCellMar>
      </w:tblPr>
      <w:tblGrid>
        <w:gridCol w:w="706"/>
        <w:gridCol w:w="621"/>
        <w:gridCol w:w="622"/>
        <w:gridCol w:w="249"/>
        <w:gridCol w:w="728"/>
        <w:gridCol w:w="128"/>
        <w:gridCol w:w="128"/>
        <w:gridCol w:w="128"/>
        <w:gridCol w:w="128"/>
        <w:gridCol w:w="249"/>
        <w:gridCol w:w="728"/>
        <w:gridCol w:w="128"/>
        <w:gridCol w:w="109"/>
        <w:gridCol w:w="109"/>
        <w:gridCol w:w="109"/>
        <w:gridCol w:w="211"/>
        <w:gridCol w:w="586"/>
        <w:gridCol w:w="109"/>
        <w:gridCol w:w="109"/>
        <w:gridCol w:w="109"/>
        <w:gridCol w:w="109"/>
        <w:gridCol w:w="293"/>
        <w:gridCol w:w="293"/>
        <w:gridCol w:w="316"/>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sales</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64" w:before="1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Delivery Systems</w:t>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98.6 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(39.1)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Consumables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139.2 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net sales</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250.8 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301.2 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(16.7)</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Percentage of net sales</w:t>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Delivery Systems</w:t>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39.3%</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Consumables</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60.7%</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w:t>
            </w:r>
          </w:p>
        </w:tc>
        <w:tc>
          <w:tcPr>
            <w:tcW w:w="110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231F20"/>
          <w:sz w:val="20"/>
        </w:rPr>
        <w:t xml:space="preserve">Total net sales for the </w:t>
      </w:r>
      <w:r>
        <w:rPr>
          <w:rFonts w:ascii="Times New Roman;sans-serif" w:hAnsi="Times New Roman;sans-serif"/>
          <w:b w:val="false"/>
          <w:color w:val="000000"/>
          <w:sz w:val="20"/>
        </w:rPr>
        <w:t>nine months ended</w:t>
      </w:r>
      <w:r>
        <w:rPr>
          <w:color w:val="231F20"/>
        </w:rPr>
        <w:t xml:space="preserve"> </w:t>
      </w:r>
      <w:r>
        <w:rPr>
          <w:rFonts w:ascii="Times New Roman;sans-serif" w:hAnsi="Times New Roman;sans-serif"/>
          <w:b w:val="false"/>
          <w:color w:val="231F20"/>
          <w:sz w:val="20"/>
        </w:rPr>
        <w:t xml:space="preserve">September 30, 2024 </w:t>
      </w:r>
      <w:r>
        <w:rPr>
          <w:rFonts w:ascii="Times New Roman;sans-serif" w:hAnsi="Times New Roman;sans-serif"/>
          <w:b w:val="false"/>
          <w:color w:val="000000"/>
          <w:sz w:val="20"/>
        </w:rPr>
        <w:t>decreased</w:t>
      </w:r>
      <w:r>
        <w:rPr>
          <w:color w:val="231F20"/>
        </w:rPr>
        <w:t xml:space="preserve"> </w:t>
      </w:r>
      <w:r>
        <w:rPr>
          <w:rFonts w:ascii="Times New Roman;sans-serif" w:hAnsi="Times New Roman;sans-serif"/>
          <w:b w:val="false"/>
          <w:color w:val="000000"/>
          <w:sz w:val="20"/>
        </w:rPr>
        <w:t>$50.4 million</w:t>
      </w:r>
      <w:r>
        <w:rPr>
          <w:rFonts w:ascii="Times New Roman;sans-serif" w:hAnsi="Times New Roman;sans-serif"/>
          <w:b w:val="false"/>
          <w:color w:val="231F20"/>
          <w:sz w:val="20"/>
        </w:rPr>
        <w:t xml:space="preserve">, or </w:t>
      </w:r>
      <w:r>
        <w:rPr>
          <w:rFonts w:ascii="Times New Roman;sans-serif" w:hAnsi="Times New Roman;sans-serif"/>
          <w:b w:val="false"/>
          <w:color w:val="000000"/>
          <w:sz w:val="20"/>
        </w:rPr>
        <w:t>16.7%</w:t>
      </w:r>
      <w:r>
        <w:rPr>
          <w:rFonts w:ascii="Times New Roman;sans-serif" w:hAnsi="Times New Roman;sans-serif"/>
          <w:b w:val="false"/>
          <w:color w:val="231F20"/>
          <w:sz w:val="20"/>
        </w:rPr>
        <w:t xml:space="preserve">, compared to the </w:t>
      </w:r>
      <w:r>
        <w:rPr>
          <w:rFonts w:ascii="Times New Roman;sans-serif" w:hAnsi="Times New Roman;sans-serif"/>
          <w:b w:val="false"/>
          <w:color w:val="000000"/>
          <w:sz w:val="20"/>
        </w:rPr>
        <w:t>nine months ended</w:t>
      </w:r>
      <w:r>
        <w:rPr>
          <w:color w:val="231F20"/>
        </w:rPr>
        <w:t xml:space="preserve"> </w:t>
      </w:r>
      <w:r>
        <w:rPr>
          <w:rFonts w:ascii="Times New Roman;sans-serif" w:hAnsi="Times New Roman;sans-serif"/>
          <w:b w:val="false"/>
          <w:color w:val="231F20"/>
          <w:sz w:val="20"/>
        </w:rPr>
        <w:t xml:space="preserve">September 30, 2023. Delivery System net sales for the </w:t>
      </w:r>
      <w:r>
        <w:rPr>
          <w:rFonts w:ascii="Times New Roman;sans-serif" w:hAnsi="Times New Roman;sans-serif"/>
          <w:b w:val="false"/>
          <w:color w:val="000000"/>
          <w:sz w:val="20"/>
        </w:rPr>
        <w:t>nine months ended</w:t>
      </w:r>
      <w:r>
        <w:rPr>
          <w:color w:val="231F20"/>
        </w:rPr>
        <w:t xml:space="preserve"> </w:t>
      </w:r>
      <w:r>
        <w:rPr>
          <w:rFonts w:ascii="Times New Roman;sans-serif" w:hAnsi="Times New Roman;sans-serif"/>
          <w:b w:val="false"/>
          <w:color w:val="231F20"/>
          <w:sz w:val="20"/>
        </w:rPr>
        <w:t xml:space="preserve">September 30, 2024 </w:t>
      </w:r>
      <w:r>
        <w:rPr>
          <w:rFonts w:ascii="Times New Roman;sans-serif" w:hAnsi="Times New Roman;sans-serif"/>
          <w:b w:val="false"/>
          <w:color w:val="000000"/>
          <w:sz w:val="20"/>
        </w:rPr>
        <w:t>decreased</w:t>
      </w:r>
      <w:r>
        <w:rPr>
          <w:color w:val="231F20"/>
        </w:rPr>
        <w:t xml:space="preserve"> </w:t>
      </w:r>
      <w:r>
        <w:rPr>
          <w:rFonts w:ascii="Times New Roman;sans-serif" w:hAnsi="Times New Roman;sans-serif"/>
          <w:b w:val="false"/>
          <w:color w:val="000000"/>
          <w:sz w:val="20"/>
        </w:rPr>
        <w:t>$63.4 million</w:t>
      </w:r>
      <w:r>
        <w:rPr>
          <w:rFonts w:ascii="Times New Roman;sans-serif" w:hAnsi="Times New Roman;sans-serif"/>
          <w:b w:val="false"/>
          <w:color w:val="231F20"/>
          <w:sz w:val="20"/>
        </w:rPr>
        <w:t xml:space="preserve">, or </w:t>
      </w:r>
      <w:r>
        <w:rPr>
          <w:rFonts w:ascii="Times New Roman;sans-serif" w:hAnsi="Times New Roman;sans-serif"/>
          <w:b w:val="false"/>
          <w:color w:val="000000"/>
          <w:sz w:val="20"/>
        </w:rPr>
        <w:t>39.1%</w:t>
      </w:r>
      <w:r>
        <w:rPr>
          <w:rFonts w:ascii="Times New Roman;sans-serif" w:hAnsi="Times New Roman;sans-serif"/>
          <w:b w:val="false"/>
          <w:color w:val="231F20"/>
          <w:sz w:val="20"/>
        </w:rPr>
        <w:t xml:space="preserve">, compared to the </w:t>
      </w:r>
      <w:r>
        <w:rPr>
          <w:rFonts w:ascii="Times New Roman;sans-serif" w:hAnsi="Times New Roman;sans-serif"/>
          <w:b w:val="false"/>
          <w:color w:val="000000"/>
          <w:sz w:val="20"/>
        </w:rPr>
        <w:t>nine months ended</w:t>
      </w:r>
      <w:r>
        <w:rPr>
          <w:color w:val="231F20"/>
        </w:rPr>
        <w:t xml:space="preserve"> </w:t>
      </w:r>
      <w:r>
        <w:rPr>
          <w:rFonts w:ascii="Times New Roman;sans-serif" w:hAnsi="Times New Roman;sans-serif"/>
          <w:b w:val="false"/>
          <w:color w:val="231F20"/>
          <w:sz w:val="20"/>
        </w:rPr>
        <w:t>September 30, 2023, with decreases across all regions. The decrease in Delivery Systems net sales reflects a challenging year-over-year comparison due to the prior year international launch of Syndeo, which included net sales from the trade-up program. Delivery Systems net sales were also negatively impacted globally by unfavorable macroeconomic and credit conditions and as the Company works to strengthen customer confidence in Syndeo.</w:t>
      </w:r>
    </w:p>
    <w:p>
      <w:pPr>
        <w:pStyle w:val="TextBody"/>
        <w:bidi w:val="0"/>
        <w:spacing w:lineRule="auto" w:line="288" w:before="240" w:after="283"/>
        <w:jc w:val="left"/>
        <w:rPr/>
      </w:pPr>
      <w:r>
        <w:rPr>
          <w:rFonts w:ascii="Times New Roman;sans-serif" w:hAnsi="Times New Roman;sans-serif"/>
          <w:b w:val="false"/>
          <w:color w:val="231F20"/>
          <w:sz w:val="20"/>
        </w:rPr>
        <w:t xml:space="preserve">Consumables net sales for the </w:t>
      </w:r>
      <w:r>
        <w:rPr>
          <w:rFonts w:ascii="Times New Roman;sans-serif" w:hAnsi="Times New Roman;sans-serif"/>
          <w:b w:val="false"/>
          <w:color w:val="000000"/>
          <w:sz w:val="20"/>
        </w:rPr>
        <w:t xml:space="preserve">nine months ended </w:t>
      </w:r>
      <w:r>
        <w:rPr>
          <w:rFonts w:ascii="Times New Roman;sans-serif" w:hAnsi="Times New Roman;sans-serif"/>
          <w:b w:val="false"/>
          <w:color w:val="231F20"/>
          <w:sz w:val="20"/>
        </w:rPr>
        <w:t xml:space="preserve">September 30, 2024 </w:t>
      </w:r>
      <w:r>
        <w:rPr>
          <w:rFonts w:ascii="Times New Roman;sans-serif" w:hAnsi="Times New Roman;sans-serif"/>
          <w:b w:val="false"/>
          <w:color w:val="000000"/>
          <w:sz w:val="20"/>
        </w:rPr>
        <w:t>increased</w:t>
      </w:r>
      <w:r>
        <w:rPr>
          <w:color w:val="231F20"/>
        </w:rPr>
        <w:t xml:space="preserve"> </w:t>
      </w:r>
      <w:r>
        <w:rPr>
          <w:rFonts w:ascii="Times New Roman;sans-serif" w:hAnsi="Times New Roman;sans-serif"/>
          <w:b w:val="false"/>
          <w:color w:val="000000"/>
          <w:sz w:val="20"/>
        </w:rPr>
        <w:t>$13.0 million</w:t>
      </w:r>
      <w:r>
        <w:rPr>
          <w:rFonts w:ascii="Times New Roman;sans-serif" w:hAnsi="Times New Roman;sans-serif"/>
          <w:b w:val="false"/>
          <w:color w:val="231F20"/>
          <w:sz w:val="20"/>
        </w:rPr>
        <w:t xml:space="preserve">, or </w:t>
      </w:r>
      <w:r>
        <w:rPr>
          <w:rFonts w:ascii="Times New Roman;sans-serif" w:hAnsi="Times New Roman;sans-serif"/>
          <w:b w:val="false"/>
          <w:color w:val="000000"/>
          <w:sz w:val="20"/>
        </w:rPr>
        <w:t>9.3%</w:t>
      </w:r>
      <w:r>
        <w:rPr>
          <w:rFonts w:ascii="Times New Roman;sans-serif" w:hAnsi="Times New Roman;sans-serif"/>
          <w:b w:val="false"/>
          <w:color w:val="231F20"/>
          <w:sz w:val="20"/>
        </w:rPr>
        <w:t xml:space="preserve">, compared to the </w:t>
      </w:r>
      <w:r>
        <w:rPr>
          <w:rFonts w:ascii="Times New Roman;sans-serif" w:hAnsi="Times New Roman;sans-serif"/>
          <w:b w:val="false"/>
          <w:color w:val="000000"/>
          <w:sz w:val="20"/>
        </w:rPr>
        <w:t>nine months ended</w:t>
      </w:r>
      <w:r>
        <w:rPr>
          <w:color w:val="231F20"/>
        </w:rPr>
        <w:t xml:space="preserve"> </w:t>
      </w:r>
      <w:r>
        <w:rPr>
          <w:rFonts w:ascii="Times New Roman;sans-serif" w:hAnsi="Times New Roman;sans-serif"/>
          <w:b w:val="false"/>
          <w:color w:val="231F20"/>
          <w:sz w:val="20"/>
        </w:rPr>
        <w:t xml:space="preserve">September 30, 2023. The increase in Consumables net sales was primarily attributable to </w:t>
      </w:r>
      <w:r>
        <w:rPr>
          <w:rFonts w:ascii="Times New Roman;sans-serif" w:hAnsi="Times New Roman;sans-serif"/>
          <w:b w:val="false"/>
          <w:color w:val="000000"/>
          <w:sz w:val="20"/>
        </w:rPr>
        <w:t>increased</w:t>
      </w:r>
      <w:r>
        <w:rPr>
          <w:color w:val="231F20"/>
        </w:rPr>
        <w:t xml:space="preserve"> </w:t>
      </w:r>
      <w:r>
        <w:rPr>
          <w:rFonts w:ascii="Times New Roman;sans-serif" w:hAnsi="Times New Roman;sans-serif"/>
          <w:b w:val="false"/>
          <w:color w:val="231F20"/>
          <w:sz w:val="20"/>
        </w:rPr>
        <w:t xml:space="preserve">placements of Delivery Systems and the adjoining consumption of Consumables during the </w:t>
      </w:r>
      <w:r>
        <w:rPr>
          <w:rFonts w:ascii="Times New Roman;sans-serif" w:hAnsi="Times New Roman;sans-serif"/>
          <w:b w:val="false"/>
          <w:color w:val="000000"/>
          <w:sz w:val="20"/>
        </w:rPr>
        <w:t>nine months ended</w:t>
      </w:r>
      <w:r>
        <w:rPr>
          <w:color w:val="231F20"/>
        </w:rPr>
        <w:t xml:space="preserve"> </w:t>
      </w:r>
      <w:r>
        <w:rPr>
          <w:rFonts w:ascii="Times New Roman;sans-serif" w:hAnsi="Times New Roman;sans-serif"/>
          <w:b w:val="false"/>
          <w:color w:val="231F20"/>
          <w:sz w:val="20"/>
        </w:rPr>
        <w:t>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 Gross Profit, and Gross Margin</w:t>
      </w:r>
    </w:p>
    <w:tbl>
      <w:tblPr>
        <w:tblW w:w="6130" w:type="dxa"/>
        <w:jc w:val="left"/>
        <w:tblInd w:w="0" w:type="dxa"/>
        <w:tblLayout w:type="fixed"/>
        <w:tblCellMar>
          <w:top w:w="28" w:type="dxa"/>
          <w:left w:w="28" w:type="dxa"/>
          <w:bottom w:w="28" w:type="dxa"/>
          <w:right w:w="28" w:type="dxa"/>
        </w:tblCellMar>
      </w:tblPr>
      <w:tblGrid>
        <w:gridCol w:w="429"/>
        <w:gridCol w:w="377"/>
        <w:gridCol w:w="378"/>
        <w:gridCol w:w="217"/>
        <w:gridCol w:w="633"/>
        <w:gridCol w:w="278"/>
        <w:gridCol w:w="112"/>
        <w:gridCol w:w="112"/>
        <w:gridCol w:w="112"/>
        <w:gridCol w:w="217"/>
        <w:gridCol w:w="633"/>
        <w:gridCol w:w="278"/>
        <w:gridCol w:w="109"/>
        <w:gridCol w:w="109"/>
        <w:gridCol w:w="109"/>
        <w:gridCol w:w="211"/>
        <w:gridCol w:w="586"/>
        <w:gridCol w:w="109"/>
        <w:gridCol w:w="109"/>
        <w:gridCol w:w="109"/>
        <w:gridCol w:w="109"/>
        <w:gridCol w:w="232"/>
        <w:gridCol w:w="232"/>
        <w:gridCol w:w="330"/>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Cost of sales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120.8 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191.7 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(37.0)%</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Gross profit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130.0 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109.4 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18.8%</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Gross margin</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51.8 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36.3 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231F20"/>
          <w:sz w:val="20"/>
        </w:rPr>
        <w:t xml:space="preserve">Cost of sales for the </w:t>
      </w:r>
      <w:r>
        <w:rPr>
          <w:rFonts w:ascii="Times New Roman;sans-serif" w:hAnsi="Times New Roman;sans-serif"/>
          <w:b w:val="false"/>
          <w:color w:val="000000"/>
          <w:sz w:val="20"/>
        </w:rPr>
        <w:t>nine months ended</w:t>
      </w:r>
      <w:r>
        <w:rPr>
          <w:color w:val="231F20"/>
        </w:rPr>
        <w:t xml:space="preserve"> </w:t>
      </w:r>
      <w:r>
        <w:rPr>
          <w:rFonts w:ascii="Times New Roman;sans-serif" w:hAnsi="Times New Roman;sans-serif"/>
          <w:b w:val="false"/>
          <w:color w:val="231F20"/>
          <w:sz w:val="20"/>
        </w:rPr>
        <w:t xml:space="preserve">September 30, 2024 </w:t>
      </w:r>
      <w:r>
        <w:rPr>
          <w:rFonts w:ascii="Times New Roman;sans-serif" w:hAnsi="Times New Roman;sans-serif"/>
          <w:b w:val="false"/>
          <w:color w:val="000000"/>
          <w:sz w:val="20"/>
        </w:rPr>
        <w:t>decreased</w:t>
      </w:r>
      <w:r>
        <w:rPr>
          <w:color w:val="231F20"/>
        </w:rPr>
        <w:t xml:space="preserve"> </w:t>
      </w:r>
      <w:r>
        <w:rPr>
          <w:rFonts w:ascii="Times New Roman;sans-serif" w:hAnsi="Times New Roman;sans-serif"/>
          <w:b w:val="false"/>
          <w:color w:val="000000"/>
          <w:sz w:val="20"/>
        </w:rPr>
        <w:t xml:space="preserve">$70.9 million, compared to the nine months ended September 30, 2023 primarily due to the absence of charges and inventory write-downs associated with the Syndeo Program of $63.1 million in 2023 and lower net sales, partially offset by higher inventory related charges and approximately $8 million of manufacturing optimization related costs incurred in 2024. Cost of sales for the nine months ended September 30, 2024 include $22.7 million of inventory charges for discontinued, excess, obsolete inventory, including the write-down of Delivery System inventory to its net realizable value and the write-off of excess raw materials. </w:t>
      </w:r>
      <w:r>
        <w:rPr>
          <w:rFonts w:ascii="Times New Roman;sans-serif" w:hAnsi="Times New Roman;sans-serif"/>
          <w:b w:val="false"/>
          <w:color w:val="231F20"/>
          <w:sz w:val="20"/>
        </w:rPr>
        <w:t xml:space="preserve">Gross margin increased to </w:t>
      </w:r>
      <w:r>
        <w:rPr>
          <w:rFonts w:ascii="Times New Roman;sans-serif" w:hAnsi="Times New Roman;sans-serif"/>
          <w:b w:val="false"/>
          <w:color w:val="000000"/>
          <w:sz w:val="20"/>
        </w:rPr>
        <w:t>51.8%</w:t>
      </w:r>
      <w:r>
        <w:rPr>
          <w:color w:val="231F20"/>
        </w:rPr>
        <w:t xml:space="preserve">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nine months ended</w:t>
      </w:r>
      <w:r>
        <w:rPr>
          <w:color w:val="231F20"/>
        </w:rPr>
        <w:t xml:space="preserve"> </w:t>
      </w:r>
      <w:r>
        <w:rPr>
          <w:rFonts w:ascii="Times New Roman;sans-serif" w:hAnsi="Times New Roman;sans-serif"/>
          <w:b w:val="false"/>
          <w:color w:val="231F20"/>
          <w:sz w:val="20"/>
        </w:rPr>
        <w:t xml:space="preserve">September 30, 2024 from </w:t>
      </w:r>
      <w:r>
        <w:rPr>
          <w:rFonts w:ascii="Times New Roman;sans-serif" w:hAnsi="Times New Roman;sans-serif"/>
          <w:b w:val="false"/>
          <w:color w:val="000000"/>
          <w:sz w:val="20"/>
        </w:rPr>
        <w:t>36.3%</w:t>
      </w:r>
      <w:r>
        <w:rPr>
          <w:color w:val="231F20"/>
        </w:rPr>
        <w:t xml:space="preserve">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nine months ended</w:t>
      </w:r>
      <w:r>
        <w:rPr>
          <w:color w:val="231F20"/>
        </w:rPr>
        <w:t xml:space="preserve"> </w:t>
      </w:r>
      <w:r>
        <w:rPr>
          <w:rFonts w:ascii="Times New Roman;sans-serif" w:hAnsi="Times New Roman;sans-serif"/>
          <w:b w:val="false"/>
          <w:color w:val="000000"/>
          <w:sz w:val="20"/>
        </w:rPr>
        <w:t>September 30, 2023</w:t>
      </w:r>
      <w:r>
        <w:rPr>
          <w:color w:val="231F20"/>
        </w:rPr>
        <w:t xml:space="preserve"> </w:t>
      </w:r>
      <w:r>
        <w:rPr>
          <w:rFonts w:ascii="Times New Roman;sans-serif" w:hAnsi="Times New Roman;sans-serif"/>
          <w:b w:val="false"/>
          <w:color w:val="231F20"/>
          <w:sz w:val="20"/>
        </w:rPr>
        <w:t>primarily due to prior year’s charges and inventory write-downs associated with the Syndeo Program, partially offset by higher inventory related charges and the manufacturing optimization related costs.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 xml:space="preserve">Operating Expenses </w:t>
      </w:r>
    </w:p>
    <w:p>
      <w:pPr>
        <w:pStyle w:val="TextBody"/>
        <w:bidi w:val="0"/>
        <w:spacing w:before="0" w:after="0"/>
        <w:jc w:val="left"/>
        <w:rPr/>
      </w:pPr>
      <w:r>
        <w:rPr/>
      </w:r>
    </w:p>
    <w:p>
      <w:pPr>
        <w:pStyle w:val="TextBody"/>
        <w:bidi w:val="0"/>
        <w:spacing w:lineRule="auto" w:line="288" w:before="0" w:after="120"/>
        <w:ind w:left="0" w:right="0" w:firstLine="540"/>
        <w:jc w:val="left"/>
        <w:rPr>
          <w:rFonts w:ascii="Times New Roman;sans-serif" w:hAnsi="Times New Roman;sans-serif"/>
          <w:b/>
          <w:i/>
          <w:color w:val="231F20"/>
          <w:sz w:val="20"/>
        </w:rPr>
      </w:pPr>
      <w:r>
        <w:rPr>
          <w:rFonts w:ascii="Times New Roman;sans-serif" w:hAnsi="Times New Roman;sans-serif"/>
          <w:b/>
          <w:i/>
          <w:color w:val="231F20"/>
          <w:sz w:val="20"/>
        </w:rPr>
        <w:t>Selling and Marketing</w:t>
      </w:r>
    </w:p>
    <w:tbl>
      <w:tblPr>
        <w:tblW w:w="7438" w:type="dxa"/>
        <w:jc w:val="left"/>
        <w:tblInd w:w="0" w:type="dxa"/>
        <w:tblLayout w:type="fixed"/>
        <w:tblCellMar>
          <w:top w:w="28" w:type="dxa"/>
          <w:left w:w="28" w:type="dxa"/>
          <w:bottom w:w="28" w:type="dxa"/>
          <w:right w:w="28" w:type="dxa"/>
        </w:tblCellMar>
      </w:tblPr>
      <w:tblGrid>
        <w:gridCol w:w="864"/>
        <w:gridCol w:w="759"/>
        <w:gridCol w:w="761"/>
        <w:gridCol w:w="226"/>
        <w:gridCol w:w="548"/>
        <w:gridCol w:w="290"/>
        <w:gridCol w:w="117"/>
        <w:gridCol w:w="117"/>
        <w:gridCol w:w="117"/>
        <w:gridCol w:w="226"/>
        <w:gridCol w:w="661"/>
        <w:gridCol w:w="290"/>
        <w:gridCol w:w="109"/>
        <w:gridCol w:w="109"/>
        <w:gridCol w:w="109"/>
        <w:gridCol w:w="211"/>
        <w:gridCol w:w="586"/>
        <w:gridCol w:w="109"/>
        <w:gridCol w:w="109"/>
        <w:gridCol w:w="109"/>
        <w:gridCol w:w="109"/>
        <w:gridCol w:w="293"/>
        <w:gridCol w:w="293"/>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Selling and marketing</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91.8 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112.5 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As a percentage of net sales</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36.6 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37.3 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for the nine months ended September 30, 2024 decreased $20.7 million, or 18.4%, compared to the nine months ended September 30, 2023. The decrease is primarily driven by lower personnel-related expenses, including sales commission expense and lower marketing related spend.</w:t>
      </w:r>
    </w:p>
    <w:p>
      <w:pPr>
        <w:pStyle w:val="TextBody"/>
        <w:bidi w:val="0"/>
        <w:spacing w:lineRule="auto" w:line="288" w:before="240" w:after="283"/>
        <w:ind w:left="0" w:right="0" w:firstLine="540"/>
        <w:jc w:val="left"/>
        <w:rPr>
          <w:rFonts w:ascii="Times New Roman;sans-serif" w:hAnsi="Times New Roman;sans-serif"/>
          <w:b/>
          <w:i/>
          <w:color w:val="231F20"/>
          <w:sz w:val="20"/>
        </w:rPr>
      </w:pPr>
      <w:r>
        <w:rPr>
          <w:rFonts w:ascii="Times New Roman;sans-serif" w:hAnsi="Times New Roman;sans-serif"/>
          <w:b/>
          <w:i/>
          <w:color w:val="231F20"/>
          <w:sz w:val="20"/>
        </w:rPr>
        <w:t>Research and Development</w:t>
      </w:r>
    </w:p>
    <w:tbl>
      <w:tblPr>
        <w:tblW w:w="7378" w:type="dxa"/>
        <w:jc w:val="left"/>
        <w:tblInd w:w="0" w:type="dxa"/>
        <w:tblLayout w:type="fixed"/>
        <w:tblCellMar>
          <w:top w:w="28" w:type="dxa"/>
          <w:left w:w="28" w:type="dxa"/>
          <w:bottom w:w="28" w:type="dxa"/>
          <w:right w:w="28" w:type="dxa"/>
        </w:tblCellMar>
      </w:tblPr>
      <w:tblGrid>
        <w:gridCol w:w="879"/>
        <w:gridCol w:w="772"/>
        <w:gridCol w:w="778"/>
        <w:gridCol w:w="260"/>
        <w:gridCol w:w="501"/>
        <w:gridCol w:w="334"/>
        <w:gridCol w:w="134"/>
        <w:gridCol w:w="134"/>
        <w:gridCol w:w="134"/>
        <w:gridCol w:w="260"/>
        <w:gridCol w:w="501"/>
        <w:gridCol w:w="334"/>
        <w:gridCol w:w="109"/>
        <w:gridCol w:w="109"/>
        <w:gridCol w:w="109"/>
        <w:gridCol w:w="211"/>
        <w:gridCol w:w="481"/>
        <w:gridCol w:w="109"/>
        <w:gridCol w:w="109"/>
        <w:gridCol w:w="109"/>
        <w:gridCol w:w="109"/>
        <w:gridCol w:w="293"/>
        <w:gridCol w:w="293"/>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Research and development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 xml:space="preserve">As a percentage of net sales </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for the nine months ended September 30, 2024 decreased $2.0 million, or 28.1%, compared to the nine months ended September 30, 2023. The decrease is primarily driven by lower personnel-related expenses, including share-based compensation expense.</w:t>
      </w:r>
    </w:p>
    <w:p>
      <w:pPr>
        <w:pStyle w:val="TextBody"/>
        <w:bidi w:val="0"/>
        <w:spacing w:lineRule="auto" w:line="288" w:before="240" w:after="283"/>
        <w:ind w:left="0" w:right="0" w:firstLine="540"/>
        <w:jc w:val="left"/>
        <w:rPr>
          <w:rFonts w:ascii="Times New Roman;sans-serif" w:hAnsi="Times New Roman;sans-serif"/>
          <w:b/>
          <w:i/>
          <w:color w:val="231F20"/>
          <w:sz w:val="20"/>
        </w:rPr>
      </w:pPr>
      <w:r>
        <w:rPr>
          <w:rFonts w:ascii="Times New Roman;sans-serif" w:hAnsi="Times New Roman;sans-serif"/>
          <w:b/>
          <w:i/>
          <w:color w:val="231F20"/>
          <w:sz w:val="20"/>
        </w:rPr>
        <w:t>General and Administrative</w:t>
      </w:r>
    </w:p>
    <w:tbl>
      <w:tblPr>
        <w:tblW w:w="7273" w:type="dxa"/>
        <w:jc w:val="left"/>
        <w:tblInd w:w="0" w:type="dxa"/>
        <w:tblLayout w:type="fixed"/>
        <w:tblCellMar>
          <w:top w:w="28" w:type="dxa"/>
          <w:left w:w="28" w:type="dxa"/>
          <w:bottom w:w="28" w:type="dxa"/>
          <w:right w:w="28" w:type="dxa"/>
        </w:tblCellMar>
      </w:tblPr>
      <w:tblGrid>
        <w:gridCol w:w="879"/>
        <w:gridCol w:w="772"/>
        <w:gridCol w:w="779"/>
        <w:gridCol w:w="226"/>
        <w:gridCol w:w="548"/>
        <w:gridCol w:w="290"/>
        <w:gridCol w:w="117"/>
        <w:gridCol w:w="117"/>
        <w:gridCol w:w="117"/>
        <w:gridCol w:w="226"/>
        <w:gridCol w:w="661"/>
        <w:gridCol w:w="290"/>
        <w:gridCol w:w="109"/>
        <w:gridCol w:w="109"/>
        <w:gridCol w:w="109"/>
        <w:gridCol w:w="211"/>
        <w:gridCol w:w="481"/>
        <w:gridCol w:w="109"/>
        <w:gridCol w:w="109"/>
        <w:gridCol w:w="109"/>
        <w:gridCol w:w="109"/>
        <w:gridCol w:w="239"/>
        <w:gridCol w:w="241"/>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General and administrative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93.7 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102.5 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 xml:space="preserve">As a percentage of net sales </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37.4 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34.0 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ans-serif" w:hAnsi="Times New Roman;sans-serif"/>
          <w:b w:val="false"/>
          <w:color w:val="231F20"/>
          <w:sz w:val="20"/>
        </w:rPr>
        <w:t xml:space="preserve">General and administrative expense for the </w:t>
      </w:r>
      <w:r>
        <w:rPr>
          <w:rFonts w:ascii="Times New Roman;sans-serif" w:hAnsi="Times New Roman;sans-serif"/>
          <w:b w:val="false"/>
          <w:color w:val="000000"/>
          <w:sz w:val="20"/>
        </w:rPr>
        <w:t>nine months ended</w:t>
      </w:r>
      <w:r>
        <w:rPr>
          <w:color w:val="231F20"/>
        </w:rPr>
        <w:t xml:space="preserve"> </w:t>
      </w:r>
      <w:r>
        <w:rPr>
          <w:rFonts w:ascii="Times New Roman;sans-serif" w:hAnsi="Times New Roman;sans-serif"/>
          <w:b w:val="false"/>
          <w:color w:val="000000"/>
          <w:sz w:val="20"/>
        </w:rPr>
        <w:t>September 30, 2024</w:t>
      </w:r>
      <w:r>
        <w:rPr>
          <w:color w:val="231F20"/>
        </w:rPr>
        <w:t xml:space="preserve"> </w:t>
      </w:r>
      <w:r>
        <w:rPr>
          <w:rFonts w:ascii="Times New Roman;sans-serif" w:hAnsi="Times New Roman;sans-serif"/>
          <w:b w:val="false"/>
          <w:color w:val="000000"/>
          <w:sz w:val="20"/>
        </w:rPr>
        <w:t>decreased</w:t>
      </w:r>
      <w:r>
        <w:rPr>
          <w:color w:val="231F20"/>
        </w:rPr>
        <w:t xml:space="preserve"> </w:t>
      </w:r>
      <w:r>
        <w:rPr>
          <w:rFonts w:ascii="Times New Roman;sans-serif" w:hAnsi="Times New Roman;sans-serif"/>
          <w:b w:val="false"/>
          <w:color w:val="000000"/>
          <w:sz w:val="20"/>
        </w:rPr>
        <w:t>$8.8 million</w:t>
      </w:r>
      <w:r>
        <w:rPr>
          <w:rFonts w:ascii="Times New Roman;sans-serif" w:hAnsi="Times New Roman;sans-serif"/>
          <w:b w:val="false"/>
          <w:color w:val="231F20"/>
          <w:sz w:val="20"/>
        </w:rPr>
        <w:t xml:space="preserve">, or </w:t>
      </w:r>
      <w:r>
        <w:rPr>
          <w:rFonts w:ascii="Times New Roman;sans-serif" w:hAnsi="Times New Roman;sans-serif"/>
          <w:b w:val="false"/>
          <w:color w:val="000000"/>
          <w:sz w:val="20"/>
        </w:rPr>
        <w:t>8.5%</w:t>
      </w:r>
      <w:r>
        <w:rPr>
          <w:rFonts w:ascii="Times New Roman;sans-serif" w:hAnsi="Times New Roman;sans-serif"/>
          <w:b w:val="false"/>
          <w:color w:val="231F20"/>
          <w:sz w:val="20"/>
        </w:rPr>
        <w:t xml:space="preserve">, compared to the </w:t>
      </w:r>
      <w:r>
        <w:rPr>
          <w:rFonts w:ascii="Times New Roman;sans-serif" w:hAnsi="Times New Roman;sans-serif"/>
          <w:b w:val="false"/>
          <w:color w:val="000000"/>
          <w:sz w:val="20"/>
        </w:rPr>
        <w:t>nine months ended</w:t>
      </w:r>
      <w:r>
        <w:rPr>
          <w:color w:val="231F20"/>
        </w:rPr>
        <w:t xml:space="preserve"> </w:t>
      </w:r>
      <w:r>
        <w:rPr>
          <w:rFonts w:ascii="Times New Roman;sans-serif" w:hAnsi="Times New Roman;sans-serif"/>
          <w:b w:val="false"/>
          <w:color w:val="231F20"/>
          <w:sz w:val="20"/>
        </w:rPr>
        <w:t>September 30, 2023. The decrease is primarily driven by lower personnel-related expenses, losses on the sale of assets, and software expenses, partially offset by higher provision for estimated credit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ind w:left="0" w:right="0" w:firstLine="540"/>
        <w:jc w:val="left"/>
        <w:rPr>
          <w:rFonts w:ascii="Times New Roman;sans-serif" w:hAnsi="Times New Roman;sans-serif"/>
          <w:b/>
          <w:i/>
          <w:color w:val="231F20"/>
          <w:sz w:val="20"/>
        </w:rPr>
      </w:pPr>
      <w:r>
        <w:rPr>
          <w:rFonts w:ascii="Times New Roman;sans-serif" w:hAnsi="Times New Roman;sans-serif"/>
          <w:b/>
          <w:i/>
          <w:color w:val="231F20"/>
          <w:sz w:val="20"/>
        </w:rPr>
        <w:t>Interest Income, Change in Fair Value of Warrant Liabilities, and Other Income, Net</w:t>
      </w:r>
    </w:p>
    <w:tbl>
      <w:tblPr>
        <w:tblW w:w="8506" w:type="dxa"/>
        <w:jc w:val="left"/>
        <w:tblInd w:w="0" w:type="dxa"/>
        <w:tblLayout w:type="fixed"/>
        <w:tblCellMar>
          <w:top w:w="28" w:type="dxa"/>
          <w:left w:w="28" w:type="dxa"/>
          <w:bottom w:w="28" w:type="dxa"/>
          <w:right w:w="28" w:type="dxa"/>
        </w:tblCellMar>
      </w:tblPr>
      <w:tblGrid>
        <w:gridCol w:w="1251"/>
        <w:gridCol w:w="1097"/>
        <w:gridCol w:w="1102"/>
        <w:gridCol w:w="256"/>
        <w:gridCol w:w="711"/>
        <w:gridCol w:w="132"/>
        <w:gridCol w:w="132"/>
        <w:gridCol w:w="132"/>
        <w:gridCol w:w="132"/>
        <w:gridCol w:w="256"/>
        <w:gridCol w:w="711"/>
        <w:gridCol w:w="132"/>
        <w:gridCol w:w="109"/>
        <w:gridCol w:w="109"/>
        <w:gridCol w:w="109"/>
        <w:gridCol w:w="211"/>
        <w:gridCol w:w="586"/>
        <w:gridCol w:w="109"/>
        <w:gridCol w:w="109"/>
        <w:gridCol w:w="109"/>
        <w:gridCol w:w="109"/>
        <w:gridCol w:w="293"/>
        <w:gridCol w:w="293"/>
        <w:gridCol w:w="316"/>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Interest income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Change in fair value of warrant liabilities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Other income, net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N/M - Not meaningful</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ans-serif" w:hAnsi="Times New Roman;sans-serif"/>
          <w:b w:val="false"/>
          <w:color w:val="231F20"/>
          <w:sz w:val="20"/>
        </w:rPr>
        <w:t xml:space="preserve">Interest income for the </w:t>
      </w:r>
      <w:r>
        <w:rPr>
          <w:rFonts w:ascii="Times New Roman;sans-serif" w:hAnsi="Times New Roman;sans-serif"/>
          <w:b w:val="false"/>
          <w:color w:val="000000"/>
          <w:sz w:val="20"/>
        </w:rPr>
        <w:t>nine months ended</w:t>
      </w:r>
      <w:r>
        <w:rPr>
          <w:color w:val="231F20"/>
        </w:rPr>
        <w:t xml:space="preserve"> </w:t>
      </w:r>
      <w:r>
        <w:rPr>
          <w:rFonts w:ascii="Times New Roman;sans-serif" w:hAnsi="Times New Roman;sans-serif"/>
          <w:b w:val="false"/>
          <w:color w:val="000000"/>
          <w:sz w:val="20"/>
        </w:rPr>
        <w:t>September 30, 2024</w:t>
      </w:r>
      <w:r>
        <w:rPr>
          <w:color w:val="231F20"/>
        </w:rPr>
        <w:t xml:space="preserve"> </w:t>
      </w:r>
      <w:r>
        <w:rPr>
          <w:rFonts w:ascii="Times New Roman;sans-serif" w:hAnsi="Times New Roman;sans-serif"/>
          <w:b w:val="false"/>
          <w:color w:val="000000"/>
          <w:sz w:val="20"/>
        </w:rPr>
        <w:t>decreased</w:t>
      </w:r>
      <w:r>
        <w:rPr>
          <w:color w:val="231F20"/>
        </w:rPr>
        <w:t xml:space="preserve"> </w:t>
      </w:r>
      <w:r>
        <w:rPr>
          <w:rFonts w:ascii="Times New Roman;sans-serif" w:hAnsi="Times New Roman;sans-serif"/>
          <w:b w:val="false"/>
          <w:color w:val="000000"/>
          <w:sz w:val="20"/>
        </w:rPr>
        <w:t>$2.4 million</w:t>
      </w:r>
      <w:r>
        <w:rPr>
          <w:color w:val="231F20"/>
        </w:rPr>
        <w:t xml:space="preserve"> </w:t>
      </w:r>
      <w:r>
        <w:rPr>
          <w:rFonts w:ascii="Times New Roman;sans-serif" w:hAnsi="Times New Roman;sans-serif"/>
          <w:b w:val="false"/>
          <w:color w:val="231F20"/>
          <w:sz w:val="20"/>
        </w:rPr>
        <w:t xml:space="preserve">compared to the </w:t>
      </w:r>
      <w:r>
        <w:rPr>
          <w:rFonts w:ascii="Times New Roman;sans-serif" w:hAnsi="Times New Roman;sans-serif"/>
          <w:b w:val="false"/>
          <w:color w:val="000000"/>
          <w:sz w:val="20"/>
        </w:rPr>
        <w:t>nine months ended</w:t>
      </w:r>
      <w:r>
        <w:rPr>
          <w:color w:val="231F20"/>
        </w:rPr>
        <w:t xml:space="preserve"> </w:t>
      </w:r>
      <w:r>
        <w:rPr>
          <w:rFonts w:ascii="Times New Roman;sans-serif" w:hAnsi="Times New Roman;sans-serif"/>
          <w:b w:val="false"/>
          <w:color w:val="000000"/>
          <w:sz w:val="20"/>
        </w:rPr>
        <w:t>September 30, 2023</w:t>
      </w:r>
      <w:r>
        <w:rPr>
          <w:color w:val="231F20"/>
        </w:rPr>
        <w:t xml:space="preserve"> </w:t>
      </w:r>
      <w:r>
        <w:rPr>
          <w:rFonts w:ascii="Times New Roman;sans-serif" w:hAnsi="Times New Roman;sans-serif"/>
          <w:b w:val="false"/>
          <w:color w:val="231F20"/>
          <w:sz w:val="20"/>
        </w:rPr>
        <w:t xml:space="preserve">primarily due to lower average invested balances during the </w:t>
      </w:r>
      <w:r>
        <w:rPr>
          <w:rFonts w:ascii="Times New Roman;sans-serif" w:hAnsi="Times New Roman;sans-serif"/>
          <w:b w:val="false"/>
          <w:color w:val="000000"/>
          <w:sz w:val="20"/>
        </w:rPr>
        <w:t>nine months</w:t>
      </w:r>
      <w:r>
        <w:rPr>
          <w:color w:val="231F20"/>
        </w:rPr>
        <w:t xml:space="preserve"> </w:t>
      </w:r>
      <w:r>
        <w:rPr>
          <w:rFonts w:ascii="Times New Roman;sans-serif" w:hAnsi="Times New Roman;sans-serif"/>
          <w:b w:val="false"/>
          <w:color w:val="231F20"/>
          <w:sz w:val="20"/>
        </w:rPr>
        <w:t xml:space="preserve">ended </w:t>
      </w:r>
      <w:r>
        <w:rPr>
          <w:rFonts w:ascii="Times New Roman;sans-serif" w:hAnsi="Times New Roman;sans-serif"/>
          <w:b w:val="false"/>
          <w:color w:val="000000"/>
          <w:sz w:val="20"/>
        </w:rPr>
        <w:t>September 30, 2024</w:t>
      </w:r>
      <w:r>
        <w:rPr>
          <w:rFonts w:ascii="Times New Roman;sans-serif" w:hAnsi="Times New Roman;sans-serif"/>
          <w:b w:val="false"/>
          <w:color w:val="231F2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During the </w:t>
      </w:r>
      <w:r>
        <w:rPr>
          <w:rFonts w:ascii="Times New Roman;sans-serif" w:hAnsi="Times New Roman;sans-serif"/>
          <w:b w:val="false"/>
          <w:color w:val="000000"/>
          <w:sz w:val="20"/>
        </w:rPr>
        <w:t>nine months ended</w:t>
      </w:r>
      <w:r>
        <w:rPr>
          <w:color w:val="231F20"/>
        </w:rPr>
        <w:t xml:space="preserve"> </w:t>
      </w:r>
      <w:r>
        <w:rPr>
          <w:rFonts w:ascii="Times New Roman;sans-serif" w:hAnsi="Times New Roman;sans-serif"/>
          <w:b w:val="false"/>
          <w:color w:val="000000"/>
          <w:sz w:val="20"/>
        </w:rPr>
        <w:t>September 30, 2024</w:t>
      </w:r>
      <w:r>
        <w:rPr>
          <w:rFonts w:ascii="Times New Roman;sans-serif" w:hAnsi="Times New Roman;sans-serif"/>
          <w:b w:val="false"/>
          <w:color w:val="231F20"/>
          <w:sz w:val="20"/>
        </w:rPr>
        <w:t xml:space="preserve">, the Company recognized income of </w:t>
      </w:r>
      <w:r>
        <w:rPr>
          <w:rFonts w:ascii="Times New Roman;sans-serif" w:hAnsi="Times New Roman;sans-serif"/>
          <w:b w:val="false"/>
          <w:color w:val="000000"/>
          <w:sz w:val="20"/>
        </w:rPr>
        <w:t>$3.0 million</w:t>
      </w:r>
      <w:r>
        <w:rPr>
          <w:color w:val="231F20"/>
        </w:rPr>
        <w:t xml:space="preserve"> </w:t>
      </w:r>
      <w:r>
        <w:rPr>
          <w:rFonts w:ascii="Times New Roman;sans-serif" w:hAnsi="Times New Roman;sans-serif"/>
          <w:b w:val="false"/>
          <w:color w:val="231F20"/>
          <w:sz w:val="20"/>
        </w:rPr>
        <w:t xml:space="preserve">related to the change in the fair value of the warrant liabilities, a </w:t>
      </w:r>
      <w:r>
        <w:rPr>
          <w:rFonts w:ascii="Times New Roman;sans-serif" w:hAnsi="Times New Roman;sans-serif"/>
          <w:b w:val="false"/>
          <w:color w:val="000000"/>
          <w:sz w:val="20"/>
        </w:rPr>
        <w:t>decrease</w:t>
      </w:r>
      <w:r>
        <w:rPr>
          <w:color w:val="231F20"/>
        </w:rPr>
        <w:t xml:space="preserve"> </w:t>
      </w:r>
      <w:r>
        <w:rPr>
          <w:rFonts w:ascii="Times New Roman;sans-serif" w:hAnsi="Times New Roman;sans-serif"/>
          <w:b w:val="false"/>
          <w:color w:val="231F20"/>
          <w:sz w:val="20"/>
        </w:rPr>
        <w:t xml:space="preserve">of </w:t>
      </w:r>
      <w:r>
        <w:rPr>
          <w:rFonts w:ascii="Times New Roman;sans-serif" w:hAnsi="Times New Roman;sans-serif"/>
          <w:b w:val="false"/>
          <w:color w:val="000000"/>
          <w:sz w:val="20"/>
        </w:rPr>
        <w:t>$5.4 million</w:t>
      </w:r>
      <w:r>
        <w:rPr>
          <w:rFonts w:ascii="Times New Roman;sans-serif" w:hAnsi="Times New Roman;sans-serif"/>
          <w:b w:val="false"/>
          <w:color w:val="231F20"/>
          <w:sz w:val="20"/>
        </w:rPr>
        <w:t xml:space="preserve">, as compared to income of </w:t>
      </w:r>
      <w:r>
        <w:rPr>
          <w:rFonts w:ascii="Times New Roman;sans-serif" w:hAnsi="Times New Roman;sans-serif"/>
          <w:b w:val="false"/>
          <w:color w:val="000000"/>
          <w:sz w:val="20"/>
        </w:rPr>
        <w:t>$8.4 million</w:t>
      </w:r>
      <w:r>
        <w:rPr>
          <w:color w:val="231F20"/>
        </w:rPr>
        <w:t xml:space="preserve">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nine months ended</w:t>
      </w:r>
      <w:r>
        <w:rPr>
          <w:color w:val="231F20"/>
        </w:rPr>
        <w:t xml:space="preserve"> </w:t>
      </w:r>
      <w:r>
        <w:rPr>
          <w:rFonts w:ascii="Times New Roman;sans-serif" w:hAnsi="Times New Roman;sans-serif"/>
          <w:b w:val="false"/>
          <w:color w:val="000000"/>
          <w:sz w:val="20"/>
        </w:rPr>
        <w:t>September 30, 2023</w:t>
      </w:r>
      <w:r>
        <w:rPr>
          <w:rFonts w:ascii="Times New Roman;sans-serif" w:hAnsi="Times New Roman;sans-serif"/>
          <w:b w:val="false"/>
          <w:color w:val="231F20"/>
          <w:sz w:val="20"/>
        </w:rPr>
        <w:t>, driven primarily by the fluctuation of the price of the Class A Common Stock.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shd w:fill="FFFFFF" w:val="clear"/>
        </w:rPr>
        <w:t xml:space="preserve">Other income, net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nine months ended</w:t>
      </w:r>
      <w:r>
        <w:rPr>
          <w:color w:val="231F20"/>
        </w:rPr>
        <w:t xml:space="preserve"> </w:t>
      </w:r>
      <w:r>
        <w:rPr>
          <w:rFonts w:ascii="Times New Roman;sans-serif" w:hAnsi="Times New Roman;sans-serif"/>
          <w:b w:val="false"/>
          <w:color w:val="000000"/>
          <w:sz w:val="20"/>
        </w:rPr>
        <w:t xml:space="preserve">September 30, 2024 increased $28.1 million compared to the nine months ended September 30, 2023 primarily due to a net gain of $33.4 million related to the </w:t>
      </w:r>
      <w:r>
        <w:rPr>
          <w:rFonts w:ascii="Times New Roman;sans-serif" w:hAnsi="Times New Roman;sans-serif"/>
          <w:b w:val="false"/>
          <w:color w:val="231F20"/>
          <w:sz w:val="20"/>
        </w:rPr>
        <w:t xml:space="preserve">repurchase of the Company’s 1.25% Convertible Senior Notes due 2026 (the “Notes”). During the </w:t>
      </w:r>
      <w:r>
        <w:rPr>
          <w:rFonts w:ascii="Times New Roman;sans-serif" w:hAnsi="Times New Roman;sans-serif"/>
          <w:b w:val="false"/>
          <w:color w:val="000000"/>
          <w:sz w:val="20"/>
        </w:rPr>
        <w:t xml:space="preserve">nine months ended September 30, 2023, the Company received </w:t>
      </w:r>
      <w:r>
        <w:rPr>
          <w:rFonts w:ascii="Times New Roman;sans-serif" w:hAnsi="Times New Roman;sans-serif"/>
          <w:b w:val="false"/>
          <w:color w:val="231F20"/>
          <w:sz w:val="20"/>
        </w:rPr>
        <w:t>$4.9 million for the Employee Retention Credit under the CARES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Our primary sources of capital have been (i) cash flow from operating activities, (ii) net proceeds received from the consummation of the Business Combination, (iii) net proceeds received from the Notes, and (iv) net proceeds received from the exercise of public and private placement warrants. As of </w:t>
      </w:r>
      <w:r>
        <w:rPr>
          <w:rFonts w:ascii="Times New Roman;sans-serif" w:hAnsi="Times New Roman;sans-serif"/>
          <w:b w:val="false"/>
          <w:color w:val="000000"/>
          <w:sz w:val="20"/>
        </w:rPr>
        <w:t>September 30, 2024</w:t>
      </w:r>
      <w:r>
        <w:rPr>
          <w:rFonts w:ascii="Times New Roman;sans-serif" w:hAnsi="Times New Roman;sans-serif"/>
          <w:b w:val="false"/>
          <w:color w:val="231F20"/>
          <w:sz w:val="20"/>
        </w:rPr>
        <w:t>, we had cash, cash equivalents, and restricted cash of approximately $358.9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operating cash flows result primarily from cash received from sales of Delivery Systems and Consumables, offset primarily by cash payments made for products and services, employee compensation, payment processing and related transaction costs, operating leases, marketing expenses, and interest payments on our long-term obligations. Cash received from our customers and other activities generally corresponds to our net sales.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sources of liquidity and cash flows are used to fund ongoing operations, research and development projects for new products, services, and technologies, and provide ongoing support services for our providers and customers, </w:t>
      </w:r>
      <w:r>
        <w:rPr>
          <w:rFonts w:ascii="Times New Roman;sans-serif" w:hAnsi="Times New Roman;sans-serif"/>
          <w:b w:val="false"/>
          <w:color w:val="231F20"/>
          <w:sz w:val="20"/>
        </w:rPr>
        <w:t>including liabilities associated with the recently completed Syndeo Program</w:t>
      </w:r>
      <w:r>
        <w:rPr>
          <w:rFonts w:ascii="Times New Roman;sans-serif" w:hAnsi="Times New Roman;sans-serif"/>
          <w:b w:val="false"/>
          <w:color w:val="000000"/>
          <w:sz w:val="20"/>
        </w:rPr>
        <w:t xml:space="preserve">. As part of our business strategy, we occasionally evaluate potential acquisitions of businesses and products and technologies. Accordingly, a 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sources of capital, management believes that we have sufficient liquidity to satisfy our anticipated working capital requirements for our ongoing operations and obligations for at least the next 12 months. However, we will continue to evaluate our capital expenditure needs based upon factors including but not limited to our rate of revenue growth, potential acquisitions, the timing and amount of spending on research and development, growth in sales and marketing activities, the timing of new product launches, timing and investments needed for international expansion, the continuing market acceptance of the Company’s products and services, expansion, and overall economic conditions.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seek to redeem or repurchase our outstanding debt or equity securities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 For information regarding the Company’s repurchases of its Notes during the first and second quarter of 2024, see Note 7, Long-Term Debt, to our condensed consolidated financial statements included in Part I, Item 1 of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 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Convertible Senior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14, 2021, the Company issued an aggregate of $750.0 million in principal amount of its Notes. The Notes were issued pursuant to, and are governed by, an indenture dated as of September 14, 2021, between the Company and U.S. Bank National Association, as trustee (the “Indenture”).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$100.0 million principal amount of Notes. The Notes issued on September 14, 2021 include the $100.0 million principal amount of Notes issued pursuant to the full exercise by the initial purchasers of such option.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During the three months ended </w:t>
      </w:r>
      <w:r>
        <w:rPr>
          <w:rFonts w:ascii="Times New Roman;sans-serif" w:hAnsi="Times New Roman;sans-serif"/>
          <w:b w:val="false"/>
          <w:color w:val="231F20"/>
          <w:sz w:val="20"/>
        </w:rPr>
        <w:t>September 30, 2024, there were no repurchases related to the Notes. During the nine months ended September 30, 2024, t</w:t>
      </w:r>
      <w:r>
        <w:rPr>
          <w:rFonts w:ascii="Times New Roman;sans-serif" w:hAnsi="Times New Roman;sans-serif"/>
          <w:b w:val="false"/>
          <w:color w:val="000000"/>
          <w:sz w:val="20"/>
        </w:rPr>
        <w:t>he Company repurchased $192.3 million principal amount of the Notes for $156.1 million.</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Capped Call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9, 2021, in connection with the pricing of the offering of Notes, the Company entered into privately negotiated capped call transactions (the “Base Capped Call Transactions”) with the Bank of Montreal, Credit Suisse Capital LLC, Deutsche Bank AG, London Branch, Goldman Sachs &amp; Co. LLC, JPMorgan Chase Bank, National Association, Mizuho Markets Americas LLC and Wells Fargo Bank, National Association (collectively, the “Option Counterparties”).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cover, subject to customary anti-dilution adjustments, the aggregate number of shares of the Company’s Class A Common Stock that initially underlie the Notes, and are expected generally to reduce potential dilution to the Company’s Class A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Class A Common Stock on September 9, 2021. The cost of the Capped Call Transactions was $90.2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Amended and Restated Credit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14, 2022, the Company, as successor by assumption to Hydrafacial, a California limited liability company, entered into an Amended and Restated Credit Agreement (as it may be further amended, restated, supplemented or modified from time to time, the “Credit Agreement”) with JPMorgan Chase Bank, N.A. (the “Administrative Agent”). The Credit Agreement provided the Company with a $50.0 million revolving credit facility that had a maturity date of November 14, 2027.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6, 2024, the Company prepaid all obligations and terminated all commitments, liabilities, and other obligations under the Credit Agreement. There were no material early termination penalties incurred in connection therewith, all outstanding obligations and commitments under the Credit Agreement were satisfied and terminated, and all related security interests and liens securing such obligations and commitments were released.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pPr>
      <w:r>
        <w:rPr>
          <w:rFonts w:ascii="Times New Roman;sans-serif" w:hAnsi="Times New Roman;sans-serif"/>
          <w:b/>
          <w:i/>
          <w:color w:val="000000"/>
          <w:sz w:val="20"/>
          <w:shd w:fill="FFFFFF" w:val="clear"/>
        </w:rPr>
        <w:t>Known Tren</w:t>
      </w:r>
      <w:r>
        <w:rPr>
          <w:rFonts w:ascii="Times New Roman;sans-serif" w:hAnsi="Times New Roman;sans-serif"/>
          <w:b/>
          <w:i/>
          <w:color w:val="000000"/>
          <w:sz w:val="20"/>
        </w:rPr>
        <w:t>ds or Uncertainties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customers operate within the medical industry (dermatologists and plastic surgeons), esthetician industry, and beauty retail industry. Although we have not seen any significant reduction in revenues to date due to consolidations, we have seen some consolidation in these industries during economic downturns. These consolidations have not had a negative effect on our total net sales; however, should consolidations and downsizing in the industries continue to occur, those events could adversely impact our revenues and earnings going forward.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 addition, we continue to face macro-economic challenges such as the possibility of recession or financial market instability, and the impact of any governmental actions on the economy. These factors may adversely impact consumers, business, and government spending as well as our customers' ability to pay for our products and services on an ongoing basis.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If economic and social conditions or the degree of uncertainty or volatility worsen, or the adverse conditions previously described are further prolonged, our revenues could be adversely affected. Macro-economic challenges and credit conditions have negatively impacted our revenues in 2024. We are continuing to monitor these and other risks that may affect our business so that we can respond appropriately. Negative trends in our financial performance or financial condition may result in a sustained decline in our stock price, which may result in a triggering event necessitating an interim goodwill impairment assessment and potential goodwill impairment.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231F20"/>
          <w:sz w:val="20"/>
        </w:rPr>
      </w:pPr>
      <w:r>
        <w:rPr>
          <w:rFonts w:ascii="Times New Roman;sans-serif" w:hAnsi="Times New Roman;sans-serif"/>
          <w:b w:val="false"/>
          <w:i/>
          <w:color w:val="231F20"/>
          <w:sz w:val="20"/>
        </w:rPr>
        <w:t>Discontinuation of Trade-up Program in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accepted Delivery Systems in trade-up transactions with the intent to refurbish and resell such Delivery Systems received from the customer. During the nine months ended September 30, 2023 and the year ended December 31, 2023, the Company recognized approximately $12 million and $17 million, respectively, of revenue based on the estimated fair value of such Delivery Systems. While the Company still expects to resell Delivery Systems previously received in trade-up transactions, starting in 2024, the Company discontinued the use of trade-up transactions and the ensuing revenue recognition for noncash consideration.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Cash Flows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activities from our statements of cash flows. Amounts may not foot due to rounding.</w:t>
      </w:r>
    </w:p>
    <w:tbl>
      <w:tblPr>
        <w:tblW w:w="8051" w:type="dxa"/>
        <w:jc w:val="left"/>
        <w:tblInd w:w="0" w:type="dxa"/>
        <w:tblLayout w:type="fixed"/>
        <w:tblCellMar>
          <w:top w:w="28" w:type="dxa"/>
          <w:left w:w="28" w:type="dxa"/>
          <w:bottom w:w="28" w:type="dxa"/>
          <w:right w:w="28" w:type="dxa"/>
        </w:tblCellMar>
      </w:tblPr>
      <w:tblGrid>
        <w:gridCol w:w="1957"/>
        <w:gridCol w:w="1725"/>
        <w:gridCol w:w="1732"/>
        <w:gridCol w:w="248"/>
        <w:gridCol w:w="724"/>
        <w:gridCol w:w="128"/>
        <w:gridCol w:w="128"/>
        <w:gridCol w:w="128"/>
        <w:gridCol w:w="128"/>
        <w:gridCol w:w="248"/>
        <w:gridCol w:w="724"/>
        <w:gridCol w:w="181"/>
      </w:tblGrid>
      <w:tr>
        <w:trPr/>
        <w:tc>
          <w:tcPr>
            <w:tcW w:w="195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Nine Months Ended September 30,</w:t>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(Dollars in millions)</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Cash, cash equivalents, and restricted cash at beginning of period</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Operating activities: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Non-cash adjustments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Changes in working capital</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cash (used for) provided by operating activities</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(0.3)</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cash used for investing activities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cash used for financing activities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Net change in cash, cash equivalents, and restricted cash</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Effect of foreign currency translation</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Cash, cash equivalents, and restricted cash at end of period</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Operating Activities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Net cash used for operating activities for the </w:t>
      </w:r>
      <w:r>
        <w:rPr>
          <w:rFonts w:ascii="Times New Roman;sans-serif" w:hAnsi="Times New Roman;sans-serif"/>
          <w:b w:val="false"/>
          <w:color w:val="000000"/>
          <w:sz w:val="20"/>
        </w:rPr>
        <w:t>nine months ended September 30, 2024</w:t>
      </w:r>
      <w:r>
        <w:rPr>
          <w:color w:val="231F20"/>
        </w:rPr>
        <w:t xml:space="preserve"> </w:t>
      </w:r>
      <w:r>
        <w:rPr>
          <w:rFonts w:ascii="Times New Roman;sans-serif" w:hAnsi="Times New Roman;sans-serif"/>
          <w:b w:val="false"/>
          <w:color w:val="231F20"/>
          <w:sz w:val="20"/>
        </w:rPr>
        <w:t xml:space="preserve">was $0.3 million, as compared to net cash provided by operating activities of $26.9 million for the </w:t>
      </w:r>
      <w:r>
        <w:rPr>
          <w:rFonts w:ascii="Times New Roman;sans-serif" w:hAnsi="Times New Roman;sans-serif"/>
          <w:b w:val="false"/>
          <w:color w:val="000000"/>
          <w:sz w:val="20"/>
        </w:rPr>
        <w:t>nine months ended September 30, 2023</w:t>
      </w:r>
      <w:r>
        <w:rPr>
          <w:rFonts w:ascii="Times New Roman;sans-serif" w:hAnsi="Times New Roman;sans-serif"/>
          <w:b w:val="false"/>
          <w:color w:val="231F20"/>
          <w:sz w:val="20"/>
        </w:rPr>
        <w:t xml:space="preserve">. The change in cash used for operating activities was primarily related to higher working capital usage and changes in net loss and non-cash adjustments. The current year net </w:t>
      </w:r>
      <w:r>
        <w:rPr>
          <w:rFonts w:ascii="Times New Roman;sans-serif" w:hAnsi="Times New Roman;sans-serif"/>
          <w:b w:val="false"/>
          <w:color w:val="000000"/>
          <w:sz w:val="20"/>
        </w:rPr>
        <w:t>loss</w:t>
      </w:r>
      <w:r>
        <w:rPr>
          <w:color w:val="231F20"/>
        </w:rPr>
        <w:t xml:space="preserve"> </w:t>
      </w:r>
      <w:r>
        <w:rPr>
          <w:rFonts w:ascii="Times New Roman;sans-serif" w:hAnsi="Times New Roman;sans-serif"/>
          <w:b w:val="false"/>
          <w:color w:val="231F20"/>
          <w:sz w:val="20"/>
        </w:rPr>
        <w:t xml:space="preserve">and non-cash adjustments include a net </w:t>
      </w:r>
      <w:r>
        <w:rPr>
          <w:rFonts w:ascii="Times New Roman;sans-serif" w:hAnsi="Times New Roman;sans-serif"/>
          <w:b w:val="false"/>
          <w:color w:val="000000"/>
          <w:sz w:val="20"/>
        </w:rPr>
        <w:t xml:space="preserve">gain of $33.4 million related to the repurchase of the Company’s Notes. The prior year net loss and non-cash adjustments, and changes in working capital include the impact of the Syndeo Program charges.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Investing Activities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Net cash used for investing activities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 xml:space="preserve">nine months ended September 30, 2024 was </w:t>
      </w:r>
      <w:r>
        <w:rPr>
          <w:rFonts w:ascii="Times New Roman;sans-serif" w:hAnsi="Times New Roman;sans-serif"/>
          <w:b w:val="false"/>
          <w:color w:val="231F20"/>
          <w:sz w:val="20"/>
        </w:rPr>
        <w:t xml:space="preserve">$5.9 million, as compared to $29.3 million for the </w:t>
      </w:r>
      <w:r>
        <w:rPr>
          <w:rFonts w:ascii="Times New Roman;sans-serif" w:hAnsi="Times New Roman;sans-serif"/>
          <w:b w:val="false"/>
          <w:color w:val="000000"/>
          <w:sz w:val="20"/>
        </w:rPr>
        <w:t>nine months ended September 30, 2023</w:t>
      </w:r>
      <w:r>
        <w:rPr>
          <w:rFonts w:ascii="Times New Roman;sans-serif" w:hAnsi="Times New Roman;sans-serif"/>
          <w:b w:val="false"/>
          <w:color w:val="231F20"/>
          <w:sz w:val="20"/>
        </w:rPr>
        <w:t>. The change in cash used for investing activities was primarily related to prior year’s asset acquisitions of Esthetic Medical Inc. and Anacapa Aesthetics LLC for $18.5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Financing Activities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Net cash used for financing activities for the </w:t>
      </w:r>
      <w:r>
        <w:rPr>
          <w:rFonts w:ascii="Times New Roman;sans-serif" w:hAnsi="Times New Roman;sans-serif"/>
          <w:b w:val="false"/>
          <w:color w:val="000000"/>
          <w:sz w:val="20"/>
        </w:rPr>
        <w:t>nine months ended September 30, 2024</w:t>
      </w:r>
      <w:r>
        <w:rPr>
          <w:color w:val="231F20"/>
        </w:rPr>
        <w:t xml:space="preserve"> </w:t>
      </w:r>
      <w:r>
        <w:rPr>
          <w:rFonts w:ascii="Times New Roman;sans-serif" w:hAnsi="Times New Roman;sans-serif"/>
          <w:b w:val="false"/>
          <w:color w:val="231F20"/>
          <w:sz w:val="20"/>
        </w:rPr>
        <w:t xml:space="preserve">was $157.6 million, as compared to $6.1 million for the </w:t>
      </w:r>
      <w:r>
        <w:rPr>
          <w:rFonts w:ascii="Times New Roman;sans-serif" w:hAnsi="Times New Roman;sans-serif"/>
          <w:b w:val="false"/>
          <w:color w:val="000000"/>
          <w:sz w:val="20"/>
        </w:rPr>
        <w:t>nine months ended September 30, 2023</w:t>
      </w:r>
      <w:r>
        <w:rPr>
          <w:rFonts w:ascii="Times New Roman;sans-serif" w:hAnsi="Times New Roman;sans-serif"/>
          <w:b w:val="false"/>
          <w:color w:val="231F20"/>
          <w:sz w:val="20"/>
        </w:rPr>
        <w:t xml:space="preserve">. The change in cash used for financing activities was primarily related to the repurchase of $192.3 million principal amount of the Company’s Notes at a weighted-average price equal to </w:t>
      </w:r>
      <w:r>
        <w:rPr>
          <w:rFonts w:ascii="Times New Roman;sans-serif" w:hAnsi="Times New Roman;sans-serif"/>
          <w:b w:val="false"/>
          <w:color w:val="000000"/>
          <w:sz w:val="20"/>
        </w:rPr>
        <w:t>81%</w:t>
      </w:r>
      <w:r>
        <w:rPr>
          <w:color w:val="231F20"/>
        </w:rPr>
        <w:t xml:space="preserve"> </w:t>
      </w:r>
      <w:r>
        <w:rPr>
          <w:rFonts w:ascii="Times New Roman;sans-serif" w:hAnsi="Times New Roman;sans-serif"/>
          <w:b w:val="false"/>
          <w:color w:val="231F20"/>
          <w:sz w:val="20"/>
        </w:rPr>
        <w:t>for $156.1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There have been no changes to our critical accounting policies since our Annual Report on Form 10-K for the fiscal year ended </w:t>
      </w:r>
      <w:r>
        <w:rPr>
          <w:rFonts w:ascii="Times New Roman;sans-serif" w:hAnsi="Times New Roman;sans-serif"/>
          <w:b w:val="false"/>
          <w:color w:val="000000"/>
          <w:sz w:val="20"/>
        </w:rPr>
        <w:t>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Recent Accounting Pronouncements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See Part I, Item 1 "Financial Statements—Note </w:t>
      </w:r>
      <w:r>
        <w:rPr>
          <w:rFonts w:ascii="Times New Roman;sans-serif" w:hAnsi="Times New Roman;sans-serif"/>
          <w:b w:val="false"/>
          <w:color w:val="000000"/>
          <w:sz w:val="20"/>
        </w:rPr>
        <w:t>14</w:t>
      </w:r>
      <w:r>
        <w:rPr>
          <w:color w:val="231F20"/>
        </w:rPr>
        <w:t xml:space="preserve"> </w:t>
      </w:r>
      <w:r>
        <w:rPr>
          <w:rFonts w:ascii="Times New Roman;sans-serif" w:hAnsi="Times New Roman;sans-serif"/>
          <w:b w:val="false"/>
          <w:color w:val="231F20"/>
          <w:sz w:val="20"/>
        </w:rPr>
        <w:t>to the Consolidated Financial Statements—New Accounting Pronouncements"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Market risks relating to our operations result primarily from changes in interest rates, foreign currency, and inflation risk. There were no material changes to our market risks disclosed in our Annual Report on Form 10-K for the fiscal year ended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conducted an evaluation, under the supervision and with the participation of the Company’s management, including the Company’s principal executive officer and principal financial officer, of the effectiveness of the design and operation of its disclosure controls and procedures as defined in Rules 13a-15(e) and 15-d-15(e) under the Securities Exchange Act of 1934, as amended (the “Exchange Act”) as of the end of the period covered by this Quarterly Report on Form 10-Q. Any controls and procedures, no matter how well designed and operated, can provide only reasonable assurance of achieving the desired control objectives and management necessarily applies its judgment in evaluating the cost-benefit relationship of possible controls and procedures. Based on that evaluation, the Company’s principal executive officer and principal financial officer have concluded that, as a result of the material weakness in our internal control over financial reporting related to the Company’s inventory process as described in Part II, Item 9A of our Annual Report on Form 10-K for the year ended December 31, 2023 (the “Inventory Material Weakness”), the Company’s disclosure controls and procedures were not effective as of September 30,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Remediation Plan for Material Weakness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with oversight from its Audit Committee, is in the process of implementing measures designed to ensure that control deficiencies contributing to the material weakness are remediated, such that these controls are designed, implemented, and operating effectively. The remediation plan includes, but is not limited to, the following: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hiring additional personnel, both internal and external, with the necessary experience and skill to manage supply chain and inventory operations</w:t>
      </w:r>
      <w:r>
        <w:rPr>
          <w:rFonts w:ascii="Times New Roman;sans-serif" w:hAnsi="Times New Roman;sans-serif"/>
          <w:b w:val="false"/>
          <w:color w:val="231F20"/>
          <w:sz w:val="20"/>
        </w:rPr>
        <w:t>;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231F20"/>
          <w:sz w:val="20"/>
        </w:rPr>
        <w:t>enhancing controls, including the implementation of manual or automated processes over the physical existence of inventory, identification of excess and obsolete inventory, and authorization of inventory pricing and purchase arrangements.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believes that these actions will remediate the material weakness, additional time is required to test such actions and to complete the design, implementation, and review its controls to demonstrate the effectiveness of the Company’s remediation efforts. The material weakness cannot be considered remediated until the applicable remedial controls operate for a sufficient period of time and management has concluded, through testing, that these controls are operating effectively.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in our internal control over financial reporting (as such term is defined in the Exchange Act) that occurred during the three months ended September 30, 2024 that have materially affected, or are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For a description of our material pending legal proceedings, see Note 10, Commitments and Contingencies, to our condensed consolidated financial statem</w:t>
      </w:r>
      <w:r>
        <w:rPr>
          <w:rFonts w:ascii="Times New Roman;sans-serif" w:hAnsi="Times New Roman;sans-serif"/>
          <w:b w:val="false"/>
          <w:color w:val="000000"/>
          <w:sz w:val="20"/>
          <w:shd w:fill="FFFFFF" w:val="clear"/>
        </w:rPr>
        <w:t>ents included in Part I, Item 1 of this Quarterly Report on Form 10-Q</w:t>
      </w:r>
      <w:r>
        <w:rPr>
          <w:rFonts w:ascii="Times New Roman;sans-serif" w:hAnsi="Times New Roman;sans-serif"/>
          <w:b w:val="false"/>
          <w:color w:val="000000"/>
          <w:sz w:val="2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Please carefully consider the information set forth in this Quarterly Report on Form 10-Q and the risk factors discussed in Part I, “Item 1A. Risk Factors” in the Annual Report on Form 10-K, which could materially affect our business, financial condition, or future results. The risks described in our Annual Report on Form 10-K, as well as additional risks and uncertainties not presently known to us or that we currently deem immaterial, could materially and adversely affect our business, results of operations, and financial condition, which in turn could materially and adversely affect the trading price of shares of our Class A Common Stock. As of the date of this Quarterly Report on Form 10-Q, there have been no material updates or changes with respect to the risk factors previously disclosed in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the Company did not issue any shares of its Class A Common Stock or other equity securities that were not registered under the Securities Act of 1933, as amended.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of Equity Securities by Issuer and Affiliated Purchasers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the Company and its affiliated purchasers did not make any purchases of the Company’s equity securities.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exhibits are filed as part of, or incorporated by reference into, this Quarterly Report on Form 10-Q. </w:t>
      </w:r>
    </w:p>
    <w:tbl>
      <w:tblPr>
        <w:tblW w:w="10205" w:type="dxa"/>
        <w:jc w:val="left"/>
        <w:tblInd w:w="0" w:type="dxa"/>
        <w:tblLayout w:type="fixed"/>
        <w:tblCellMar>
          <w:top w:w="28" w:type="dxa"/>
          <w:left w:w="28" w:type="dxa"/>
          <w:bottom w:w="28" w:type="dxa"/>
          <w:right w:w="28" w:type="dxa"/>
        </w:tblCellMar>
      </w:tblPr>
      <w:tblGrid>
        <w:gridCol w:w="179"/>
        <w:gridCol w:w="157"/>
        <w:gridCol w:w="160"/>
        <w:gridCol w:w="109"/>
        <w:gridCol w:w="109"/>
        <w:gridCol w:w="109"/>
        <w:gridCol w:w="1415"/>
        <w:gridCol w:w="1148"/>
        <w:gridCol w:w="1151"/>
        <w:gridCol w:w="109"/>
        <w:gridCol w:w="109"/>
        <w:gridCol w:w="109"/>
        <w:gridCol w:w="196"/>
        <w:gridCol w:w="196"/>
        <w:gridCol w:w="197"/>
        <w:gridCol w:w="109"/>
        <w:gridCol w:w="109"/>
        <w:gridCol w:w="109"/>
        <w:gridCol w:w="262"/>
        <w:gridCol w:w="242"/>
        <w:gridCol w:w="166"/>
        <w:gridCol w:w="109"/>
        <w:gridCol w:w="109"/>
        <w:gridCol w:w="109"/>
        <w:gridCol w:w="246"/>
        <w:gridCol w:w="246"/>
        <w:gridCol w:w="247"/>
        <w:gridCol w:w="109"/>
        <w:gridCol w:w="109"/>
        <w:gridCol w:w="109"/>
        <w:gridCol w:w="413"/>
        <w:gridCol w:w="373"/>
        <w:gridCol w:w="257"/>
        <w:gridCol w:w="109"/>
        <w:gridCol w:w="109"/>
        <w:gridCol w:w="109"/>
        <w:gridCol w:w="287"/>
        <w:gridCol w:w="287"/>
        <w:gridCol w:w="418"/>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tc>
      </w:tr>
      <w:tr>
        <w:trPr/>
        <w:tc>
          <w:tcPr>
            <w:tcW w:w="4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Filed Herewith</w:t>
            </w:r>
          </w:p>
        </w:tc>
      </w:tr>
      <w:tr>
        <w:trPr/>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Agreement and Plan of Merger, dated as of December 8, 2020, by and among Vesper Healthcare Acquisition Corp., Hydrate Merger Sub I, Inc., Hydrate Merger Sub II, LLC, LCP Edge Intermediate, Inc. and LCP Edge Holdco, LLC, in its capacity as the Stockholders’ Representative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9,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ans-serif" w:hAnsi="Times New Roman;sans-serif"/>
                  <w:b w:val="false"/>
                  <w:color w:val="0000FF"/>
                  <w:sz w:val="20"/>
                  <w:u w:val="single"/>
                </w:rPr>
                <w:t>Second Amended and Restated Certificate of Incorporation of The Beauty Health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Times New Roman;sans-serif" w:hAnsi="Times New Roman;sans-serif"/>
                  <w:b w:val="false"/>
                  <w:color w:val="0000FF"/>
                  <w:sz w:val="20"/>
                  <w:u w:val="single"/>
                </w:rPr>
                <w:t>Certificate of Amendment to the Second Amended and Restated Certificate of Incorporation of The Beauty Health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3.3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p>
            <w:pPr>
              <w:pStyle w:val="TableContents"/>
              <w:bidi w:val="0"/>
              <w:spacing w:lineRule="auto" w:line="268" w:before="0" w:after="0"/>
              <w:jc w:val="left"/>
              <w:rPr/>
            </w:pPr>
            <w:hyperlink r:id="rId9">
              <w:r>
                <w:rPr>
                  <w:rStyle w:val="InternetLink"/>
                  <w:rFonts w:ascii="Times New Roman;sans-serif" w:hAnsi="Times New Roman;sans-serif"/>
                  <w:b w:val="false"/>
                  <w:color w:val="0000FF"/>
                  <w:sz w:val="20"/>
                  <w:u w:val="single"/>
                </w:rPr>
                <w:t>Second Certificate of Amendment to the Second Amended and Restated Certificate of Incorporation of The Beauty Health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Amended and Restated Bylaws of The Beauty Health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10,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Indenture, dated as of September 14, 2021, between The Beauty Health Company and U.S. Bank National Association,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14,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5">
              <w:r>
                <w:rPr>
                  <w:rStyle w:val="InternetLink"/>
                  <w:rFonts w:ascii="Times New Roman;sans-serif" w:hAnsi="Times New Roman;sans-serif"/>
                  <w:b w:val="false"/>
                  <w:color w:val="0000FF"/>
                  <w:sz w:val="20"/>
                  <w:u w:val="single"/>
                </w:rPr>
                <w:t xml:space="preserve">Form of certificate representing the 1.25% Convertible Senior Notes due 2026 (included as Exhibit A to Exhibit 4.1)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14,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Warrant Agreement, dated September 29, 2020, between the Company and Continental Stock Transfer &amp; Trust Company, as warrant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5,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4.4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Description of Registrant’s Securities Registered Pursuant to Section 12 of the Securities Exchange Act of 1934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80"/>
                  <w:sz w:val="20"/>
                  <w:u w:val="single"/>
                </w:rPr>
                <w:t>10.</w:t>
              </w:r>
            </w:hyperlink>
            <w:hyperlink r:id="rId21">
              <w:r>
                <w:rPr>
                  <w:rStyle w:val="InternetLink"/>
                  <w:rFonts w:ascii="Times New Roman;sans-serif" w:hAnsi="Times New Roman;sans-serif"/>
                  <w:b w:val="false"/>
                  <w:color w:val="000080"/>
                  <w:sz w:val="20"/>
                  <w:u w:val="single"/>
                </w:rPr>
                <w:t>1</w:t>
              </w:r>
            </w:hyperlink>
            <w:hyperlink r:id="rId22">
              <w:r>
                <w:rPr>
                  <w:rStyle w:val="InternetLink"/>
                  <w:rFonts w:ascii="Times New Roman;sans-serif" w:hAnsi="Times New Roman;sans-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Bonus Opportunity Letter, dated August 6, 2024, for Michael Monahan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10.2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Separation and Transition Agreement, dated November 11, 2024, by and between Hydrafacial LLC and Daniel Watson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2024q310q.htm">
              <w:r>
                <w:rPr>
                  <w:rStyle w:val="InternetLink"/>
                  <w:rFonts w:ascii="Times New Roman;sans-serif" w:hAnsi="Times New Roman;sans-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2024q310q.htm">
              <w:r>
                <w:rPr>
                  <w:rStyle w:val="InternetLink"/>
                  <w:rFonts w:ascii="Times New Roman;sans-serif" w:hAnsi="Times New Roman;sans-serif"/>
                  <w:b w:val="false"/>
                  <w:color w:val="0000FF"/>
                  <w:sz w:val="20"/>
                  <w:u w:val="single"/>
                </w:rPr>
                <w:t>Certification of Principal Executive Officer Pursuant to Securities Exchange Act Rules 13a-14(a),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2024q310q.htm">
              <w:r>
                <w:rPr>
                  <w:rStyle w:val="InternetLink"/>
                  <w:rFonts w:ascii="Times New Roman;sans-serif" w:hAnsi="Times New Roman;sans-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2024q310q.htm">
              <w:r>
                <w:rPr>
                  <w:rStyle w:val="InternetLink"/>
                  <w:rFonts w:ascii="Times New Roman;sans-serif" w:hAnsi="Times New Roman;sans-serif"/>
                  <w:b w:val="false"/>
                  <w:color w:val="0000FF"/>
                  <w:sz w:val="20"/>
                  <w:u w:val="single"/>
                </w:rPr>
                <w:t>Certification of Principal Financial Officer Pursuant to Securities Exchange Act Rules 13a-14(a),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2024q310q.htm">
              <w:r>
                <w:rPr>
                  <w:rStyle w:val="InternetLink"/>
                  <w:rFonts w:ascii="Times New Roman;sans-serif" w:hAnsi="Times New Roman;sans-serif"/>
                  <w:b w:val="false"/>
                  <w:color w:val="0000FF"/>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2024q310q.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2024q310q.htm">
              <w:r>
                <w:rPr>
                  <w:rStyle w:val="InternetLink"/>
                  <w:rFonts w:ascii="Times New Roman;sans-serif" w:hAnsi="Times New Roman;sans-serif"/>
                  <w:b w:val="false"/>
                  <w:color w:val="0000FF"/>
                  <w:sz w:val="20"/>
                  <w:u w:val="single"/>
                </w:rPr>
                <w:t>32.2*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2024q310q.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
        <w:gridCol w:w="211"/>
        <w:gridCol w:w="216"/>
        <w:gridCol w:w="109"/>
        <w:gridCol w:w="109"/>
        <w:gridCol w:w="109"/>
        <w:gridCol w:w="1258"/>
        <w:gridCol w:w="1239"/>
        <w:gridCol w:w="1243"/>
        <w:gridCol w:w="109"/>
        <w:gridCol w:w="109"/>
        <w:gridCol w:w="109"/>
        <w:gridCol w:w="200"/>
        <w:gridCol w:w="200"/>
        <w:gridCol w:w="201"/>
        <w:gridCol w:w="109"/>
        <w:gridCol w:w="109"/>
        <w:gridCol w:w="109"/>
        <w:gridCol w:w="184"/>
        <w:gridCol w:w="184"/>
        <w:gridCol w:w="185"/>
        <w:gridCol w:w="109"/>
        <w:gridCol w:w="109"/>
        <w:gridCol w:w="109"/>
        <w:gridCol w:w="250"/>
        <w:gridCol w:w="250"/>
        <w:gridCol w:w="251"/>
        <w:gridCol w:w="109"/>
        <w:gridCol w:w="109"/>
        <w:gridCol w:w="109"/>
        <w:gridCol w:w="257"/>
        <w:gridCol w:w="257"/>
        <w:gridCol w:w="258"/>
        <w:gridCol w:w="109"/>
        <w:gridCol w:w="109"/>
        <w:gridCol w:w="109"/>
        <w:gridCol w:w="322"/>
        <w:gridCol w:w="322"/>
        <w:gridCol w:w="467"/>
      </w:tblGrid>
      <w:tr>
        <w:trPr/>
        <w:tc>
          <w:tcPr>
            <w:tcW w:w="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tc>
      </w:tr>
      <w:tr>
        <w:trPr/>
        <w:tc>
          <w:tcPr>
            <w:tcW w:w="7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Filed Herewith</w:t>
            </w:r>
          </w:p>
        </w:tc>
      </w:tr>
      <w:tr>
        <w:trPr/>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 attachments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6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    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 </w:t>
      </w:r>
    </w:p>
    <w:p>
      <w:pPr>
        <w:pStyle w:val="TextBody"/>
        <w:bidi w:val="0"/>
        <w:spacing w:lineRule="auto" w:line="26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pStyle w:val="TextBody"/>
        <w:bidi w:val="0"/>
        <w:spacing w:lineRule="auto" w:line="268" w:before="0" w:after="0"/>
        <w:ind w:left="0" w:right="0" w:hanging="360"/>
        <w:jc w:val="left"/>
        <w:rPr>
          <w:color w:val="000000"/>
        </w:rPr>
      </w:pPr>
      <w:r>
        <w:rPr>
          <w:color w:val="000000"/>
        </w:rPr>
        <w:t>†     </w:t>
      </w:r>
      <w:r>
        <w:rPr>
          <w:rFonts w:ascii="Times New Roman;sans-serif" w:hAnsi="Times New Roman;sans-serif"/>
          <w:b w:val="false"/>
          <w:color w:val="000000"/>
          <w:sz w:val="16"/>
        </w:rPr>
        <w:t xml:space="preserve">Confidential portions of this exhibit were redacted pursuant to Item 601(b)(10) of Regulation S-K, and the Company agrees to furnish to the SEC a copy of any omitted schedule and/or exhibit upon request. </w:t>
      </w:r>
    </w:p>
    <w:p>
      <w:pPr>
        <w:pStyle w:val="TextBody"/>
        <w:bidi w:val="0"/>
        <w:spacing w:lineRule="auto" w:line="26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Management contract or compensatory plan or arrangement.</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8186"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519"/>
        <w:gridCol w:w="519"/>
        <w:gridCol w:w="519"/>
        <w:gridCol w:w="1267"/>
        <w:gridCol w:w="1267"/>
        <w:gridCol w:w="18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THE BEAUTY HEALTH COMPANY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Marla Beck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Marla Beck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PURSUANT TO RULE 13A-14(A) UNDER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Marla Beck,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Beauty Health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065"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723"/>
        <w:gridCol w:w="723"/>
        <w:gridCol w:w="102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Marla Beck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Marla Beck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 PURSUANT TO RULE 13A-14(A) UNDER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Michael Monahan,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Beauty Health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355"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099"/>
        <w:gridCol w:w="1099"/>
        <w:gridCol w:w="15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The Beauty Health Company (the “Company”) on Form 10-Q for the quarterly period ended September 30, 2024, as filed with the Securities and Exchange Commission (the “Report”), I, Marla Beck, Chief Executive Officer of the Company, certify, pursuant to 18 U.S.C. §1350, as added by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065"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723"/>
        <w:gridCol w:w="723"/>
        <w:gridCol w:w="102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Marla Beck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Marla Beck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ind w:left="0" w:right="0" w:firstLine="5424"/>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The Beauty Health Company (the “Company”) on Form 10-Q for the quarterly period ended September 30, 2024, as filed with the Securities and Exchange Commission (the “Report”), I, Michael Monahan, Chief Financial Officer of the Company, certify, pursuant to 18 U.S.C. §1350, as added by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6355"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099"/>
        <w:gridCol w:w="1099"/>
        <w:gridCol w:w="15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and Financial Officer)</w:t>
            </w:r>
          </w:p>
        </w:tc>
      </w:tr>
    </w:tbl>
    <w:p>
      <w:pPr>
        <w:pStyle w:val="TextBody"/>
        <w:bidi w:val="0"/>
        <w:ind w:left="0" w:right="0" w:firstLine="5424"/>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8093/000121390020041690/ea131234ex2-1_vesperhealth.htm" TargetMode="External"/><Relationship Id="rId3" Type="http://schemas.openxmlformats.org/officeDocument/2006/relationships/hyperlink" Target="https://www.sec.gov/Archives/edgar/data/1818093/000121390020041690/ea131234ex2-1_vesperhealth.htm" TargetMode="External"/><Relationship Id="rId4" Type="http://schemas.openxmlformats.org/officeDocument/2006/relationships/hyperlink" Target="https://www.sec.gov/Archives/edgar/data/1818093/000119312521156433/d422189dex31.htm" TargetMode="External"/><Relationship Id="rId5" Type="http://schemas.openxmlformats.org/officeDocument/2006/relationships/hyperlink" Target="https://www.sec.gov/Archives/edgar/data/1818093/000119312521156433/d422189dex31.htm" TargetMode="External"/><Relationship Id="rId6" Type="http://schemas.openxmlformats.org/officeDocument/2006/relationships/hyperlink" Target="https://www.sec.gov/Archives/edgar/data/1818093/000162828024027695/exhibit31-amendmenttocoide.htm" TargetMode="External"/><Relationship Id="rId7" Type="http://schemas.openxmlformats.org/officeDocument/2006/relationships/hyperlink" Target="https://www.sec.gov/Archives/edgar/data/1818093/000162828024027695/exhibit31-amendmenttocoide.htm" TargetMode="External"/><Relationship Id="rId8" Type="http://schemas.openxmlformats.org/officeDocument/2006/relationships/hyperlink" Target="https://www.sec.gov/Archives/edgar/data/1818093/000162828024027695/exhibit32-amendmenttocoiel.htm" TargetMode="External"/><Relationship Id="rId9" Type="http://schemas.openxmlformats.org/officeDocument/2006/relationships/hyperlink" Target="https://www.sec.gov/Archives/edgar/data/1818093/000162828024027695/exhibit32-amendmenttocoiel.htm" TargetMode="External"/><Relationship Id="rId10" Type="http://schemas.openxmlformats.org/officeDocument/2006/relationships/hyperlink" Target="https://www.sec.gov/Archives/edgar/data/1818093/000119312521156433/d422189dex32.htm" TargetMode="External"/><Relationship Id="rId11" Type="http://schemas.openxmlformats.org/officeDocument/2006/relationships/hyperlink" Target="https://www.sec.gov/Archives/edgar/data/1818093/000119312521156433/d422189dex32.htm" TargetMode="External"/><Relationship Id="rId12" Type="http://schemas.openxmlformats.org/officeDocument/2006/relationships/hyperlink" Target="https://www.sec.gov/Archives/edgar/data/1818093/000181809321000062/exhibit41-convdebtclosing.htm" TargetMode="External"/><Relationship Id="rId13" Type="http://schemas.openxmlformats.org/officeDocument/2006/relationships/hyperlink" Target="https://www.sec.gov/Archives/edgar/data/1818093/000181809321000062/exhibit41-convdebtclosing.htm" TargetMode="External"/><Relationship Id="rId14" Type="http://schemas.openxmlformats.org/officeDocument/2006/relationships/hyperlink" Target="https://www.sec.gov/Archives/edgar/data/1818093/000181809321000062/exhibit41-convdebtclosing.htm" TargetMode="External"/><Relationship Id="rId15" Type="http://schemas.openxmlformats.org/officeDocument/2006/relationships/hyperlink" Target="https://www.sec.gov/Archives/edgar/data/1818093/000181809321000062/exhibit41-convdebtclosing.htm" TargetMode="External"/><Relationship Id="rId16" Type="http://schemas.openxmlformats.org/officeDocument/2006/relationships/hyperlink" Target="https://www.sec.gov/Archives/edgar/data/1818093/000121390020030149/ea127784ex4-1_vesper.htm" TargetMode="External"/><Relationship Id="rId17" Type="http://schemas.openxmlformats.org/officeDocument/2006/relationships/hyperlink" Target="https://www.sec.gov/Archives/edgar/data/1818093/000121390020030149/ea127784ex4-1_vesper.htm" TargetMode="External"/><Relationship Id="rId18" Type="http://schemas.openxmlformats.org/officeDocument/2006/relationships/hyperlink" Target="https://www.sec.gov/Archives/edgar/data/1818093/000181809322000046/ex44descriptionofsecurities.htm" TargetMode="External"/><Relationship Id="rId19" Type="http://schemas.openxmlformats.org/officeDocument/2006/relationships/hyperlink" Target="https://www.sec.gov/Archives/edgar/data/1818093/000181809322000046/ex44descriptionofsecurities.htm" TargetMode="External"/><Relationship Id="rId20" Type="http://schemas.openxmlformats.org/officeDocument/2006/relationships/hyperlink" Target="https://www.sec.gov/Archives/edgar/data/1818093/000162828024036238/exhibit105-bhc_mikemonah.htm" TargetMode="External"/><Relationship Id="rId21" Type="http://schemas.openxmlformats.org/officeDocument/2006/relationships/hyperlink" Target="https://www.sec.gov/Archives/edgar/data/1818093/000162828024036238/exhibit105-bhc_mikemonah.htm" TargetMode="External"/><Relationship Id="rId22" Type="http://schemas.openxmlformats.org/officeDocument/2006/relationships/hyperlink" Target="https://www.sec.gov/Archives/edgar/data/1818093/000162828024036238/exhibit105-bhc_mikemonah.htm" TargetMode="External"/><Relationship Id="rId23" Type="http://schemas.openxmlformats.org/officeDocument/2006/relationships/hyperlink" Target="https://www.sec.gov/Archives/edgar/data/1818093/000162828024036238/exhibit105-bhc_mikemonah.htm" TargetMode="External"/><Relationship Id="rId24" Type="http://schemas.openxmlformats.org/officeDocument/2006/relationships/hyperlink" Target="https://www.sec.gov/Archives/edgar/data/1818093/000162828024047098/exhibit101-watsontransitio.htm" TargetMode="External"/><Relationship Id="rId25" Type="http://schemas.openxmlformats.org/officeDocument/2006/relationships/hyperlink" Target="https://www.sec.gov/Archives/edgar/data/1818093/000162828024047098/exhibit101-watsontransitio.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18481</Words>
  <Characters>103591</Characters>
  <CharactersWithSpaces>120571</CharactersWithSpaces>
  <Paragraphs>2397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