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140970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36195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70" w:lineRule="exact"/>
        <w:rPr>
          <w:sz w:val="24"/>
          <w:szCs w:val="24"/>
          <w:color w:val="auto"/>
        </w:rPr>
      </w:pPr>
    </w:p>
    <w:p>
      <w:pPr>
        <w:ind w:left="1620" w:hanging="221"/>
        <w:spacing w:after="0"/>
        <w:tabs>
          <w:tab w:leader="none" w:pos="16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59" w:lineRule="exact"/>
        <w:rPr>
          <w:sz w:val="24"/>
          <w:szCs w:val="24"/>
          <w:color w:val="auto"/>
        </w:rPr>
      </w:pPr>
    </w:p>
    <w:p>
      <w:pPr>
        <w:jc w:val="center"/>
        <w:ind w:left="3640" w:right="1400" w:hanging="2233"/>
        <w:spacing w:after="0" w:line="281" w:lineRule="auto"/>
        <w:tabs>
          <w:tab w:leader="none" w:pos="159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150495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The Beauty Health Company</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90170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57"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53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6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85-1908962</w:t>
            </w:r>
          </w:p>
        </w:tc>
        <w:tc>
          <w:tcPr>
            <w:tcW w:w="0" w:type="dxa"/>
            <w:vAlign w:val="bottom"/>
          </w:tcPr>
          <w:p>
            <w:pPr>
              <w:spacing w:after="0"/>
              <w:rPr>
                <w:sz w:val="1"/>
                <w:szCs w:val="1"/>
                <w:color w:val="auto"/>
              </w:rPr>
            </w:pPr>
          </w:p>
        </w:tc>
      </w:tr>
      <w:tr>
        <w:trPr>
          <w:trHeight w:val="180"/>
        </w:trPr>
        <w:tc>
          <w:tcPr>
            <w:tcW w:w="5360" w:type="dxa"/>
            <w:vAlign w:val="bottom"/>
          </w:tcPr>
          <w:p>
            <w:pPr>
              <w:ind w:left="96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760" w:type="dxa"/>
            <w:vAlign w:val="bottom"/>
          </w:tcPr>
          <w:p>
            <w:pPr>
              <w:jc w:val="center"/>
              <w:ind w:left="95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5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3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231F20"/>
                <w:w w:val="99"/>
              </w:rPr>
              <w:t>2165 Spring Street</w:t>
            </w:r>
          </w:p>
        </w:tc>
        <w:tc>
          <w:tcPr>
            <w:tcW w:w="476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b w:val="1"/>
                <w:bCs w:val="1"/>
                <w:color w:val="231F20"/>
              </w:rPr>
              <w:t>(800) 603-4996</w:t>
            </w:r>
          </w:p>
        </w:tc>
        <w:tc>
          <w:tcPr>
            <w:tcW w:w="0" w:type="dxa"/>
            <w:vAlign w:val="bottom"/>
          </w:tcPr>
          <w:p>
            <w:pPr>
              <w:spacing w:after="0"/>
              <w:rPr>
                <w:sz w:val="1"/>
                <w:szCs w:val="1"/>
                <w:color w:val="auto"/>
              </w:rPr>
            </w:pPr>
          </w:p>
        </w:tc>
      </w:tr>
      <w:tr>
        <w:trPr>
          <w:trHeight w:val="233"/>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231F20"/>
                <w:w w:val="99"/>
              </w:rPr>
              <w:t>Long Beach, CA 90806</w:t>
            </w:r>
          </w:p>
        </w:tc>
        <w:tc>
          <w:tcPr>
            <w:tcW w:w="4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231F20"/>
              </w:rPr>
              <w:t>(Address of principal executive offices, including zip code)</w:t>
            </w:r>
          </w:p>
        </w:tc>
        <w:tc>
          <w:tcPr>
            <w:tcW w:w="47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231F20"/>
                <w:w w:val="99"/>
              </w:rPr>
              <w:t>Registrant's telephone number, including area code</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91440</wp:posOffset>
            </wp:positionV>
            <wp:extent cx="209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2"/>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tc>
        <w:tc>
          <w:tcPr>
            <w:tcW w:w="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SKIN</w:t>
            </w:r>
          </w:p>
        </w:tc>
        <w:tc>
          <w:tcPr>
            <w:tcW w:w="10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3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4"/>
        </w:trPr>
        <w:tc>
          <w:tcPr>
            <w:tcW w:w="1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00"/>
              <w:spacing w:after="0" w:line="205" w:lineRule="exact"/>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5, 2025, there were 126,825,397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BEAUTY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0" w:type="dxa"/>
            <w:vAlign w:val="bottom"/>
            <w:shd w:val="clear" w:color="auto" w:fill="CCEEFF"/>
          </w:tcPr>
          <w:p>
            <w:pPr>
              <w:spacing w:after="0"/>
              <w:rPr>
                <w:sz w:val="17"/>
                <w:szCs w:val="17"/>
                <w:color w:val="auto"/>
              </w:rPr>
            </w:pPr>
          </w:p>
        </w:tc>
        <w:tc>
          <w:tcPr>
            <w:tcW w:w="105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 I—FINANCIAL INFORMATION</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4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42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w:t>
            </w:r>
          </w:p>
        </w:tc>
        <w:tc>
          <w:tcPr>
            <w:tcW w:w="4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2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20" w:type="dxa"/>
            <w:vAlign w:val="bottom"/>
            <w:gridSpan w:val="4"/>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20" w:type="dxa"/>
            <w:vAlign w:val="bottom"/>
            <w:gridSpan w:val="4"/>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20" w:type="dxa"/>
            <w:vAlign w:val="bottom"/>
            <w:gridSpan w:val="4"/>
            <w:shd w:val="clear" w:color="auto" w:fill="CCEEFF"/>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5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 II—OTHER INFORMATION</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4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gridSpan w:val="4"/>
            <w:shd w:val="clear" w:color="auto" w:fill="CCEEFF"/>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4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7"/>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20" w:type="dxa"/>
            <w:vAlign w:val="bottom"/>
            <w:gridSpan w:val="4"/>
            <w:shd w:val="clear" w:color="auto" w:fill="CCEEFF"/>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7"/>
          </w:tcPr>
          <w:p>
            <w:pPr>
              <w:ind w:left="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w:t>
      </w:r>
      <w:r>
        <w:rPr>
          <w:rFonts w:ascii="Times New Roman" w:cs="Times New Roman" w:eastAsia="Times New Roman" w:hAnsi="Times New Roman"/>
          <w:sz w:val="18"/>
          <w:szCs w:val="18"/>
          <w:b w:val="1"/>
          <w:bCs w:val="1"/>
          <w:color w:val="231F20"/>
        </w:rPr>
        <w:t>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18"/>
                <w:szCs w:val="18"/>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Current assets:</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Cash, cash equivalents, and restricted 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212,000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370,063</w:t>
            </w:r>
          </w:p>
        </w:tc>
        <w:tc>
          <w:tcPr>
            <w:tcW w:w="0" w:type="dxa"/>
            <w:vAlign w:val="bottom"/>
          </w:tcPr>
          <w:p>
            <w:pPr>
              <w:spacing w:after="0"/>
              <w:rPr>
                <w:sz w:val="1"/>
                <w:szCs w:val="1"/>
                <w:color w:val="auto"/>
              </w:rPr>
            </w:pPr>
          </w:p>
        </w:tc>
      </w:tr>
      <w:tr>
        <w:trPr>
          <w:trHeight w:val="175"/>
        </w:trPr>
        <w:tc>
          <w:tcPr>
            <w:tcW w:w="7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231F20"/>
              </w:rPr>
              <w:t>Accounts receivable, net of allowances for estimated credit losses of $8,014 and $9,597 at</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June 30, 2025 and December 31, 2024, respectively</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25,046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27,643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Inventories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69,113</w:t>
            </w: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Income tax receivable</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818</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7,794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9,487</w:t>
            </w:r>
          </w:p>
        </w:tc>
        <w:tc>
          <w:tcPr>
            <w:tcW w:w="0" w:type="dxa"/>
            <w:vAlign w:val="bottom"/>
          </w:tcPr>
          <w:p>
            <w:pPr>
              <w:spacing w:after="0"/>
              <w:rPr>
                <w:sz w:val="1"/>
                <w:szCs w:val="1"/>
                <w:color w:val="auto"/>
              </w:rPr>
            </w:pPr>
          </w:p>
        </w:tc>
      </w:tr>
      <w:tr>
        <w:trPr>
          <w:trHeight w:val="223"/>
        </w:trPr>
        <w:tc>
          <w:tcPr>
            <w:tcW w:w="726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Total current assets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306,107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477,124</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5,978</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Right-of-use assets, net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13,590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Intangible assets,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43,489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47,512</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126,273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123,499</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Deferred income tax assets,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3,894</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assets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13,300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14,086</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507,565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685,683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Current liabilities:</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22,976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21,941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Accrued payroll-related expenses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14,981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17,636</w:t>
            </w: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Lease liabilities, current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5,147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Income tax payable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3,426</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231F20"/>
              </w:rPr>
              <w:t>Other accrued expenses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13,643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20,002</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Total current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59,441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68,152</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Lease liabilities, non-current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10,813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Deferred income tax liabilities,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396</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Warrant liabilities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Convertible senior notes, net</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363,096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552,198</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long-term liabilities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1,833</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433,562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633,880</w:t>
            </w:r>
          </w:p>
        </w:tc>
        <w:tc>
          <w:tcPr>
            <w:tcW w:w="0" w:type="dxa"/>
            <w:vAlign w:val="bottom"/>
          </w:tcPr>
          <w:p>
            <w:pPr>
              <w:spacing w:after="0"/>
              <w:rPr>
                <w:sz w:val="1"/>
                <w:szCs w:val="1"/>
                <w:color w:val="auto"/>
              </w:rPr>
            </w:pP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6)</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Stockholders’ equity: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231F20"/>
              </w:rPr>
              <w:t>Class A Common Stock, $0.0001 par value; 320,000,000 shares authorized; 126,764,562 and</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231F20"/>
              </w:rPr>
              <w:t>124,924,185 shares issued and outstanding at June 30, 2025 and December 31, 2024,</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respectively</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574,535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566,709</w:t>
            </w: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Accumulated other comprehensive loss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(6,953)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(498,349)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(507,965)</w:t>
            </w:r>
          </w:p>
        </w:tc>
        <w:tc>
          <w:tcPr>
            <w:tcW w:w="0" w:type="dxa"/>
            <w:vAlign w:val="bottom"/>
          </w:tcPr>
          <w:p>
            <w:pPr>
              <w:spacing w:after="0"/>
              <w:rPr>
                <w:sz w:val="1"/>
                <w:szCs w:val="1"/>
                <w:color w:val="auto"/>
              </w:rPr>
            </w:pPr>
          </w:p>
        </w:tc>
      </w:tr>
      <w:tr>
        <w:trPr>
          <w:trHeight w:val="223"/>
        </w:trPr>
        <w:tc>
          <w:tcPr>
            <w:tcW w:w="726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Total stockholders’ equity</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74,003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51,803</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507,565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685,683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w:t>
      </w:r>
      <w:r>
        <w:rPr>
          <w:rFonts w:ascii="Times New Roman" w:cs="Times New Roman" w:eastAsia="Times New Roman" w:hAnsi="Times New Roman"/>
          <w:sz w:val="18"/>
          <w:szCs w:val="18"/>
          <w:b w:val="1"/>
          <w:bCs w:val="1"/>
          <w:color w:val="231F20"/>
        </w:rPr>
        <w:t>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320" w:type="dxa"/>
            <w:vAlign w:val="bottom"/>
          </w:tcPr>
          <w:p>
            <w:pPr>
              <w:spacing w:after="0"/>
              <w:rPr>
                <w:sz w:val="17"/>
                <w:szCs w:val="17"/>
                <w:color w:val="auto"/>
              </w:rPr>
            </w:pPr>
          </w:p>
        </w:tc>
        <w:tc>
          <w:tcPr>
            <w:tcW w:w="280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231F20"/>
              </w:rPr>
              <w:t>2024</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147,767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171,997</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29,075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49,654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50,075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82,696</w:t>
            </w:r>
          </w:p>
        </w:tc>
      </w:tr>
      <w:tr>
        <w:trPr>
          <w:trHeight w:val="236"/>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231F20"/>
              </w:rPr>
              <w:t>Gross profit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49,112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40,940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97,692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89,301</w:t>
            </w: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23,109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30,482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49,149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64,166</w:t>
            </w:r>
          </w:p>
        </w:tc>
      </w:tr>
      <w:tr>
        <w:trPr>
          <w:trHeight w:val="257"/>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2,249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3,966</w:t>
            </w:r>
          </w:p>
        </w:tc>
      </w:tr>
      <w:tr>
        <w:trPr>
          <w:trHeight w:val="257"/>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27,452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31,410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61,017</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60,271</w:t>
            </w:r>
          </w:p>
        </w:tc>
      </w:tr>
      <w:tr>
        <w:trPr>
          <w:trHeight w:val="223"/>
        </w:trPr>
        <w:tc>
          <w:tcPr>
            <w:tcW w:w="49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51,812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63,051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112,415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128,403</w:t>
            </w: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Loss from operations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(2,700)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(22,111)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(39,102)</w:t>
            </w:r>
          </w:p>
        </w:tc>
      </w:tr>
      <w:tr>
        <w:trPr>
          <w:trHeight w:val="236"/>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Interest expense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5,481</w:t>
            </w:r>
          </w:p>
        </w:tc>
      </w:tr>
      <w:tr>
        <w:trPr>
          <w:trHeight w:val="257"/>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Interest income</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(6,186)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(9,550)</w:t>
            </w:r>
          </w:p>
        </w:tc>
      </w:tr>
      <w:tr>
        <w:trPr>
          <w:trHeight w:val="257"/>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Other income, net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(18,146)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(17,319)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(18,206)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(33,406)</w:t>
            </w:r>
          </w:p>
        </w:tc>
      </w:tr>
      <w:tr>
        <w:trPr>
          <w:trHeight w:val="257"/>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(2,579)</w:t>
            </w:r>
          </w:p>
        </w:tc>
      </w:tr>
      <w:tr>
        <w:trPr>
          <w:trHeight w:val="256"/>
        </w:trPr>
        <w:tc>
          <w:tcPr>
            <w:tcW w:w="4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231F20"/>
              </w:rPr>
              <w:t>Foreign currency transaction (gain) loss, net</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(4,469)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1,144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(6,349)</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2,441</w:t>
            </w:r>
          </w:p>
        </w:tc>
      </w:tr>
      <w:tr>
        <w:trPr>
          <w:trHeight w:val="23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Income (loss) before provision for income taxes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18,719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9,515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(1,489)</w:t>
            </w:r>
          </w:p>
        </w:tc>
      </w:tr>
      <w:tr>
        <w:trPr>
          <w:trHeight w:val="257"/>
        </w:trPr>
        <w:tc>
          <w:tcPr>
            <w:tcW w:w="4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231F20"/>
              </w:rPr>
              <w:t>Income tax benefit</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(1,012)</w:t>
            </w: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income (loss)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19,712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9,616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(477)</w:t>
            </w: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Comprehensive income (loss), net of tax:</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(1,863)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23,341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14,373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(2,340)</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490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231F20"/>
              </w:rPr>
              <w:t>Net income (loss)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56"/>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0.16</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0.00</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0.00</w:t>
            </w:r>
          </w:p>
        </w:tc>
      </w:tr>
      <w:tr>
        <w:trPr>
          <w:trHeight w:val="257"/>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(0.20)</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Weighted average common stock outstanding</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6"/>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Basic</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126,072,603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123,718,797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125,578,780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123,417,353</w:t>
            </w:r>
          </w:p>
        </w:tc>
      </w:tr>
      <w:tr>
        <w:trPr>
          <w:trHeight w:val="257"/>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Diluted</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140,294,291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141,927,750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140,589,807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143,200,221</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w:t>
      </w:r>
      <w:r>
        <w:rPr>
          <w:rFonts w:ascii="Times New Roman" w:cs="Times New Roman" w:eastAsia="Times New Roman" w:hAnsi="Times New Roman"/>
          <w:sz w:val="18"/>
          <w:szCs w:val="18"/>
          <w:b w:val="1"/>
          <w:bCs w:val="1"/>
          <w:color w:val="231F20"/>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0"/>
                <w:szCs w:val="10"/>
                <w:color w:val="auto"/>
              </w:rPr>
            </w:pPr>
          </w:p>
        </w:tc>
        <w:tc>
          <w:tcPr>
            <w:tcW w:w="1080" w:type="dxa"/>
            <w:vAlign w:val="bottom"/>
            <w:gridSpan w:val="4"/>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0"/>
                <w:szCs w:val="10"/>
                <w:color w:val="auto"/>
              </w:rPr>
            </w:pPr>
          </w:p>
        </w:tc>
        <w:tc>
          <w:tcPr>
            <w:tcW w:w="1080" w:type="dxa"/>
            <w:vAlign w:val="bottom"/>
            <w:gridSpan w:val="4"/>
            <w:vMerge w:val="restart"/>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0" w:type="dxa"/>
            <w:vAlign w:val="bottom"/>
            <w:gridSpan w:val="2"/>
            <w:vMerge w:val="restart"/>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122,899,002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541,281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59,390</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pursuant to equity</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843,950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plan</w:t>
            </w: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 withholdings on vested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(289,533)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1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awards</w:t>
            </w: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0" w:type="dxa"/>
            <w:vAlign w:val="bottom"/>
          </w:tcPr>
          <w:p>
            <w:pPr>
              <w:spacing w:after="0"/>
              <w:rPr>
                <w:sz w:val="1"/>
                <w:szCs w:val="1"/>
                <w:color w:val="auto"/>
              </w:rPr>
            </w:pPr>
          </w:p>
        </w:tc>
      </w:tr>
      <w:tr>
        <w:trPr>
          <w:trHeight w:val="237"/>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123,453,419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00" w:type="dxa"/>
            <w:vAlign w:val="bottom"/>
            <w:tcBorders>
              <w:top w:val="single" w:sz="8" w:color="CCEEFF"/>
            </w:tcBorders>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pursuant to equity</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454,362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plan</w:t>
            </w: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 withholdings on vested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(104,120)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awards</w:t>
            </w: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relating to employee stock</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190,124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123,993,785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553,420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124,924,185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51,803</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pursuant to equity</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483,396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plan</w:t>
            </w: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 withholdings on vested stock</w:t>
            </w: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auto"/>
              </w:rPr>
              <w:t>(161,295)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37"/>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125,246,286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569,935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(518,061)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00" w:type="dxa"/>
            <w:vAlign w:val="bottom"/>
            <w:tcBorders>
              <w:top w:val="single" w:sz="8" w:color="CCEEFF"/>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19,712</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19,712</w:t>
            </w:r>
          </w:p>
        </w:tc>
        <w:tc>
          <w:tcPr>
            <w:tcW w:w="0" w:type="dxa"/>
            <w:vAlign w:val="bottom"/>
          </w:tcPr>
          <w:p>
            <w:pPr>
              <w:spacing w:after="0"/>
              <w:rPr>
                <w:sz w:val="1"/>
                <w:szCs w:val="1"/>
                <w:color w:val="auto"/>
              </w:rPr>
            </w:pPr>
          </w:p>
        </w:tc>
      </w:tr>
      <w:tr>
        <w:trPr>
          <w:trHeight w:val="165"/>
        </w:trPr>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pursuant to equity</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2,091,026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plan</w:t>
            </w: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 withholdings on vested stock</w:t>
            </w: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auto"/>
              </w:rPr>
              <w:t>(572,750)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0" w:type="dxa"/>
            <w:vAlign w:val="bottom"/>
          </w:tcPr>
          <w:p>
            <w:pPr>
              <w:spacing w:after="0"/>
              <w:rPr>
                <w:sz w:val="1"/>
                <w:szCs w:val="1"/>
                <w:color w:val="auto"/>
              </w:rPr>
            </w:pPr>
          </w:p>
        </w:tc>
      </w:tr>
      <w:tr>
        <w:trPr>
          <w:trHeight w:val="237"/>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126,764,562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574,535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(498,349)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800" w:top="941" w:right="8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w:t>
      </w:r>
      <w:r>
        <w:rPr>
          <w:rFonts w:ascii="Times New Roman" w:cs="Times New Roman" w:eastAsia="Times New Roman" w:hAnsi="Times New Roman"/>
          <w:sz w:val="18"/>
          <w:szCs w:val="18"/>
          <w:b w:val="1"/>
          <w:bCs w:val="1"/>
          <w:color w:val="231F20"/>
        </w:rPr>
        <w:t>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231F20"/>
              </w:rPr>
              <w:t>Six Months Ended June 30,</w:t>
            </w:r>
          </w:p>
        </w:tc>
      </w:tr>
      <w:tr>
        <w:trPr>
          <w:trHeight w:val="211"/>
        </w:trPr>
        <w:tc>
          <w:tcPr>
            <w:tcW w:w="7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19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Adjustments to reconcile net income (loss) to net cash from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Share-based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Depreciation of property and equipment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debt issuance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Inventory write-down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19,304</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Provision for estimated credit losses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Change in fair value of warrant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Gain on exchange and repurchases of convertible senior notes,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(33,411)</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Other,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7,515</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Changes in operating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Accounts receivable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10,499</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Inventories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Prepaid expenses, other current assets, and income tax receivable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Accounts payable, accrued expenses, and income tax payable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(38,686)</w:t>
            </w:r>
          </w:p>
        </w:tc>
      </w:tr>
      <w:tr>
        <w:trPr>
          <w:trHeight w:val="213"/>
        </w:trPr>
        <w:tc>
          <w:tcPr>
            <w:tcW w:w="72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231F20"/>
              </w:rPr>
              <w:t>Other,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w:t>
            </w:r>
          </w:p>
        </w:tc>
      </w:tr>
      <w:tr>
        <w:trPr>
          <w:trHeight w:val="212"/>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231F20"/>
              </w:rPr>
              <w:t>Net cash provided by (used for)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12,642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(10,653)</w:t>
            </w:r>
          </w:p>
        </w:tc>
      </w:tr>
      <w:tr>
        <w:trPr>
          <w:trHeight w:val="19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Cash flows from investing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8"/>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Cash paid for intangible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r>
      <w:tr>
        <w:trPr>
          <w:trHeight w:val="213"/>
        </w:trPr>
        <w:tc>
          <w:tcPr>
            <w:tcW w:w="72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231F20"/>
              </w:rPr>
              <w:t>Cash paid for property and equipment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2"/>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231F20"/>
              </w:rPr>
              <w:t>Net cash used for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(2,697)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(3,840)</w:t>
            </w:r>
          </w:p>
        </w:tc>
      </w:tr>
      <w:tr>
        <w:trPr>
          <w:trHeight w:val="19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8"/>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Repurchase of 2026 Notes in connection with exchange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Issuance of 2028 Notes in connection with exchange,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Repurchase of 2026 Notes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(156,082)</w:t>
            </w:r>
          </w:p>
        </w:tc>
      </w:tr>
      <w:tr>
        <w:trPr>
          <w:trHeight w:val="213"/>
        </w:trPr>
        <w:tc>
          <w:tcPr>
            <w:tcW w:w="72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231F20"/>
              </w:rPr>
              <w:t>Payment of tax withholdings on vested stock awards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w:t>
            </w:r>
          </w:p>
        </w:tc>
      </w:tr>
      <w:tr>
        <w:trPr>
          <w:trHeight w:val="212"/>
        </w:trPr>
        <w:tc>
          <w:tcPr>
            <w:tcW w:w="7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231F20"/>
              </w:rPr>
              <w:t>Net cash used for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(173,611)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(157,367)</w:t>
            </w:r>
          </w:p>
        </w:tc>
      </w:tr>
      <w:tr>
        <w:trPr>
          <w:trHeight w:val="20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Net change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(171,860)</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Effect of foreign currency translation on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231F20"/>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523,025</w:t>
            </w:r>
          </w:p>
        </w:tc>
      </w:tr>
      <w:tr>
        <w:trPr>
          <w:trHeight w:val="23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Cash, cash equivalents, and restricted cash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349,544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212" w:right="759" w:bottom="1440" w:gutter="0" w:footer="0" w:header="0"/>
        </w:sectPr>
      </w:pPr>
    </w:p>
    <w:bookmarkStart w:id="6" w:name="page7"/>
    <w:bookmarkEnd w:id="6"/>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Beauty Health Company (the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 </w:t>
      </w:r>
      <w:r>
        <w:rPr>
          <w:rFonts w:ascii="Times New Roman" w:cs="Times New Roman" w:eastAsia="Times New Roman" w:hAnsi="Times New Roman"/>
          <w:sz w:val="18"/>
          <w:szCs w:val="18"/>
          <w:color w:val="231F20"/>
        </w:rPr>
        <w:t>The Company’s brands are pioneers: Hydrafacial in hydradermabrasion; SkinStylus in nanoneedling and microneedling;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Keravive in scalp health. Together, with its powerful global community of estheticians, partners, and consumers, the Company is personalizing skin health for all ages, genders, skin tones, and skin types.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Information</w:t>
      </w:r>
    </w:p>
    <w:p>
      <w:pPr>
        <w:spacing w:after="0" w:line="25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audited consolidated financial statements and notes thereto included in, or presented as exhibits to, the Company’s Annual Report on Form 10-K for the year ended December 31,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Inventories consist of the following as of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231F20"/>
              </w:rPr>
              <w:t>June 30, 2025</w:t>
            </w:r>
          </w:p>
        </w:tc>
        <w:tc>
          <w:tcPr>
            <w:tcW w:w="18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Finished goods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36,229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43,094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231F20"/>
              </w:rPr>
              <w:t>Accrued payroll-related expenses consist of the following as of the periods indicated: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payroll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payroll-related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Other accrued expenses consist of the following as of the periods indicated:</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231F20"/>
              </w:rPr>
              <w:t>June 30, 2025</w:t>
            </w:r>
          </w:p>
        </w:tc>
        <w:tc>
          <w:tcPr>
            <w:tcW w:w="18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Sales and VAT tax payables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Accrued interest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Royalty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Deferred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8,743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other accrued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13,643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20,002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June 30, 2025 and December 31, 2024,</w:t>
      </w:r>
      <w:r>
        <w:rPr>
          <w:rFonts w:ascii="Times New Roman" w:cs="Times New Roman" w:eastAsia="Times New Roman" w:hAnsi="Times New Roman"/>
          <w:sz w:val="18"/>
          <w:szCs w:val="18"/>
          <w:color w:val="auto"/>
        </w:rPr>
        <w:t xml:space="preserve"> total warranty reserve was approximately $2 million and $4 million, respectively, which was included in other accrued expenses on the Condensed Consolidated Balance Sheets.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June 30, 2025 and December 31, 2024, the Company has approximately $2 million in restricted cash held as collateral for the Company’s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cards, which was included in cash, cash equivalents and restricted cash on the </w:t>
      </w:r>
      <w:r>
        <w:rPr>
          <w:rFonts w:ascii="Times New Roman" w:cs="Times New Roman" w:eastAsia="Times New Roman" w:hAnsi="Times New Roman"/>
          <w:sz w:val="18"/>
          <w:szCs w:val="18"/>
          <w:color w:val="000000"/>
        </w:rPr>
        <w:t>Condensed Consolidated</w:t>
      </w:r>
      <w:r>
        <w:rPr>
          <w:rFonts w:ascii="Times New Roman" w:cs="Times New Roman" w:eastAsia="Times New Roman" w:hAnsi="Times New Roman"/>
          <w:sz w:val="18"/>
          <w:szCs w:val="18"/>
          <w:color w:val="231F20"/>
        </w:rPr>
        <w:t xml:space="preserve">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as of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3"/>
                <w:szCs w:val="1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231F20"/>
              </w:rPr>
              <w:t>June 30, 2025</w:t>
            </w:r>
          </w:p>
        </w:tc>
        <w:tc>
          <w:tcPr>
            <w:tcW w:w="160" w:type="dxa"/>
            <w:vAlign w:val="bottom"/>
          </w:tcPr>
          <w:p>
            <w:pPr>
              <w:spacing w:after="0"/>
              <w:rPr>
                <w:sz w:val="13"/>
                <w:szCs w:val="13"/>
                <w:color w:val="auto"/>
              </w:rPr>
            </w:pPr>
          </w:p>
        </w:tc>
        <w:tc>
          <w:tcPr>
            <w:tcW w:w="14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(years)</w:t>
            </w: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740" w:type="dxa"/>
            <w:vAlign w:val="bottom"/>
            <w:shd w:val="clear" w:color="auto" w:fill="CCEEFF"/>
          </w:tcPr>
          <w:p>
            <w:pPr>
              <w:spacing w:after="0"/>
              <w:rPr>
                <w:sz w:val="15"/>
                <w:szCs w:val="15"/>
                <w:color w:val="auto"/>
              </w:rPr>
            </w:pPr>
          </w:p>
        </w:tc>
        <w:tc>
          <w:tcPr>
            <w:tcW w:w="3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231F20"/>
              </w:rPr>
              <w:t>Shorter of remaining lease</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Leasehold improvements</w:t>
            </w:r>
          </w:p>
        </w:tc>
        <w:tc>
          <w:tcPr>
            <w:tcW w:w="3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term or estimated useful life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12,249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12,019</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Machinery and equipment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7,076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Furniture and fixtures</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6,096</w:t>
            </w:r>
          </w:p>
        </w:tc>
        <w:tc>
          <w:tcPr>
            <w:tcW w:w="0" w:type="dxa"/>
            <w:vAlign w:val="bottom"/>
          </w:tcPr>
          <w:p>
            <w:pPr>
              <w:spacing w:after="0"/>
              <w:rPr>
                <w:sz w:val="1"/>
                <w:szCs w:val="1"/>
                <w:color w:val="auto"/>
              </w:rPr>
            </w:pPr>
          </w:p>
        </w:tc>
      </w:tr>
      <w:tr>
        <w:trPr>
          <w:trHeight w:val="239"/>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Computers and equipment</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5,496</w:t>
            </w: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Tooling</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88"/>
              </w:rPr>
              <w:t>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732</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Autos and trucks</w:t>
            </w:r>
          </w:p>
        </w:tc>
        <w:tc>
          <w:tcPr>
            <w:tcW w:w="3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231F20"/>
                <w:w w:val="88"/>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property and equipment</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31,478</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Less: accumulated depreciation and amortization</w:t>
            </w:r>
          </w:p>
        </w:tc>
        <w:tc>
          <w:tcPr>
            <w:tcW w:w="3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(25,500)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3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5,978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Goodwill and Intangible Assets, net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The changes in the carrying value of goodwill for the </w:t>
            </w:r>
            <w:r>
              <w:rPr>
                <w:rFonts w:ascii="Times New Roman" w:cs="Times New Roman" w:eastAsia="Times New Roman" w:hAnsi="Times New Roman"/>
                <w:sz w:val="18"/>
                <w:szCs w:val="18"/>
                <w:color w:val="000000"/>
              </w:rPr>
              <w:t>six months ended June 30, 2025</w:t>
            </w:r>
            <w:r>
              <w:rPr>
                <w:rFonts w:ascii="Times New Roman" w:cs="Times New Roman" w:eastAsia="Times New Roman" w:hAnsi="Times New Roman"/>
                <w:sz w:val="18"/>
                <w:szCs w:val="18"/>
                <w:color w:val="231F20"/>
              </w:rPr>
              <w:t xml:space="preserve"> is as follows (in thousands):</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9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123,499</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June 30, 2025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(Years)</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91,629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(76,584)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15,045</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3 - 10</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14,316</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6"/>
              </w:rPr>
              <w:t>3 - 5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18,923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2,900</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5 - 10</w:t>
            </w:r>
          </w:p>
        </w:tc>
        <w:tc>
          <w:tcPr>
            <w:tcW w:w="0" w:type="dxa"/>
            <w:vAlign w:val="bottom"/>
          </w:tcPr>
          <w:p>
            <w:pPr>
              <w:spacing w:after="0"/>
              <w:rPr>
                <w:sz w:val="1"/>
                <w:szCs w:val="1"/>
                <w:color w:val="auto"/>
              </w:rPr>
            </w:pPr>
          </w:p>
        </w:tc>
      </w:tr>
      <w:tr>
        <w:trPr>
          <w:trHeight w:val="270"/>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11,684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5,084</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2,703</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4,345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3,441</w:t>
            </w:r>
          </w:p>
        </w:tc>
        <w:tc>
          <w:tcPr>
            <w:tcW w:w="15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9"/>
              </w:rPr>
              <w:t>3 - 19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157,422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43,489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December 31, 2024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5"/>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20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(Years)</w:t>
            </w:r>
          </w:p>
        </w:tc>
        <w:tc>
          <w:tcPr>
            <w:tcW w:w="0" w:type="dxa"/>
            <w:vAlign w:val="bottom"/>
          </w:tcPr>
          <w:p>
            <w:pPr>
              <w:spacing w:after="0"/>
              <w:rPr>
                <w:sz w:val="1"/>
                <w:szCs w:val="1"/>
                <w:color w:val="auto"/>
              </w:rPr>
            </w:pPr>
          </w:p>
        </w:tc>
      </w:tr>
      <w:tr>
        <w:trPr>
          <w:trHeight w:val="268"/>
        </w:trPr>
        <w:tc>
          <w:tcPr>
            <w:tcW w:w="5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tcBorders>
              <w:top w:val="single" w:sz="8" w:color="231F20"/>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91,629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231F2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(74,655)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16,974</w:t>
            </w:r>
          </w:p>
        </w:tc>
        <w:tc>
          <w:tcPr>
            <w:tcW w:w="1520" w:type="dxa"/>
            <w:vAlign w:val="bottom"/>
            <w:tcBorders>
              <w:top w:val="single" w:sz="8" w:color="231F20"/>
            </w:tcBorders>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231F20"/>
                <w:w w:val="99"/>
              </w:rPr>
              <w:t>3 - 10</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14,956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6"/>
              </w:rPr>
              <w:t>3 - 5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17,569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3,873</w:t>
            </w:r>
          </w:p>
        </w:tc>
        <w:tc>
          <w:tcPr>
            <w:tcW w:w="15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231F20"/>
                <w:w w:val="99"/>
              </w:rPr>
              <w:t>5 - 10</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5,485</w:t>
            </w:r>
          </w:p>
        </w:tc>
        <w:tc>
          <w:tcPr>
            <w:tcW w:w="152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3,209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3,781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3,015</w:t>
            </w:r>
          </w:p>
        </w:tc>
        <w:tc>
          <w:tcPr>
            <w:tcW w:w="152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231F20"/>
                <w:w w:val="99"/>
              </w:rPr>
              <w:t>3 - 19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(105,938)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47,512</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 Long-Term Debt</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Senior Notes - 2026</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14, 2021, the Company issued an aggregate of $750.0 million in principal amount of its 1.25% Convertible Senior Notes due October 1, 2026 (the “2026 Notes”). The 2026 Notes were issued pursuant to, and are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spacing w:after="0" w:line="21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$75.0 million principal amount of its 2026 Notes at a weighted-average price equal to 77% for $57.8 million and recognized a net gain of $16.1 million, which includes $1.2 million of unamortized debt issuance costs. Additionally, during the three months ended June 30, 2024, the Company repurchased $117.3 million principal amount of its 2026 Notes at a weighted-average price equal to 84% for $98.3 million and recognized a net gain of $17.3 million, which includes $1.6 million of unamortized debt issuance costs. The total amount paid and net gain recognized to repurchase $192.3 million principal amount during the six months ended June 30, 2024 was $156.1 million and $33.4 million, respectively.</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an additional $20.0 million principal amount of its 2026 Notes at a weighted-average price equal to 92% for $18.4 million and recognized a net gain of $1.5 million, which includes $0.1 million of unamortized debt issuance costs.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Senior Secured Notes - 2028</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21, 2025, the Company entered into privately negotiated exchange agreements (the “Exchange Agreements”) with certain holders (the “Exchanging Holders”) of the 2026 Notes (the “Existing Notes”). Pursuant to the Exchange Agreements, the Company exchanged and repurchased approximately $413.2 million aggregate principal amount of the Existing Notes. Of the $413.2 million aggregate principal amount of the Existing Notes, $263.2 million principal amount were exchanged at a weighted-average price equal to 95% for $250.0 million principal amount of new 7.95% Convertible Senior Secured Notes due November 15, 2028 (the “2028 Notes”, and together with the 2026 Notes, the “Notes”), and $150.1 million principal amount were repurchased at a weighted-average price equal to 95% for $142.6 million. The exchange and repurchase resulted in a net gain of $16.6 million, which includes $3.1 million of unamortized debt issuance costs and $0.9 million of other related fees.</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May 27, 2025, the Company issued the 2028 Notes to the Exchanging Holders. The 2028 Notes were issued pursuant to, and are governed by, an indenture (the “2028 Indenture”), dated as of May 27, 2025, between the Company, the guarantors party thereto, and U.S. Bank Trust Company, National Association, as trustee and collateral agent.</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2028 Notes are the Company’s senior, secured obligations and are guaranteed by certain of the Company’s subsidiaries (including the Company’s material domestic, wholly-owned subsidiaries) and are secured on a first-priority basis by substantially all assets of the Company and such guarantors, subject to certain exceptions. The 2028 Notes will accrue interest at a rate of 7.95% per annum, payable semi-annually in arrears on May 15 and November 15 of each year, beginning on November 15, 2025. The 2028 Notes will mature on November 15, 2028 (the “Maturity Date”), unless earlier repurchased, redeemed or converted. Subject to certain restrictions, noteholders may convert their 2028 Notes at any time at their election until the close of business on the second scheduled trading day immediately before the Maturity Date. The initial conversion rate is 349.6503 shares of Class A Common Stock per $1,000 principal amount of 2028 Notes, which represents an initial conversion price of approximately $2.86 per share of Class A Common Stock. The conversion rate and conversion price is subject to adjustment upon the occurrence of certain events. The Company will settle conversions by paying or delivering, as applicable, cash, shares of its Class A Common Stock or a combination of cash and shares of its Class A Common Stock, at the Company’s election. In addition, if certain corporate events that constitute a “Make-Whole Fundamental Change” (as defined in the 2028 Indenture) occur, then the conversion rate will, in certain circumstances, be increased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ind w:right="20"/>
        <w:spacing w:after="0" w:line="256" w:lineRule="auto"/>
        <w:rPr>
          <w:sz w:val="20"/>
          <w:szCs w:val="20"/>
          <w:color w:val="auto"/>
        </w:rPr>
      </w:pPr>
      <w:r>
        <w:rPr>
          <w:rFonts w:ascii="Times New Roman" w:cs="Times New Roman" w:eastAsia="Times New Roman" w:hAnsi="Times New Roman"/>
          <w:sz w:val="18"/>
          <w:szCs w:val="18"/>
          <w:color w:val="auto"/>
        </w:rPr>
        <w:t>The 2028 Notes will be redeemable, in whole or in part (subject to certain limitations described below), at the Company’s option at any time, and from time to time, on or after September 1, 2028, and on or before the 40th scheduled trading day immediately before the Maturity Date, but only if certain liquidity conditions are satisfied. The redemption price will be a cash amount equal to the principal amount of the 2028 Notes to be redeemed, plus accrued and unpaid interest, if any, to, but excluding, the redemption date. In addition, the calling of any 2028 Notes for redemption will constitute a Make-Whole Fundamental Change with respect to that 2028 Note, in which case the conversion rate applicable to the conversion of that 2028 Note will be increased in certain circumstances if it is converted after it is called for redemption.</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2028 Indenture) occur, then, subject to a limited exception, noteholders may require the Company to repurchase their 2028 Notes at a cash repurchase price equal to the principal amount of the 2028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Class A Common Stock.</w:t>
      </w:r>
    </w:p>
    <w:p>
      <w:pPr>
        <w:spacing w:after="0" w:line="21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2028 Indenture also contains a number of restrictive covenants and limitations, including restrictions on the Company’s ability to incur certain indebtedness and other limitations on liens, investments and restricted payments, as further described in the 2028 Indenture.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incurred $10.8 million of debt issuance costs related to the exchange and repurchase of the Existing Notes, which was recorded as a reduction to convertible senior notes, net on the Condensed Consolidated Balance Sheets. The debt issuance costs are being amortized over the term of the 2028 Notes using the effective interest method. Additionally, the Company incurred $0.9 million of other fees related to the exchange and repurchase of the Existing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is a summary of the Company’s Notes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557,700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552,198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 xml:space="preserve">As of June 30, 2025 and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the estimated fair value of the Notes were $392.3 million (compared to a carrying amount of </w:t>
      </w:r>
      <w:r>
        <w:rPr>
          <w:rFonts w:ascii="Times New Roman" w:cs="Times New Roman" w:eastAsia="Times New Roman" w:hAnsi="Times New Roman"/>
          <w:sz w:val="18"/>
          <w:szCs w:val="18"/>
          <w:color w:val="000000"/>
        </w:rPr>
        <w:t>$374.5 million</w:t>
      </w:r>
      <w:r>
        <w:rPr>
          <w:rFonts w:ascii="Times New Roman" w:cs="Times New Roman" w:eastAsia="Times New Roman" w:hAnsi="Times New Roman"/>
          <w:sz w:val="18"/>
          <w:szCs w:val="18"/>
          <w:color w:val="231F20"/>
        </w:rPr>
        <w:t xml:space="preserve">) and $446.2 million (compared to a carrying amount of </w:t>
      </w:r>
      <w:r>
        <w:rPr>
          <w:rFonts w:ascii="Times New Roman" w:cs="Times New Roman" w:eastAsia="Times New Roman" w:hAnsi="Times New Roman"/>
          <w:sz w:val="18"/>
          <w:szCs w:val="18"/>
          <w:color w:val="000000"/>
        </w:rPr>
        <w:t>$557.7 million</w:t>
      </w:r>
      <w:r>
        <w:rPr>
          <w:rFonts w:ascii="Times New Roman" w:cs="Times New Roman" w:eastAsia="Times New Roman" w:hAnsi="Times New Roman"/>
          <w:sz w:val="18"/>
          <w:szCs w:val="18"/>
          <w:color w:val="231F20"/>
        </w:rPr>
        <w:t xml:space="preserve">), respectively. The estimated fair value of the Notes was determined based on the actual bid price of the Notes on June 30, 2025 and </w:t>
      </w:r>
      <w:r>
        <w:rPr>
          <w:rFonts w:ascii="Times New Roman" w:cs="Times New Roman" w:eastAsia="Times New Roman" w:hAnsi="Times New Roman"/>
          <w:sz w:val="18"/>
          <w:szCs w:val="18"/>
          <w:color w:val="000000"/>
        </w:rPr>
        <w:t>December 31, 2024, and are classified as Level 2 within the fair value hierarchy.</w:t>
      </w:r>
    </w:p>
    <w:p>
      <w:pPr>
        <w:spacing w:after="0" w:line="20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net gain recognized related to the exchange and repurchases is included in other income, net in the Condensed Consolidated Statements of Comprehensive Income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all such lawsuits, claims, and proceedings, if the Company determines a loss is probable and its amount can be reasonably estimated, the Company accrues an amount equal to the estimated loss. The assessment of whether a loss is probable or reasonably possible, and whether the loss or a range of loss is estimable, often involves a series of complex judgments about future events. In all instances, management has assessed the matter based on current information and made a judgment concerning its potential outcome, giving due consideration to the nature of the claim, the amount and nature of damages sought and the probability of success, and taking into account, among other things, negotiations with claimants, discovery, settlements and payments, judicial rulings, arbitration and mediation decisions, advice of internal and external legal counsel, and other information and events pertaining to a particular matter. Costs incurred for litigation are expensed as incurred.</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t>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filed their opposition brief on November 22, 2024, and the Company filed its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can complete a private mediation. The parties conducted the private mediation on March 27, 2025. The parties were unable to reach a settlement at the mediation. On April 16, 2025, the court so-ordered the parties’ stipulation. On May 5, 2025, the plaintiffs filed an amended complaint. On July 11, 2025, Defendants filed a motion to dismiss the amended complaint in its entirety. A hearing is scheduled on Defendants’ motion for September 17,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claims asserted in the Securities Class Action have no merit and intends to vigorously defend them.</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Consumer Class Action</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“Consumer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8"/>
          <w:szCs w:val="18"/>
          <w:color w:val="auto"/>
        </w:rPr>
        <w:t>On December 30, 2024, the Class Action Defendants filed a motion to dismiss the Consumer Class Action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Consumer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 On June 2, 2025, Plaintiff and fifteen other alleged purchasers of the Syndeo machines filed an amended complaint asserting: (1) violations of N.Y. G.B.L., § 349 (Count IV), the state consumer protection statute; (2) violations of N.Y. G.B.L., § 350 (Count V), the state’s false advertising statute;</w:t>
      </w:r>
    </w:p>
    <w:p>
      <w:pPr>
        <w:spacing w:after="0" w:line="10" w:lineRule="exact"/>
        <w:rPr>
          <w:sz w:val="20"/>
          <w:szCs w:val="20"/>
          <w:color w:val="auto"/>
        </w:rPr>
      </w:pPr>
    </w:p>
    <w:p>
      <w:pPr>
        <w:ind w:right="2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implied warranty of merchantability (Count I); (4) breach of express and implied contract and class-wide rescission (Count II); and (5) breach of express warranty (Count III). The relief sought in the amended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On June 23, 2025, Defendants moved to (i) dismiss Counts I, II, IV, and V in full; (ii) partially dismiss Count III to the extent it alleges design defects; (iii) dismiss all claims brought by plaintiff Jennifer Skuratov d/b/a Spa Thirsty in full; (iv) dismiss all claims against the Company in full; and (v) dismiss Plaintiffs’ claim for injunctive relief. The initial pretrial conference originally scheduled for July 18, 2025 has been adjourned to August 15, 2025.</w:t>
      </w:r>
    </w:p>
    <w:p>
      <w:pPr>
        <w:spacing w:after="0" w:line="21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claims asserted in the Consumer Class Action have no merit and Class Action Defendants intend to vigorously defend them.</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Consolidated Derivative Action</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40"/>
        <w:spacing w:after="0" w:line="252" w:lineRule="auto"/>
        <w:rPr>
          <w:sz w:val="20"/>
          <w:szCs w:val="20"/>
          <w:color w:val="auto"/>
        </w:rPr>
      </w:pPr>
      <w:r>
        <w:rPr>
          <w:rFonts w:ascii="Times New Roman" w:cs="Times New Roman" w:eastAsia="Times New Roman" w:hAnsi="Times New Roman"/>
          <w:sz w:val="18"/>
          <w:szCs w:val="18"/>
          <w:color w:val="auto"/>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Oral argument before the Delaware Court of Chancery on the Motion to Dismiss is scheduled for October 8,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claims asserted in the Consolidated Derivative Action have no merit and intends to vigorously defend them.</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 and Exchange Commission (the “SEC”) Subpoena</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Division of Enforcement of the SEC has issued three subpoenas in connection with a formal order of investigation of the Company seeking documents and information from us. The Company is in the process of responding to the subpoenas and intends to fully cooperate with the SEC investigation. We cannot predict the duration, scope, or outcome of this matter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Related-Party Transactions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spacing w:after="0" w:line="21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w:t>
      </w:r>
    </w:p>
    <w:p>
      <w:pPr>
        <w:spacing w:after="0" w:line="3" w:lineRule="exact"/>
        <w:rPr>
          <w:sz w:val="20"/>
          <w:szCs w:val="20"/>
          <w:color w:val="auto"/>
        </w:rPr>
      </w:pPr>
    </w:p>
    <w:p>
      <w:pPr>
        <w:ind w:right="40" w:firstLine="8"/>
        <w:spacing w:after="0" w:line="253"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 xml:space="preserve">The Company is authorized to issue 320,000,000 shares of Class A Common Stock, par value of $0.0001 per share. Holders of Class A Common Stock are entitled to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31F20"/>
        </w:rPr>
        <w:t xml:space="preserve"> vote for each share. As of June 30, 2025 and December 31, 2024, there were 126,764,562 and 124,924,185, respectively, of Class A Common Stock issued and outstanding. The Company has not declared or paid any dividends with respect to its Class A Common Stock</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Company is authorized to issue 1,000,000 shares of preferred stock with a par value of $0.0001 per share with such designations, voting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rights and preferences as may be determined from time to time by the Company’s Board of Directors. At June 30, 2025 and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000000"/>
        </w:rPr>
        <w:t>, there were no shares of preferred stock issued or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June 30, 2025 and December 31, 2024, and indicate the fair value hierarchy of the valuation inputs the Company utilized to determine such fair value.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52" w:lineRule="exact"/>
        <w:rPr>
          <w:sz w:val="20"/>
          <w:szCs w:val="20"/>
          <w:color w:val="auto"/>
        </w:rPr>
      </w:pPr>
    </w:p>
    <w:p>
      <w:pPr>
        <w:ind w:left="660" w:right="840"/>
        <w:spacing w:after="0" w:line="312" w:lineRule="auto"/>
        <w:rPr>
          <w:sz w:val="20"/>
          <w:szCs w:val="20"/>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7"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231F20"/>
              </w:rPr>
              <w:t>As of June 30, 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Cash, cash equivalents, and restricted cash:</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Money market funds</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88,531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88,531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Warrant liability — Private Placement Warrants</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w w:val="88"/>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3"/>
        </w:trPr>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231F20"/>
              </w:rPr>
              <w:t>As of December 31, 2024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Cash, cash equivalents, and restricted cash:</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Money market funds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284,462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284,462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Warrant liability — Private Placement Warrants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October 2020, in connection with the consummation of Vesper Healthcare’s initial public offering, the Company issued 9,333,333 warrants to purchase shares of the Company’s Class A Common Stock at $11.50 per share (the “Private Placement Warrants”), to BLS Investor Group LLC, which will expire five years after the Business Combination. As of June 30, 2025 and December 31, 2024, the Company had approximately 7 million Private Placement Warrants outstanding for which the fair value was determined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 Revenue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and serums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Net sales disaggregated by major product line were as follows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Delivery Systems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22,357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35,209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42,575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70,992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Consumables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55,830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55,385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105,192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101,005</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231F20"/>
              </w:rPr>
              <w:t>Total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78,187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90,594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147,767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171,997</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region were as follows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Americas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98,305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108,057</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Europe, the Middle East and Africa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33,409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38,333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Asia-Pacific</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25,607</w:t>
            </w:r>
          </w:p>
        </w:tc>
        <w:tc>
          <w:tcPr>
            <w:tcW w:w="0" w:type="dxa"/>
            <w:vAlign w:val="bottom"/>
          </w:tcPr>
          <w:p>
            <w:pPr>
              <w:spacing w:after="0"/>
              <w:rPr>
                <w:sz w:val="1"/>
                <w:szCs w:val="1"/>
                <w:color w:val="auto"/>
              </w:rPr>
            </w:pPr>
          </w:p>
        </w:tc>
      </w:tr>
      <w:tr>
        <w:trPr>
          <w:trHeight w:val="223"/>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net sales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78,187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90,594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147,767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171,997</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various stock compensation plans, which are more fully described in Part II, Item 8 “Financial Statements and Supplementary Data— Note 12 to the Consolidated Financial Statements—Share-Based Compensation” in the Company’s 2024 Annual Report on Form 10-K. Under the Beauty Health Company 2021 Incentive Award Plan, the Company may grant stock options, stock appreciation rights, restricted stock, restricted stock units, dividend equivalents, other stock or cash-based awards to eligible service providers.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was as follows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auto"/>
        </w:rPr>
        <w:t>, total unrecognized compensation expense related to unvested share-based compensation totaled $30.9 million and is expected to be recognized over a weighted-average period of 2.1 years.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(“RSU”) and </w:t>
      </w:r>
      <w:r>
        <w:rPr>
          <w:rFonts w:ascii="Times New Roman" w:cs="Times New Roman" w:eastAsia="Times New Roman" w:hAnsi="Times New Roman"/>
          <w:sz w:val="18"/>
          <w:szCs w:val="18"/>
          <w:i w:val="1"/>
          <w:iCs w:val="1"/>
          <w:color w:val="231F20"/>
        </w:rPr>
        <w:t>Performance-based Restricted Stock Units (“PSU”)</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and PSU activity: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231F20"/>
              </w:rPr>
              <w:t>Weighted Average Grant Date Fair</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231F20"/>
              </w:rPr>
              <w:t>RSU Shares</w:t>
            </w:r>
          </w:p>
        </w:tc>
        <w:tc>
          <w:tcPr>
            <w:tcW w:w="60" w:type="dxa"/>
            <w:vAlign w:val="bottom"/>
          </w:tcPr>
          <w:p>
            <w:pPr>
              <w:spacing w:after="0"/>
              <w:rPr>
                <w:sz w:val="17"/>
                <w:szCs w:val="17"/>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231F20"/>
              </w:rPr>
              <w:t>PSU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231F20"/>
              </w:rPr>
              <w:t>RSU</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231F20"/>
              </w:rPr>
              <w:t>PSU</w:t>
            </w: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Outstanding - January 1, 2025</w:t>
            </w:r>
          </w:p>
        </w:tc>
        <w:tc>
          <w:tcPr>
            <w:tcW w:w="4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7,254,391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1,237,822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4.56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5.93</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10,247,990</w:t>
            </w:r>
          </w:p>
        </w:tc>
        <w:tc>
          <w:tcPr>
            <w:tcW w:w="1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231F20"/>
              </w:rPr>
              <w:t>1,676,134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Vested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(2,574,422)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Forfeited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(957,822)</w:t>
            </w:r>
          </w:p>
        </w:tc>
        <w:tc>
          <w:tcPr>
            <w:tcW w:w="1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231F20"/>
              </w:rPr>
              <w:t>(68,339)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4.68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10.40</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Outstanding - June 30, 2025</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13,970,137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2,845,617</w:t>
            </w:r>
          </w:p>
        </w:tc>
        <w:tc>
          <w:tcPr>
            <w:tcW w:w="360" w:type="dxa"/>
            <w:vAlign w:val="bottom"/>
            <w:tcBorders>
              <w:top w:val="single" w:sz="8" w:color="CCEEFF"/>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2.10</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i w:val="1"/>
                <w:iCs w:val="1"/>
                <w:color w:val="231F20"/>
              </w:rPr>
              <w:t>Options</w:t>
            </w: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rPr>
              <w:t>Weighted 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Weighted 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231F20"/>
              </w:rPr>
              <w:t>Remaining</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2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231F20"/>
              </w:rPr>
              <w:t>Contractual Term</w:t>
            </w: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231F20"/>
              </w:rPr>
              <w:t>Exercise Price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231F20"/>
              </w:rPr>
              <w:t>(in years)</w:t>
            </w: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Outstanding - January 1, 2025</w:t>
            </w:r>
          </w:p>
        </w:tc>
        <w:tc>
          <w:tcPr>
            <w:tcW w:w="4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3,483,070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Exercised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Forfeited</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(71,500)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Expired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(480,750)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Outstanding - June 30, 2025</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2,930,820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Vested and Exercisable - June 30, 2025</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2,915,490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5.11</w:t>
            </w: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Options vested and expected to vest - June 30, 2025</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2,930,820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5.12</w:t>
            </w:r>
          </w:p>
        </w:tc>
        <w:tc>
          <w:tcPr>
            <w:tcW w:w="0" w:type="dxa"/>
            <w:vAlign w:val="bottom"/>
          </w:tcPr>
          <w:p>
            <w:pPr>
              <w:spacing w:after="0"/>
              <w:rPr>
                <w:sz w:val="1"/>
                <w:szCs w:val="1"/>
                <w:color w:val="auto"/>
              </w:rPr>
            </w:pPr>
          </w:p>
        </w:tc>
      </w:tr>
      <w:tr>
        <w:trPr>
          <w:trHeight w:val="900"/>
        </w:trPr>
        <w:tc>
          <w:tcPr>
            <w:tcW w:w="5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is required to calculate its interim income tax provision using the estimated annual effective tax rate (“AETR”) method prescribed by Accounting Standards Codification (“ASC”) 740-270, and as such, excludes losses in jurisdictions where the Company cannot benefit in computing its worldwide AETR. A separate AETR is computed and applied to ordinary losses in the U.S. jurisdiction as required by ASC 740-270-30-36(a). For the three and six months ended June 30, 2025, the Company recorded income tax benefit of $1.0 million and $0.1 million, respectively.</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AETR differed from the U.S. federal statutory tax rate of 21% due primarily to a full valuation allowance against the Company's U.S. deferred tax assets, income in foreign jurisdictions that are taxed at varying rates, and the tax impact of executive and share-based compensation expense.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income tax benefit of $0.4 million and $1.0 million, respectively. The estimated worldwide AETR differed from the U.S. federal statutory tax rate of 21% due primarily to a full valuation allowance against the Company's U.S. deferred tax assets, income in foreign jurisdictions that are taxed at higher rates than the U.S. federal rate, and the impact of discrete items that may occur in any given year but are not consistent from year to year.</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established a valuation allowance in the U.S. against its deferred tax assets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of $1.5 million and $1.2 million as of June 30, 2025 and December 31, 2024, respectively.</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its impact on its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Income (Loss) Attributable to Common Stockholders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table sets forth the calculation of both basic and diluted net </w:t>
      </w:r>
      <w:r>
        <w:rPr>
          <w:rFonts w:ascii="Times New Roman" w:cs="Times New Roman" w:eastAsia="Times New Roman" w:hAnsi="Times New Roman"/>
          <w:sz w:val="18"/>
          <w:szCs w:val="18"/>
          <w:color w:val="000000"/>
        </w:rPr>
        <w:t>income (loss)</w:t>
      </w:r>
      <w:r>
        <w:rPr>
          <w:rFonts w:ascii="Times New Roman" w:cs="Times New Roman" w:eastAsia="Times New Roman" w:hAnsi="Times New Roman"/>
          <w:sz w:val="18"/>
          <w:szCs w:val="18"/>
          <w:color w:val="231F20"/>
        </w:rPr>
        <w:t xml:space="preserve"> per share as follows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240" w:type="dxa"/>
            <w:vAlign w:val="bottom"/>
          </w:tcPr>
          <w:p>
            <w:pPr>
              <w:spacing w:after="0"/>
              <w:rPr>
                <w:sz w:val="16"/>
                <w:szCs w:val="16"/>
                <w:color w:val="auto"/>
              </w:rPr>
            </w:pPr>
          </w:p>
        </w:tc>
        <w:tc>
          <w:tcPr>
            <w:tcW w:w="25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income (loss) available to common stockholders - 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19,712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(477)</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80"/>
              <w:spacing w:after="0" w:line="230" w:lineRule="exact"/>
              <w:rPr>
                <w:sz w:val="20"/>
                <w:szCs w:val="20"/>
                <w:color w:val="auto"/>
              </w:rPr>
            </w:pPr>
            <w:r>
              <w:rPr>
                <w:rFonts w:ascii="Times New Roman" w:cs="Times New Roman" w:eastAsia="Times New Roman" w:hAnsi="Times New Roman"/>
                <w:sz w:val="18"/>
                <w:szCs w:val="18"/>
                <w:color w:val="231F20"/>
              </w:rPr>
              <w:t xml:space="preserve">Adjustments related to the 2026 Notes </w:t>
            </w:r>
            <w:r>
              <w:rPr>
                <w:rFonts w:ascii="Times New Roman" w:cs="Times New Roman" w:eastAsia="Times New Roman" w:hAnsi="Times New Roman"/>
                <w:sz w:val="23"/>
                <w:szCs w:val="23"/>
                <w:color w:val="231F20"/>
                <w:vertAlign w:val="superscript"/>
              </w:rPr>
              <w:t>(1)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(15,546)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(14,651)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(27,722)</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income (loss) available to common stockholders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(28,199)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Weighted average common stock outstanding - basic</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126,072,603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123,718,797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125,578,780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123,417,353</w:t>
            </w:r>
          </w:p>
        </w:tc>
        <w:tc>
          <w:tcPr>
            <w:tcW w:w="0" w:type="dxa"/>
            <w:vAlign w:val="bottom"/>
          </w:tcPr>
          <w:p>
            <w:pPr>
              <w:spacing w:after="0"/>
              <w:rPr>
                <w:sz w:val="1"/>
                <w:szCs w:val="1"/>
                <w:color w:val="auto"/>
              </w:rPr>
            </w:pPr>
          </w:p>
        </w:tc>
      </w:tr>
      <w:tr>
        <w:trPr>
          <w:trHeight w:val="24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Effect of dilutive shares: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2026 Notes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12,490,375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18,208,953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15,011,027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19,782,868</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RSUs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1,731,313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Weighted average common stock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140,294,291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141,927,750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140,589,807</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143,200,221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Basic net income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0.00</w:t>
            </w:r>
          </w:p>
        </w:tc>
        <w:tc>
          <w:tcPr>
            <w:tcW w:w="0" w:type="dxa"/>
            <w:vAlign w:val="bottom"/>
          </w:tcPr>
          <w:p>
            <w:pPr>
              <w:spacing w:after="0"/>
              <w:rPr>
                <w:sz w:val="1"/>
                <w:szCs w:val="1"/>
                <w:color w:val="auto"/>
              </w:rPr>
            </w:pPr>
          </w:p>
        </w:tc>
      </w:tr>
      <w:tr>
        <w:trPr>
          <w:trHeight w:val="234"/>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Dilutive net income (loss)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(0.10)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0" w:firstLine="8"/>
        <w:spacing w:after="0" w:line="242"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and six months ended June 30, 2025 and June 30, 2024, the adjustments related to the 2026 Notes include the net gain related to the exchange and repurchases offset by interest expense and amortization of debt issuance costs related to the 2026 Notes (net of taxes).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shares have been excluded from the calculation of the weighted average diluted shares outstanding as the effect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294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r>
      <w:tr>
        <w:trPr>
          <w:trHeight w:val="23"/>
        </w:trPr>
        <w:tc>
          <w:tcPr>
            <w:tcW w:w="5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2024</w:t>
            </w:r>
          </w:p>
        </w:tc>
      </w:tr>
      <w:tr>
        <w:trPr>
          <w:trHeight w:val="229"/>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2028 Notes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87,412,575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87,412,575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9"/>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RSUs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3,031,211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7,050,916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13,970,137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7,050,916</w:t>
            </w:r>
          </w:p>
        </w:tc>
      </w:tr>
      <w:tr>
        <w:trPr>
          <w:trHeight w:val="229"/>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Stock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2,930,820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3,617,970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2,930,820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3,617,970</w:t>
            </w:r>
          </w:p>
        </w:tc>
      </w:tr>
      <w:tr>
        <w:trPr>
          <w:trHeight w:val="234"/>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PSUs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2,845,617</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2,302,162</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2,845,617</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2,302,162</w:t>
            </w:r>
          </w:p>
        </w:tc>
      </w:tr>
    </w:tbl>
    <w:p>
      <w:pPr>
        <w:spacing w:after="0" w:line="17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income and shares related to the Private Placement Warrants were excluded from the calculation of diluted net income (loss) per share of Class A Common Stock because their effect would be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Condensed Consolidated Statements of Comprehensive Income (Loss).</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Condensed Consolidated Statements of Comprehensive Income (Loss).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CODM also reviews the disaggregation of total operating expenses, of which significant segment expenses are related to personnel-related expenses, which includes sales commission and share-based compensation expense. Other segment expenses included in total operating expenses primarily consist of fees for professional services principally comprising legal, audit, tax and accounting services, depreciation and amortization expenses, advertising and marketing related expenses, software, facilities-related costs, credit card and wire fees, and insurance.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operating expenses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Personnel-related 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27,439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33,430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56,258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68,305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Other segment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24,373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29,621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56,157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60,098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51,812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63,051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112,415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128,403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New Accounting Pronouncements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the Financial Standards Accounting Board (“FASB”) issued Accounting Standards Update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annual consolidated financial statement disclosures.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ASU 2024-03 is effective for annual periods beginning after December 15, 2026 and interim reporting periods beginning after December 15, 2027, which was clarified in ASU 2025-01. The standard allows for early adoption of these requirements. The Company is currently evaluating the potential effect that the updated standard will have on its consolidated financial statement disclosures.</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(Subtopic 470-20): Induced Conversions of Convertible Debt Instruments” which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ASU 2024-04 is effective for annual periods beginning after December 15, 2025, and interim reporting periods within those annual reporting periods, with early adoption permitted, and should be applied either prospectively or retrospectively. The Company is currently evaluating the potential effect that the updated standard will have on its consolidated financial statements and related disclosures.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for the three months ended June 30, 2025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2024 filed with the Securities and Exchange Commission (the “SEC”) on March 12, 2025 (the “Annual Report on Form 10-K”).</w:t>
      </w:r>
    </w:p>
    <w:p>
      <w:pPr>
        <w:spacing w:after="0" w:line="2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the inability to recognize the benefits of the business combination consummated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“Hydrafacial”, “we”, “us”, and “our” in this section are intended to mean the business and operations of The Beauty Health Company and its consolidated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Beauty Health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nanoneedling and microneedling; and Keravive in scalp health.</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Together, with its powerful global community of estheticians, partners and consumers, the Company is personalizing skin health for all ages, genders, skin tones, and skin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Business and Macroeconomic Conditions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 and six months ended June 30, 2025</w:t>
      </w:r>
      <w:r>
        <w:rPr>
          <w:rFonts w:ascii="Times New Roman" w:cs="Times New Roman" w:eastAsia="Times New Roman" w:hAnsi="Times New Roman"/>
          <w:sz w:val="18"/>
          <w:szCs w:val="18"/>
          <w:color w:val="231F20"/>
        </w:rPr>
        <w:t>, we continued to execute against our plan to expand our footprint by selling and placing our patented hydradermabrasion delivery systems (“Delivery Systems”) worldwide, drive consumables, which consist of single-use tips, solutions, serums and other consumables used to provide a Hydrafacial treatment that cleanses, extracts, and hydrates the skin (collectively “Consumables”), invest in our community of providers, partners, and consumers, drive brand awareness, and optimize our global infrastructure. Although we believe we can be successful in our current operating environment, various factors may impact our business in unpredictable ways such as:</w:t>
      </w:r>
    </w:p>
    <w:p>
      <w:pPr>
        <w:spacing w:after="0" w:line="3" w:lineRule="exact"/>
        <w:rPr>
          <w:sz w:val="20"/>
          <w:szCs w:val="20"/>
          <w:color w:val="auto"/>
        </w:rPr>
      </w:pPr>
    </w:p>
    <w:p>
      <w:pPr>
        <w:ind w:left="660" w:right="80" w:hanging="328"/>
        <w:spacing w:after="0" w:line="250" w:lineRule="auto"/>
        <w:tabs>
          <w:tab w:leader="none" w:pos="65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Global economic conditions, including inflation, recession, changes in foreign currency exchange rates, higher interest rates, and other changes in economic conditions;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tariffs and/or trade restrictions may impact material costs and pricing;</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in transportation and other supply chain related constraints, such as labor strife in the transportation industry; and</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Issues related to older models of Syndeo and our actions to remediate such issues.</w:t>
      </w:r>
    </w:p>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spacing w:after="0" w:line="19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China Market</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 xml:space="preserve">The Company evaluated its global distribution strategy to align its go-to-market strategy with in-market partner capabilities and market opportunity. </w:t>
      </w:r>
      <w:r>
        <w:rPr>
          <w:rFonts w:ascii="Times New Roman" w:cs="Times New Roman" w:eastAsia="Times New Roman" w:hAnsi="Times New Roman"/>
          <w:sz w:val="18"/>
          <w:szCs w:val="18"/>
          <w:color w:val="000000"/>
        </w:rPr>
        <w:t>During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second quarter of 2025, the Company transitioned sales in the China market to a distributor partner, and as a result, the Company has discontinued direct sales to customers in China.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231F20"/>
        </w:rPr>
        <w:t>Comparison of Three Months Ended June 30, 2025 to Three Months Ended June 30, 2024</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June 30, 2025 and June 30, 2024, have been derived from the condensed consolidated financial statements included elsewhere in this Quarterly Report on Form 10-Q. Amounts and percentages may not foot due to rounding.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28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sales</w:t>
            </w:r>
          </w:p>
        </w:tc>
        <w:tc>
          <w:tcPr>
            <w:tcW w:w="38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Cost of sales</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37.2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54.8</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Gross profit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45.2</w:t>
            </w:r>
          </w:p>
        </w:tc>
        <w:tc>
          <w:tcPr>
            <w:tcW w:w="0" w:type="dxa"/>
            <w:vAlign w:val="bottom"/>
          </w:tcPr>
          <w:p>
            <w:pPr>
              <w:spacing w:after="0"/>
              <w:rPr>
                <w:sz w:val="1"/>
                <w:szCs w:val="1"/>
                <w:color w:val="auto"/>
              </w:rPr>
            </w:pPr>
          </w:p>
        </w:tc>
      </w:tr>
      <w:tr>
        <w:trPr>
          <w:trHeight w:val="229"/>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Operating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Selling and marketing</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33.6</w:t>
            </w:r>
          </w:p>
        </w:tc>
        <w:tc>
          <w:tcPr>
            <w:tcW w:w="0" w:type="dxa"/>
            <w:vAlign w:val="bottom"/>
          </w:tcPr>
          <w:p>
            <w:pPr>
              <w:spacing w:after="0"/>
              <w:rPr>
                <w:sz w:val="1"/>
                <w:szCs w:val="1"/>
                <w:color w:val="auto"/>
              </w:rPr>
            </w:pPr>
          </w:p>
        </w:tc>
      </w:tr>
      <w:tr>
        <w:trPr>
          <w:trHeight w:val="230"/>
        </w:trPr>
        <w:tc>
          <w:tcPr>
            <w:tcW w:w="512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1.3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27.5</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34.7</w:t>
            </w:r>
          </w:p>
        </w:tc>
        <w:tc>
          <w:tcPr>
            <w:tcW w:w="0" w:type="dxa"/>
            <w:vAlign w:val="bottom"/>
          </w:tcPr>
          <w:p>
            <w:pPr>
              <w:spacing w:after="0"/>
              <w:rPr>
                <w:sz w:val="1"/>
                <w:szCs w:val="1"/>
                <w:color w:val="auto"/>
              </w:rPr>
            </w:pPr>
          </w:p>
        </w:tc>
      </w:tr>
      <w:tr>
        <w:trPr>
          <w:trHeight w:val="223"/>
        </w:trPr>
        <w:tc>
          <w:tcPr>
            <w:tcW w:w="5120" w:type="dxa"/>
            <w:vAlign w:val="bottom"/>
          </w:tcPr>
          <w:p>
            <w:pPr>
              <w:ind w:left="90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66.3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69.6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Loss from operations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(24.4)</w:t>
            </w:r>
          </w:p>
        </w:tc>
        <w:tc>
          <w:tcPr>
            <w:tcW w:w="0" w:type="dxa"/>
            <w:vAlign w:val="bottom"/>
          </w:tcPr>
          <w:p>
            <w:pPr>
              <w:spacing w:after="0"/>
              <w:rPr>
                <w:sz w:val="1"/>
                <w:szCs w:val="1"/>
                <w:color w:val="auto"/>
              </w:rPr>
            </w:pPr>
          </w:p>
        </w:tc>
      </w:tr>
      <w:tr>
        <w:trPr>
          <w:trHeight w:val="230"/>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Interest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2.7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Interest income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(4.6)</w:t>
            </w:r>
          </w:p>
        </w:tc>
        <w:tc>
          <w:tcPr>
            <w:tcW w:w="0" w:type="dxa"/>
            <w:vAlign w:val="bottom"/>
          </w:tcPr>
          <w:p>
            <w:pPr>
              <w:spacing w:after="0"/>
              <w:rPr>
                <w:sz w:val="1"/>
                <w:szCs w:val="1"/>
                <w:color w:val="auto"/>
              </w:rPr>
            </w:pPr>
          </w:p>
        </w:tc>
      </w:tr>
      <w:tr>
        <w:trPr>
          <w:trHeight w:val="229"/>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Other income, net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231F20"/>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(19.1)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(4.5)</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Foreign currency transaction (gain) loss, net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231F20"/>
              </w:rPr>
              <w:t>(5.7)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1.3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Income (loss) before provision for income taxes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(0.2)</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Income tax benefit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231F20"/>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231F20"/>
              </w:rPr>
              <w:t>(0.4)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income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280" w:type="dxa"/>
            <w:vAlign w:val="bottom"/>
          </w:tcPr>
          <w:p>
            <w:pPr>
              <w:spacing w:after="0"/>
              <w:rPr>
                <w:sz w:val="17"/>
                <w:szCs w:val="17"/>
                <w:color w:val="auto"/>
              </w:rPr>
            </w:pPr>
          </w:p>
        </w:tc>
        <w:tc>
          <w:tcPr>
            <w:tcW w:w="15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Delivery Systems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22.4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231F20"/>
              </w:rPr>
              <w:t>Consumables</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55.8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0.8 %</w:t>
            </w:r>
          </w:p>
        </w:tc>
        <w:tc>
          <w:tcPr>
            <w:tcW w:w="0" w:type="dxa"/>
            <w:vAlign w:val="bottom"/>
          </w:tcPr>
          <w:p>
            <w:pPr>
              <w:spacing w:after="0"/>
              <w:rPr>
                <w:sz w:val="1"/>
                <w:szCs w:val="1"/>
                <w:color w:val="auto"/>
              </w:rPr>
            </w:pPr>
          </w:p>
        </w:tc>
      </w:tr>
      <w:tr>
        <w:trPr>
          <w:trHeight w:val="223"/>
        </w:trPr>
        <w:tc>
          <w:tcPr>
            <w:tcW w:w="51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Total net sales</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78.2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Percentage of net sales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Delivery Systems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28.6%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Consumables</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71.4%</w:t>
            </w: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231F20"/>
              </w:rPr>
              <w:t>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Total</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231F20"/>
              </w:rPr>
              <w:t>100.0%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Total net sales for the three months ended June 30, 2025 decreased $12.4 million, or 13.7%, compared to the three months ended June 30, 2024. Delivery Systems net sales for the three months ended June 30, 2025 decreased $12.9 million, or 36.5%, compared to the three months ended June 30, 2024, with decreases across all regions. Delivery Systems net sales were negatively impacted globally by unfavorable macroeconomic and credit conditions.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Consumables net sales for the three months ended June 30, 2025 increased $0.4 million, or 0.8%, compared to the three months ended June 30, 2024. The slight increase in Consumables net sales was primarily attributable to increased placements of Delivery Systems and the adjoining consumption of Consumables during the three months ended June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960" w:type="dxa"/>
            <w:vAlign w:val="bottom"/>
            <w:tcBorders>
              <w:top w:val="single" w:sz="8" w:color="auto"/>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49.7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(41.4)%</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49.1</w:t>
            </w:r>
          </w:p>
        </w:tc>
        <w:tc>
          <w:tcPr>
            <w:tcW w:w="10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40.9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62.8 %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45.2 %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Cost of sales for the three months ended June 30, 2025 decreased $20.6 million, compared to the three months ended June 30, 2024 primarily due to lower net sales and inventory related charges. Cost of sales for the three months ended June 30, 2024 include $13.8 million of inventory charges for discontinued, excess, obsolete inventory, including the write-down of Delivery System inventory to its net realizable value and the write-off of excess raw materials.</w:t>
      </w:r>
    </w:p>
    <w:p>
      <w:pPr>
        <w:spacing w:after="0" w:line="1"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color w:val="auto"/>
        </w:rPr>
        <w:t>Gross margin increased to 62.8% for the three months ended June 30, 2025 from 45.2% for the three months ended June 30, 2024 primarily due to lower inventory related charges and favorable mix shift towards consumable net sales, partially offset by lower average selling price of equipment net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Selling and Marketing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37"/>
        </w:trPr>
        <w:tc>
          <w:tcPr>
            <w:tcW w:w="45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Selling and marketing</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23.1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30.5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98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29.6 %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231F20"/>
              </w:rPr>
              <w:t>33.6 %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and marketing expense for the three months ended June 30, 2025 decreased $7.4 million, or 24.2%, compared to the three months ended June 30, 2024. The decrease is primarily driven by lower personnel-related expenses, including share-based compensation expense and lower sales commission expense, marketing related spend, and depreciation and amortization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58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40" w:type="dxa"/>
            <w:vAlign w:val="bottom"/>
            <w:tcBorders>
              <w:top w:val="single" w:sz="8" w:color="auto"/>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231F20"/>
                <w:w w:val="88"/>
              </w:rPr>
              <w:t>$</w:t>
            </w: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4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231F20"/>
                <w:w w:val="99"/>
              </w:rPr>
              <w:t>1.6 %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1.3 %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for the three months ended June 30, 2025 remained relatively flat compared to the three months ended June 30, 2024.</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0" w:type="dxa"/>
            <w:vAlign w:val="bottom"/>
            <w:tcBorders>
              <w:top w:val="single" w:sz="8" w:color="auto"/>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35.1 %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231F20"/>
                <w:w w:val="97"/>
              </w:rPr>
              <w:t>34.7 %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 for the three months ended June 30, 2025 decreased $4.0 million, or 12.6%, compared to the three months ended June 30, 2024. The decrease is primarily driven by lower personnel-related expenses, including share-based compensation expense, lower severance, depreciation and amortization expense, and other general corporate spend, and bad debt recoveries. The decrease was partially offset by higher legal fees.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 Change in Fair Value of Warrant Liabilities, and Other Income,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Interest income</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231F20"/>
              </w:rPr>
              <w:t>1.0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w:t>
            </w:r>
          </w:p>
        </w:tc>
        <w:tc>
          <w:tcPr>
            <w:tcW w:w="80" w:type="dxa"/>
            <w:vAlign w:val="bottom"/>
          </w:tcPr>
          <w:p>
            <w:pPr>
              <w:spacing w:after="0"/>
              <w:rPr>
                <w:sz w:val="20"/>
                <w:szCs w:val="20"/>
                <w:color w:val="auto"/>
              </w:rPr>
            </w:pPr>
          </w:p>
        </w:tc>
        <w:tc>
          <w:tcPr>
            <w:tcW w:w="80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w:t>
            </w:r>
          </w:p>
        </w:tc>
        <w:tc>
          <w:tcPr>
            <w:tcW w:w="80" w:type="dxa"/>
            <w:vAlign w:val="bottom"/>
          </w:tcPr>
          <w:p>
            <w:pPr>
              <w:spacing w:after="0"/>
              <w:rPr>
                <w:sz w:val="20"/>
                <w:szCs w:val="20"/>
                <w:color w:val="auto"/>
              </w:rPr>
            </w:pPr>
          </w:p>
        </w:tc>
        <w:tc>
          <w:tcPr>
            <w:tcW w:w="120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231F20"/>
              </w:rPr>
              <w:t>4.3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income, net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(18.1)</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(17.3)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231F20"/>
                <w:w w:val="98"/>
              </w:rPr>
              <w:t>(0.8)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N/M - Not meaningful</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June 30, 2025 decreased $1.0 million, compared to the three months ended June 30, 2024, primarily due to lower average invested balances during the three months ended June 30, 2025.</w:t>
      </w:r>
    </w:p>
    <w:p>
      <w:pPr>
        <w:spacing w:after="0" w:line="18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recognized expense of $0.2 million related to the change in the fair value of the warrant liabilities as compared to income of $4.0 million for the three months ended June 30, 2024, driven primarily by the fluctuation of the price of the Company’s Class A common stock (the “Class A Common Stock”).</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June 30, 2025 included $18.1 million net gain related to the exchange and repurchases of the 1.25% Convertible Senior Notes due October 1, 2026 (the “2026 Notes”). Other income, net for the three months ended June 30, 2024 included $17.3 million net gain related to the repurchases of the 2026 Notes.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231F20"/>
        </w:rPr>
        <w:t xml:space="preserve">Comparison of </w:t>
      </w:r>
      <w:r>
        <w:rPr>
          <w:rFonts w:ascii="Times New Roman" w:cs="Times New Roman" w:eastAsia="Times New Roman" w:hAnsi="Times New Roman"/>
          <w:sz w:val="18"/>
          <w:szCs w:val="18"/>
          <w:b w:val="1"/>
          <w:bCs w:val="1"/>
          <w:color w:val="000000"/>
        </w:rPr>
        <w:t>Six Months Ended</w:t>
      </w:r>
      <w:r>
        <w:rPr>
          <w:rFonts w:ascii="Times New Roman" w:cs="Times New Roman" w:eastAsia="Times New Roman" w:hAnsi="Times New Roman"/>
          <w:sz w:val="18"/>
          <w:szCs w:val="18"/>
          <w:b w:val="1"/>
          <w:bCs w:val="1"/>
          <w:color w:val="231F20"/>
        </w:rPr>
        <w:t xml:space="preserve"> June 30, 2025 to </w:t>
      </w:r>
      <w:r>
        <w:rPr>
          <w:rFonts w:ascii="Times New Roman" w:cs="Times New Roman" w:eastAsia="Times New Roman" w:hAnsi="Times New Roman"/>
          <w:sz w:val="18"/>
          <w:szCs w:val="18"/>
          <w:b w:val="1"/>
          <w:bCs w:val="1"/>
          <w:color w:val="000000"/>
        </w:rPr>
        <w:t>Six Months Ended</w:t>
      </w:r>
      <w:r>
        <w:rPr>
          <w:rFonts w:ascii="Times New Roman" w:cs="Times New Roman" w:eastAsia="Times New Roman" w:hAnsi="Times New Roman"/>
          <w:sz w:val="18"/>
          <w:szCs w:val="18"/>
          <w:b w:val="1"/>
          <w:bCs w:val="1"/>
          <w:color w:val="231F20"/>
        </w:rPr>
        <w:t xml:space="preserve"> June 30, 2024</w:t>
      </w:r>
    </w:p>
    <w:p>
      <w:pPr>
        <w:spacing w:after="0" w:line="25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231F20"/>
        </w:rPr>
        <w:t xml:space="preserve">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2025 and June 30, 2024 have been derived from the condensed consolidated financial statements included elsewhere in this Form 10-Q.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28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147.8</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172.0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Cost of sales</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50.1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33.9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48.1</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Gross profit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51.9</w:t>
            </w:r>
          </w:p>
        </w:tc>
        <w:tc>
          <w:tcPr>
            <w:tcW w:w="0" w:type="dxa"/>
            <w:vAlign w:val="bottom"/>
          </w:tcPr>
          <w:p>
            <w:pPr>
              <w:spacing w:after="0"/>
              <w:rPr>
                <w:sz w:val="1"/>
                <w:szCs w:val="1"/>
                <w:color w:val="auto"/>
              </w:rPr>
            </w:pPr>
          </w:p>
        </w:tc>
      </w:tr>
      <w:tr>
        <w:trPr>
          <w:trHeight w:val="230"/>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Operating expenses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Selling and marketing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37.3</w:t>
            </w:r>
          </w:p>
        </w:tc>
        <w:tc>
          <w:tcPr>
            <w:tcW w:w="0" w:type="dxa"/>
            <w:vAlign w:val="bottom"/>
          </w:tcPr>
          <w:p>
            <w:pPr>
              <w:spacing w:after="0"/>
              <w:rPr>
                <w:sz w:val="1"/>
                <w:szCs w:val="1"/>
                <w:color w:val="auto"/>
              </w:rPr>
            </w:pPr>
          </w:p>
        </w:tc>
      </w:tr>
      <w:tr>
        <w:trPr>
          <w:trHeight w:val="229"/>
        </w:trPr>
        <w:tc>
          <w:tcPr>
            <w:tcW w:w="510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2.3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61.0</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35.0</w:t>
            </w:r>
          </w:p>
        </w:tc>
        <w:tc>
          <w:tcPr>
            <w:tcW w:w="0" w:type="dxa"/>
            <w:vAlign w:val="bottom"/>
          </w:tcPr>
          <w:p>
            <w:pPr>
              <w:spacing w:after="0"/>
              <w:rPr>
                <w:sz w:val="1"/>
                <w:szCs w:val="1"/>
                <w:color w:val="auto"/>
              </w:rPr>
            </w:pPr>
          </w:p>
        </w:tc>
      </w:tr>
      <w:tr>
        <w:trPr>
          <w:trHeight w:val="223"/>
        </w:trPr>
        <w:tc>
          <w:tcPr>
            <w:tcW w:w="5100" w:type="dxa"/>
            <w:vAlign w:val="bottom"/>
          </w:tcPr>
          <w:p>
            <w:pPr>
              <w:ind w:left="90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74.7</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Loss from operations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(22.7)</w:t>
            </w:r>
          </w:p>
        </w:tc>
        <w:tc>
          <w:tcPr>
            <w:tcW w:w="0" w:type="dxa"/>
            <w:vAlign w:val="bottom"/>
          </w:tcPr>
          <w:p>
            <w:pPr>
              <w:spacing w:after="0"/>
              <w:rPr>
                <w:sz w:val="1"/>
                <w:szCs w:val="1"/>
                <w:color w:val="auto"/>
              </w:rPr>
            </w:pPr>
          </w:p>
        </w:tc>
      </w:tr>
      <w:tr>
        <w:trPr>
          <w:trHeight w:val="229"/>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Interest expense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3.2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Interest income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(5.6)</w:t>
            </w:r>
          </w:p>
        </w:tc>
        <w:tc>
          <w:tcPr>
            <w:tcW w:w="0" w:type="dxa"/>
            <w:vAlign w:val="bottom"/>
          </w:tcPr>
          <w:p>
            <w:pPr>
              <w:spacing w:after="0"/>
              <w:rPr>
                <w:sz w:val="1"/>
                <w:szCs w:val="1"/>
                <w:color w:val="auto"/>
              </w:rPr>
            </w:pPr>
          </w:p>
        </w:tc>
      </w:tr>
      <w:tr>
        <w:trPr>
          <w:trHeight w:val="230"/>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Other income, net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231F20"/>
              </w:rPr>
              <w:t>(12.3)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(19.4)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(1.5)</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Foreign currency transaction (gain) loss, net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231F20"/>
              </w:rPr>
              <w:t>(4.3)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1.4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Income (loss) before provision for income taxes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(0.9)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Income tax benefit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231F20"/>
              </w:rPr>
              <w:t>(0.6)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280" w:type="dxa"/>
            <w:vAlign w:val="bottom"/>
          </w:tcPr>
          <w:p>
            <w:pPr>
              <w:spacing w:after="0"/>
              <w:rPr>
                <w:sz w:val="17"/>
                <w:szCs w:val="17"/>
                <w:color w:val="auto"/>
              </w:rPr>
            </w:pPr>
          </w:p>
        </w:tc>
        <w:tc>
          <w:tcPr>
            <w:tcW w:w="15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Delivery Systems</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42.6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231F20"/>
              </w:rPr>
              <w:t>Consumables</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105.2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4.1 %</w:t>
            </w:r>
          </w:p>
        </w:tc>
        <w:tc>
          <w:tcPr>
            <w:tcW w:w="0" w:type="dxa"/>
            <w:vAlign w:val="bottom"/>
          </w:tcPr>
          <w:p>
            <w:pPr>
              <w:spacing w:after="0"/>
              <w:rPr>
                <w:sz w:val="1"/>
                <w:szCs w:val="1"/>
                <w:color w:val="auto"/>
              </w:rPr>
            </w:pPr>
          </w:p>
        </w:tc>
      </w:tr>
      <w:tr>
        <w:trPr>
          <w:trHeight w:val="223"/>
        </w:trPr>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Total net sales</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147.8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Percentage of net sales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Delivery Systems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231F20"/>
              </w:rPr>
              <w:t>28.8%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Consumables</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231F20"/>
              </w:rPr>
              <w:t>71.2%</w:t>
            </w: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231F20"/>
              </w:rPr>
              <w:t>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Total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231F20"/>
              </w:rPr>
              <w:t>100.0%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231F20"/>
        </w:rPr>
        <w:t xml:space="preserve">Total net sales for the </w:t>
      </w:r>
      <w:r>
        <w:rPr>
          <w:rFonts w:ascii="Times New Roman" w:cs="Times New Roman" w:eastAsia="Times New Roman" w:hAnsi="Times New Roman"/>
          <w:sz w:val="17"/>
          <w:szCs w:val="17"/>
          <w:color w:val="000000"/>
        </w:rPr>
        <w:t>six months ended</w:t>
      </w:r>
      <w:r>
        <w:rPr>
          <w:rFonts w:ascii="Times New Roman" w:cs="Times New Roman" w:eastAsia="Times New Roman" w:hAnsi="Times New Roman"/>
          <w:sz w:val="17"/>
          <w:szCs w:val="17"/>
          <w:color w:val="231F20"/>
        </w:rPr>
        <w:t xml:space="preserve"> June 30, 2025 </w:t>
      </w:r>
      <w:r>
        <w:rPr>
          <w:rFonts w:ascii="Times New Roman" w:cs="Times New Roman" w:eastAsia="Times New Roman" w:hAnsi="Times New Roman"/>
          <w:sz w:val="17"/>
          <w:szCs w:val="17"/>
          <w:color w:val="000000"/>
        </w:rPr>
        <w:t>decreased $24.2 million</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color w:val="000000"/>
        </w:rPr>
        <w:t>14.1%</w:t>
      </w:r>
      <w:r>
        <w:rPr>
          <w:rFonts w:ascii="Times New Roman" w:cs="Times New Roman" w:eastAsia="Times New Roman" w:hAnsi="Times New Roman"/>
          <w:sz w:val="17"/>
          <w:szCs w:val="17"/>
          <w:color w:val="231F20"/>
        </w:rPr>
        <w:t xml:space="preserve">, compared to the </w:t>
      </w:r>
      <w:r>
        <w:rPr>
          <w:rFonts w:ascii="Times New Roman" w:cs="Times New Roman" w:eastAsia="Times New Roman" w:hAnsi="Times New Roman"/>
          <w:sz w:val="17"/>
          <w:szCs w:val="17"/>
          <w:color w:val="000000"/>
        </w:rPr>
        <w:t>six months ended</w:t>
      </w:r>
      <w:r>
        <w:rPr>
          <w:rFonts w:ascii="Times New Roman" w:cs="Times New Roman" w:eastAsia="Times New Roman" w:hAnsi="Times New Roman"/>
          <w:sz w:val="17"/>
          <w:szCs w:val="17"/>
          <w:color w:val="231F20"/>
        </w:rPr>
        <w:t xml:space="preserve"> June 30, 2024. Delivery System net sales for the </w:t>
      </w:r>
      <w:r>
        <w:rPr>
          <w:rFonts w:ascii="Times New Roman" w:cs="Times New Roman" w:eastAsia="Times New Roman" w:hAnsi="Times New Roman"/>
          <w:sz w:val="17"/>
          <w:szCs w:val="17"/>
          <w:color w:val="000000"/>
        </w:rPr>
        <w:t>six months ended</w:t>
      </w:r>
      <w:r>
        <w:rPr>
          <w:rFonts w:ascii="Times New Roman" w:cs="Times New Roman" w:eastAsia="Times New Roman" w:hAnsi="Times New Roman"/>
          <w:sz w:val="17"/>
          <w:szCs w:val="17"/>
          <w:color w:val="231F20"/>
        </w:rPr>
        <w:t xml:space="preserve"> June 30, 2025 </w:t>
      </w:r>
      <w:r>
        <w:rPr>
          <w:rFonts w:ascii="Times New Roman" w:cs="Times New Roman" w:eastAsia="Times New Roman" w:hAnsi="Times New Roman"/>
          <w:sz w:val="17"/>
          <w:szCs w:val="17"/>
          <w:color w:val="000000"/>
        </w:rPr>
        <w:t>decreased $28.4 million</w:t>
      </w:r>
      <w:r>
        <w:rPr>
          <w:rFonts w:ascii="Times New Roman" w:cs="Times New Roman" w:eastAsia="Times New Roman" w:hAnsi="Times New Roman"/>
          <w:sz w:val="17"/>
          <w:szCs w:val="17"/>
          <w:color w:val="231F20"/>
        </w:rPr>
        <w:t xml:space="preserve">, or </w:t>
      </w:r>
      <w:r>
        <w:rPr>
          <w:rFonts w:ascii="Times New Roman" w:cs="Times New Roman" w:eastAsia="Times New Roman" w:hAnsi="Times New Roman"/>
          <w:sz w:val="17"/>
          <w:szCs w:val="17"/>
          <w:color w:val="000000"/>
        </w:rPr>
        <w:t>40.0%</w:t>
      </w:r>
      <w:r>
        <w:rPr>
          <w:rFonts w:ascii="Times New Roman" w:cs="Times New Roman" w:eastAsia="Times New Roman" w:hAnsi="Times New Roman"/>
          <w:sz w:val="17"/>
          <w:szCs w:val="17"/>
          <w:color w:val="231F20"/>
        </w:rPr>
        <w:t xml:space="preserve">, compared to the </w:t>
      </w:r>
      <w:r>
        <w:rPr>
          <w:rFonts w:ascii="Times New Roman" w:cs="Times New Roman" w:eastAsia="Times New Roman" w:hAnsi="Times New Roman"/>
          <w:sz w:val="17"/>
          <w:szCs w:val="17"/>
          <w:color w:val="000000"/>
        </w:rPr>
        <w:t>six months ended</w:t>
      </w:r>
      <w:r>
        <w:rPr>
          <w:rFonts w:ascii="Times New Roman" w:cs="Times New Roman" w:eastAsia="Times New Roman" w:hAnsi="Times New Roman"/>
          <w:sz w:val="17"/>
          <w:szCs w:val="17"/>
          <w:color w:val="231F20"/>
        </w:rPr>
        <w:t xml:space="preserve"> June 30, 2024, with decreases across all regions. Delivery Systems net sales were negatively impacted globally by unfavorable macroeconomic and credit conditions.</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 xml:space="preserve">Consumables net sales for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2025 </w:t>
      </w:r>
      <w:r>
        <w:rPr>
          <w:rFonts w:ascii="Times New Roman" w:cs="Times New Roman" w:eastAsia="Times New Roman" w:hAnsi="Times New Roman"/>
          <w:sz w:val="18"/>
          <w:szCs w:val="18"/>
          <w:color w:val="000000"/>
        </w:rPr>
        <w:t>increased $4.2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4.1%</w:t>
      </w:r>
      <w:r>
        <w:rPr>
          <w:rFonts w:ascii="Times New Roman" w:cs="Times New Roman" w:eastAsia="Times New Roman" w:hAnsi="Times New Roman"/>
          <w:sz w:val="18"/>
          <w:szCs w:val="18"/>
          <w:color w:val="231F20"/>
        </w:rPr>
        <w:t xml:space="preserve">, compared to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2024. The increase in Consumables net sales was primarily attributable to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placements of Delivery Systems and the adjoining consumption of Consumables 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6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960" w:type="dxa"/>
            <w:vAlign w:val="bottom"/>
            <w:tcBorders>
              <w:top w:val="single" w:sz="8" w:color="auto"/>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50.1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(39.4)%</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97.7</w:t>
            </w:r>
          </w:p>
        </w:tc>
        <w:tc>
          <w:tcPr>
            <w:tcW w:w="10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89.3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9.4%</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66.1 %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51.9 %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 xml:space="preserve">Cost of sales for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2025 </w:t>
      </w:r>
      <w:r>
        <w:rPr>
          <w:rFonts w:ascii="Times New Roman" w:cs="Times New Roman" w:eastAsia="Times New Roman" w:hAnsi="Times New Roman"/>
          <w:sz w:val="18"/>
          <w:szCs w:val="18"/>
          <w:color w:val="000000"/>
        </w:rPr>
        <w:t>decreased $32.6 million, compared to the six months ended June 30, 2024 primarily due to lower net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sales and inventory related charges. Cost of sales for the six months ended June 30, 2024 include $19.3 million of inventory charges for discontinued, excess, obsolete inventory, including the write-down of Delivery System inventory to its net realizable value and the write-off of excess raw materials. </w:t>
      </w:r>
      <w:r>
        <w:rPr>
          <w:rFonts w:ascii="Times New Roman" w:cs="Times New Roman" w:eastAsia="Times New Roman" w:hAnsi="Times New Roman"/>
          <w:sz w:val="18"/>
          <w:szCs w:val="18"/>
          <w:color w:val="231F20"/>
        </w:rPr>
        <w:t xml:space="preserve">Gross margin increased to </w:t>
      </w:r>
      <w:r>
        <w:rPr>
          <w:rFonts w:ascii="Times New Roman" w:cs="Times New Roman" w:eastAsia="Times New Roman" w:hAnsi="Times New Roman"/>
          <w:sz w:val="18"/>
          <w:szCs w:val="18"/>
          <w:color w:val="000000"/>
        </w:rPr>
        <w:t>66.1%</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2025 from </w:t>
      </w:r>
      <w:r>
        <w:rPr>
          <w:rFonts w:ascii="Times New Roman" w:cs="Times New Roman" w:eastAsia="Times New Roman" w:hAnsi="Times New Roman"/>
          <w:sz w:val="18"/>
          <w:szCs w:val="18"/>
          <w:color w:val="000000"/>
        </w:rPr>
        <w:t>51.9%</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six months ended June 30, 2024</w:t>
      </w:r>
      <w:r>
        <w:rPr>
          <w:rFonts w:ascii="Times New Roman" w:cs="Times New Roman" w:eastAsia="Times New Roman" w:hAnsi="Times New Roman"/>
          <w:sz w:val="18"/>
          <w:szCs w:val="18"/>
          <w:color w:val="231F20"/>
        </w:rPr>
        <w:t xml:space="preserve"> primarily due to lower inventory related charges and favorable mix shift towards consumable net sales, partially offset by lower average selling price of equipment net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Selling and Marketing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52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37"/>
        </w:trPr>
        <w:tc>
          <w:tcPr>
            <w:tcW w:w="45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Selling and marketing</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231F20"/>
                <w:w w:val="88"/>
              </w:rPr>
              <w:t>$</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49.1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64.2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98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33.3 %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231F20"/>
              </w:rPr>
              <w:t>37.3 %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340"/>
        <w:spacing w:after="0" w:line="242" w:lineRule="auto"/>
        <w:rPr>
          <w:sz w:val="20"/>
          <w:szCs w:val="20"/>
          <w:color w:val="auto"/>
        </w:rPr>
      </w:pPr>
      <w:r>
        <w:rPr>
          <w:rFonts w:ascii="Times New Roman" w:cs="Times New Roman" w:eastAsia="Times New Roman" w:hAnsi="Times New Roman"/>
          <w:sz w:val="18"/>
          <w:szCs w:val="18"/>
          <w:color w:val="auto"/>
        </w:rPr>
        <w:t>Selling and marketing expense for the six months ended June 30, 2025 decreased $15.0 million, or 23.4%, compared to the six months ended June 30, 2024. The decrease is primarily driven by lower personnel-related expenses, including share-based compensation expense, and lower sales commission expense, marketing related spend and depreciation and amortization expense.</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56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20" w:type="dxa"/>
            <w:vAlign w:val="bottom"/>
            <w:tcBorders>
              <w:top w:val="single" w:sz="8" w:color="auto"/>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231F20"/>
              </w:rPr>
              <w:t>$</w:t>
            </w:r>
          </w:p>
        </w:tc>
        <w:tc>
          <w:tcPr>
            <w:tcW w:w="56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2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1.5 %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9"/>
              </w:rPr>
              <w:t>2.3 %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2025 decreased $1.7 million, or 43.3%, compared to the six months ended June 30, 2024. The decrease is primarily driven by lower personnel-related expenses.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52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0" w:type="dxa"/>
            <w:vAlign w:val="bottom"/>
            <w:tcBorders>
              <w:top w:val="single" w:sz="8" w:color="auto"/>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61.0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231F20"/>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41.3 %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231F20"/>
                <w:w w:val="97"/>
              </w:rPr>
              <w:t>35.0 %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w:t>
      </w:r>
      <w:r>
        <w:rPr>
          <w:rFonts w:ascii="Times New Roman" w:cs="Times New Roman" w:eastAsia="Times New Roman" w:hAnsi="Times New Roman"/>
          <w:sz w:val="18"/>
          <w:szCs w:val="18"/>
          <w:color w:val="000000"/>
        </w:rPr>
        <w:t>six months ended June 30, 2025</w:t>
      </w:r>
      <w:r>
        <w:rPr>
          <w:rFonts w:ascii="Times New Roman" w:cs="Times New Roman" w:eastAsia="Times New Roman" w:hAnsi="Times New Roman"/>
          <w:sz w:val="18"/>
          <w:szCs w:val="18"/>
          <w:color w:val="231F20"/>
        </w:rPr>
        <w:t xml:space="preserve"> remained relatively flat compared to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31F20"/>
        </w:rPr>
        <w:t xml:space="preserve"> June 30, 2024, with higher legal fees and severance being partially offset by lower personnel-related expenses, including share-based compensation expense, lower other general corporate spend and depreciation and amortization expense, and bad debt recoveries.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 Change in Fair Value of Warrant Liabilities, and Other Income,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36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Interest income</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(0.1)</w:t>
            </w:r>
          </w:p>
        </w:tc>
        <w:tc>
          <w:tcPr>
            <w:tcW w:w="80" w:type="dxa"/>
            <w:vAlign w:val="bottom"/>
          </w:tcPr>
          <w:p>
            <w:pPr>
              <w:spacing w:after="0"/>
              <w:rPr>
                <w:sz w:val="20"/>
                <w:szCs w:val="20"/>
                <w:color w:val="auto"/>
              </w:rPr>
            </w:pPr>
          </w:p>
        </w:tc>
        <w:tc>
          <w:tcPr>
            <w:tcW w:w="80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80" w:type="dxa"/>
            <w:vAlign w:val="bottom"/>
          </w:tcPr>
          <w:p>
            <w:pPr>
              <w:spacing w:after="0"/>
              <w:rPr>
                <w:sz w:val="20"/>
                <w:szCs w:val="20"/>
                <w:color w:val="auto"/>
              </w:rPr>
            </w:pPr>
          </w:p>
        </w:tc>
        <w:tc>
          <w:tcPr>
            <w:tcW w:w="120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income, net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(18.2)</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(33.4)</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N/M - Not meaningful</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 xml:space="preserve">Interest income for the </w:t>
      </w:r>
      <w:r>
        <w:rPr>
          <w:rFonts w:ascii="Times New Roman" w:cs="Times New Roman" w:eastAsia="Times New Roman" w:hAnsi="Times New Roman"/>
          <w:sz w:val="18"/>
          <w:szCs w:val="18"/>
          <w:color w:val="000000"/>
        </w:rPr>
        <w:t>six months ended June 30, 2025 decreased $3.4 million</w:t>
      </w:r>
      <w:r>
        <w:rPr>
          <w:rFonts w:ascii="Times New Roman" w:cs="Times New Roman" w:eastAsia="Times New Roman" w:hAnsi="Times New Roman"/>
          <w:sz w:val="18"/>
          <w:szCs w:val="18"/>
          <w:color w:val="231F20"/>
        </w:rPr>
        <w:t xml:space="preserve"> compared to the </w:t>
      </w:r>
      <w:r>
        <w:rPr>
          <w:rFonts w:ascii="Times New Roman" w:cs="Times New Roman" w:eastAsia="Times New Roman" w:hAnsi="Times New Roman"/>
          <w:sz w:val="18"/>
          <w:szCs w:val="18"/>
          <w:color w:val="000000"/>
        </w:rPr>
        <w:t>six months ended June 30, 2024</w:t>
      </w:r>
      <w:r>
        <w:rPr>
          <w:rFonts w:ascii="Times New Roman" w:cs="Times New Roman" w:eastAsia="Times New Roman" w:hAnsi="Times New Roman"/>
          <w:sz w:val="18"/>
          <w:szCs w:val="18"/>
          <w:color w:val="231F20"/>
        </w:rPr>
        <w:t xml:space="preserve"> primarily due to lower average invested balances during the </w:t>
      </w:r>
      <w:r>
        <w:rPr>
          <w:rFonts w:ascii="Times New Roman" w:cs="Times New Roman" w:eastAsia="Times New Roman" w:hAnsi="Times New Roman"/>
          <w:sz w:val="18"/>
          <w:szCs w:val="18"/>
          <w:color w:val="000000"/>
        </w:rPr>
        <w:t>six months</w:t>
      </w:r>
      <w:r>
        <w:rPr>
          <w:rFonts w:ascii="Times New Roman" w:cs="Times New Roman" w:eastAsia="Times New Roman" w:hAnsi="Times New Roman"/>
          <w:sz w:val="18"/>
          <w:szCs w:val="18"/>
          <w:color w:val="231F20"/>
        </w:rPr>
        <w:t xml:space="preserve">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six months ended June 30, 2025</w:t>
      </w:r>
      <w:r>
        <w:rPr>
          <w:rFonts w:ascii="Times New Roman" w:cs="Times New Roman" w:eastAsia="Times New Roman" w:hAnsi="Times New Roman"/>
          <w:sz w:val="18"/>
          <w:szCs w:val="18"/>
          <w:color w:val="231F20"/>
        </w:rPr>
        <w:t xml:space="preserve">, the Company recognized </w:t>
      </w:r>
      <w:r>
        <w:rPr>
          <w:rFonts w:ascii="Times New Roman" w:cs="Times New Roman" w:eastAsia="Times New Roman" w:hAnsi="Times New Roman"/>
          <w:sz w:val="18"/>
          <w:szCs w:val="18"/>
          <w:color w:val="000000"/>
        </w:rPr>
        <w:t>income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31F20"/>
        </w:rPr>
        <w:t xml:space="preserve"> related to the change in the fair value of the warrant liabilities, as compared to </w:t>
      </w:r>
      <w:r>
        <w:rPr>
          <w:rFonts w:ascii="Times New Roman" w:cs="Times New Roman" w:eastAsia="Times New Roman" w:hAnsi="Times New Roman"/>
          <w:sz w:val="18"/>
          <w:szCs w:val="18"/>
          <w:color w:val="000000"/>
        </w:rPr>
        <w:t>income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$2.6 million</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six months ended June 30, 2024</w:t>
      </w:r>
      <w:r>
        <w:rPr>
          <w:rFonts w:ascii="Times New Roman" w:cs="Times New Roman" w:eastAsia="Times New Roman" w:hAnsi="Times New Roman"/>
          <w:sz w:val="18"/>
          <w:szCs w:val="18"/>
          <w:color w:val="231F20"/>
        </w:rPr>
        <w:t>, driven primarily by the fluctuation of the price of the Class A Common Stock.</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income, net for the six months ended June 30, 2025 included $18.1 million net gain related to the exchange and repurchases of the 2026 Notes. Other income, net for the six months ended June 30, 2024 included $33.4 million net gain related to the repurchases of the 2026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primary sources of capital have been (i) cash flow from operating activities, (ii) net proceeds received from the consummation of the Business Combination, (iii) net proceeds received from the 2026 Notes, and (iv) net proceeds received from the exercise of public and private placement warrants. As of June 30, 2025, we had cash, cash equivalents, and restricted cash of $212.0 million.</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spacing w:after="0" w:line="20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Our sources of liquidity and cash flows are used to fund ongoing operations, research and development projects for new products, services, and technologies, and provide ongoing support services for our providers and customers.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Net</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Senior Notes - 2026</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September 14, 2021, the Company issued an aggregate of $750.0 million in principal amount of its 2026 Notes. The 2026 Notes were issued pursuant to, and are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spacing w:after="0" w:line="2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$75.0 million principal amount of its 2026 Notes at a weighted-average price equal to 77% for $57.8 million and recognized a net gain of $16.1 million, which includes $1.2 million of unamortized debt issuance costs. Additionally, during the three months ended June 30, 2024, the Company repurchased $117.3 million principal amount of its 2026 Notes at a weighted-average price equal to 84% for $98.3 million and recognized a net gain of $17.3 million, which includes $1.6 million of unamortized debt issuance costs. The total amount paid and net gain recognized to repurchase $192.3 million principal amount during the six months ended June 30, 2024 was $156.1 million and $33.4 million, respectively.</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an additional $20.0 million principal amount of its 2026 Notes at a weighted-average price equal to 92% for $18.4 million and recognized a net gain of $1.5 million, which includes $0.1 million of unamortized debt issuance costs.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Senior Secured Notes - 2028</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May 21, 2025, the Company entered into privately negotiated exchange agreements (the “Exchange Agreements”) with certain holders (the “Exchanging Holders”) of the 2026 Notes (the “Existing Notes”). Pursuant to the Exchange Agreements, the Company exchanged and repurchased approximately $413.2 million aggregate principal amount of the Existing Notes. Of the $413.2 million aggregate principal amount of the Existing Notes, $263.2 million principal amount were exchanged at a weighted-average price equal to 95% for $250.0 million principal amount of new 7.95% Convertible Senior Secured Notes due November 15, 2028 (the “2028 Notes”), and $150.1 million principal amount were repurchased at a weighted-average price equal to 95% for $142.6 million. The exchange and repurchase resulted in a net gain of $16.6 million, which includes $3.1 million of unamortized debt issuance costs and $0.9 million of other related fees. The Company incurred $10.8 million of debt issuance costs related to the exchange and repurchase of its Existing Notes which are being amortized over the term of the 2028 Notes using the effective interest method.</w:t>
      </w: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27, 2025, the Company issued the 2028 Notes to the Exchanging Holders. The 2028 Notes were issued pursuant to, and are governed by, an indenture (the “2028 Indenture”), dated as of May 27, 2025, between the Company, the guarantors party thereto, and U.S. Bank Trust Company, National Association, as trustee and collateral agent.</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2028 Notes are the Company’s senior, secured obligations and are guaranteed by certain of the Company’s subsidiaries (including the Company’s material domestic, wholly-owned subsidiaries) and are secured on a first-priority basis by substantially all assets of the Company and such guarantors, subject to certain exceptions. The 2028 Indenture also contains a number of restrictive covenants and limitations, including restrictions on the Company’s ability to incur certain indebtedness and other limitations on liens, investments and restricted payments, as further described in the 2028 Indenture. For more information, see Part I, Item 1 “Financial Statements — Note 5 - “Long-term Debt” in this Quarterly Report on Form 10-Q.</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1" w:name="page32"/>
    <w:bookmarkEnd w:id="31"/>
    <w:p>
      <w:pPr>
        <w:ind w:right="960"/>
        <w:spacing w:after="0" w:line="282" w:lineRule="auto"/>
        <w:rPr>
          <w:sz w:val="20"/>
          <w:szCs w:val="20"/>
          <w:color w:val="auto"/>
        </w:rPr>
      </w:pPr>
      <w:r>
        <w:rPr>
          <w:rFonts w:ascii="Times New Roman" w:cs="Times New Roman" w:eastAsia="Times New Roman" w:hAnsi="Times New Roman"/>
          <w:sz w:val="18"/>
          <w:szCs w:val="18"/>
          <w:color w:val="auto"/>
        </w:rPr>
        <w:t>The net gain recognized related to the exchange and repurchases is included in other income, net in the Condensed Consolidated Statements of Comprehensive Income (Loss).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Known Trends or Uncertainties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we continue to face macroeconomic challenges such as the possibility of recession or financial market instability, and the impact of any governmental actions on the economy, such as tariffs and/or trade restrictions. These factors may adversely impact consumers, business, and government spending as well as our customers' ability to pay for our products and services on an ongoing basis.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2025.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from our statements of cash flows. Amounts may not foot due to rounding.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231F20"/>
              </w:rPr>
              <w:t>Six Months Ended June 30,</w:t>
            </w:r>
          </w:p>
        </w:tc>
        <w:tc>
          <w:tcPr>
            <w:tcW w:w="0" w:type="dxa"/>
            <w:vAlign w:val="bottom"/>
          </w:tcPr>
          <w:p>
            <w:pPr>
              <w:spacing w:after="0"/>
              <w:rPr>
                <w:sz w:val="1"/>
                <w:szCs w:val="1"/>
                <w:color w:val="auto"/>
              </w:rPr>
            </w:pPr>
          </w:p>
        </w:tc>
      </w:tr>
      <w:tr>
        <w:trPr>
          <w:trHeight w:val="6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cash equivalents, and restricted cash at beginning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income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Non-cash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Changes in working capital</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cash provided by (used for) operating activities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cash used for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Net cash used for financing activities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change in cash, cash equivalents, and restricted cash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Effect of foreign currency translation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cash equivalents, and restricted cash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$12.6 million, as compared to net cash used for operating activities of $10.7 million for the six months ended June 30, 2024. The change in cash provided by operating activities was primarily related to lower working capital usage and changes in net income and non-cash adjustments. The current year net income and non-cash adjustments include $18.1 million of net gain related to the exchange and repurchases of the 2026 Notes. The prior year net loss and non-cash adjustments include $33.4 million of net gain related to the repurchases of the 2026 Notes and the prior year changes in working capital includes the impact of the costs associated with the Syndeo Program of $20.1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for the six months ended June 30, 2025 was $2.7 million, as compared to $3.8 million for the six months ended June 30, 2024. The change in cash used for investing activities was due to lower capital expenditures during the six months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for the six months ended June 30, 2025 was $173.6 million, as compared to $157.4 million for the six months ended June 30, 2024. The cash used for financing activities for the six months ended June 30, 2025 was primarily related to the exchange and repurchases of the Company’s 2026 Notes. The cash used for financing activities for the six months ended June 30, 2024 was primarily related to the repurchases of the Company’s 2026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since our Annual Report on Form 10-K for the fiscal year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Accounting Pronouncements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"Financial Statements—Note 15 to the Consolidated Financial Statements—New Accounting Pronouncements" of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Quantitative and Qualitative Disclosures About Market Risk.</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Market risks relating to our operations result primarily from changes in interest rates, foreign currency, and inflation risk. There were no material changes to our market risks disclosed in our Annual Report on Form 10-K for the fiscal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as a result of the material weakness in our internal control over financial reporting related to the Company’s inventory process as described in Part II, Item 9A of our Annual Report on Form 10-K for the year ended December 31, 2024, the Company’s disclosure controls and procedures were not effective as of June 30,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with oversight from our Audit Committee, has made progress on its remediation plan specific to the material weakness, with the completion of the following remediation activities as of June 30, 2025:</w:t>
      </w:r>
    </w:p>
    <w:p>
      <w:pPr>
        <w:spacing w:after="0" w:line="189" w:lineRule="exact"/>
        <w:rPr>
          <w:sz w:val="20"/>
          <w:szCs w:val="20"/>
          <w:color w:val="auto"/>
        </w:rPr>
      </w:pPr>
    </w:p>
    <w:p>
      <w:pPr>
        <w:ind w:left="660" w:right="20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appointed new individuals in key roles including the Chief Supply Chain and Operations Officer and other operational leadership roles;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training and operational guidelines resulting in the successful completion of the Company’s annual physical inventory counts;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with regards to excess and obsolete inventory and inventory pricing and purchase arrangements.</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implemented the remediation steps detailed above; however, the Company is unable to conclude that these controls are operating effectively until the applicable controls operate for a sufficient period of time and are subject to testing to conclude that remediation has been achieved. The Company anticipates that remediation activities will be completed during fiscal year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the Exchange Act) that occurred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4" w:name="page35"/>
    <w:bookmarkEnd w:id="3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Cartessa Aesthetics, LLC</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8, 2024, Hydrafacial filed an appeal in the New York Court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parties exchanged their opening briefs on March 12, 2025 and June 20, 2025. Hydrafacial expects the hearing for this appeal to be scheduled in the later half of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11, 2024, Hydrafacial filed a complaint against Cartessa and its foreign manufacturer, Eunsung Global Corp (“Eunsung”), 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Trade Commission. A Notice of Institution of Investigation was issued on July 11, 2024, and the investigation was assigned investigation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337-TA-1408 (the “ITC Cartessa Matter”). In the ITC Cartessa Matter, Hydrafacial has asserted that Cartessa and Eunsung infringe Hydrafacial’s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Patent No. 11,865,287, which relates to hydrodermabrasion systems but was not asserted in the Cartessa Case. Eunsung has consented to an exclusion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during the term of the Hydrafacial patent-in-suit. In the ITC Cartessa Matter, the parties recently concluded the evidentiary hearing on April 9-15,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parties filed post-hearing briefs in May 2025 and are awaiting the judge’s decision which Hydrafacial anticipates to be issued after August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Hydrafacial continues to seek an exclusion order preventing importation or sale of Cartessa’s hydrodermabrasion systems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i w:val="1"/>
          <w:iCs w:val="1"/>
          <w:color w:val="auto"/>
        </w:rPr>
        <w:t>Cartessa Aesthetics, LLC - Second Complaint</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and there will be no activity until the conclusion of the ITC Cartessa Matter. After conclusion of the ITC Cartessa Matter, Hydrafacial plans to reopen the Second Cartessa Case to seek monetary damages and plans to vigorously pursue its claims against Cartessa.</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Eunsung Global Corp (and Sinclair Pharma Ltd. and Aesthetic Management Partners, Inc.) - IPRs</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30, 2024, Eunsung filed a Petition for inter partes review (“IPR”), IPR2024-01491, challenging the validity of Hydrafacial’s U.S. Patent No. 11,865, 287 (the “’287 Patent”). On November 25, 2024, Sinclair Pharma Ltd and Aesthetic Management Partners, Inc. (“AMP”) filed a similar IPR Petition, IPR2025-00145, challenging the same patent and relying on the same arguments. On January 10, 2025, Eunsung filed an IPR Petition, IPR2025-00445, challenging the validity of Hydrafacial’s U.S. Patent No. 9,550,052 (the “’052 Patent”). On January 13, 2025, Eunsung filed an IPR Petition, IPR2025-00452, challenging the validity of Hydrafacial’s U.S. Patent No. 12,053,607. On January 14, 2025, Eunsung filed an IPR Petition, IPR2025-00453, challenging the validity of Hydrafacial’s U.S. Patent No. 11,446,477 (the “’477 Patent”). On April 11, 2025, the U.S.P.T.O. Board denied institution of the first IPR challenging the ’287 Patent (IPR2024-01491). On June 2, 2025, the U.S.P.T.O. Board granted institution of the second IPR challenging the ’287 Patent (IPR2025-00145). In July 2025, Sinclair and AMP filed copycat IPR Petitions challenging the ’052 Patent and ’477 Patent (IPR2025-01169 and IPR2025-01217, respectively) based on the same arguments as Eunsung’s corresponding IPR Petitions. The rest of the IPR proceedings are also in their early stages, with institution decisions expected to come between August-September 2025, and Hydrafacial plans to vigorously defend its patents against each of these challenges.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Medicreations LLC</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On March 3, 2025, the court issued an order dismissing a few of Hydrafacial’s claims to specific remedies, but the majority of the case and claims will move forward. On May 13, 2025, Hydrafacial filed a Motion for Preliminary Injunction that is still pending before the court with no hearing currently scheduled. The Medicreations Case is proceeding through discovery with depositions being scheduled. Hydrafacial is seeking monetary damages and plans to vigorously pursue its claims against Medicreations.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Sinclair Pharma US, Inc</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was stayed pending the resolution of the ITC Sinclair Matter, discussed below. Now that the ITC Sinclair Matter has been terminated, the judge lifted the stay in the Sinclair Case and it will proceed to discovery. Hydrafacial will seek monetary damages and plans to vigorously pursue its claims against Sinclair and Viora.</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August 2, 2024, Hydrafacial filed a complaint against Sinclair, Aesthetic Management Partners, Inc. (“AMP”), their foreign manufacturer, EMA Aesthetics, Ltd. (“EMA Aesthetics”), and H.R. Meditech (“H.R. Meditech”) in the United States International Trade Commission. A Notice of Institution of Investigation was issued on September 10, 2024, and the investigation was assigned investigation number 337-TA-1416 (the “ITC Sinclair Matter”). In the ITC Sinclair Matter, Hydrafacial has asserted that Sinclair, AMP, EMA Aesthetics, and H.R. Meditech infringe Hydrafacial’s U.S. Patent Nos. 11,865,287 and 9,550,052, which relate to hydrodermabrasion systems. Hydrafacial is seeking an exclusion order preventing importation or sale of each of the respondents’ hydrodermabrasion systems within the United States. On February 19, 2025, the Administrative Law Judge issued an Initial Determination granting Hydrafacial’s motion to terminate the ITC Sinclair Matter, and as a result, the ITC Sinclair Matter is now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8"/>
          <w:szCs w:val="18"/>
          <w:i w:val="1"/>
          <w:iCs w:val="1"/>
          <w:color w:val="auto"/>
        </w:rPr>
        <w:t>Aesthetic Management Partners Inc.</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was stayed due to the corresponding ITC Sinclair Matter. Now that the ITC Sinclair Matter has been terminated, the stay has been lifted and discovery will continue. On June 13, 2025, Hydrafacial filed a motion for preliminary injunction for which the judge held a hearing on July 25, 2025, but the judge has not yet issued an order. On June 23, 2025, AMP filed a partial motion to dismiss which only addresses a small portion of Hydrafacial’s claims and remedies in this case, but a hearing has not been scheduled for this motion yet. Hydrafacial will continue to seek monetary damages, and plans to vigorously pursue its claims against AMP.</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Medical Purchasing Resource, LLC</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On April 3, 2025, the parties participated in a mediation and came to a tentative agreement to settle the case. In the mediation, the parties reached a settlement agreement and ultimately agreed that Medical Purchasing Resource will stop using Hydrafacial’s trademarks and any marks that are confusingly similar to those marks. Medical Purchasing Resource also agreed to stop the other activities identified by Hydrafacial in its complaint, including selling products to known Hydrafacial customers. Medical Purchasing Resource also agreed to take additional measures to ensure that customers are aware that Medical Purchasing Resource and its products have no relation or affiliation with Hydrafacial. Medical Purchasing Resource also agreed to pay Hydrafacial a total of $105,000 for past damages which will be paid to Hydrafacial in four quarterly payments of $26,250 starting in July 2025, and the parties filed a consent judgment with the court to end the lawsuit. As a result, the MPR Case has been dismissed.</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Luvo Medical Technologies Inc</w:t>
      </w:r>
    </w:p>
    <w:p>
      <w:pPr>
        <w:spacing w:after="0" w:line="25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Luvo Case was stayed due to the corresponding ITC Luvo Matter, but pursuant to the ITC settlement agreement, the parties filed a consent judgment in the Luvo Case that terminated the case as to Luvo and Healthcare Markets. This case is now continuing against Eunsung and is in the early stages of discovery. Hydrafacial will continue to seek monetary damages from Eunsung and plans to vigorously pursue its claims against Eunsung who was not a party to the ITC settlement agreement.</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After a mediation between the parties, on March 17, 2025, Hydrafacial signed a settlement agreement with Luvo and Healthcare Markets. As a result, the ITC has terminated the investigation as to Luvo and Healthcare Markets, but Hydrafacial continues to pursue default judgment against the remaining respondents.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eMIRAmed USA, LLC</w:t>
      </w:r>
    </w:p>
    <w:p>
      <w:pPr>
        <w:spacing w:after="0" w:line="2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Hydrafacial is seeking monetary damages and plans to vigorously pursue its claims against eMIRAmed and MIRAmedtech. On January 22, 2025, Hydrafacial moved for default judgment against eMIRAmed and MIRAmedtech. On January 30, 2025, eMIRAmed filed notice of Chapter 7 bankruptcy. On March 21, 2025, the court granted default judgment against MIRAmedtech but denied default judgment against eMIRAmed due to its bankruptcy filing. As a result, the eMIRAmed Case has been closed.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i w:val="1"/>
          <w:iCs w:val="1"/>
          <w:color w:val="auto"/>
        </w:rPr>
        <w:t>Med Spa Essentials, LLC</w:t>
      </w:r>
    </w:p>
    <w:p>
      <w:pPr>
        <w:spacing w:after="0" w:line="24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March 6, 2025, Hydrafacial filed a complaint against Med Spa Essentials, LLC (“MS Essentials”) in the United States District Court for the Central District of California, Case No. 2:25-cv-01994 (the “MS Essentials Case”), for trademark infringement, false designation of origin, unfair competition, tortious interference, and other causes of action relating to Hydrafacial’s trademark rights. Before filing any response to the complaint, MS Essentials agreed to shut down its business and stop all unlawful acts alleged in the complaint. The parties entered into a settlement agreement and filed a consent judgment to dismiss the case on July 25, 2025.</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Candela Corp.</w:t>
      </w:r>
    </w:p>
    <w:p>
      <w:pPr>
        <w:spacing w:after="0" w:line="25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April 3, 2025, Hydrafacial filed a complaint against Candela Corp. (“Candela”), and its manufacturer Termosalud S.L. (“Termosalud”), in the United States District Court for the District of Delaware, Case No. 1:25-cv-00418-JLH (the “Candela Case”), for patent infringement arising from Candela’s sale of hydrodermabrasion systems that Hydrafacial alleged to have infringed five of Hydrafacial’s patents on its device. The Candela Case is in its early stages and Hydrafacial is seeking monetary damages and plans to vigorously pursue its claims against Candela and Termosalud.</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BQ Aesthetix &amp; Co., LLC</w:t>
      </w:r>
    </w:p>
    <w:p>
      <w:pPr>
        <w:spacing w:after="0" w:line="2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24, 2025, Hydrafacial filed a complaint against BQ Aesthetix &amp; Co., LLC d/b/a Bellatrix USA (“Bellatrix”) in the United States District Court for the Southern District of Florida, Case No. 0:25-cv-61262-AHS (the “Bellatrix Case”), for patent infringement arising from Bellatrix’s sale of hydrodermabrasion systems that Hydrafacial alleged to have infringed seven of Hydrafacial’s patents on its device. The Bellatrix Case is in its early stages and Hydrafacial is seeking monetary damages and plans to vigorously pursue its claims against Bellatrix.</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5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filed their opposition brief on November 22, 2024, and the Company filed its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can complete a private mediation. The parties conducted the private mediation on March 27, 2025. The parties were unable to reach a settlement at the mediation. On April 16, 2025, the court so-ordered the parties’ stipulation. On May 5, 2025, the plaintiffs filed an amended complaint. On July 11, 2025, Defendants filed a motion to dismiss the amended complaint in its entirety. A hearing is scheduled on Defendants’ motion for September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Company believes that the claims asserted in the Securities Class Action have no merit and intends to vigorously defend them.</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Consumer Class Action</w:t>
      </w:r>
    </w:p>
    <w:p>
      <w:pPr>
        <w:spacing w:after="0" w:line="2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“Consumer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w:t>
      </w:r>
    </w:p>
    <w:p>
      <w:pPr>
        <w:spacing w:after="0" w:line="2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December 30, 2024, the Class Action Defendants filed a motion to dismiss the Consumer Class Action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Consumer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 On June 2, 2025, Plaintiff and fifteen other alleged purchasers of the Syndeo machines filed an amended complaint asserting: (1) violations of N.Y. G.B.L., § 349 (Count IV), the state consumer protection statute; (2) violations of N.Y. G.B.L., § 350 (Count V), the state’s false advertising statute;</w:t>
      </w:r>
    </w:p>
    <w:p>
      <w:pPr>
        <w:spacing w:after="0" w:line="10" w:lineRule="exact"/>
        <w:rPr>
          <w:sz w:val="20"/>
          <w:szCs w:val="20"/>
          <w:color w:val="auto"/>
        </w:rPr>
      </w:pPr>
    </w:p>
    <w:p>
      <w:pPr>
        <w:ind w:right="20"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implied warranty of merchantability (Count I); (4) breach of express and implied contract and class-wide rescission (Count II); and (5) breach of express warranty (Count III). The relief sought in the amended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On June 23, 2025, Defendants moved to (i) dismiss Counts I, II, IV, and V in full; (ii) partially dismiss Count III to the extent it alleges design defects; (iii) dismiss all claims brought by plaintiff Jennifer Skuratov d/b/a Spa Thirsty in full; (iv) dismiss all claims against the Company in full; and (v) dismiss Plaintiffs’ claim for injunctive relief. The initial pretrial conference originally scheduled for July 18, 2025 has been adjourned to August 15, 2025.</w:t>
      </w:r>
    </w:p>
    <w:p>
      <w:pPr>
        <w:spacing w:after="0" w:line="21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claims asserted in the Consumer Class Action have no merit and Class Action Defendants intend to vigorously defend them.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left="180"/>
        <w:spacing w:after="0"/>
        <w:rPr>
          <w:sz w:val="20"/>
          <w:szCs w:val="20"/>
          <w:color w:val="auto"/>
        </w:rPr>
      </w:pPr>
      <w:r>
        <w:rPr>
          <w:rFonts w:ascii="Times New Roman" w:cs="Times New Roman" w:eastAsia="Times New Roman" w:hAnsi="Times New Roman"/>
          <w:sz w:val="18"/>
          <w:szCs w:val="18"/>
          <w:i w:val="1"/>
          <w:iCs w:val="1"/>
          <w:color w:val="auto"/>
        </w:rPr>
        <w:t>Consolidated Derivative Action</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Oral argument before the Delaware Court of Chancery on the Motion to Dismiss is scheduled for October 8, 2025.</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Company believes that the claims asserted in the Consolidated Derivative Action have no merit and intends to vigorously defend them.</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 and Exchange Commission (the “SEC”) Subpoena</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Division of Enforcement of the SEC has issued three subpoenas in connection with a formal order of investigation of the Company seeking documents and information from us. The Company is in the process of responding to the subpoenas and intends to fully cooperate with the SEC investigation. We cannot predict the duration, scope, or outcome of this matter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 other than as set forth below, which should be read in conjunction with the risks described in our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2028 Notes contains certain restrictive covenants which may restrict our current and future operations.</w:t>
      </w:r>
    </w:p>
    <w:p>
      <w:pPr>
        <w:spacing w:after="0" w:line="24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2028 Indenture governing the 2028 Notes contains certain restrictive covenants including, but not limited to, restricting our ability to raise additional capital through debt financing, certain transactions involving the assets of guarantors, limitations on certain transaction types, including but not limited to, the ability to incur certain indebtedness, liens, investments and restricted payments, mergers, acquisitions, and dividends and/or repurchases of the Company’s Class A Common Stock. These covenants may restrict our current and future operations, particularly our ability to respond to certain changes in our business or industry, or take future actions. Furthermore, a failure to satisfy these covenants would constitute an event of default under the 2028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Agreements, the Company exchanged and repurchased approximately $413.2 million aggregate principal amount of the Existing Notes. Of the $413.2 million aggregate principal amount of the Existing Notes, $263.2 million principal amount were exchanged at a weighted-average price equal to 95% for $250.0 million principal amount of new 2028 Notes.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27, 2025, the Company issued the 2028 Notes to the Exchanging Holders in reliance upon the exemption from registration provided by Section 4(a)(2) of the Securities Act of 1933, as amended (the “Securities Act”), for transactions not involving a public offering. Pursuant to the terms of the 2028 Notes, the initial conversion rate is 349.6503 shares of Class A Common Stock per $1,000 principal amount of the 2028 Notes, which represents an initial conversion price of approximately $2.86 per share of Class A Common Stock. The conversion rate and conversion price are subject to adjustment upon the occurrence of certain events. However, a maximum of 150,966,175 shares of the Company’s Class A Common Stock may be issued upon conversion of the 2028 Notes, based on the initial maximum conversion rate of 603.8647 shares of Class A Common Stock per $1,000 principal amount of the 2028 Notes, subject to customary adjustment provisions.</w:t>
      </w:r>
    </w:p>
    <w:p>
      <w:pPr>
        <w:spacing w:after="0" w:line="2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2028 Notes have not been, and will not be, registered under the Securities Act, or any other securities laws, and the 2028 Notes and the shares of the Company’s Class A Common Stock issuable upon conversion of the 2028 Notes will not be offered or sold except pursuant to an effective registration statement or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 by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the Company and its affiliated purchasers did not make any purchases of the Company’s equity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0" w:lineRule="exact"/>
        <w:rPr>
          <w:sz w:val="20"/>
          <w:szCs w:val="20"/>
          <w:color w:val="auto"/>
        </w:rPr>
      </w:pPr>
    </w:p>
    <w:p>
      <w:pPr>
        <w:spacing w:after="0" w:line="38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19685</wp:posOffset>
            </wp:positionV>
            <wp:extent cx="7132320" cy="497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 w:lineRule="exact"/>
        <w:rPr>
          <w:sz w:val="20"/>
          <w:szCs w:val="20"/>
          <w:color w:val="auto"/>
        </w:rPr>
      </w:pPr>
    </w:p>
    <w:p>
      <w:pPr>
        <w:ind w:right="80"/>
        <w:spacing w:after="0" w:line="236" w:lineRule="auto"/>
        <w:rPr>
          <w:rFonts w:ascii="Times New Roman" w:cs="Times New Roman" w:eastAsia="Times New Roman" w:hAnsi="Times New Roman"/>
          <w:sz w:val="17"/>
          <w:szCs w:val="17"/>
          <w:u w:val="single" w:color="auto"/>
          <w:color w:val="0000FF"/>
        </w:rPr>
      </w:pPr>
      <w:hyperlink r:id="rId60">
        <w:r>
          <w:rPr>
            <w:rFonts w:ascii="Times New Roman" w:cs="Times New Roman" w:eastAsia="Times New Roman" w:hAnsi="Times New Roman"/>
            <w:sz w:val="17"/>
            <w:szCs w:val="17"/>
            <w:u w:val="single" w:color="auto"/>
            <w:color w:val="0000FF"/>
          </w:rPr>
          <w:t>Agreement and Plan of Merger, dated as of December 8, 2020, by and</w:t>
        </w:r>
      </w:hyperlink>
      <w:r>
        <w:rPr>
          <w:rFonts w:ascii="Times New Roman" w:cs="Times New Roman" w:eastAsia="Times New Roman" w:hAnsi="Times New Roman"/>
          <w:sz w:val="17"/>
          <w:szCs w:val="17"/>
          <w:u w:val="single" w:color="auto"/>
          <w:color w:val="0000FF"/>
        </w:rPr>
        <w:t xml:space="preserve"> </w:t>
      </w:r>
      <w:hyperlink r:id="rId60">
        <w:r>
          <w:rPr>
            <w:rFonts w:ascii="Times New Roman" w:cs="Times New Roman" w:eastAsia="Times New Roman" w:hAnsi="Times New Roman"/>
            <w:sz w:val="17"/>
            <w:szCs w:val="17"/>
            <w:u w:val="single" w:color="auto"/>
            <w:color w:val="0000FF"/>
          </w:rPr>
          <w:t>among Vesper Healthcare Acquisition Corp., Hydrate Merger Sub I, Inc.,</w:t>
        </w:r>
      </w:hyperlink>
    </w:p>
    <w:p>
      <w:pPr>
        <w:ind w:right="260"/>
        <w:spacing w:after="0" w:line="239" w:lineRule="auto"/>
        <w:rPr>
          <w:rFonts w:ascii="Times New Roman" w:cs="Times New Roman" w:eastAsia="Times New Roman" w:hAnsi="Times New Roman"/>
          <w:sz w:val="17"/>
          <w:szCs w:val="17"/>
          <w:u w:val="single" w:color="auto"/>
          <w:color w:val="0000FF"/>
        </w:rPr>
      </w:pPr>
      <w:hyperlink r:id="rId60">
        <w:r>
          <w:rPr>
            <w:rFonts w:ascii="Times New Roman" w:cs="Times New Roman" w:eastAsia="Times New Roman" w:hAnsi="Times New Roman"/>
            <w:sz w:val="17"/>
            <w:szCs w:val="17"/>
            <w:u w:val="single" w:color="auto"/>
            <w:color w:val="0000FF"/>
          </w:rPr>
          <w:t>Hydrate Merger Sub II, LLC, LCP Edge Intermediate, Inc. and LCP</w:t>
        </w:r>
      </w:hyperlink>
      <w:r>
        <w:rPr>
          <w:rFonts w:ascii="Times New Roman" w:cs="Times New Roman" w:eastAsia="Times New Roman" w:hAnsi="Times New Roman"/>
          <w:sz w:val="17"/>
          <w:szCs w:val="17"/>
          <w:u w:val="single" w:color="auto"/>
          <w:color w:val="0000FF"/>
        </w:rPr>
        <w:t xml:space="preserve"> </w:t>
      </w:r>
      <w:hyperlink r:id="rId60">
        <w:r>
          <w:rPr>
            <w:rFonts w:ascii="Times New Roman" w:cs="Times New Roman" w:eastAsia="Times New Roman" w:hAnsi="Times New Roman"/>
            <w:sz w:val="17"/>
            <w:szCs w:val="17"/>
            <w:u w:val="single" w:color="auto"/>
            <w:color w:val="0000FF"/>
          </w:rPr>
          <w:t>Edge Holdco, LLC, in its capacity as the Stockholders’ Representative</w:t>
        </w:r>
      </w:hyperlink>
    </w:p>
    <w:p>
      <w:pPr>
        <w:spacing w:after="0" w:line="1" w:lineRule="exact"/>
        <w:rPr>
          <w:sz w:val="20"/>
          <w:szCs w:val="20"/>
          <w:color w:val="auto"/>
        </w:rPr>
      </w:pPr>
    </w:p>
    <w:p>
      <w:pPr>
        <w:ind w:right="560"/>
        <w:spacing w:after="0" w:line="260"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Second Amended and Restated Certificate of Incorporation of The</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Beauty Health Company</w:t>
        </w:r>
      </w:hyperlink>
    </w:p>
    <w:p>
      <w:pPr>
        <w:spacing w:after="0" w:line="6" w:lineRule="exact"/>
        <w:rPr>
          <w:sz w:val="20"/>
          <w:szCs w:val="20"/>
          <w:color w:val="auto"/>
        </w:rPr>
      </w:pPr>
    </w:p>
    <w:p>
      <w:pPr>
        <w:ind w:right="720"/>
        <w:spacing w:after="0" w:line="296" w:lineRule="auto"/>
        <w:rPr>
          <w:rFonts w:ascii="Times New Roman" w:cs="Times New Roman" w:eastAsia="Times New Roman" w:hAnsi="Times New Roman"/>
          <w:sz w:val="17"/>
          <w:szCs w:val="17"/>
          <w:u w:val="single" w:color="auto"/>
          <w:color w:val="0000FF"/>
        </w:rPr>
      </w:pPr>
      <w:hyperlink r:id="rId62">
        <w:r>
          <w:rPr>
            <w:rFonts w:ascii="Times New Roman" w:cs="Times New Roman" w:eastAsia="Times New Roman" w:hAnsi="Times New Roman"/>
            <w:sz w:val="17"/>
            <w:szCs w:val="17"/>
            <w:u w:val="single" w:color="auto"/>
            <w:color w:val="0000FF"/>
          </w:rPr>
          <w:t>Certificate of Amendment to the Second Amended and Restated</w:t>
        </w:r>
      </w:hyperlink>
      <w:r>
        <w:rPr>
          <w:rFonts w:ascii="Times New Roman" w:cs="Times New Roman" w:eastAsia="Times New Roman" w:hAnsi="Times New Roman"/>
          <w:sz w:val="17"/>
          <w:szCs w:val="17"/>
          <w:u w:val="single" w:color="auto"/>
          <w:color w:val="0000FF"/>
        </w:rPr>
        <w:t xml:space="preserve"> </w:t>
      </w:r>
      <w:hyperlink r:id="rId62">
        <w:r>
          <w:rPr>
            <w:rFonts w:ascii="Times New Roman" w:cs="Times New Roman" w:eastAsia="Times New Roman" w:hAnsi="Times New Roman"/>
            <w:sz w:val="17"/>
            <w:szCs w:val="17"/>
            <w:u w:val="single" w:color="auto"/>
            <w:color w:val="0000FF"/>
          </w:rPr>
          <w:t>Certificate of Incorporation of The Beauty Health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-302260</wp:posOffset>
            </wp:positionV>
            <wp:extent cx="713232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vMerge w:val="restart"/>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0" w:type="dxa"/>
            <w:vAlign w:val="bottom"/>
            <w:vMerge w:val="restart"/>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vMerge w:val="restart"/>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80" w:type="dxa"/>
            <w:vAlign w:val="bottom"/>
            <w:vMerge w:val="restart"/>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6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763"/>
        </w:trPr>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9,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11, 2024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3">
            <w:col w:w="300" w:space="680"/>
            <w:col w:w="5340" w:space="40"/>
            <w:col w:w="4880"/>
          </w:cols>
          <w:pgMar w:left="320" w:top="927" w:right="339" w:bottom="1440" w:gutter="0" w:footer="0" w:header="0"/>
          <w:type w:val="continuous"/>
        </w:sectPr>
      </w:pPr>
    </w:p>
    <w:p>
      <w:pPr>
        <w:spacing w:after="0" w:line="23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3.3</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3.4</w:t>
        </w:r>
      </w:hyperlink>
    </w:p>
    <w:p>
      <w:pPr>
        <w:spacing w:after="0" w:line="5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3.5</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4.1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4.2</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4.3</w:t>
        </w:r>
      </w:hyperlink>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4.6</w:t>
        </w:r>
      </w:hyperlink>
    </w:p>
    <w:p>
      <w:pPr>
        <w:spacing w:after="0" w:line="5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10.1</w:t>
        </w:r>
      </w:hyperlink>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 w:lineRule="exact"/>
        <w:rPr>
          <w:sz w:val="20"/>
          <w:szCs w:val="20"/>
          <w:color w:val="auto"/>
        </w:rPr>
      </w:pPr>
      <w:r>
        <w:rPr>
          <w:sz w:val="20"/>
          <w:szCs w:val="20"/>
          <w:color w:val="auto"/>
        </w:rPr>
        <w:br w:type="column"/>
      </w:r>
    </w:p>
    <w:p>
      <w:pPr>
        <w:ind w:right="40"/>
        <w:spacing w:after="0" w:line="266"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Second Certificate of Amendment to the Second Amended and Restated</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Certificate of Incorporation of The Beauty Health Company</w:t>
        </w:r>
      </w:hyperlink>
    </w:p>
    <w:p>
      <w:pPr>
        <w:spacing w:after="0" w:line="26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Certificate of Correction to Second Amended and Restated Certificate of</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Incorporation of The Beauty Health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-287655</wp:posOffset>
            </wp:positionV>
            <wp:extent cx="713232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Amended and Restated Bylaws of The Beauty Health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right="100"/>
        <w:spacing w:after="0" w:line="234"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Indenture, dated as of September 14, 2021, between The Beauty Health</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Company and U.S. Bank National Association, as trustee</w:t>
        </w:r>
      </w:hyperlink>
    </w:p>
    <w:p>
      <w:pPr>
        <w:spacing w:after="0" w:line="10"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Form of certificate representing the 1.25% Convertible Senior Notes due</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2026 (included as Exhibit A to Exhibit 4.1)</w:t>
        </w:r>
      </w:hyperlink>
    </w:p>
    <w:p>
      <w:pPr>
        <w:ind w:right="160"/>
        <w:spacing w:after="0" w:line="256" w:lineRule="auto"/>
        <w:rPr>
          <w:rFonts w:ascii="Times New Roman" w:cs="Times New Roman" w:eastAsia="Times New Roman" w:hAnsi="Times New Roman"/>
          <w:sz w:val="17"/>
          <w:szCs w:val="17"/>
          <w:u w:val="single" w:color="auto"/>
          <w:color w:val="0000FF"/>
        </w:rPr>
      </w:pPr>
      <w:hyperlink r:id="rId69">
        <w:r>
          <w:rPr>
            <w:rFonts w:ascii="Times New Roman" w:cs="Times New Roman" w:eastAsia="Times New Roman" w:hAnsi="Times New Roman"/>
            <w:sz w:val="17"/>
            <w:szCs w:val="17"/>
            <w:u w:val="single" w:color="auto"/>
            <w:color w:val="0000FF"/>
          </w:rPr>
          <w:t>Warrant Agreement, dated September 29, 2020, between the Company</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and Continental Stock Transfer &amp; Trust Company, as warrant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-260985</wp:posOffset>
            </wp:positionV>
            <wp:extent cx="713232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60"/>
        <w:spacing w:after="0" w:line="236" w:lineRule="auto"/>
        <w:rPr>
          <w:sz w:val="20"/>
          <w:szCs w:val="20"/>
          <w:color w:val="auto"/>
        </w:rPr>
      </w:pPr>
      <w:r>
        <w:rPr>
          <w:rFonts w:ascii="Times New Roman" w:cs="Times New Roman" w:eastAsia="Times New Roman" w:hAnsi="Times New Roman"/>
          <w:sz w:val="17"/>
          <w:szCs w:val="17"/>
          <w:u w:val="single" w:color="auto"/>
          <w:color w:val="0000FF"/>
        </w:rPr>
        <w:t>Indenture, dated May 27, 2025, between The Beauty Health Company, the guarantors party thereto and U.S. Bank Trust Company, National</w:t>
      </w:r>
    </w:p>
    <w:p>
      <w:pPr>
        <w:spacing w:after="0"/>
        <w:rPr>
          <w:sz w:val="20"/>
          <w:szCs w:val="20"/>
          <w:color w:val="auto"/>
        </w:rPr>
      </w:pPr>
      <w:r>
        <w:rPr>
          <w:rFonts w:ascii="Times New Roman" w:cs="Times New Roman" w:eastAsia="Times New Roman" w:hAnsi="Times New Roman"/>
          <w:sz w:val="18"/>
          <w:szCs w:val="18"/>
          <w:u w:val="single" w:color="auto"/>
          <w:color w:val="0000FF"/>
        </w:rPr>
        <w:t>Association, as trustee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4445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60"/>
        <w:spacing w:after="0" w:line="234" w:lineRule="auto"/>
        <w:rPr>
          <w:sz w:val="20"/>
          <w:szCs w:val="20"/>
          <w:color w:val="auto"/>
        </w:rPr>
      </w:pPr>
      <w:r>
        <w:rPr>
          <w:rFonts w:ascii="Times New Roman" w:cs="Times New Roman" w:eastAsia="Times New Roman" w:hAnsi="Times New Roman"/>
          <w:sz w:val="18"/>
          <w:szCs w:val="18"/>
          <w:u w:val="single" w:color="auto"/>
          <w:color w:val="0000FF"/>
        </w:rPr>
        <w:t>Form of Note representing the 7.95% Convertible Senior Secured Notes due 2028 (included as Exhibit A to Exhibit 4.4)</w:t>
      </w:r>
    </w:p>
    <w:p>
      <w:pPr>
        <w:spacing w:after="0" w:line="10"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Description of Registrant’s Securities Registered Pursuant to Section 12</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9525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Form of Exchange Agreement</w:t>
        </w:r>
      </w:hyperlink>
    </w:p>
    <w:p>
      <w:pPr>
        <w:spacing w:after="0" w:line="27"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Securities Exchange Act Rules 13a-14(a), as adopted Pursuant to Section 302 of</w:t>
      </w:r>
    </w:p>
    <w:p>
      <w:pPr>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4445</wp:posOffset>
            </wp:positionV>
            <wp:extent cx="7132320"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right="220"/>
        <w:spacing w:after="0" w:line="233" w:lineRule="auto"/>
        <w:rPr>
          <w:sz w:val="20"/>
          <w:szCs w:val="20"/>
          <w:color w:val="auto"/>
        </w:rPr>
      </w:pPr>
      <w:r>
        <w:rPr>
          <w:rFonts w:ascii="Times New Roman" w:cs="Times New Roman" w:eastAsia="Times New Roman" w:hAnsi="Times New Roman"/>
          <w:sz w:val="17"/>
          <w:szCs w:val="17"/>
          <w:u w:val="single" w:color="auto"/>
          <w:color w:val="0000FF"/>
        </w:rPr>
        <w:t>Certification of Principal Financial Officer Pursuant to Securities Exchange Act Rules 13a-14(a), as adopted Pursuant to Section 302 of</w:t>
      </w:r>
    </w:p>
    <w:p>
      <w:pPr>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252"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5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207"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252"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212"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001-39565</w:t>
      </w:r>
    </w:p>
    <w:p>
      <w:pPr>
        <w:spacing w:after="0" w:line="5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001-39565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June 11, 2024</w:t>
      </w:r>
    </w:p>
    <w:p>
      <w:pPr>
        <w:spacing w:after="0" w:line="252"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July 31, 2025</w:t>
      </w:r>
    </w:p>
    <w:p>
      <w:pPr>
        <w:spacing w:after="0" w:line="77" w:lineRule="exact"/>
        <w:rPr>
          <w:sz w:val="20"/>
          <w:szCs w:val="20"/>
          <w:color w:val="auto"/>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May 10, 2021</w:t>
      </w:r>
    </w:p>
    <w:p>
      <w:pPr>
        <w:spacing w:after="0" w:line="212"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September 14, 2021</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September 14, 2021</w:t>
      </w:r>
    </w:p>
    <w:p>
      <w:pPr>
        <w:spacing w:after="0" w:line="239"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October 5, 2020</w:t>
      </w:r>
    </w:p>
    <w:p>
      <w:pPr>
        <w:spacing w:after="0" w:line="38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March 12, 2025</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May 21, 2025</w:t>
      </w:r>
    </w:p>
    <w:p>
      <w:pPr>
        <w:spacing w:after="0" w:line="38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20" w:lineRule="exact"/>
        <w:rPr>
          <w:sz w:val="20"/>
          <w:szCs w:val="20"/>
          <w:color w:val="auto"/>
        </w:rPr>
      </w:pPr>
    </w:p>
    <w:p>
      <w:pPr>
        <w:sectPr>
          <w:pgSz w:w="11900" w:h="16838" w:orient="portrait"/>
          <w:cols w:equalWidth="0" w:num="4">
            <w:col w:w="340" w:space="640"/>
            <w:col w:w="5240" w:space="300"/>
            <w:col w:w="1420" w:space="320"/>
            <w:col w:w="2980"/>
          </w:cols>
          <w:pgMar w:left="320" w:top="927"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20" w:type="dxa"/>
            <w:vAlign w:val="bottom"/>
            <w:gridSpan w:val="6"/>
          </w:tcPr>
          <w:p>
            <w:pPr>
              <w:ind w:left="3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20" w:type="dxa"/>
            <w:vAlign w:val="bottom"/>
            <w:gridSpan w:val="6"/>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7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File No.   Exhibit</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520" w:type="dxa"/>
            <w:vAlign w:val="bottom"/>
            <w:gridSpan w:val="6"/>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700" w:type="dxa"/>
            <w:vAlign w:val="bottom"/>
            <w:gridSpan w:val="4"/>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82"/>
        </w:trPr>
        <w:tc>
          <w:tcPr>
            <w:tcW w:w="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740" w:type="dxa"/>
            <w:vAlign w:val="bottom"/>
            <w:tcBorders>
              <w:top w:val="single" w:sz="8" w:color="auto"/>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w:t>
            </w:r>
          </w:p>
        </w:tc>
        <w:tc>
          <w:tcPr>
            <w:tcW w:w="560" w:type="dxa"/>
            <w:vAlign w:val="bottom"/>
            <w:tcBorders>
              <w:top w:val="single" w:sz="8" w:color="auto"/>
            </w:tcBorders>
            <w:gridSpan w:val="4"/>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3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vMerge w:val="restart"/>
            <w:shd w:val="clear" w:color="auto" w:fill="CCEEFF"/>
          </w:tcPr>
          <w:p>
            <w:pPr>
              <w:spacing w:after="0"/>
              <w:rPr>
                <w:sz w:val="13"/>
                <w:szCs w:val="13"/>
                <w:color w:val="auto"/>
              </w:rPr>
            </w:pPr>
          </w:p>
        </w:tc>
        <w:tc>
          <w:tcPr>
            <w:tcW w:w="4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p>
        </w:tc>
        <w:tc>
          <w:tcPr>
            <w:tcW w:w="46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100" w:type="dxa"/>
            <w:vAlign w:val="bottom"/>
            <w:tcBorders>
              <w:top w:val="single" w:sz="8" w:color="CCEEFF"/>
            </w:tcBorders>
            <w:gridSpan w:val="2"/>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420" w:type="dxa"/>
            <w:vAlign w:val="bottom"/>
            <w:tcBorders>
              <w:top w:val="single" w:sz="8" w:color="CCEEFF"/>
              <w:bottom w:val="single" w:sz="8" w:color="0000FF"/>
            </w:tcBorders>
            <w:vMerge w:val="continue"/>
            <w:shd w:val="clear" w:color="auto" w:fill="CCEEFF"/>
          </w:tcPr>
          <w:p>
            <w:pPr>
              <w:spacing w:after="0"/>
              <w:rPr>
                <w:sz w:val="16"/>
                <w:szCs w:val="16"/>
                <w:color w:val="auto"/>
              </w:rPr>
            </w:pPr>
          </w:p>
        </w:tc>
        <w:tc>
          <w:tcPr>
            <w:tcW w:w="4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500" w:type="dxa"/>
            <w:vAlign w:val="bottom"/>
            <w:tcBorders>
              <w:top w:val="single" w:sz="8" w:color="0000FF"/>
              <w:bottom w:val="single" w:sz="8" w:color="CCEEFF"/>
            </w:tcBorders>
            <w:shd w:val="clear" w:color="auto" w:fill="CCEEFF"/>
          </w:tcPr>
          <w:p>
            <w:pPr>
              <w:spacing w:after="0"/>
              <w:rPr>
                <w:sz w:val="16"/>
                <w:szCs w:val="16"/>
                <w:color w:val="auto"/>
              </w:rPr>
            </w:pPr>
          </w:p>
        </w:tc>
        <w:tc>
          <w:tcPr>
            <w:tcW w:w="388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53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53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19"/>
                <w:szCs w:val="19"/>
                <w:color w:val="auto"/>
              </w:rPr>
            </w:pPr>
          </w:p>
        </w:tc>
        <w:tc>
          <w:tcPr>
            <w:tcW w:w="53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 attachments)</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340" w:right="360" w:hanging="332"/>
        <w:spacing w:after="0" w:line="261" w:lineRule="auto"/>
        <w:tabs>
          <w:tab w:leader="none" w:pos="22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jc w:val="both"/>
        <w:ind w:left="340" w:right="40" w:hanging="332"/>
        <w:spacing w:after="0" w:line="261" w:lineRule="auto"/>
        <w:tabs>
          <w:tab w:leader="none" w:pos="30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reference in such filing or document.</w:t>
      </w:r>
    </w:p>
    <w:p>
      <w:pPr>
        <w:spacing w:after="0" w:line="4"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portions of this exhibit were redacted pursuant to Item 601(b)(10) of Regulation S-K, and the Company agrees to furnish to the SEC a copy of any omitted schedule and/or</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exhibit upon request.</w:t>
      </w:r>
    </w:p>
    <w:p>
      <w:pPr>
        <w:spacing w:after="0" w:line="1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800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THE BEAUTY HEALTH COMPANY</w:t>
            </w:r>
          </w:p>
        </w:tc>
      </w:tr>
      <w:tr>
        <w:trPr>
          <w:trHeight w:val="48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80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Marla Beck</w:t>
            </w:r>
          </w:p>
        </w:tc>
      </w:tr>
      <w:tr>
        <w:trPr>
          <w:trHeight w:val="218"/>
        </w:trPr>
        <w:tc>
          <w:tcPr>
            <w:tcW w:w="3000" w:type="dxa"/>
            <w:vAlign w:val="bottom"/>
          </w:tcPr>
          <w:p>
            <w:pPr>
              <w:spacing w:after="0"/>
              <w:rPr>
                <w:sz w:val="18"/>
                <w:szCs w:val="18"/>
                <w:color w:val="auto"/>
              </w:rPr>
            </w:pPr>
          </w:p>
        </w:tc>
        <w:tc>
          <w:tcPr>
            <w:tcW w:w="22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Name:</w:t>
            </w:r>
          </w:p>
        </w:tc>
        <w:tc>
          <w:tcPr>
            <w:tcW w:w="5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Marla Beck</w:t>
            </w:r>
          </w:p>
        </w:tc>
      </w:tr>
      <w:tr>
        <w:trPr>
          <w:trHeight w:val="229"/>
        </w:trPr>
        <w:tc>
          <w:tcPr>
            <w:tcW w:w="3000" w:type="dxa"/>
            <w:vAlign w:val="bottom"/>
          </w:tcPr>
          <w:p>
            <w:pPr>
              <w:spacing w:after="0"/>
              <w:rPr>
                <w:sz w:val="19"/>
                <w:szCs w:val="19"/>
                <w:color w:val="auto"/>
              </w:rPr>
            </w:pPr>
          </w:p>
        </w:tc>
        <w:tc>
          <w:tcPr>
            <w:tcW w:w="80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80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Michael Monahan</w:t>
            </w:r>
          </w:p>
        </w:tc>
      </w:tr>
      <w:tr>
        <w:trPr>
          <w:trHeight w:val="218"/>
        </w:trPr>
        <w:tc>
          <w:tcPr>
            <w:tcW w:w="3000" w:type="dxa"/>
            <w:vAlign w:val="bottom"/>
          </w:tcPr>
          <w:p>
            <w:pPr>
              <w:spacing w:after="0"/>
              <w:rPr>
                <w:sz w:val="18"/>
                <w:szCs w:val="18"/>
                <w:color w:val="auto"/>
              </w:rPr>
            </w:pPr>
          </w:p>
        </w:tc>
        <w:tc>
          <w:tcPr>
            <w:tcW w:w="22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Name:</w:t>
            </w:r>
          </w:p>
        </w:tc>
        <w:tc>
          <w:tcPr>
            <w:tcW w:w="5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Monahan</w:t>
            </w:r>
          </w:p>
        </w:tc>
      </w:tr>
      <w:tr>
        <w:trPr>
          <w:trHeight w:val="230"/>
        </w:trPr>
        <w:tc>
          <w:tcPr>
            <w:tcW w:w="3000" w:type="dxa"/>
            <w:vAlign w:val="bottom"/>
          </w:tcPr>
          <w:p>
            <w:pPr>
              <w:spacing w:after="0"/>
              <w:rPr>
                <w:sz w:val="19"/>
                <w:szCs w:val="19"/>
                <w:color w:val="auto"/>
              </w:rPr>
            </w:pPr>
          </w:p>
        </w:tc>
        <w:tc>
          <w:tcPr>
            <w:tcW w:w="80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 Financial Officer)</w:t>
            </w:r>
          </w:p>
        </w:tc>
      </w:tr>
      <w:tr>
        <w:trPr>
          <w:trHeight w:val="904"/>
        </w:trPr>
        <w:tc>
          <w:tcPr>
            <w:tcW w:w="3000" w:type="dxa"/>
            <w:vAlign w:val="bottom"/>
          </w:tcPr>
          <w:p>
            <w:pPr>
              <w:spacing w:after="0"/>
              <w:rPr>
                <w:sz w:val="24"/>
                <w:szCs w:val="24"/>
                <w:color w:val="auto"/>
              </w:rPr>
            </w:pPr>
          </w:p>
        </w:tc>
        <w:tc>
          <w:tcPr>
            <w:tcW w:w="80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240"/>
          </w:cols>
          <w:pgMar w:left="320" w:top="92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690880</wp:posOffset>
            </wp:positionV>
            <wp:extent cx="71323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742315</wp:posOffset>
            </wp:positionV>
            <wp:extent cx="71323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THE BEAUTY HEALTH COMPANY</w:t>
      </w:r>
    </w:p>
    <w:p>
      <w:pPr>
        <w:spacing w:after="0" w:line="200" w:lineRule="exact"/>
        <w:rPr>
          <w:sz w:val="20"/>
          <w:szCs w:val="20"/>
          <w:color w:val="auto"/>
        </w:rPr>
      </w:pPr>
    </w:p>
    <w:p>
      <w:pPr>
        <w:spacing w:after="0" w:line="2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b w:val="1"/>
          <w:bCs w:val="1"/>
          <w:color w:val="auto"/>
        </w:rPr>
        <w:t>U.S. BANK TRUST COMPANY, NATIONAL ASSOCIATION</w:t>
      </w:r>
    </w:p>
    <w:p>
      <w:pPr>
        <w:spacing w:after="0" w:line="200" w:lineRule="exact"/>
        <w:rPr>
          <w:sz w:val="20"/>
          <w:szCs w:val="20"/>
          <w:color w:val="auto"/>
        </w:rPr>
      </w:pPr>
    </w:p>
    <w:p>
      <w:pPr>
        <w:spacing w:after="0" w:line="24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as Trustee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302260</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INDENTURE</w:t>
      </w:r>
    </w:p>
    <w:p>
      <w:pPr>
        <w:spacing w:after="0" w:line="200" w:lineRule="exact"/>
        <w:rPr>
          <w:sz w:val="20"/>
          <w:szCs w:val="20"/>
          <w:color w:val="auto"/>
        </w:rPr>
      </w:pPr>
    </w:p>
    <w:p>
      <w:pPr>
        <w:spacing w:after="0" w:line="2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Dated as of May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302260</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7.95% Convertible Senior Secured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439420</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490855</wp:posOffset>
            </wp:positionV>
            <wp:extent cx="71323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86"/>
        </w:trPr>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40" w:type="dxa"/>
            <w:vAlign w:val="bottom"/>
            <w:gridSpan w:val="5"/>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0"/>
        </w:trPr>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05"/>
        </w:trPr>
        <w:tc>
          <w:tcPr>
            <w:tcW w:w="4060" w:type="dxa"/>
            <w:vAlign w:val="bottom"/>
            <w:gridSpan w:val="5"/>
          </w:tcPr>
          <w:p>
            <w:pPr>
              <w:jc w:val="right"/>
              <w:ind w:right="92"/>
              <w:spacing w:after="0"/>
              <w:rPr>
                <w:sz w:val="20"/>
                <w:szCs w:val="20"/>
                <w:color w:val="auto"/>
              </w:rPr>
            </w:pPr>
            <w:r>
              <w:rPr>
                <w:rFonts w:ascii="Times New Roman" w:cs="Times New Roman" w:eastAsia="Times New Roman" w:hAnsi="Times New Roman"/>
                <w:sz w:val="22"/>
                <w:szCs w:val="22"/>
                <w:color w:val="auto"/>
                <w:w w:val="97"/>
              </w:rPr>
              <w:t>Article 1. Definitions; Rules of Construction</w:t>
            </w:r>
          </w:p>
        </w:tc>
        <w:tc>
          <w:tcPr>
            <w:tcW w:w="6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1.01.</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5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0"/>
              </w:rPr>
              <w:t>1</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1.02.</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Other Definitions</w:t>
            </w:r>
          </w:p>
        </w:tc>
        <w:tc>
          <w:tcPr>
            <w:tcW w:w="6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27</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1.03.</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6"/>
              </w:rPr>
              <w:t>Interpretation</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1.04.</w:t>
            </w:r>
          </w:p>
        </w:tc>
        <w:tc>
          <w:tcPr>
            <w:tcW w:w="49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Accounting Terms and Principles; Basket Compliance</w:t>
            </w:r>
          </w:p>
        </w:tc>
        <w:tc>
          <w:tcPr>
            <w:tcW w:w="7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28</w:t>
            </w: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1.05.</w:t>
            </w:r>
          </w:p>
        </w:tc>
        <w:tc>
          <w:tcPr>
            <w:tcW w:w="24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7"/>
              </w:rPr>
              <w:t>Uniform Commercial Code</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Article 2. The Notes</w:t>
            </w: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9"/>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2.01.</w:t>
            </w: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Form, Dating and Denominations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29</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2.02.</w:t>
            </w:r>
          </w:p>
        </w:tc>
        <w:tc>
          <w:tcPr>
            <w:tcW w:w="40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Execution, Authentication and Delivery  29</w:t>
            </w: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2.03.</w:t>
            </w: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8"/>
              </w:rPr>
              <w:t>Initial Notes and Additional Notes</w:t>
            </w: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30</w:t>
            </w: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2.04.</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7"/>
              </w:rPr>
              <w:t>Method of Payment</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31</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2.05.</w:t>
            </w:r>
          </w:p>
        </w:tc>
        <w:tc>
          <w:tcPr>
            <w:tcW w:w="9660" w:type="dxa"/>
            <w:vAlign w:val="bottom"/>
            <w:gridSpan w:val="11"/>
          </w:tcPr>
          <w:p>
            <w:pPr>
              <w:ind w:left="100"/>
              <w:spacing w:after="0"/>
              <w:rPr>
                <w:sz w:val="20"/>
                <w:szCs w:val="20"/>
                <w:color w:val="auto"/>
              </w:rPr>
            </w:pPr>
            <w:r>
              <w:rPr>
                <w:rFonts w:ascii="Times New Roman" w:cs="Times New Roman" w:eastAsia="Times New Roman" w:hAnsi="Times New Roman"/>
                <w:sz w:val="22"/>
                <w:szCs w:val="22"/>
                <w:color w:val="auto"/>
              </w:rPr>
              <w:t>Accrual of Interest; Defaulted Amounts; When Payment Date is Not a Business Day  31</w:t>
            </w: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2.06.</w:t>
            </w:r>
          </w:p>
        </w:tc>
        <w:tc>
          <w:tcPr>
            <w:tcW w:w="438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Registrar, Paying Agent and Conversion Agent</w:t>
            </w: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32</w:t>
            </w: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2.07.</w:t>
            </w:r>
          </w:p>
        </w:tc>
        <w:tc>
          <w:tcPr>
            <w:tcW w:w="572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Paying Agent and Conversion Agent to Hold Property in Trust</w:t>
            </w:r>
          </w:p>
        </w:tc>
        <w:tc>
          <w:tcPr>
            <w:tcW w:w="3500" w:type="dxa"/>
            <w:vAlign w:val="bottom"/>
          </w:tcPr>
          <w:p>
            <w:pPr>
              <w:jc w:val="right"/>
              <w:ind w:right="3172"/>
              <w:spacing w:after="0"/>
              <w:rPr>
                <w:sz w:val="20"/>
                <w:szCs w:val="20"/>
                <w:color w:val="auto"/>
              </w:rPr>
            </w:pPr>
            <w:r>
              <w:rPr>
                <w:rFonts w:ascii="Times New Roman" w:cs="Times New Roman" w:eastAsia="Times New Roman" w:hAnsi="Times New Roman"/>
                <w:sz w:val="22"/>
                <w:szCs w:val="22"/>
                <w:color w:val="auto"/>
                <w:w w:val="90"/>
              </w:rPr>
              <w:t>33</w:t>
            </w: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2.08.</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Holder Lists</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2.09.</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Legends  33</w:t>
            </w: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2.10.</w:t>
            </w:r>
          </w:p>
        </w:tc>
        <w:tc>
          <w:tcPr>
            <w:tcW w:w="49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w w:val="98"/>
              </w:rPr>
              <w:t>Transfers and Exchanges; Certain Transfer Restrictions</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34</w:t>
            </w:r>
          </w:p>
        </w:tc>
        <w:tc>
          <w:tcPr>
            <w:tcW w:w="35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11240" w:type="dxa"/>
            <w:vAlign w:val="bottom"/>
            <w:gridSpan w:val="12"/>
          </w:tcPr>
          <w:p>
            <w:pPr>
              <w:ind w:left="340"/>
              <w:spacing w:after="0"/>
              <w:rPr>
                <w:sz w:val="20"/>
                <w:szCs w:val="20"/>
                <w:color w:val="auto"/>
              </w:rPr>
            </w:pPr>
            <w:r>
              <w:rPr>
                <w:rFonts w:ascii="Times New Roman" w:cs="Times New Roman" w:eastAsia="Times New Roman" w:hAnsi="Times New Roman"/>
                <w:sz w:val="22"/>
                <w:szCs w:val="22"/>
                <w:color w:val="auto"/>
              </w:rPr>
              <w:t>Section 2.11.  Exchange and Cancellation of Notes to Be Converted or to Be Repurchased Pursuant to a Repurchase</w:t>
            </w:r>
          </w:p>
        </w:tc>
      </w:tr>
      <w:tr>
        <w:trPr>
          <w:trHeight w:val="257"/>
        </w:trPr>
        <w:tc>
          <w:tcPr>
            <w:tcW w:w="1580" w:type="dxa"/>
            <w:vAlign w:val="bottom"/>
          </w:tcPr>
          <w:p>
            <w:pPr>
              <w:spacing w:after="0"/>
              <w:rPr>
                <w:sz w:val="22"/>
                <w:szCs w:val="22"/>
                <w:color w:val="auto"/>
              </w:rPr>
            </w:pPr>
          </w:p>
        </w:tc>
        <w:tc>
          <w:tcPr>
            <w:tcW w:w="40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Upon Fundamental Change or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2.12.</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8"/>
              </w:rPr>
              <w:t>Replacement Notes</w:t>
            </w: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40</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2.13.</w:t>
            </w:r>
          </w:p>
        </w:tc>
        <w:tc>
          <w:tcPr>
            <w:tcW w:w="572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w w:val="97"/>
              </w:rPr>
              <w:t>Registered Holders; Certain Rights with Respect to Global Notes</w:t>
            </w:r>
          </w:p>
        </w:tc>
        <w:tc>
          <w:tcPr>
            <w:tcW w:w="3500" w:type="dxa"/>
            <w:vAlign w:val="bottom"/>
          </w:tcPr>
          <w:p>
            <w:pPr>
              <w:jc w:val="right"/>
              <w:ind w:right="2952"/>
              <w:spacing w:after="0"/>
              <w:rPr>
                <w:sz w:val="20"/>
                <w:szCs w:val="20"/>
                <w:color w:val="auto"/>
              </w:rPr>
            </w:pPr>
            <w:r>
              <w:rPr>
                <w:rFonts w:ascii="Times New Roman" w:cs="Times New Roman" w:eastAsia="Times New Roman" w:hAnsi="Times New Roman"/>
                <w:sz w:val="22"/>
                <w:szCs w:val="22"/>
                <w:color w:val="auto"/>
              </w:rPr>
              <w:t>41</w:t>
            </w:r>
          </w:p>
        </w:tc>
        <w:tc>
          <w:tcPr>
            <w:tcW w:w="440" w:type="dxa"/>
            <w:vAlign w:val="bottom"/>
          </w:tcPr>
          <w:p>
            <w:pPr>
              <w:spacing w:after="0"/>
              <w:rPr>
                <w:sz w:val="22"/>
                <w:szCs w:val="22"/>
                <w:color w:val="auto"/>
              </w:rPr>
            </w:pPr>
          </w:p>
        </w:tc>
      </w:tr>
      <w:tr>
        <w:trPr>
          <w:trHeight w:val="27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2.14.</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Cancellation</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w:t>
            </w: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2.15.</w:t>
            </w:r>
          </w:p>
        </w:tc>
        <w:tc>
          <w:tcPr>
            <w:tcW w:w="40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Notes Held by the Company or its Affiliates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2.16.</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Temporary Notes</w:t>
            </w:r>
          </w:p>
        </w:tc>
        <w:tc>
          <w:tcPr>
            <w:tcW w:w="6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41</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2.17.</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Outstanding Notes</w:t>
            </w: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41</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2.18.</w:t>
            </w: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Repurchases by the Company  42</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2.19.</w:t>
            </w:r>
          </w:p>
        </w:tc>
        <w:tc>
          <w:tcPr>
            <w:tcW w:w="24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CUSIP and ISIN Numbers</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42</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5"/>
        </w:trPr>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8"/>
              </w:rPr>
              <w:t>Article 3. Covenants</w:t>
            </w:r>
          </w:p>
        </w:tc>
        <w:tc>
          <w:tcPr>
            <w:tcW w:w="9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43</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3.01.</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Payment on Notes</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43</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3.02.</w:t>
            </w:r>
          </w:p>
        </w:tc>
        <w:tc>
          <w:tcPr>
            <w:tcW w:w="438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Exchange Act Reports and Financial Statements</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43</w:t>
            </w: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3.03.</w:t>
            </w: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Rule 144A Information  44</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3.04.</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Additional Interest</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45</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0"/>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3.05.</w:t>
            </w:r>
          </w:p>
        </w:tc>
        <w:tc>
          <w:tcPr>
            <w:tcW w:w="40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Compliance and Default Certificates  45</w:t>
            </w: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3.06.</w:t>
            </w: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Stay, Extension and Usury Laws</w:t>
            </w:r>
          </w:p>
        </w:tc>
        <w:tc>
          <w:tcPr>
            <w:tcW w:w="90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0"/>
              </w:rPr>
              <w:t>46</w:t>
            </w: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3.07.</w:t>
            </w:r>
          </w:p>
        </w:tc>
        <w:tc>
          <w:tcPr>
            <w:tcW w:w="49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w w:val="99"/>
              </w:rPr>
              <w:t>Acquisition of Notes by the Company and its Affiliates</w:t>
            </w: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46</w:t>
            </w: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3.08.</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Indebtedness</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46</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15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6"/>
              </w:rPr>
              <w:t>Section 3.09.</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Liens  49</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18"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3.10.</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3.11.</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Investments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3.12.</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Asset Sales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3.13.</w:t>
            </w:r>
          </w:p>
        </w:tc>
        <w:tc>
          <w:tcPr>
            <w:tcW w:w="31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Sale and Leaseback Transactions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3.14.</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Swap Agreements</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56</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3.15.</w:t>
            </w:r>
          </w:p>
        </w:tc>
        <w:tc>
          <w:tcPr>
            <w:tcW w:w="83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Restricted Payments; Certain Payments of Indebtedness  56</w:t>
            </w:r>
          </w:p>
        </w:tc>
        <w:tc>
          <w:tcPr>
            <w:tcW w:w="340" w:type="dxa"/>
            <w:vAlign w:val="bottom"/>
          </w:tcPr>
          <w:p>
            <w:pPr>
              <w:spacing w:after="0"/>
              <w:rPr>
                <w:sz w:val="22"/>
                <w:szCs w:val="22"/>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3.16.</w:t>
            </w: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9"/>
              </w:rPr>
              <w:t>58</w:t>
            </w: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3.17.</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Restrictive Agreements</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58</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3.18.</w:t>
            </w:r>
          </w:p>
        </w:tc>
        <w:tc>
          <w:tcPr>
            <w:tcW w:w="34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Amendment of Material Documents</w:t>
            </w:r>
          </w:p>
        </w:tc>
        <w:tc>
          <w:tcPr>
            <w:tcW w:w="4860" w:type="dxa"/>
            <w:vAlign w:val="bottom"/>
          </w:tcPr>
          <w:p>
            <w:pPr>
              <w:jc w:val="right"/>
              <w:ind w:right="4512"/>
              <w:spacing w:after="0"/>
              <w:rPr>
                <w:sz w:val="20"/>
                <w:szCs w:val="20"/>
                <w:color w:val="auto"/>
              </w:rPr>
            </w:pPr>
            <w:r>
              <w:rPr>
                <w:rFonts w:ascii="Times New Roman" w:cs="Times New Roman" w:eastAsia="Times New Roman" w:hAnsi="Times New Roman"/>
                <w:sz w:val="22"/>
                <w:szCs w:val="22"/>
                <w:color w:val="auto"/>
                <w:w w:val="99"/>
              </w:rPr>
              <w:t>59</w:t>
            </w: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3.19.</w:t>
            </w: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Cash Management Systems</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59</w:t>
            </w: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3.20.</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Material Assets</w:t>
            </w:r>
          </w:p>
        </w:tc>
        <w:tc>
          <w:tcPr>
            <w:tcW w:w="68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60</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3.21.</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Mortgages</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60</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3.22.</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8"/>
              </w:rPr>
              <w:t>Further Assurances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3.23.</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[Reserved].</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3.24.</w:t>
            </w:r>
          </w:p>
        </w:tc>
        <w:tc>
          <w:tcPr>
            <w:tcW w:w="34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7"/>
              </w:rPr>
              <w:t>No Liability Management Transaction</w:t>
            </w:r>
          </w:p>
        </w:tc>
        <w:tc>
          <w:tcPr>
            <w:tcW w:w="4860" w:type="dxa"/>
            <w:vAlign w:val="bottom"/>
          </w:tcPr>
          <w:p>
            <w:pPr>
              <w:jc w:val="right"/>
              <w:ind w:right="4332"/>
              <w:spacing w:after="0"/>
              <w:rPr>
                <w:sz w:val="20"/>
                <w:szCs w:val="20"/>
                <w:color w:val="auto"/>
              </w:rPr>
            </w:pPr>
            <w:r>
              <w:rPr>
                <w:rFonts w:ascii="Times New Roman" w:cs="Times New Roman" w:eastAsia="Times New Roman" w:hAnsi="Times New Roman"/>
                <w:sz w:val="22"/>
                <w:szCs w:val="22"/>
                <w:color w:val="auto"/>
              </w:rPr>
              <w:t>61</w:t>
            </w:r>
          </w:p>
        </w:tc>
        <w:tc>
          <w:tcPr>
            <w:tcW w:w="340" w:type="dxa"/>
            <w:vAlign w:val="bottom"/>
          </w:tcPr>
          <w:p>
            <w:pPr>
              <w:spacing w:after="0"/>
              <w:rPr>
                <w:sz w:val="22"/>
                <w:szCs w:val="22"/>
                <w:color w:val="auto"/>
              </w:rPr>
            </w:pPr>
          </w:p>
        </w:tc>
      </w:tr>
      <w:tr>
        <w:trPr>
          <w:trHeight w:val="257"/>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22"/>
                <w:szCs w:val="22"/>
                <w:color w:val="auto"/>
              </w:rPr>
              <w:t>Section 3.25.  Joint Venture.  62</w:t>
            </w: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5000" w:type="dxa"/>
            <w:vAlign w:val="bottom"/>
            <w:gridSpan w:val="8"/>
          </w:tcPr>
          <w:p>
            <w:pPr>
              <w:ind w:left="340"/>
              <w:spacing w:after="0"/>
              <w:rPr>
                <w:sz w:val="20"/>
                <w:szCs w:val="20"/>
                <w:color w:val="auto"/>
              </w:rPr>
            </w:pPr>
            <w:r>
              <w:rPr>
                <w:rFonts w:ascii="Times New Roman" w:cs="Times New Roman" w:eastAsia="Times New Roman" w:hAnsi="Times New Roman"/>
                <w:sz w:val="22"/>
                <w:szCs w:val="22"/>
                <w:color w:val="auto"/>
              </w:rPr>
              <w:t>Section 3.26.  Existence; Conduct of Business.  62</w:t>
            </w: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3.27.</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Compliance with Laws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62</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3.28.</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Authorizations</w:t>
            </w:r>
          </w:p>
        </w:tc>
        <w:tc>
          <w:tcPr>
            <w:tcW w:w="68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w w:val="90"/>
              </w:rPr>
              <w:t>62</w:t>
            </w: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3.29.</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8"/>
              </w:rPr>
              <w:t>Maintenance of Property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3.30.</w:t>
            </w:r>
          </w:p>
        </w:tc>
        <w:tc>
          <w:tcPr>
            <w:tcW w:w="1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9"/>
              </w:rPr>
              <w:t>63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3.31.</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Payment of Taxes</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3.32.</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DTC Matters  63</w:t>
            </w: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3.33.</w:t>
            </w: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Accounting and Fiscal Year</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64</w:t>
            </w:r>
          </w:p>
        </w:tc>
        <w:tc>
          <w:tcPr>
            <w:tcW w:w="3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3.34.</w:t>
            </w:r>
          </w:p>
        </w:tc>
        <w:tc>
          <w:tcPr>
            <w:tcW w:w="31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Anti-Corruption Laws; Sanctions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3.35.</w:t>
            </w:r>
          </w:p>
        </w:tc>
        <w:tc>
          <w:tcPr>
            <w:tcW w:w="31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Material Non-Public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82"/>
        </w:trPr>
        <w:tc>
          <w:tcPr>
            <w:tcW w:w="428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Section 3.36.  Post-Closing Covenants.  65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4"/>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Article 4. Repurchase and Redemption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9"/>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4.01.</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No Sinking Fund</w:t>
            </w:r>
          </w:p>
        </w:tc>
        <w:tc>
          <w:tcPr>
            <w:tcW w:w="200" w:type="dxa"/>
            <w:vAlign w:val="bottom"/>
          </w:tcPr>
          <w:p>
            <w:pPr>
              <w:spacing w:after="0"/>
              <w:rPr>
                <w:sz w:val="24"/>
                <w:szCs w:val="24"/>
                <w:color w:val="auto"/>
              </w:rPr>
            </w:pP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65</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4.02.</w:t>
            </w:r>
          </w:p>
        </w:tc>
        <w:tc>
          <w:tcPr>
            <w:tcW w:w="83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9"/>
              </w:rPr>
              <w:t>Right of Holders to Require the Company to Repurchase Notes Upon a Fundamental 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82"/>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4.03.</w:t>
            </w:r>
          </w:p>
        </w:tc>
        <w:tc>
          <w:tcPr>
            <w:tcW w:w="83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Right of the Company to Redeem the Notes  70</w:t>
            </w:r>
          </w:p>
        </w:tc>
        <w:tc>
          <w:tcPr>
            <w:tcW w:w="340" w:type="dxa"/>
            <w:vAlign w:val="bottom"/>
          </w:tcPr>
          <w:p>
            <w:pPr>
              <w:spacing w:after="0"/>
              <w:rPr>
                <w:sz w:val="24"/>
                <w:szCs w:val="24"/>
                <w:color w:val="auto"/>
              </w:rPr>
            </w:pPr>
          </w:p>
        </w:tc>
      </w:tr>
      <w:tr>
        <w:trPr>
          <w:trHeight w:val="364"/>
        </w:trPr>
        <w:tc>
          <w:tcPr>
            <w:tcW w:w="2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Conversion  72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9"/>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5.01.</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Right to Convert</w:t>
            </w: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72</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5.02.</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Conversion Procedures</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73</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5.03.</w:t>
            </w: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Settlement Upon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34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5.04.</w:t>
            </w:r>
          </w:p>
        </w:tc>
        <w:tc>
          <w:tcPr>
            <w:tcW w:w="83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Reserve and Status of Common Stock Issued Upon Conversion  76</w:t>
            </w:r>
          </w:p>
        </w:tc>
        <w:tc>
          <w:tcPr>
            <w:tcW w:w="340" w:type="dxa"/>
            <w:vAlign w:val="bottom"/>
          </w:tcPr>
          <w:p>
            <w:pPr>
              <w:spacing w:after="0"/>
              <w:rPr>
                <w:sz w:val="22"/>
                <w:szCs w:val="22"/>
                <w:color w:val="auto"/>
              </w:rPr>
            </w:pPr>
          </w:p>
        </w:tc>
      </w:tr>
      <w:tr>
        <w:trPr>
          <w:trHeight w:val="256"/>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5.05.</w:t>
            </w:r>
          </w:p>
        </w:tc>
        <w:tc>
          <w:tcPr>
            <w:tcW w:w="34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Adjustments to the Conversion Rate</w:t>
            </w:r>
          </w:p>
        </w:tc>
        <w:tc>
          <w:tcPr>
            <w:tcW w:w="4860" w:type="dxa"/>
            <w:vAlign w:val="bottom"/>
          </w:tcPr>
          <w:p>
            <w:pPr>
              <w:jc w:val="right"/>
              <w:ind w:right="4512"/>
              <w:spacing w:after="0"/>
              <w:rPr>
                <w:sz w:val="20"/>
                <w:szCs w:val="20"/>
                <w:color w:val="auto"/>
              </w:rPr>
            </w:pPr>
            <w:r>
              <w:rPr>
                <w:rFonts w:ascii="Times New Roman" w:cs="Times New Roman" w:eastAsia="Times New Roman" w:hAnsi="Times New Roman"/>
                <w:sz w:val="22"/>
                <w:szCs w:val="22"/>
                <w:color w:val="auto"/>
                <w:w w:val="99"/>
              </w:rPr>
              <w:t>77</w:t>
            </w: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5.06.</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Voluntary Adjustments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87</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5.07.</w:t>
            </w:r>
          </w:p>
        </w:tc>
        <w:tc>
          <w:tcPr>
            <w:tcW w:w="83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9"/>
              </w:rPr>
              <w:t>Adjustments to the Conversion Rate in Connection with a Make-Whole Fundamental Change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5.08.</w:t>
            </w:r>
          </w:p>
        </w:tc>
        <w:tc>
          <w:tcPr>
            <w:tcW w:w="31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Exchange in Lieu of Conversion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82"/>
        </w:trPr>
        <w:tc>
          <w:tcPr>
            <w:tcW w:w="15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5.09.</w:t>
            </w:r>
          </w:p>
        </w:tc>
        <w:tc>
          <w:tcPr>
            <w:tcW w:w="830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Effect of Common Stock Change Event  89</w:t>
            </w:r>
          </w:p>
        </w:tc>
        <w:tc>
          <w:tcPr>
            <w:tcW w:w="3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00"/>
          </w:cols>
          <w:pgMar w:left="320" w:top="142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200"/>
          </w:cols>
          <w:pgMar w:left="320" w:top="1422" w:right="137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82"/>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5.10.</w:t>
            </w:r>
          </w:p>
        </w:tc>
        <w:tc>
          <w:tcPr>
            <w:tcW w:w="42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Specified Holders’ Conversion Limitations  91</w:t>
            </w:r>
          </w:p>
        </w:tc>
      </w:tr>
      <w:tr>
        <w:trPr>
          <w:trHeight w:val="364"/>
        </w:trPr>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Successors  92</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2"/>
        </w:trPr>
        <w:tc>
          <w:tcPr>
            <w:tcW w:w="5840" w:type="dxa"/>
            <w:vAlign w:val="bottom"/>
            <w:gridSpan w:val="5"/>
          </w:tcPr>
          <w:p>
            <w:pPr>
              <w:ind w:left="340"/>
              <w:spacing w:after="0"/>
              <w:rPr>
                <w:sz w:val="20"/>
                <w:szCs w:val="20"/>
                <w:color w:val="auto"/>
              </w:rPr>
            </w:pPr>
            <w:r>
              <w:rPr>
                <w:rFonts w:ascii="Times New Roman" w:cs="Times New Roman" w:eastAsia="Times New Roman" w:hAnsi="Times New Roman"/>
                <w:sz w:val="22"/>
                <w:szCs w:val="22"/>
                <w:color w:val="auto"/>
              </w:rPr>
              <w:t>Section 6.01.  When the Company May Merge, Etc.  92</w:t>
            </w:r>
          </w:p>
        </w:tc>
      </w:tr>
      <w:tr>
        <w:trPr>
          <w:trHeight w:val="282"/>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6.02.</w:t>
            </w: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Successor Entity Substituted</w:t>
            </w:r>
          </w:p>
        </w:tc>
        <w:tc>
          <w:tcPr>
            <w:tcW w:w="15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93</w:t>
            </w:r>
          </w:p>
        </w:tc>
      </w:tr>
      <w:tr>
        <w:trPr>
          <w:trHeight w:val="365"/>
        </w:trPr>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7. Defaults and Remedies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7.01.</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Events of Default</w:t>
            </w:r>
          </w:p>
        </w:tc>
        <w:tc>
          <w:tcPr>
            <w:tcW w:w="90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93</w:t>
            </w:r>
          </w:p>
        </w:tc>
        <w:tc>
          <w:tcPr>
            <w:tcW w:w="1560" w:type="dxa"/>
            <w:vAlign w:val="bottom"/>
          </w:tcPr>
          <w:p>
            <w:pPr>
              <w:spacing w:after="0"/>
              <w:rPr>
                <w:sz w:val="24"/>
                <w:szCs w:val="24"/>
                <w:color w:val="auto"/>
              </w:rPr>
            </w:pPr>
          </w:p>
        </w:tc>
      </w:tr>
      <w:tr>
        <w:trPr>
          <w:trHeight w:val="257"/>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7.02.</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Acceleration</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95</w:t>
            </w: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7.03.</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96</w:t>
            </w: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7"/>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7.04.</w:t>
            </w: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Other Remedies  96</w:t>
            </w:r>
          </w:p>
        </w:tc>
        <w:tc>
          <w:tcPr>
            <w:tcW w:w="1560" w:type="dxa"/>
            <w:vAlign w:val="bottom"/>
          </w:tcPr>
          <w:p>
            <w:pPr>
              <w:spacing w:after="0"/>
              <w:rPr>
                <w:sz w:val="22"/>
                <w:szCs w:val="22"/>
                <w:color w:val="auto"/>
              </w:rPr>
            </w:pPr>
          </w:p>
        </w:tc>
      </w:tr>
      <w:tr>
        <w:trPr>
          <w:trHeight w:val="256"/>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7.05.</w:t>
            </w: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Waiver of Past Defaults  96</w:t>
            </w:r>
          </w:p>
        </w:tc>
        <w:tc>
          <w:tcPr>
            <w:tcW w:w="1560" w:type="dxa"/>
            <w:vAlign w:val="bottom"/>
          </w:tcPr>
          <w:p>
            <w:pPr>
              <w:spacing w:after="0"/>
              <w:rPr>
                <w:sz w:val="22"/>
                <w:szCs w:val="22"/>
                <w:color w:val="auto"/>
              </w:rPr>
            </w:pPr>
          </w:p>
        </w:tc>
      </w:tr>
      <w:tr>
        <w:trPr>
          <w:trHeight w:val="257"/>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7.06.</w:t>
            </w: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Control by Required Holders</w:t>
            </w:r>
          </w:p>
        </w:tc>
        <w:tc>
          <w:tcPr>
            <w:tcW w:w="156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97</w:t>
            </w:r>
          </w:p>
        </w:tc>
      </w:tr>
      <w:tr>
        <w:trPr>
          <w:trHeight w:val="281"/>
        </w:trPr>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7.07.</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8"/>
              </w:rPr>
              <w:t>Limitation on Suits</w:t>
            </w: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97</w:t>
            </w:r>
          </w:p>
        </w:tc>
        <w:tc>
          <w:tcPr>
            <w:tcW w:w="1560" w:type="dxa"/>
            <w:vAlign w:val="bottom"/>
          </w:tcPr>
          <w:p>
            <w:pPr>
              <w:spacing w:after="0"/>
              <w:rPr>
                <w:sz w:val="24"/>
                <w:szCs w:val="24"/>
                <w:color w:val="auto"/>
              </w:rPr>
            </w:pPr>
          </w:p>
        </w:tc>
      </w:tr>
    </w:tbl>
    <w:p>
      <w:pPr>
        <w:ind w:left="340"/>
        <w:spacing w:after="0"/>
        <w:tabs>
          <w:tab w:leader="none" w:pos="166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color w:val="auto"/>
        </w:rPr>
        <w:t>Absolute Right of Holders to Institute Suit for the Enforcement of the Right to Receive Payment and</w:t>
      </w:r>
    </w:p>
    <w:tbl>
      <w:tblPr>
        <w:tblLayout w:type="fixed"/>
        <w:tblInd w:w="0" w:type="dxa"/>
        <w:tblCellMar>
          <w:top w:w="0" w:type="dxa"/>
          <w:left w:w="0" w:type="dxa"/>
          <w:bottom w:w="0" w:type="dxa"/>
          <w:right w:w="0" w:type="dxa"/>
        </w:tblCellMar>
      </w:tblPr>
      <w:tr>
        <w:trPr>
          <w:trHeight w:val="250"/>
        </w:trPr>
        <w:tc>
          <w:tcPr>
            <w:tcW w:w="1620" w:type="dxa"/>
            <w:vAlign w:val="bottom"/>
          </w:tcPr>
          <w:p>
            <w:pPr>
              <w:spacing w:after="0"/>
              <w:rPr>
                <w:sz w:val="21"/>
                <w:szCs w:val="21"/>
                <w:color w:val="auto"/>
              </w:rPr>
            </w:pPr>
          </w:p>
        </w:tc>
        <w:tc>
          <w:tcPr>
            <w:tcW w:w="2360" w:type="dxa"/>
            <w:vAlign w:val="bottom"/>
            <w:gridSpan w:val="2"/>
          </w:tcPr>
          <w:p>
            <w:pPr>
              <w:ind w:left="80"/>
              <w:spacing w:after="0" w:line="249" w:lineRule="exact"/>
              <w:rPr>
                <w:sz w:val="20"/>
                <w:szCs w:val="20"/>
                <w:color w:val="auto"/>
              </w:rPr>
            </w:pPr>
            <w:r>
              <w:rPr>
                <w:rFonts w:ascii="Times New Roman" w:cs="Times New Roman" w:eastAsia="Times New Roman" w:hAnsi="Times New Roman"/>
                <w:sz w:val="22"/>
                <w:szCs w:val="22"/>
                <w:color w:val="auto"/>
                <w:w w:val="98"/>
              </w:rPr>
              <w:t>Conversion Consideration</w:t>
            </w:r>
          </w:p>
        </w:tc>
        <w:tc>
          <w:tcPr>
            <w:tcW w:w="200" w:type="dxa"/>
            <w:vAlign w:val="bottom"/>
          </w:tcPr>
          <w:p>
            <w:pPr>
              <w:spacing w:after="0"/>
              <w:rPr>
                <w:sz w:val="21"/>
                <w:szCs w:val="21"/>
                <w:color w:val="auto"/>
              </w:rPr>
            </w:pPr>
          </w:p>
        </w:tc>
        <w:tc>
          <w:tcPr>
            <w:tcW w:w="380" w:type="dxa"/>
            <w:vAlign w:val="bottom"/>
          </w:tcPr>
          <w:p>
            <w:pPr>
              <w:jc w:val="center"/>
              <w:ind w:right="52"/>
              <w:spacing w:after="0" w:line="249" w:lineRule="exact"/>
              <w:rPr>
                <w:sz w:val="20"/>
                <w:szCs w:val="20"/>
                <w:color w:val="auto"/>
              </w:rPr>
            </w:pPr>
            <w:r>
              <w:rPr>
                <w:rFonts w:ascii="Times New Roman" w:cs="Times New Roman" w:eastAsia="Times New Roman" w:hAnsi="Times New Roman"/>
                <w:sz w:val="22"/>
                <w:szCs w:val="22"/>
                <w:color w:val="auto"/>
                <w:w w:val="99"/>
              </w:rPr>
              <w:t>97</w:t>
            </w:r>
          </w:p>
        </w:tc>
        <w:tc>
          <w:tcPr>
            <w:tcW w:w="4200" w:type="dxa"/>
            <w:vAlign w:val="bottom"/>
          </w:tcPr>
          <w:p>
            <w:pPr>
              <w:spacing w:after="0"/>
              <w:rPr>
                <w:sz w:val="21"/>
                <w:szCs w:val="21"/>
                <w:color w:val="auto"/>
              </w:rPr>
            </w:pPr>
          </w:p>
        </w:tc>
      </w:tr>
      <w:tr>
        <w:trPr>
          <w:trHeight w:val="256"/>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7.09.</w:t>
            </w:r>
          </w:p>
        </w:tc>
        <w:tc>
          <w:tcPr>
            <w:tcW w:w="2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Collection Suit by Trustee</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98</w:t>
            </w:r>
          </w:p>
        </w:tc>
        <w:tc>
          <w:tcPr>
            <w:tcW w:w="4200" w:type="dxa"/>
            <w:vAlign w:val="bottom"/>
          </w:tcPr>
          <w:p>
            <w:pPr>
              <w:spacing w:after="0"/>
              <w:rPr>
                <w:sz w:val="22"/>
                <w:szCs w:val="22"/>
                <w:color w:val="auto"/>
              </w:rPr>
            </w:pPr>
          </w:p>
        </w:tc>
      </w:tr>
      <w:tr>
        <w:trPr>
          <w:trHeight w:val="257"/>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7.10.</w:t>
            </w:r>
          </w:p>
        </w:tc>
        <w:tc>
          <w:tcPr>
            <w:tcW w:w="71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Trustee May File Proofs of Claim  98</w:t>
            </w:r>
          </w:p>
        </w:tc>
      </w:tr>
      <w:tr>
        <w:trPr>
          <w:trHeight w:val="257"/>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7.11.</w:t>
            </w:r>
          </w:p>
        </w:tc>
        <w:tc>
          <w:tcPr>
            <w:tcW w:w="1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Priorities  98</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0" w:type="dxa"/>
            <w:vAlign w:val="bottom"/>
          </w:tcPr>
          <w:p>
            <w:pPr>
              <w:spacing w:after="0"/>
              <w:rPr>
                <w:sz w:val="22"/>
                <w:szCs w:val="22"/>
                <w:color w:val="auto"/>
              </w:rPr>
            </w:pPr>
          </w:p>
        </w:tc>
      </w:tr>
      <w:tr>
        <w:trPr>
          <w:trHeight w:val="282"/>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7.12.</w:t>
            </w:r>
          </w:p>
        </w:tc>
        <w:tc>
          <w:tcPr>
            <w:tcW w:w="19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Undertaking for Costs</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99</w:t>
            </w: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64"/>
        </w:trPr>
        <w:tc>
          <w:tcPr>
            <w:tcW w:w="45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8. Amendments, Supplements and Waivers</w:t>
            </w:r>
          </w:p>
        </w:tc>
        <w:tc>
          <w:tcPr>
            <w:tcW w:w="420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w w:val="99"/>
              </w:rPr>
              <w:t>99</w:t>
            </w:r>
          </w:p>
        </w:tc>
      </w:tr>
      <w:tr>
        <w:trPr>
          <w:trHeight w:val="352"/>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8.01.</w:t>
            </w:r>
          </w:p>
        </w:tc>
        <w:tc>
          <w:tcPr>
            <w:tcW w:w="29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Without the Consent of Holders</w:t>
            </w:r>
          </w:p>
        </w:tc>
        <w:tc>
          <w:tcPr>
            <w:tcW w:w="4200" w:type="dxa"/>
            <w:vAlign w:val="bottom"/>
          </w:tcPr>
          <w:p>
            <w:pPr>
              <w:jc w:val="right"/>
              <w:ind w:right="3792"/>
              <w:spacing w:after="0"/>
              <w:rPr>
                <w:sz w:val="20"/>
                <w:szCs w:val="20"/>
                <w:color w:val="auto"/>
              </w:rPr>
            </w:pPr>
            <w:r>
              <w:rPr>
                <w:rFonts w:ascii="Times New Roman" w:cs="Times New Roman" w:eastAsia="Times New Roman" w:hAnsi="Times New Roman"/>
                <w:sz w:val="22"/>
                <w:szCs w:val="22"/>
                <w:color w:val="auto"/>
              </w:rPr>
              <w:t>99</w:t>
            </w:r>
          </w:p>
        </w:tc>
      </w:tr>
      <w:tr>
        <w:trPr>
          <w:trHeight w:val="257"/>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8.02.</w:t>
            </w: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With the Consent of Holders</w:t>
            </w:r>
          </w:p>
        </w:tc>
        <w:tc>
          <w:tcPr>
            <w:tcW w:w="4580" w:type="dxa"/>
            <w:vAlign w:val="bottom"/>
            <w:gridSpan w:val="2"/>
          </w:tcPr>
          <w:p>
            <w:pPr>
              <w:jc w:val="right"/>
              <w:ind w:right="3952"/>
              <w:spacing w:after="0"/>
              <w:rPr>
                <w:sz w:val="20"/>
                <w:szCs w:val="20"/>
                <w:color w:val="auto"/>
              </w:rPr>
            </w:pPr>
            <w:r>
              <w:rPr>
                <w:rFonts w:ascii="Times New Roman" w:cs="Times New Roman" w:eastAsia="Times New Roman" w:hAnsi="Times New Roman"/>
                <w:sz w:val="22"/>
                <w:szCs w:val="22"/>
                <w:color w:val="auto"/>
              </w:rPr>
              <w:t>100</w:t>
            </w:r>
          </w:p>
        </w:tc>
      </w:tr>
      <w:tr>
        <w:trPr>
          <w:trHeight w:val="256"/>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8.03.</w:t>
            </w:r>
          </w:p>
        </w:tc>
        <w:tc>
          <w:tcPr>
            <w:tcW w:w="71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Notice of Amendments, Supplements and Waivers  103</w:t>
            </w:r>
          </w:p>
        </w:tc>
      </w:tr>
      <w:tr>
        <w:trPr>
          <w:trHeight w:val="257"/>
        </w:trPr>
        <w:tc>
          <w:tcPr>
            <w:tcW w:w="876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Section 8.04.  Revocation, Effect and Solicitation of Consents; Special Record Dates; Etc.  103</w:t>
            </w:r>
          </w:p>
        </w:tc>
      </w:tr>
      <w:tr>
        <w:trPr>
          <w:trHeight w:val="270"/>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8.05.</w:t>
            </w:r>
          </w:p>
        </w:tc>
        <w:tc>
          <w:tcPr>
            <w:tcW w:w="2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Notations and Exchanges</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104</w:t>
            </w:r>
          </w:p>
        </w:tc>
        <w:tc>
          <w:tcPr>
            <w:tcW w:w="4200" w:type="dxa"/>
            <w:vAlign w:val="bottom"/>
          </w:tcPr>
          <w:p>
            <w:pPr>
              <w:spacing w:after="0"/>
              <w:rPr>
                <w:sz w:val="23"/>
                <w:szCs w:val="23"/>
                <w:color w:val="auto"/>
              </w:rPr>
            </w:pPr>
          </w:p>
        </w:tc>
      </w:tr>
      <w:tr>
        <w:trPr>
          <w:trHeight w:val="282"/>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8.06.</w:t>
            </w:r>
          </w:p>
        </w:tc>
        <w:tc>
          <w:tcPr>
            <w:tcW w:w="71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Trustee And Collateral Agent to Execute Supplemental Indentures  104</w:t>
            </w:r>
          </w:p>
        </w:tc>
      </w:tr>
      <w:tr>
        <w:trPr>
          <w:trHeight w:val="364"/>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9. Satisfaction and Discharge  104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39"/>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9.01.</w:t>
            </w:r>
          </w:p>
        </w:tc>
        <w:tc>
          <w:tcPr>
            <w:tcW w:w="71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Termination of Company’s Obligations  104</w:t>
            </w:r>
          </w:p>
        </w:tc>
      </w:tr>
      <w:tr>
        <w:trPr>
          <w:trHeight w:val="256"/>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9.02.</w:t>
            </w:r>
          </w:p>
        </w:tc>
        <w:tc>
          <w:tcPr>
            <w:tcW w:w="2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Repayment to Company</w:t>
            </w:r>
          </w:p>
        </w:tc>
        <w:tc>
          <w:tcPr>
            <w:tcW w:w="5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6"/>
              </w:rPr>
              <w:t>105</w:t>
            </w:r>
          </w:p>
        </w:tc>
        <w:tc>
          <w:tcPr>
            <w:tcW w:w="4200" w:type="dxa"/>
            <w:vAlign w:val="bottom"/>
          </w:tcPr>
          <w:p>
            <w:pPr>
              <w:spacing w:after="0"/>
              <w:rPr>
                <w:sz w:val="22"/>
                <w:szCs w:val="22"/>
                <w:color w:val="auto"/>
              </w:rPr>
            </w:pPr>
          </w:p>
        </w:tc>
      </w:tr>
      <w:tr>
        <w:trPr>
          <w:trHeight w:val="282"/>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9.03.</w:t>
            </w:r>
          </w:p>
        </w:tc>
        <w:tc>
          <w:tcPr>
            <w:tcW w:w="1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Reinstatement  105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65"/>
        </w:trPr>
        <w:tc>
          <w:tcPr>
            <w:tcW w:w="3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10. Trustee and Collateral Agent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106</w:t>
            </w: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52"/>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10.01.</w:t>
            </w:r>
          </w:p>
        </w:tc>
        <w:tc>
          <w:tcPr>
            <w:tcW w:w="1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Duties of the Trustee</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106</w:t>
            </w: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56"/>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10.02.</w:t>
            </w:r>
          </w:p>
        </w:tc>
        <w:tc>
          <w:tcPr>
            <w:tcW w:w="1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Rights of the Trustee</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107</w:t>
            </w:r>
          </w:p>
        </w:tc>
        <w:tc>
          <w:tcPr>
            <w:tcW w:w="380" w:type="dxa"/>
            <w:vAlign w:val="bottom"/>
          </w:tcPr>
          <w:p>
            <w:pPr>
              <w:spacing w:after="0"/>
              <w:rPr>
                <w:sz w:val="22"/>
                <w:szCs w:val="22"/>
                <w:color w:val="auto"/>
              </w:rPr>
            </w:pPr>
          </w:p>
        </w:tc>
        <w:tc>
          <w:tcPr>
            <w:tcW w:w="4200" w:type="dxa"/>
            <w:vAlign w:val="bottom"/>
          </w:tcPr>
          <w:p>
            <w:pPr>
              <w:spacing w:after="0"/>
              <w:rPr>
                <w:sz w:val="22"/>
                <w:szCs w:val="22"/>
                <w:color w:val="auto"/>
              </w:rPr>
            </w:pPr>
          </w:p>
        </w:tc>
      </w:tr>
      <w:tr>
        <w:trPr>
          <w:trHeight w:val="257"/>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10.03.</w:t>
            </w: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8"/>
              </w:rPr>
              <w:t>Individual Rights of the Trustee</w:t>
            </w:r>
          </w:p>
        </w:tc>
        <w:tc>
          <w:tcPr>
            <w:tcW w:w="4200" w:type="dxa"/>
            <w:vAlign w:val="bottom"/>
          </w:tcPr>
          <w:p>
            <w:pPr>
              <w:jc w:val="right"/>
              <w:ind w:right="3572"/>
              <w:spacing w:after="0"/>
              <w:rPr>
                <w:sz w:val="20"/>
                <w:szCs w:val="20"/>
                <w:color w:val="auto"/>
              </w:rPr>
            </w:pPr>
            <w:r>
              <w:rPr>
                <w:rFonts w:ascii="Times New Roman" w:cs="Times New Roman" w:eastAsia="Times New Roman" w:hAnsi="Times New Roman"/>
                <w:sz w:val="22"/>
                <w:szCs w:val="22"/>
                <w:color w:val="auto"/>
              </w:rPr>
              <w:t>108</w:t>
            </w:r>
          </w:p>
        </w:tc>
      </w:tr>
      <w:tr>
        <w:trPr>
          <w:trHeight w:val="257"/>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10.04.</w:t>
            </w:r>
          </w:p>
        </w:tc>
        <w:tc>
          <w:tcPr>
            <w:tcW w:w="1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Trustee’s Disclaimer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380" w:type="dxa"/>
            <w:vAlign w:val="bottom"/>
          </w:tcPr>
          <w:p>
            <w:pPr>
              <w:spacing w:after="0"/>
              <w:rPr>
                <w:sz w:val="22"/>
                <w:szCs w:val="22"/>
                <w:color w:val="auto"/>
              </w:rPr>
            </w:pPr>
          </w:p>
        </w:tc>
        <w:tc>
          <w:tcPr>
            <w:tcW w:w="4200" w:type="dxa"/>
            <w:vAlign w:val="bottom"/>
          </w:tcPr>
          <w:p>
            <w:pPr>
              <w:spacing w:after="0"/>
              <w:rPr>
                <w:sz w:val="22"/>
                <w:szCs w:val="22"/>
                <w:color w:val="auto"/>
              </w:rPr>
            </w:pPr>
          </w:p>
        </w:tc>
      </w:tr>
      <w:tr>
        <w:trPr>
          <w:trHeight w:val="270"/>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10.05.</w:t>
            </w:r>
          </w:p>
        </w:tc>
        <w:tc>
          <w:tcPr>
            <w:tcW w:w="19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 of Defaults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109</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0" w:type="dxa"/>
            <w:vAlign w:val="bottom"/>
          </w:tcPr>
          <w:p>
            <w:pPr>
              <w:spacing w:after="0"/>
              <w:rPr>
                <w:sz w:val="23"/>
                <w:szCs w:val="23"/>
                <w:color w:val="auto"/>
              </w:rPr>
            </w:pPr>
          </w:p>
        </w:tc>
      </w:tr>
      <w:tr>
        <w:trPr>
          <w:trHeight w:val="257"/>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10.06.</w:t>
            </w: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Compensation and Indemnity</w:t>
            </w:r>
          </w:p>
        </w:tc>
        <w:tc>
          <w:tcPr>
            <w:tcW w:w="4200" w:type="dxa"/>
            <w:vAlign w:val="bottom"/>
          </w:tcPr>
          <w:p>
            <w:pPr>
              <w:jc w:val="right"/>
              <w:ind w:right="3772"/>
              <w:spacing w:after="0"/>
              <w:rPr>
                <w:sz w:val="20"/>
                <w:szCs w:val="20"/>
                <w:color w:val="auto"/>
              </w:rPr>
            </w:pPr>
            <w:r>
              <w:rPr>
                <w:rFonts w:ascii="Times New Roman" w:cs="Times New Roman" w:eastAsia="Times New Roman" w:hAnsi="Times New Roman"/>
                <w:sz w:val="22"/>
                <w:szCs w:val="22"/>
                <w:color w:val="auto"/>
                <w:w w:val="90"/>
              </w:rPr>
              <w:t>109</w:t>
            </w:r>
          </w:p>
        </w:tc>
      </w:tr>
      <w:tr>
        <w:trPr>
          <w:trHeight w:val="256"/>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10.07.</w:t>
            </w:r>
          </w:p>
        </w:tc>
        <w:tc>
          <w:tcPr>
            <w:tcW w:w="25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Replacement of the Trustee</w:t>
            </w:r>
          </w:p>
        </w:tc>
        <w:tc>
          <w:tcPr>
            <w:tcW w:w="4580" w:type="dxa"/>
            <w:vAlign w:val="bottom"/>
            <w:gridSpan w:val="2"/>
          </w:tcPr>
          <w:p>
            <w:pPr>
              <w:jc w:val="right"/>
              <w:ind w:right="3952"/>
              <w:spacing w:after="0"/>
              <w:rPr>
                <w:sz w:val="20"/>
                <w:szCs w:val="20"/>
                <w:color w:val="auto"/>
              </w:rPr>
            </w:pPr>
            <w:r>
              <w:rPr>
                <w:rFonts w:ascii="Times New Roman" w:cs="Times New Roman" w:eastAsia="Times New Roman" w:hAnsi="Times New Roman"/>
                <w:sz w:val="22"/>
                <w:szCs w:val="22"/>
                <w:color w:val="auto"/>
              </w:rPr>
              <w:t>110</w:t>
            </w:r>
          </w:p>
        </w:tc>
      </w:tr>
      <w:tr>
        <w:trPr>
          <w:trHeight w:val="256"/>
        </w:trPr>
        <w:tc>
          <w:tcPr>
            <w:tcW w:w="876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Section 10.08.  Successor Trustee by Merger, Etc.  111</w:t>
            </w:r>
          </w:p>
        </w:tc>
      </w:tr>
      <w:tr>
        <w:trPr>
          <w:trHeight w:val="282"/>
        </w:trPr>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Section 10.09.</w:t>
            </w:r>
          </w:p>
        </w:tc>
        <w:tc>
          <w:tcPr>
            <w:tcW w:w="25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Eligibility; Disqualification</w:t>
            </w:r>
          </w:p>
        </w:tc>
        <w:tc>
          <w:tcPr>
            <w:tcW w:w="4580" w:type="dxa"/>
            <w:vAlign w:val="bottom"/>
            <w:gridSpan w:val="2"/>
          </w:tcPr>
          <w:p>
            <w:pPr>
              <w:jc w:val="right"/>
              <w:ind w:right="3952"/>
              <w:spacing w:after="0"/>
              <w:rPr>
                <w:sz w:val="20"/>
                <w:szCs w:val="20"/>
                <w:color w:val="auto"/>
              </w:rPr>
            </w:pPr>
            <w:r>
              <w:rPr>
                <w:rFonts w:ascii="Times New Roman" w:cs="Times New Roman" w:eastAsia="Times New Roman" w:hAnsi="Times New Roman"/>
                <w:sz w:val="22"/>
                <w:szCs w:val="22"/>
                <w:color w:val="auto"/>
              </w:rPr>
              <w:t>111</w:t>
            </w:r>
          </w:p>
        </w:tc>
      </w:tr>
    </w:tbl>
    <w:p>
      <w:pPr>
        <w:spacing w:after="0" w:line="200" w:lineRule="exact"/>
        <w:rPr>
          <w:sz w:val="20"/>
          <w:szCs w:val="20"/>
          <w:color w:val="auto"/>
        </w:rPr>
      </w:pPr>
    </w:p>
    <w:p>
      <w:pPr>
        <w:sectPr>
          <w:pgSz w:w="11900" w:h="16838" w:orient="portrait"/>
          <w:cols w:equalWidth="0" w:num="1">
            <w:col w:w="10380"/>
          </w:cols>
          <w:pgMar w:left="320" w:top="1422"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380"/>
          </w:cols>
          <w:pgMar w:left="320" w:top="1422" w:right="119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56"/>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10.10.</w:t>
            </w:r>
          </w:p>
        </w:tc>
        <w:tc>
          <w:tcPr>
            <w:tcW w:w="36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Collateral Agent; Collateral Documents</w:t>
            </w:r>
          </w:p>
        </w:tc>
        <w:tc>
          <w:tcPr>
            <w:tcW w:w="11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111</w:t>
            </w: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10.11.</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Replacement of Collateral Agent</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w:t>
            </w:r>
          </w:p>
        </w:tc>
        <w:tc>
          <w:tcPr>
            <w:tcW w:w="11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10.12.</w:t>
            </w:r>
          </w:p>
        </w:tc>
        <w:tc>
          <w:tcPr>
            <w:tcW w:w="36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Suits to Protect the Collateral  112</w:t>
            </w:r>
          </w:p>
        </w:tc>
        <w:tc>
          <w:tcPr>
            <w:tcW w:w="11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10.13.</w:t>
            </w:r>
          </w:p>
        </w:tc>
        <w:tc>
          <w:tcPr>
            <w:tcW w:w="48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8"/>
              </w:rPr>
              <w:t>Collateral Agent; Authorization of Action to be Taken</w:t>
            </w:r>
          </w:p>
        </w:tc>
        <w:tc>
          <w:tcPr>
            <w:tcW w:w="2580" w:type="dxa"/>
            <w:vAlign w:val="bottom"/>
          </w:tcPr>
          <w:p>
            <w:pPr>
              <w:jc w:val="right"/>
              <w:ind w:right="1972"/>
              <w:spacing w:after="0"/>
              <w:rPr>
                <w:sz w:val="20"/>
                <w:szCs w:val="20"/>
                <w:color w:val="auto"/>
              </w:rPr>
            </w:pPr>
            <w:r>
              <w:rPr>
                <w:rFonts w:ascii="Times New Roman" w:cs="Times New Roman" w:eastAsia="Times New Roman" w:hAnsi="Times New Roman"/>
                <w:sz w:val="22"/>
                <w:szCs w:val="22"/>
                <w:color w:val="auto"/>
              </w:rPr>
              <w:t>113</w:t>
            </w:r>
          </w:p>
        </w:tc>
        <w:tc>
          <w:tcPr>
            <w:tcW w:w="520" w:type="dxa"/>
            <w:vAlign w:val="bottom"/>
          </w:tcPr>
          <w:p>
            <w:pPr>
              <w:spacing w:after="0"/>
              <w:rPr>
                <w:sz w:val="22"/>
                <w:szCs w:val="22"/>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10.14.</w:t>
            </w:r>
          </w:p>
        </w:tc>
        <w:tc>
          <w:tcPr>
            <w:tcW w:w="740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Authorization of Receipt of Funds by the Trustee Under the Collateral Documents</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6"/>
              </w:rPr>
              <w:t>115</w:t>
            </w:r>
          </w:p>
        </w:tc>
      </w:tr>
      <w:tr>
        <w:trPr>
          <w:trHeight w:val="282"/>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10.15.</w:t>
            </w:r>
          </w:p>
        </w:tc>
        <w:tc>
          <w:tcPr>
            <w:tcW w:w="36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Administrative Determination Holder(s)</w:t>
            </w:r>
          </w:p>
        </w:tc>
        <w:tc>
          <w:tcPr>
            <w:tcW w:w="114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115</w:t>
            </w: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2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11. Guarantee  115</w:t>
            </w: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2"/>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11.01.</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Guarantee  115</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11.02.</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Limitation on Guarantor Liability</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118</w:t>
            </w:r>
          </w:p>
        </w:tc>
        <w:tc>
          <w:tcPr>
            <w:tcW w:w="11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11.03.</w:t>
            </w:r>
          </w:p>
        </w:tc>
        <w:tc>
          <w:tcPr>
            <w:tcW w:w="48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Guarantors May Consolidate, etc., on Certain Terms</w:t>
            </w:r>
          </w:p>
        </w:tc>
        <w:tc>
          <w:tcPr>
            <w:tcW w:w="258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w w:val="90"/>
              </w:rPr>
              <w:t>118</w:t>
            </w:r>
          </w:p>
        </w:tc>
        <w:tc>
          <w:tcPr>
            <w:tcW w:w="520" w:type="dxa"/>
            <w:vAlign w:val="bottom"/>
          </w:tcPr>
          <w:p>
            <w:pPr>
              <w:spacing w:after="0"/>
              <w:rPr>
                <w:sz w:val="22"/>
                <w:szCs w:val="22"/>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11.04.</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Stay of Acceleration  119</w:t>
            </w: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6"/>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11.05.</w:t>
            </w:r>
          </w:p>
        </w:tc>
        <w:tc>
          <w:tcPr>
            <w:tcW w:w="48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Execution and Delivery of Guarantee  119</w:t>
            </w: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82"/>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11.06.</w:t>
            </w:r>
          </w:p>
        </w:tc>
        <w:tc>
          <w:tcPr>
            <w:tcW w:w="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Releases</w:t>
            </w:r>
          </w:p>
        </w:tc>
        <w:tc>
          <w:tcPr>
            <w:tcW w:w="216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119</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5"/>
        </w:trPr>
        <w:tc>
          <w:tcPr>
            <w:tcW w:w="4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12. Miscellaneous  120</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2"/>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12.01.</w:t>
            </w:r>
          </w:p>
        </w:tc>
        <w:tc>
          <w:tcPr>
            <w:tcW w:w="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2160" w:type="dxa"/>
            <w:vAlign w:val="bottom"/>
          </w:tcPr>
          <w:p>
            <w:pPr>
              <w:jc w:val="right"/>
              <w:ind w:right="1672"/>
              <w:spacing w:after="0"/>
              <w:rPr>
                <w:sz w:val="20"/>
                <w:szCs w:val="20"/>
                <w:color w:val="auto"/>
              </w:rPr>
            </w:pPr>
            <w:r>
              <w:rPr>
                <w:rFonts w:ascii="Times New Roman" w:cs="Times New Roman" w:eastAsia="Times New Roman" w:hAnsi="Times New Roman"/>
                <w:sz w:val="22"/>
                <w:szCs w:val="22"/>
                <w:color w:val="auto"/>
              </w:rPr>
              <w:t>120</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7"/>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12.02.</w:t>
            </w:r>
          </w:p>
        </w:tc>
        <w:tc>
          <w:tcPr>
            <w:tcW w:w="740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8"/>
              </w:rPr>
              <w:t>Delivery of Officer’s Certificate and Opinion of Counsel as to Conditions Precedent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81"/>
        </w:trPr>
        <w:tc>
          <w:tcPr>
            <w:tcW w:w="16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12.03.</w:t>
            </w:r>
          </w:p>
        </w:tc>
        <w:tc>
          <w:tcPr>
            <w:tcW w:w="740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Statements Required in Officer’s Certificate and Opinion of Counsel  123</w:t>
            </w:r>
          </w:p>
        </w:tc>
        <w:tc>
          <w:tcPr>
            <w:tcW w:w="520" w:type="dxa"/>
            <w:vAlign w:val="bottom"/>
          </w:tcPr>
          <w:p>
            <w:pPr>
              <w:spacing w:after="0"/>
              <w:rPr>
                <w:sz w:val="24"/>
                <w:szCs w:val="24"/>
                <w:color w:val="auto"/>
              </w:rPr>
            </w:pPr>
          </w:p>
        </w:tc>
      </w:tr>
    </w:tbl>
    <w:p>
      <w:pPr>
        <w:ind w:left="34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12.04.</w:t>
      </w:r>
      <w:r>
        <w:rPr>
          <w:sz w:val="20"/>
          <w:szCs w:val="20"/>
          <w:color w:val="auto"/>
        </w:rPr>
        <w:tab/>
      </w:r>
      <w:r>
        <w:rPr>
          <w:rFonts w:ascii="Times New Roman" w:cs="Times New Roman" w:eastAsia="Times New Roman" w:hAnsi="Times New Roman"/>
          <w:sz w:val="21"/>
          <w:szCs w:val="21"/>
          <w:color w:val="auto"/>
        </w:rPr>
        <w:t>Rules by the Trustee, The Collateral Agent, the Registrar, the Paying Agent and the Conversion</w:t>
      </w: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1380" w:type="dxa"/>
            <w:vAlign w:val="bottom"/>
          </w:tcPr>
          <w:p>
            <w:pPr>
              <w:ind w:left="60"/>
              <w:spacing w:after="0" w:line="249" w:lineRule="exact"/>
              <w:rPr>
                <w:sz w:val="20"/>
                <w:szCs w:val="20"/>
                <w:color w:val="auto"/>
              </w:rPr>
            </w:pPr>
            <w:r>
              <w:rPr>
                <w:rFonts w:ascii="Times New Roman" w:cs="Times New Roman" w:eastAsia="Times New Roman" w:hAnsi="Times New Roman"/>
                <w:sz w:val="22"/>
                <w:szCs w:val="22"/>
                <w:color w:val="auto"/>
              </w:rPr>
              <w:t>Agent  123</w:t>
            </w:r>
          </w:p>
        </w:tc>
        <w:tc>
          <w:tcPr>
            <w:tcW w:w="72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257"/>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12.05.</w:t>
            </w:r>
          </w:p>
        </w:tc>
        <w:tc>
          <w:tcPr>
            <w:tcW w:w="7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9"/>
              </w:rPr>
              <w:t>No Personal Liability of Directors, Officers, Employees and Stockholders  123</w:t>
            </w:r>
          </w:p>
        </w:tc>
      </w:tr>
      <w:tr>
        <w:trPr>
          <w:trHeight w:val="256"/>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12.06.</w:t>
            </w:r>
          </w:p>
        </w:tc>
        <w:tc>
          <w:tcPr>
            <w:tcW w:w="7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Governing Law; Waiver of Jury Trial  123</w:t>
            </w:r>
          </w:p>
        </w:tc>
      </w:tr>
      <w:tr>
        <w:trPr>
          <w:trHeight w:val="257"/>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12.07.</w:t>
            </w:r>
          </w:p>
        </w:tc>
        <w:tc>
          <w:tcPr>
            <w:tcW w:w="7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Submission to Jurisdiction  124</w:t>
            </w:r>
          </w:p>
        </w:tc>
      </w:tr>
      <w:tr>
        <w:trPr>
          <w:trHeight w:val="256"/>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12.08.</w:t>
            </w:r>
          </w:p>
        </w:tc>
        <w:tc>
          <w:tcPr>
            <w:tcW w:w="7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No Adverse Interpretation of Other Agreements  124</w:t>
            </w:r>
          </w:p>
        </w:tc>
      </w:tr>
      <w:tr>
        <w:trPr>
          <w:trHeight w:val="270"/>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12.09.</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Successors  124</w:t>
            </w:r>
          </w:p>
        </w:tc>
        <w:tc>
          <w:tcPr>
            <w:tcW w:w="4960" w:type="dxa"/>
            <w:vAlign w:val="bottom"/>
          </w:tcPr>
          <w:p>
            <w:pPr>
              <w:spacing w:after="0"/>
              <w:rPr>
                <w:sz w:val="23"/>
                <w:szCs w:val="23"/>
                <w:color w:val="auto"/>
              </w:rPr>
            </w:pPr>
          </w:p>
        </w:tc>
      </w:tr>
      <w:tr>
        <w:trPr>
          <w:trHeight w:val="257"/>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12.10.</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Force Majeure  124</w:t>
            </w:r>
          </w:p>
        </w:tc>
        <w:tc>
          <w:tcPr>
            <w:tcW w:w="4960" w:type="dxa"/>
            <w:vAlign w:val="bottom"/>
          </w:tcPr>
          <w:p>
            <w:pPr>
              <w:spacing w:after="0"/>
              <w:rPr>
                <w:sz w:val="22"/>
                <w:szCs w:val="22"/>
                <w:color w:val="auto"/>
              </w:rPr>
            </w:pPr>
          </w:p>
        </w:tc>
      </w:tr>
      <w:tr>
        <w:trPr>
          <w:trHeight w:val="256"/>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12.11.</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8"/>
              </w:rPr>
              <w:t>U.S.A. PATRIOT Act</w:t>
            </w:r>
          </w:p>
        </w:tc>
        <w:tc>
          <w:tcPr>
            <w:tcW w:w="4960" w:type="dxa"/>
            <w:vAlign w:val="bottom"/>
          </w:tcPr>
          <w:p>
            <w:pPr>
              <w:jc w:val="right"/>
              <w:ind w:right="4392"/>
              <w:spacing w:after="0"/>
              <w:rPr>
                <w:sz w:val="20"/>
                <w:szCs w:val="20"/>
                <w:color w:val="auto"/>
              </w:rPr>
            </w:pPr>
            <w:r>
              <w:rPr>
                <w:rFonts w:ascii="Times New Roman" w:cs="Times New Roman" w:eastAsia="Times New Roman" w:hAnsi="Times New Roman"/>
                <w:sz w:val="22"/>
                <w:szCs w:val="22"/>
                <w:color w:val="auto"/>
              </w:rPr>
              <w:t>124</w:t>
            </w:r>
          </w:p>
        </w:tc>
      </w:tr>
      <w:tr>
        <w:trPr>
          <w:trHeight w:val="257"/>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12.12.</w:t>
            </w:r>
          </w:p>
        </w:tc>
        <w:tc>
          <w:tcPr>
            <w:tcW w:w="1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Calculations</w:t>
            </w: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124</w:t>
            </w:r>
          </w:p>
        </w:tc>
        <w:tc>
          <w:tcPr>
            <w:tcW w:w="4960" w:type="dxa"/>
            <w:vAlign w:val="bottom"/>
          </w:tcPr>
          <w:p>
            <w:pPr>
              <w:spacing w:after="0"/>
              <w:rPr>
                <w:sz w:val="22"/>
                <w:szCs w:val="22"/>
                <w:color w:val="auto"/>
              </w:rPr>
            </w:pPr>
          </w:p>
        </w:tc>
      </w:tr>
      <w:tr>
        <w:trPr>
          <w:trHeight w:val="256"/>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12.13.</w:t>
            </w:r>
          </w:p>
        </w:tc>
        <w:tc>
          <w:tcPr>
            <w:tcW w:w="1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Severability</w:t>
            </w: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125</w:t>
            </w:r>
          </w:p>
        </w:tc>
        <w:tc>
          <w:tcPr>
            <w:tcW w:w="4960" w:type="dxa"/>
            <w:vAlign w:val="bottom"/>
          </w:tcPr>
          <w:p>
            <w:pPr>
              <w:spacing w:after="0"/>
              <w:rPr>
                <w:sz w:val="22"/>
                <w:szCs w:val="22"/>
                <w:color w:val="auto"/>
              </w:rPr>
            </w:pPr>
          </w:p>
        </w:tc>
      </w:tr>
      <w:tr>
        <w:trPr>
          <w:trHeight w:val="257"/>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12.14.</w:t>
            </w:r>
          </w:p>
        </w:tc>
        <w:tc>
          <w:tcPr>
            <w:tcW w:w="1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Counterparts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125</w:t>
            </w:r>
          </w:p>
        </w:tc>
        <w:tc>
          <w:tcPr>
            <w:tcW w:w="4960" w:type="dxa"/>
            <w:vAlign w:val="bottom"/>
          </w:tcPr>
          <w:p>
            <w:pPr>
              <w:spacing w:after="0"/>
              <w:rPr>
                <w:sz w:val="22"/>
                <w:szCs w:val="22"/>
                <w:color w:val="auto"/>
              </w:rPr>
            </w:pPr>
          </w:p>
        </w:tc>
      </w:tr>
      <w:tr>
        <w:trPr>
          <w:trHeight w:val="270"/>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22"/>
                <w:szCs w:val="22"/>
                <w:color w:val="auto"/>
              </w:rPr>
              <w:t>Section 12.15.  Table of Contents, Headings, Etc.  125</w:t>
            </w:r>
          </w:p>
        </w:tc>
      </w:tr>
      <w:tr>
        <w:trPr>
          <w:trHeight w:val="282"/>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12.16.</w:t>
            </w:r>
          </w:p>
        </w:tc>
        <w:tc>
          <w:tcPr>
            <w:tcW w:w="7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Withholding Taxes  125</w:t>
            </w:r>
          </w:p>
        </w:tc>
      </w:tr>
      <w:tr>
        <w:trPr>
          <w:trHeight w:val="364"/>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Article 13. Security and Collateral</w:t>
            </w: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125</w:t>
            </w:r>
          </w:p>
        </w:tc>
        <w:tc>
          <w:tcPr>
            <w:tcW w:w="4960" w:type="dxa"/>
            <w:vAlign w:val="bottom"/>
          </w:tcPr>
          <w:p>
            <w:pPr>
              <w:spacing w:after="0"/>
              <w:rPr>
                <w:sz w:val="24"/>
                <w:szCs w:val="24"/>
                <w:color w:val="auto"/>
              </w:rPr>
            </w:pPr>
          </w:p>
        </w:tc>
      </w:tr>
      <w:tr>
        <w:trPr>
          <w:trHeight w:val="339"/>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13.01.</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Collateral Documents</w:t>
            </w:r>
          </w:p>
        </w:tc>
        <w:tc>
          <w:tcPr>
            <w:tcW w:w="4960" w:type="dxa"/>
            <w:vAlign w:val="bottom"/>
          </w:tcPr>
          <w:p>
            <w:pPr>
              <w:jc w:val="right"/>
              <w:ind w:right="4372"/>
              <w:spacing w:after="0"/>
              <w:rPr>
                <w:sz w:val="20"/>
                <w:szCs w:val="20"/>
                <w:color w:val="auto"/>
              </w:rPr>
            </w:pPr>
            <w:r>
              <w:rPr>
                <w:rFonts w:ascii="Times New Roman" w:cs="Times New Roman" w:eastAsia="Times New Roman" w:hAnsi="Times New Roman"/>
                <w:sz w:val="22"/>
                <w:szCs w:val="22"/>
                <w:color w:val="auto"/>
              </w:rPr>
              <w:t>125</w:t>
            </w:r>
          </w:p>
        </w:tc>
      </w:tr>
      <w:tr>
        <w:trPr>
          <w:trHeight w:val="282"/>
        </w:trPr>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13.02.</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Release of Collateral</w:t>
            </w:r>
          </w:p>
        </w:tc>
        <w:tc>
          <w:tcPr>
            <w:tcW w:w="4960" w:type="dxa"/>
            <w:vAlign w:val="bottom"/>
          </w:tcPr>
          <w:p>
            <w:pPr>
              <w:jc w:val="right"/>
              <w:ind w:right="4452"/>
              <w:spacing w:after="0"/>
              <w:rPr>
                <w:sz w:val="20"/>
                <w:szCs w:val="20"/>
                <w:color w:val="auto"/>
              </w:rPr>
            </w:pPr>
            <w:r>
              <w:rPr>
                <w:rFonts w:ascii="Times New Roman" w:cs="Times New Roman" w:eastAsia="Times New Roman" w:hAnsi="Times New Roman"/>
                <w:sz w:val="22"/>
                <w:szCs w:val="22"/>
                <w:color w:val="auto"/>
              </w:rPr>
              <w:t>126</w:t>
            </w:r>
          </w:p>
        </w:tc>
      </w:tr>
    </w:tbl>
    <w:p>
      <w:pPr>
        <w:spacing w:after="0" w:line="82" w:lineRule="exact"/>
        <w:rPr>
          <w:sz w:val="20"/>
          <w:szCs w:val="20"/>
          <w:color w:val="auto"/>
        </w:rPr>
      </w:pPr>
    </w:p>
    <w:p>
      <w:pPr>
        <w:spacing w:after="0"/>
        <w:tabs>
          <w:tab w:leader="none" w:pos="6560" w:val="left"/>
        </w:tabs>
        <w:rPr>
          <w:sz w:val="20"/>
          <w:szCs w:val="20"/>
          <w:color w:val="auto"/>
        </w:rPr>
      </w:pPr>
      <w:r>
        <w:rPr>
          <w:rFonts w:ascii="Times New Roman" w:cs="Times New Roman" w:eastAsia="Times New Roman" w:hAnsi="Times New Roman"/>
          <w:sz w:val="22"/>
          <w:szCs w:val="22"/>
          <w:color w:val="auto"/>
        </w:rPr>
        <w:t>Article 14. LEGAL DEFEASANCE AND COVENANT DEFEASANCE</w:t>
        <w:tab/>
        <w:t>128</w:t>
      </w:r>
    </w:p>
    <w:p>
      <w:pPr>
        <w:spacing w:after="0" w:line="125" w:lineRule="exact"/>
        <w:rPr>
          <w:sz w:val="20"/>
          <w:szCs w:val="20"/>
          <w:color w:val="auto"/>
        </w:rPr>
      </w:pPr>
    </w:p>
    <w:p>
      <w:pPr>
        <w:ind w:left="340" w:right="2599"/>
        <w:spacing w:after="0" w:line="271" w:lineRule="auto"/>
        <w:rPr>
          <w:sz w:val="20"/>
          <w:szCs w:val="20"/>
          <w:color w:val="auto"/>
        </w:rPr>
      </w:pPr>
      <w:r>
        <w:rPr>
          <w:rFonts w:ascii="Times New Roman" w:cs="Times New Roman" w:eastAsia="Times New Roman" w:hAnsi="Times New Roman"/>
          <w:sz w:val="22"/>
          <w:szCs w:val="22"/>
          <w:color w:val="auto"/>
        </w:rPr>
        <w:t>Section 14.01. Option to Effect Legal Defeasance or Covenant Defeasance. 128 Section 14.02. Legal Defeasance and Discharge. 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22" w:right="1440" w:bottom="1440" w:gutter="0" w:footer="0" w:header="0"/>
        </w:sectPr>
      </w:pPr>
    </w:p>
    <w:bookmarkStart w:id="50" w:name="page51"/>
    <w:bookmarkEnd w:id="50"/>
    <w:p>
      <w:pPr>
        <w:ind w:left="340"/>
        <w:spacing w:after="0"/>
        <w:tabs>
          <w:tab w:leader="none" w:pos="1760" w:val="left"/>
          <w:tab w:leader="none" w:pos="3920" w:val="left"/>
        </w:tabs>
        <w:rPr>
          <w:sz w:val="20"/>
          <w:szCs w:val="20"/>
          <w:color w:val="auto"/>
        </w:rPr>
      </w:pPr>
      <w:r>
        <w:rPr>
          <w:rFonts w:ascii="Times New Roman" w:cs="Times New Roman" w:eastAsia="Times New Roman" w:hAnsi="Times New Roman"/>
          <w:sz w:val="22"/>
          <w:szCs w:val="22"/>
          <w:color w:val="auto"/>
        </w:rPr>
        <w:t>Section 14.03.</w:t>
        <w:tab/>
        <w:t>Covenant Defeasance.</w:t>
      </w:r>
      <w:r>
        <w:rPr>
          <w:sz w:val="20"/>
          <w:szCs w:val="20"/>
          <w:color w:val="auto"/>
        </w:rPr>
        <w:tab/>
      </w:r>
      <w:r>
        <w:rPr>
          <w:rFonts w:ascii="Times New Roman" w:cs="Times New Roman" w:eastAsia="Times New Roman" w:hAnsi="Times New Roman"/>
          <w:sz w:val="21"/>
          <w:szCs w:val="21"/>
          <w:color w:val="auto"/>
        </w:rPr>
        <w:t>129</w:t>
      </w:r>
    </w:p>
    <w:p>
      <w:pPr>
        <w:spacing w:after="0" w:line="28" w:lineRule="exact"/>
        <w:rPr>
          <w:sz w:val="20"/>
          <w:szCs w:val="20"/>
          <w:color w:val="auto"/>
        </w:rPr>
      </w:pPr>
    </w:p>
    <w:p>
      <w:pPr>
        <w:ind w:left="340"/>
        <w:spacing w:after="0"/>
        <w:tabs>
          <w:tab w:leader="none" w:pos="1760" w:val="left"/>
          <w:tab w:leader="none" w:pos="5920" w:val="left"/>
        </w:tabs>
        <w:rPr>
          <w:sz w:val="20"/>
          <w:szCs w:val="20"/>
          <w:color w:val="auto"/>
        </w:rPr>
      </w:pPr>
      <w:r>
        <w:rPr>
          <w:rFonts w:ascii="Times New Roman" w:cs="Times New Roman" w:eastAsia="Times New Roman" w:hAnsi="Times New Roman"/>
          <w:sz w:val="22"/>
          <w:szCs w:val="22"/>
          <w:color w:val="auto"/>
        </w:rPr>
        <w:t>Section 14.04.</w:t>
        <w:tab/>
        <w:t>Conditions to Legal or Covenant Defeasance.</w:t>
      </w:r>
      <w:r>
        <w:rPr>
          <w:sz w:val="20"/>
          <w:szCs w:val="20"/>
          <w:color w:val="auto"/>
        </w:rPr>
        <w:tab/>
      </w:r>
      <w:r>
        <w:rPr>
          <w:rFonts w:ascii="Times New Roman" w:cs="Times New Roman" w:eastAsia="Times New Roman" w:hAnsi="Times New Roman"/>
          <w:sz w:val="21"/>
          <w:szCs w:val="21"/>
          <w:color w:val="auto"/>
        </w:rPr>
        <w:t>129</w:t>
      </w:r>
    </w:p>
    <w:p>
      <w:pPr>
        <w:spacing w:after="0" w:line="4" w:lineRule="exact"/>
        <w:rPr>
          <w:sz w:val="20"/>
          <w:szCs w:val="20"/>
          <w:color w:val="auto"/>
        </w:rPr>
      </w:pPr>
    </w:p>
    <w:p>
      <w:pPr>
        <w:ind w:left="1700" w:right="819" w:hanging="1376"/>
        <w:spacing w:after="0" w:line="249" w:lineRule="auto"/>
        <w:tabs>
          <w:tab w:leader="none" w:pos="1680" w:val="left"/>
        </w:tabs>
        <w:rPr>
          <w:sz w:val="20"/>
          <w:szCs w:val="20"/>
          <w:color w:val="auto"/>
        </w:rPr>
      </w:pPr>
      <w:r>
        <w:rPr>
          <w:rFonts w:ascii="Times New Roman" w:cs="Times New Roman" w:eastAsia="Times New Roman" w:hAnsi="Times New Roman"/>
          <w:sz w:val="22"/>
          <w:szCs w:val="22"/>
          <w:color w:val="auto"/>
        </w:rPr>
        <w:t>Section 14.05.</w:t>
        <w:tab/>
        <w:t>Deposited Money and Government Securities to be Held in Trust; Other Miscellaneous Provisions. 130</w:t>
      </w:r>
    </w:p>
    <w:p>
      <w:pPr>
        <w:spacing w:after="0" w:line="2" w:lineRule="exact"/>
        <w:rPr>
          <w:sz w:val="20"/>
          <w:szCs w:val="20"/>
          <w:color w:val="auto"/>
        </w:rPr>
      </w:pPr>
    </w:p>
    <w:p>
      <w:pPr>
        <w:ind w:left="340"/>
        <w:spacing w:after="0"/>
        <w:tabs>
          <w:tab w:leader="none" w:pos="1760" w:val="left"/>
          <w:tab w:leader="none" w:pos="4120" w:val="left"/>
        </w:tabs>
        <w:rPr>
          <w:sz w:val="20"/>
          <w:szCs w:val="20"/>
          <w:color w:val="auto"/>
        </w:rPr>
      </w:pPr>
      <w:r>
        <w:rPr>
          <w:rFonts w:ascii="Times New Roman" w:cs="Times New Roman" w:eastAsia="Times New Roman" w:hAnsi="Times New Roman"/>
          <w:sz w:val="22"/>
          <w:szCs w:val="22"/>
          <w:color w:val="auto"/>
        </w:rPr>
        <w:t>Section 14.06.</w:t>
        <w:tab/>
        <w:t>Repayment to Company.</w:t>
      </w:r>
      <w:r>
        <w:rPr>
          <w:sz w:val="20"/>
          <w:szCs w:val="20"/>
          <w:color w:val="auto"/>
        </w:rPr>
        <w:tab/>
      </w:r>
      <w:r>
        <w:rPr>
          <w:rFonts w:ascii="Times New Roman" w:cs="Times New Roman" w:eastAsia="Times New Roman" w:hAnsi="Times New Roman"/>
          <w:sz w:val="21"/>
          <w:szCs w:val="21"/>
          <w:color w:val="auto"/>
        </w:rPr>
        <w:t>131</w:t>
      </w:r>
    </w:p>
    <w:p>
      <w:pPr>
        <w:spacing w:after="0" w:line="4" w:lineRule="exact"/>
        <w:rPr>
          <w:sz w:val="20"/>
          <w:szCs w:val="20"/>
          <w:color w:val="auto"/>
        </w:rPr>
      </w:pPr>
    </w:p>
    <w:p>
      <w:pPr>
        <w:ind w:left="340"/>
        <w:spacing w:after="0"/>
        <w:tabs>
          <w:tab w:leader="none" w:pos="1760" w:val="left"/>
          <w:tab w:leader="none" w:pos="3280" w:val="left"/>
        </w:tabs>
        <w:rPr>
          <w:sz w:val="20"/>
          <w:szCs w:val="20"/>
          <w:color w:val="auto"/>
        </w:rPr>
      </w:pPr>
      <w:r>
        <w:rPr>
          <w:rFonts w:ascii="Times New Roman" w:cs="Times New Roman" w:eastAsia="Times New Roman" w:hAnsi="Times New Roman"/>
          <w:sz w:val="22"/>
          <w:szCs w:val="22"/>
          <w:color w:val="auto"/>
        </w:rPr>
        <w:t>Section 14.07.</w:t>
        <w:tab/>
        <w:t>Reinstatement.</w:t>
      </w:r>
      <w:r>
        <w:rPr>
          <w:sz w:val="20"/>
          <w:szCs w:val="20"/>
          <w:color w:val="auto"/>
        </w:rPr>
        <w:tab/>
      </w:r>
      <w:r>
        <w:rPr>
          <w:rFonts w:ascii="Times New Roman" w:cs="Times New Roman" w:eastAsia="Times New Roman" w:hAnsi="Times New Roman"/>
          <w:sz w:val="21"/>
          <w:szCs w:val="21"/>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3.08(B) (Existing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3.09(C) (Existing Liens)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3.11(B) (Existing 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3.17 (Existing Restrictive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3.36 Post Closing Matters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112"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2"/>
          <w:szCs w:val="22"/>
          <w:color w:val="auto"/>
        </w:rPr>
        <w:t>Exhibit A: Form of Note</w:t>
      </w:r>
      <w:r>
        <w:rPr>
          <w:sz w:val="20"/>
          <w:szCs w:val="20"/>
          <w:color w:val="auto"/>
        </w:rPr>
        <w:tab/>
      </w:r>
      <w:r>
        <w:rPr>
          <w:rFonts w:ascii="Times New Roman" w:cs="Times New Roman" w:eastAsia="Times New Roman" w:hAnsi="Times New Roman"/>
          <w:sz w:val="21"/>
          <w:szCs w:val="21"/>
          <w:color w:val="auto"/>
        </w:rPr>
        <w:t>A-1</w:t>
      </w:r>
    </w:p>
    <w:p>
      <w:pPr>
        <w:spacing w:after="0" w:line="12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22"/>
          <w:szCs w:val="22"/>
          <w:color w:val="auto"/>
        </w:rPr>
        <w:t>Exhibit B-1: Form of Restricted Note Legend</w:t>
      </w:r>
      <w:r>
        <w:rPr>
          <w:sz w:val="20"/>
          <w:szCs w:val="20"/>
          <w:color w:val="auto"/>
        </w:rPr>
        <w:tab/>
      </w:r>
      <w:r>
        <w:rPr>
          <w:rFonts w:ascii="Times New Roman" w:cs="Times New Roman" w:eastAsia="Times New Roman" w:hAnsi="Times New Roman"/>
          <w:sz w:val="21"/>
          <w:szCs w:val="21"/>
          <w:color w:val="auto"/>
        </w:rPr>
        <w:t>B1-1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Exhibit B-2:</w:t>
            </w:r>
          </w:p>
        </w:tc>
        <w:tc>
          <w:tcPr>
            <w:tcW w:w="2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Form of Global Note Legend</w:t>
            </w:r>
          </w:p>
        </w:tc>
        <w:tc>
          <w:tcPr>
            <w:tcW w:w="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B2-1</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Exhibit B-3:</w:t>
            </w:r>
          </w:p>
        </w:tc>
        <w:tc>
          <w:tcPr>
            <w:tcW w:w="27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Form of Non-Affiliate Legend</w:t>
            </w:r>
          </w:p>
        </w:tc>
        <w:tc>
          <w:tcPr>
            <w:tcW w:w="6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5"/>
              </w:rPr>
              <w:t>B3-1</w:t>
            </w:r>
          </w:p>
        </w:tc>
      </w:tr>
    </w:tbl>
    <w:p>
      <w:pPr>
        <w:spacing w:after="0" w:line="82" w:lineRule="exact"/>
        <w:rPr>
          <w:sz w:val="20"/>
          <w:szCs w:val="20"/>
          <w:color w:val="auto"/>
        </w:rPr>
      </w:pPr>
    </w:p>
    <w:p>
      <w:pPr>
        <w:spacing w:after="0"/>
        <w:tabs>
          <w:tab w:leader="none" w:pos="7640" w:val="left"/>
        </w:tabs>
        <w:rPr>
          <w:sz w:val="20"/>
          <w:szCs w:val="20"/>
          <w:color w:val="auto"/>
        </w:rPr>
      </w:pPr>
      <w:r>
        <w:rPr>
          <w:rFonts w:ascii="Times New Roman" w:cs="Times New Roman" w:eastAsia="Times New Roman" w:hAnsi="Times New Roman"/>
          <w:sz w:val="22"/>
          <w:szCs w:val="22"/>
          <w:color w:val="auto"/>
        </w:rPr>
        <w:t>Exhibit C: Form of Supplemental Indenture to be delivered by Subsequent Guarantors</w:t>
      </w:r>
      <w:r>
        <w:rPr>
          <w:sz w:val="20"/>
          <w:szCs w:val="20"/>
          <w:color w:val="auto"/>
        </w:rPr>
        <w:tab/>
      </w:r>
      <w:r>
        <w:rPr>
          <w:rFonts w:ascii="Times New Roman" w:cs="Times New Roman" w:eastAsia="Times New Roman" w:hAnsi="Times New Roman"/>
          <w:sz w:val="21"/>
          <w:szCs w:val="21"/>
          <w:color w:val="auto"/>
        </w:rPr>
        <w:t>C1-1</w:t>
      </w:r>
    </w:p>
    <w:p>
      <w:pPr>
        <w:spacing w:after="0" w:line="112"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2"/>
          <w:szCs w:val="22"/>
          <w:color w:val="auto"/>
        </w:rPr>
        <w:t>Exhibit D: Form of Intercompany Subordination Agreement</w:t>
      </w:r>
      <w:r>
        <w:rPr>
          <w:sz w:val="20"/>
          <w:szCs w:val="20"/>
          <w:color w:val="auto"/>
        </w:rPr>
        <w:tab/>
      </w:r>
      <w:r>
        <w:rPr>
          <w:rFonts w:ascii="Times New Roman" w:cs="Times New Roman" w:eastAsia="Times New Roman" w:hAnsi="Times New Roman"/>
          <w:sz w:val="21"/>
          <w:szCs w:val="21"/>
          <w:color w:val="auto"/>
        </w:rPr>
        <w:t>D1-1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22" w:right="1440" w:bottom="1440" w:gutter="0" w:footer="0" w:header="0"/>
        </w:sectPr>
      </w:pPr>
    </w:p>
    <w:bookmarkStart w:id="51" w:name="page52"/>
    <w:bookmarkEnd w:id="51"/>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dated as of May 27, 2025, between The Beauty Health Company, a Delaware corporation, as issuer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U.S. Bank Trust Company, National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and as collateral agent (the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party to this Indenture (as defined below) agrees as follows for the benefit of the other party and for the equal and ratable benefit of the Holders (as defined below) of the Company’s 7.95% Convertible Senior Secured Notes due 2028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w:t>
      </w:r>
    </w:p>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RULES OF CONSTRUCTION</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means any transaction, or any series of related transactions, consummated on or after the Issue Date, by which any Person (a) purchases, in-licenses or otherwise acquires any going concern business, a line of business or division or product, or all or substantially all of the assets of any other Person (other than an existing Subsidiary), whether through purchase of assets, in-licensing,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xml:space="preserve">” means any interest that accrues on any Note pursuant to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Notes</w:t>
      </w:r>
      <w:r>
        <w:rPr>
          <w:rFonts w:ascii="Times New Roman" w:cs="Times New Roman" w:eastAsia="Times New Roman" w:hAnsi="Times New Roman"/>
          <w:sz w:val="22"/>
          <w:szCs w:val="22"/>
          <w:color w:val="auto"/>
        </w:rPr>
        <w:t xml:space="preserve">” means any Notes issued from time to time after the Issue Date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xml:space="preserve"> of this Indenture.</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Determination Holder(s)</w:t>
      </w:r>
      <w:r>
        <w:rPr>
          <w:rFonts w:ascii="Times New Roman" w:cs="Times New Roman" w:eastAsia="Times New Roman" w:hAnsi="Times New Roman"/>
          <w:sz w:val="21"/>
          <w:szCs w:val="21"/>
          <w:color w:val="auto"/>
        </w:rPr>
        <w:t>” means (a) initially, the Deerfield Holders, (b) on or after the date on which the Deerfield Holders cease to beneficially own at least 35.0% of the aggregate principal amount of the Notes then outstanding (without giving effect to any Additional Notes in the denominator), any Person designated by the Required Holders to act as the Administrative Determination Holder(s) (or any successor thereto), and (c) to the extent there is no such Person designated to act as the Administrative Determination Holder(s) pursuant to clause (b), the Required Holders (provided, that any determination by the Required Holders when acting as Administrative Determination Holder(s) shall only be effective with respect to the Trustee or the Collateral Agent when delivered in accordance with the applicable procedures of the Depositary). The Company shall deliver an Officer’s Certificate to the Trustee and the Collateral Agent promptly upon becoming aware that another Person has become the Administrative Determination Holder(s) and the identity of such Person (together with such certificates as the Trustee may reasonably request in connection therewith), and the Trustee may conclusively presume the Deerfield Holders remain the Administrative Determination Holder(s) until it receives such certificate. The Trustee and the Collateral Agent shall have no obligation to determine the beneficial ownership percentage of the Notes held by any Holder, and may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52" w:name="page53"/>
    <w:bookmarkEnd w:id="52"/>
    <w:p>
      <w:pPr>
        <w:jc w:val="both"/>
        <w:spacing w:after="0" w:line="271" w:lineRule="auto"/>
        <w:rPr>
          <w:sz w:val="20"/>
          <w:szCs w:val="20"/>
          <w:color w:val="auto"/>
        </w:rPr>
      </w:pPr>
      <w:r>
        <w:rPr>
          <w:rFonts w:ascii="Times New Roman" w:cs="Times New Roman" w:eastAsia="Times New Roman" w:hAnsi="Times New Roman"/>
          <w:sz w:val="22"/>
          <w:szCs w:val="22"/>
          <w:color w:val="auto"/>
        </w:rPr>
        <w:t>conclusively on the Officer’s Certificate delivered by the Company as to the identity of any successor Administrative Determination Holder(s).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set forth in Rule 144 as in effect on the Issue Date.</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Affiliates from time to time concerning or relating to bribery or corruption.</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means, with respect to a Note, a principal amount thereof equal to a minimum of $1,000 or any integral multiple of $1,000 in excess thereof.</w:t>
      </w:r>
    </w:p>
    <w:p>
      <w:pPr>
        <w:spacing w:after="0" w:line="14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w:t>
      </w:r>
      <w:r>
        <w:rPr>
          <w:rFonts w:ascii="Times New Roman" w:cs="Times New Roman" w:eastAsia="Times New Roman" w:hAnsi="Times New Roman"/>
          <w:sz w:val="22"/>
          <w:szCs w:val="22"/>
          <w:color w:val="auto"/>
        </w:rPr>
        <w:t>” means Title 11, United States Code, or any similar U.S. federal or state or non-U.S. law for the relief of debtors.</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BlackRock Holders</w:t>
      </w:r>
      <w:r>
        <w:rPr>
          <w:rFonts w:ascii="Times New Roman" w:cs="Times New Roman" w:eastAsia="Times New Roman" w:hAnsi="Times New Roman"/>
          <w:sz w:val="22"/>
          <w:szCs w:val="22"/>
          <w:color w:val="auto"/>
        </w:rPr>
        <w:t>” means BlackRock Credit Alpha Master Fund, L.P., HC NCBR FUND and BlackRock Credit Strategies Fund (the “</w:t>
      </w:r>
      <w:r>
        <w:rPr>
          <w:rFonts w:ascii="Times New Roman" w:cs="Times New Roman" w:eastAsia="Times New Roman" w:hAnsi="Times New Roman"/>
          <w:sz w:val="22"/>
          <w:szCs w:val="22"/>
          <w:b w:val="1"/>
          <w:bCs w:val="1"/>
          <w:color w:val="auto"/>
        </w:rPr>
        <w:t>BlackRock Funds</w:t>
      </w:r>
      <w:r>
        <w:rPr>
          <w:rFonts w:ascii="Times New Roman" w:cs="Times New Roman" w:eastAsia="Times New Roman" w:hAnsi="Times New Roman"/>
          <w:sz w:val="22"/>
          <w:szCs w:val="22"/>
          <w:color w:val="auto"/>
        </w:rPr>
        <w:t>”) and any investment fund or managed account that is managed on a discretionary basis by the same investment manager as any of the BlackRock Funds to which any of the Notes (or beneficial interests therein) are transferred or assigned or which otherwise becomes a beneficial owner of any of the Notes.</w:t>
      </w:r>
    </w:p>
    <w:p>
      <w:pPr>
        <w:spacing w:after="0" w:line="175" w:lineRule="exact"/>
        <w:rPr>
          <w:sz w:val="20"/>
          <w:szCs w:val="20"/>
          <w:color w:val="auto"/>
        </w:rPr>
      </w:pPr>
    </w:p>
    <w:p>
      <w:pPr>
        <w:jc w:val="both"/>
        <w:ind w:right="20" w:firstLine="27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 or a committee of such board duly authorized to act on behalf of such board.</w:t>
      </w:r>
    </w:p>
    <w:p>
      <w:pPr>
        <w:spacing w:after="0" w:line="1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the Federal Reserve Bank of New York is authorized or required by law or executive order to close or be closed.</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Expenditures</w:t>
      </w:r>
      <w:r>
        <w:rPr>
          <w:rFonts w:ascii="Times New Roman" w:cs="Times New Roman" w:eastAsia="Times New Roman" w:hAnsi="Times New Roman"/>
          <w:sz w:val="22"/>
          <w:szCs w:val="22"/>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Notwithstanding the foregoing, any lease (whether entered into before or after the Issue Date) that would have been classified as an operating lease pursuant to GAAP as in effect on the Issue Date will be deemed not to represent a Capital Lease Obligation.</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any and all shares of, interests in, rights to purchase, warrants or options for, participations in, or other equivalents of, in each case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designated, the equity of such Person, but excluding any debt securities convertible into such equity.</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Capped Call Transactions</w:t>
      </w:r>
      <w:r>
        <w:rPr>
          <w:rFonts w:ascii="Times New Roman" w:cs="Times New Roman" w:eastAsia="Times New Roman" w:hAnsi="Times New Roman"/>
          <w:sz w:val="22"/>
          <w:szCs w:val="22"/>
          <w:color w:val="auto"/>
        </w:rPr>
        <w:t>” means: (A) the capped call confirmations, dated September 9, 2021, between the Company and each of Deutsche Bank AG, Lond Branch, Goldman Sachs &amp; Co. LLC, JPMorgan Chase Bank, National Association, Credit Suisse Capital LLC, Mizuho Markets Americas LLC, Wells Fargo Bank, National Association, and Bank of Montreal (collectively, the “</w:t>
      </w:r>
      <w:r>
        <w:rPr>
          <w:rFonts w:ascii="Times New Roman" w:cs="Times New Roman" w:eastAsia="Times New Roman" w:hAnsi="Times New Roman"/>
          <w:sz w:val="22"/>
          <w:szCs w:val="22"/>
          <w:b w:val="1"/>
          <w:bCs w:val="1"/>
          <w:color w:val="auto"/>
        </w:rPr>
        <w:t>Capped Call Counterparties</w:t>
      </w:r>
      <w:r>
        <w:rPr>
          <w:rFonts w:ascii="Times New Roman" w:cs="Times New Roman" w:eastAsia="Times New Roman" w:hAnsi="Times New Roman"/>
          <w:sz w:val="22"/>
          <w:szCs w:val="22"/>
          <w:color w:val="auto"/>
        </w:rPr>
        <w:t>”), entered into in connection with the Company’s issuance of $650,000,000 of the Company’s Existing Notes; and (B) the capped call confirmations, dated September 10, 2021, between the Company and each of the Capped Call Counterparties, entered into in connection with the Company’s issuance of $100,000,000 of the Company’s Existing Notes.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xml:space="preserve"> ” means (i) all the “Collateral” (or similar term) as defined in any of the Collateral Documents, (ii) the Material Real Property and (iii) all other property that is subject to any Lien in favor of the Collateral Agent, for the benefit of the Secured Parties, pursuant to any Collateral Document.</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means U.S. Bank Trust Company, National Association in its capacity as collateral agent under the Collateral Documents, together with its successors in such capacity.</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Documents</w:t>
      </w:r>
      <w:r>
        <w:rPr>
          <w:rFonts w:ascii="Times New Roman" w:cs="Times New Roman" w:eastAsia="Times New Roman" w:hAnsi="Times New Roman"/>
          <w:sz w:val="22"/>
          <w:szCs w:val="22"/>
          <w:color w:val="auto"/>
        </w:rPr>
        <w:t>” means the Security Agreement and all other security agreements, pledge agreements, control agreements, collateral assignments, mortgages, deeds of trust or other instruments or other pledges, grants or transfers for security or agreements related thereto executed and delivered by the Company or any Guarantor creating or perfecting a lien upon Collateral (including, without limitation, financing statements under the UCC) in favor of the Collateral Agent, for the benefit of the Secured Parties, in each case, as amended, supplemented, modified or replaced in accordance with this Indenture and its terms.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means the common stock, $0.0001 par value per share, of the Company, subject to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means the Person named as such in the first paragraph of this Indenture and, subject to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its successors and assigns.</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request or order signed on behalf of the Company by one (1) of its Officers and delivered to the Trustee.</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Total Assets</w:t>
      </w:r>
      <w:r>
        <w:rPr>
          <w:rFonts w:ascii="Times New Roman" w:cs="Times New Roman" w:eastAsia="Times New Roman" w:hAnsi="Times New Roman"/>
          <w:sz w:val="22"/>
          <w:szCs w:val="22"/>
          <w:color w:val="auto"/>
        </w:rPr>
        <w:t>” means, at any date, total assets of the Company and its Subsidiaries calculated in accordance with GAAP on a consolidated basis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54" w:name="page55"/>
    <w:bookmarkEnd w:id="54"/>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EBITDA</w:t>
      </w:r>
      <w:r>
        <w:rPr>
          <w:rFonts w:ascii="Times New Roman" w:cs="Times New Roman" w:eastAsia="Times New Roman" w:hAnsi="Times New Roman"/>
          <w:sz w:val="22"/>
          <w:szCs w:val="22"/>
          <w:color w:val="auto"/>
        </w:rPr>
        <w:t>” means, for any period, all calculated for the Company and its Subsidiaries on a consolidated basis in accordance with GAAP:</w:t>
      </w:r>
    </w:p>
    <w:p>
      <w:pPr>
        <w:spacing w:after="0" w:line="146" w:lineRule="exact"/>
        <w:rPr>
          <w:sz w:val="20"/>
          <w:szCs w:val="20"/>
          <w:color w:val="auto"/>
        </w:rPr>
      </w:pPr>
    </w:p>
    <w:p>
      <w:pPr>
        <w:ind w:left="1940" w:hanging="636"/>
        <w:spacing w:after="0"/>
        <w:tabs>
          <w:tab w:leader="none" w:pos="1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Net Income; </w:t>
      </w:r>
      <w:r>
        <w:rPr>
          <w:rFonts w:ascii="Times New Roman" w:cs="Times New Roman" w:eastAsia="Times New Roman" w:hAnsi="Times New Roman"/>
          <w:sz w:val="22"/>
          <w:szCs w:val="22"/>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and, except with respect to amounts added back pursuant to clauses (viii) or (ix), to the extent deducted in determining Consolidated Net Income for such period, the sum of:</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 for such period;</w:t>
      </w:r>
    </w:p>
    <w:p>
      <w:pPr>
        <w:spacing w:after="0" w:line="179" w:lineRule="exact"/>
        <w:rPr>
          <w:rFonts w:ascii="Times New Roman" w:cs="Times New Roman" w:eastAsia="Times New Roman" w:hAnsi="Times New Roman"/>
          <w:sz w:val="22"/>
          <w:szCs w:val="22"/>
          <w:color w:val="auto"/>
        </w:rPr>
      </w:pPr>
    </w:p>
    <w:p>
      <w:pPr>
        <w:jc w:val="both"/>
        <w:ind w:left="2600" w:hanging="648"/>
        <w:spacing w:after="0" w:line="217" w:lineRule="auto"/>
        <w:tabs>
          <w:tab w:leader="none" w:pos="259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profits, revenue or capital, including federal, foreign and state income, franchise, excise, sales value added, property and similar taxes based on income, profits, revenue or capital and foreign withholding taxes paid or accrued during such period (including in respect of repatriated funds) including penalties and interest related to such taxes or arising from any tax examinations for such period;</w:t>
      </w:r>
    </w:p>
    <w:p>
      <w:pPr>
        <w:spacing w:after="0" w:line="152" w:lineRule="exact"/>
        <w:rPr>
          <w:rFonts w:ascii="Times New Roman" w:cs="Times New Roman" w:eastAsia="Times New Roman" w:hAnsi="Times New Roman"/>
          <w:sz w:val="22"/>
          <w:szCs w:val="22"/>
          <w:color w:val="auto"/>
        </w:rPr>
      </w:pPr>
    </w:p>
    <w:p>
      <w:pPr>
        <w:ind w:left="2600" w:hanging="648"/>
        <w:spacing w:after="0" w:line="236" w:lineRule="auto"/>
        <w:tabs>
          <w:tab w:leader="none" w:pos="259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attributable to depreciation and amortization expense (including amortization of capitalized software expenditures and amortization of sales commissions) for such period;</w:t>
      </w:r>
    </w:p>
    <w:p>
      <w:pPr>
        <w:spacing w:after="0" w:line="150" w:lineRule="exact"/>
        <w:rPr>
          <w:rFonts w:ascii="Times New Roman" w:cs="Times New Roman" w:eastAsia="Times New Roman" w:hAnsi="Times New Roman"/>
          <w:sz w:val="22"/>
          <w:szCs w:val="22"/>
          <w:color w:val="auto"/>
        </w:rPr>
      </w:pPr>
    </w:p>
    <w:p>
      <w:pPr>
        <w:jc w:val="both"/>
        <w:ind w:left="2600" w:hanging="648"/>
        <w:spacing w:after="0" w:line="220" w:lineRule="auto"/>
        <w:tabs>
          <w:tab w:leader="none" w:pos="257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extraordinary, unusual, or non-recurring expenses, losses or charges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such amounts added back pursuant to this clause (iv) together with amounts added back pursuant to clauses (viii) and (ix) of this definition shall not, collectively, exceed 10% of Consolidated EBITDA in the aggregate for such period (before giving effect to such addbacks);</w:t>
      </w:r>
    </w:p>
    <w:p>
      <w:pPr>
        <w:spacing w:after="0" w:line="152" w:lineRule="exact"/>
        <w:rPr>
          <w:rFonts w:ascii="Times New Roman" w:cs="Times New Roman" w:eastAsia="Times New Roman" w:hAnsi="Times New Roman"/>
          <w:sz w:val="22"/>
          <w:szCs w:val="22"/>
          <w:color w:val="auto"/>
        </w:rPr>
      </w:pPr>
    </w:p>
    <w:p>
      <w:pPr>
        <w:jc w:val="both"/>
        <w:ind w:left="2600" w:hanging="648"/>
        <w:spacing w:after="0" w:line="213" w:lineRule="auto"/>
        <w:tabs>
          <w:tab w:leader="none" w:pos="258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non-cash charges or adjustments, including any write-offs or write-downs reducing Consolidated Net Income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non-cash charges represent an accrual or reserve for potential cash items in any future period (A) the Company may elect not to add back such non-cash charge in the current period and (B) to the extent the Company elects to add back such non-cash charge, the cash payment in respect thereof in such future period shall be subtracted from Consolidated EBITDA to such extent), and excluding amortization of a prepaid cash item that was paid in a prior period;</w:t>
      </w:r>
    </w:p>
    <w:p>
      <w:pPr>
        <w:spacing w:after="0" w:line="156" w:lineRule="exact"/>
        <w:rPr>
          <w:rFonts w:ascii="Times New Roman" w:cs="Times New Roman" w:eastAsia="Times New Roman" w:hAnsi="Times New Roman"/>
          <w:sz w:val="22"/>
          <w:szCs w:val="22"/>
          <w:color w:val="auto"/>
        </w:rPr>
      </w:pPr>
    </w:p>
    <w:p>
      <w:pPr>
        <w:ind w:left="2600" w:hanging="648"/>
        <w:spacing w:after="0" w:line="236" w:lineRule="auto"/>
        <w:tabs>
          <w:tab w:leader="none" w:pos="2592"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fees (other than commitment fees), cash charges and other cash expenses made or incurred in connection with the Note Documents and the transactions contemplated hereunder;</w:t>
      </w:r>
    </w:p>
    <w:p>
      <w:pPr>
        <w:spacing w:after="0" w:line="150" w:lineRule="exact"/>
        <w:rPr>
          <w:rFonts w:ascii="Times New Roman" w:cs="Times New Roman" w:eastAsia="Times New Roman" w:hAnsi="Times New Roman"/>
          <w:sz w:val="22"/>
          <w:szCs w:val="22"/>
          <w:color w:val="auto"/>
        </w:rPr>
      </w:pPr>
    </w:p>
    <w:p>
      <w:pPr>
        <w:jc w:val="both"/>
        <w:ind w:left="2600" w:hanging="648"/>
        <w:spacing w:after="0" w:line="215" w:lineRule="auto"/>
        <w:tabs>
          <w:tab w:leader="none" w:pos="2599"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transaction fees, costs and expenses incurred in connection with Permitted Acquisitions, issuances of equity interests, sale of assets outside the ordinary course of business, Restricted Payments permitted under </w:t>
      </w:r>
      <w:r>
        <w:rPr>
          <w:rFonts w:ascii="Times New Roman" w:cs="Times New Roman" w:eastAsia="Times New Roman" w:hAnsi="Times New Roman"/>
          <w:sz w:val="22"/>
          <w:szCs w:val="22"/>
          <w:b w:val="1"/>
          <w:bCs w:val="1"/>
          <w:color w:val="auto"/>
        </w:rPr>
        <w:t>Section 3.15</w:t>
      </w:r>
      <w:r>
        <w:rPr>
          <w:rFonts w:ascii="Times New Roman" w:cs="Times New Roman" w:eastAsia="Times New Roman" w:hAnsi="Times New Roman"/>
          <w:sz w:val="22"/>
          <w:szCs w:val="22"/>
          <w:color w:val="auto"/>
        </w:rPr>
        <w:t xml:space="preserve"> and any Indebtedness permitted under </w:t>
      </w:r>
      <w:r>
        <w:rPr>
          <w:rFonts w:ascii="Times New Roman" w:cs="Times New Roman" w:eastAsia="Times New Roman" w:hAnsi="Times New Roman"/>
          <w:sz w:val="22"/>
          <w:szCs w:val="22"/>
          <w:b w:val="1"/>
          <w:bCs w:val="1"/>
          <w:color w:val="auto"/>
        </w:rPr>
        <w:t>Section 3.08</w:t>
      </w:r>
      <w:r>
        <w:rPr>
          <w:rFonts w:ascii="Times New Roman" w:cs="Times New Roman" w:eastAsia="Times New Roman" w:hAnsi="Times New Roman"/>
          <w:sz w:val="22"/>
          <w:szCs w:val="22"/>
          <w:color w:val="auto"/>
        </w:rPr>
        <w:t xml:space="preserve">, in each case, whether or not consummated;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added back to this clause (vii) for such transactions which are not consummated shall not exceed 10% of Consolidated EBITDA in the aggregate for such period (before giving effect to this addback).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55" w:name="page56"/>
    <w:bookmarkEnd w:id="55"/>
    <w:p>
      <w:pPr>
        <w:jc w:val="both"/>
        <w:ind w:left="1480" w:hanging="648"/>
        <w:spacing w:after="0" w:line="224" w:lineRule="auto"/>
        <w:tabs>
          <w:tab w:leader="none" w:pos="147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restructuring and similar cash charges or cash expenses, including severance, relocation costs, start up or initial costs, integration and facilities opening costs and other business optimization expenses, signing costs, retention or completion bonuses, recruiting costs, transition costs, costs related to curtailments or modifications to pension and post-retirement employee benefit plans;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such amounts added back pursuant to this clause (viii) together with amounts added back pursuant to clauses (iv) and (ix) of this definition shall not, collectively, exceed 10% of Consolidated EBITDA in the aggregate for such period (before giving effect to such addbacks);</w:t>
      </w:r>
    </w:p>
    <w:p>
      <w:pPr>
        <w:spacing w:after="0" w:line="150" w:lineRule="exact"/>
        <w:rPr>
          <w:rFonts w:ascii="Times New Roman" w:cs="Times New Roman" w:eastAsia="Times New Roman" w:hAnsi="Times New Roman"/>
          <w:sz w:val="21"/>
          <w:szCs w:val="21"/>
          <w:color w:val="auto"/>
        </w:rPr>
      </w:pPr>
    </w:p>
    <w:p>
      <w:pPr>
        <w:jc w:val="both"/>
        <w:ind w:left="1480" w:hanging="648"/>
        <w:spacing w:after="0" w:line="208" w:lineRule="auto"/>
        <w:tabs>
          <w:tab w:leader="none" w:pos="14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the amount of “run rate” cost savings (it being understood and agreed that “run rate” shall mean the full recurring benefit that is associated with any action taken or committed to be taken, net of the amount of actual benefits realized during such period from such actions), operating expense reductions and cost-related synergies (including any restructuring and integration charges) related to any Permitted Acquisition, any restructuring, or cost saving initiative, in each case, projected by the Company in good faith to be realized as a result of actions that have been taken or are committed to be taken on or prior to the date that is 12 months after the end of the relevant fiscal quarter (which cost savings, operating expense reductions and cost-related synergies shall be added to Consolidated EBITDA until fully realized and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though such cost savings, operating expense reductions and cost-related synergies had been realized on the first day of the fiscal quarter), net of the amount of actual benefits realized from such 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cost savings, operating expense reductions and cost-related synergies are reasonably quantifiable and factually supportable and (B) the aggregate amount added back pursuant to this clause (ix) together with amounts added back pursuant to clauses (iv) and (viii) of this definition shall not, collectively, exceed 10% of Consolidated EBITDA in the aggregate for such period (before giving effect to such addbacks);</w:t>
      </w:r>
    </w:p>
    <w:p>
      <w:pPr>
        <w:spacing w:after="0" w:line="164" w:lineRule="exact"/>
        <w:rPr>
          <w:rFonts w:ascii="Times New Roman" w:cs="Times New Roman" w:eastAsia="Times New Roman" w:hAnsi="Times New Roman"/>
          <w:sz w:val="22"/>
          <w:szCs w:val="22"/>
          <w:color w:val="auto"/>
        </w:rPr>
      </w:pPr>
    </w:p>
    <w:p>
      <w:pPr>
        <w:jc w:val="both"/>
        <w:ind w:left="1480" w:hanging="648"/>
        <w:spacing w:after="0" w:line="213" w:lineRule="auto"/>
        <w:tabs>
          <w:tab w:leader="none" w:pos="1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charges, expenses or losses deducted in the calculation of such Consolidated Net Income (or minus non-cash income or gains included in such calculation) including non-cash adjustments resulting from the application of purchase accounting, non-cash expenses arising from grants of stock appreciation rights, stock options or restricted stock, non-cash impairment of goodwill and other long term intangible assets, unrealized non-cash losses (or minus unrealized non-cash gains) under rate contracts, unrealized non-cash losses (or minus unrealized non-cash gains) in such period due solely to fluctuations in currency values;</w:t>
      </w:r>
    </w:p>
    <w:p>
      <w:pPr>
        <w:spacing w:after="0" w:line="156" w:lineRule="exact"/>
        <w:rPr>
          <w:rFonts w:ascii="Times New Roman" w:cs="Times New Roman" w:eastAsia="Times New Roman" w:hAnsi="Times New Roman"/>
          <w:sz w:val="22"/>
          <w:szCs w:val="22"/>
          <w:color w:val="auto"/>
        </w:rPr>
      </w:pPr>
    </w:p>
    <w:p>
      <w:pPr>
        <w:jc w:val="both"/>
        <w:ind w:left="1480" w:hanging="648"/>
        <w:spacing w:after="0" w:line="231" w:lineRule="auto"/>
        <w:tabs>
          <w:tab w:leader="none" w:pos="147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non-cash compensation expense (including deferred non-cash compensation expense), or other non-cash expenses or charges, arising from the sale or issuance of equity interests, stock appreciation rights, or similar arrangements, or (B) any other costs or expenses incurred or paid by the Company or any Subsidiary pursuant to any management equity plan or stock option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395" w:right="339" w:bottom="1440" w:gutter="0" w:footer="0" w:header="0"/>
        </w:sectPr>
      </w:pPr>
    </w:p>
    <w:bookmarkStart w:id="56" w:name="page57"/>
    <w:bookmarkEnd w:id="56"/>
    <w:p>
      <w:pPr>
        <w:ind w:left="2600"/>
        <w:spacing w:after="0" w:line="236" w:lineRule="auto"/>
        <w:rPr>
          <w:sz w:val="20"/>
          <w:szCs w:val="20"/>
          <w:color w:val="auto"/>
        </w:rPr>
      </w:pPr>
      <w:r>
        <w:rPr>
          <w:rFonts w:ascii="Times New Roman" w:cs="Times New Roman" w:eastAsia="Times New Roman" w:hAnsi="Times New Roman"/>
          <w:sz w:val="22"/>
          <w:szCs w:val="22"/>
          <w:color w:val="auto"/>
        </w:rPr>
        <w:t>any other management or employee benefit plan or long term incentive plan or agreement or any stock subscription or shareholder agreement; and</w:t>
      </w:r>
    </w:p>
    <w:p>
      <w:pPr>
        <w:spacing w:after="0" w:line="150" w:lineRule="exact"/>
        <w:rPr>
          <w:sz w:val="20"/>
          <w:szCs w:val="20"/>
          <w:color w:val="auto"/>
        </w:rPr>
      </w:pPr>
    </w:p>
    <w:p>
      <w:pPr>
        <w:jc w:val="both"/>
        <w:ind w:left="2600" w:hanging="648"/>
        <w:spacing w:after="0" w:line="215" w:lineRule="auto"/>
        <w:tabs>
          <w:tab w:leader="none" w:pos="259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covered by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days), expenses, charges or losses with respect to liability or casualty events or business interruption; </w:t>
      </w:r>
      <w:r>
        <w:rPr>
          <w:rFonts w:ascii="Times New Roman" w:cs="Times New Roman" w:eastAsia="Times New Roman" w:hAnsi="Times New Roman"/>
          <w:sz w:val="22"/>
          <w:szCs w:val="22"/>
          <w:i w:val="1"/>
          <w:iCs w:val="1"/>
          <w:color w:val="auto"/>
        </w:rPr>
        <w:t>plus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increase in deferred revenue on the balance sheet of the Company from the first day of such period compared to the last day of such period; </w:t>
      </w:r>
      <w:r>
        <w:rPr>
          <w:rFonts w:ascii="Times New Roman" w:cs="Times New Roman" w:eastAsia="Times New Roman" w:hAnsi="Times New Roman"/>
          <w:sz w:val="22"/>
          <w:szCs w:val="22"/>
          <w:i w:val="1"/>
          <w:iCs w:val="1"/>
          <w:color w:val="auto"/>
        </w:rPr>
        <w:t>minus</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decrease in deferred revenue on the balance sheet of the Company from the first day of such period compared to the last day of such period; </w:t>
      </w:r>
      <w:r>
        <w:rPr>
          <w:rFonts w:ascii="Times New Roman" w:cs="Times New Roman" w:eastAsia="Times New Roman" w:hAnsi="Times New Roman"/>
          <w:sz w:val="22"/>
          <w:szCs w:val="22"/>
          <w:i w:val="1"/>
          <w:iCs w:val="1"/>
          <w:color w:val="auto"/>
        </w:rPr>
        <w:t>minus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and to the extent included in Consolidated Net Income, any extraordinary, unusual or nonrecurring gains, and any non-cash gains or adjustments for such period, excluding any such non-cash gain or credit to the extent representing a reversal of an accrual or reserve for a potential cash item in any future period that reduced Consolidated EBITDA in any prior period.</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Interest Expense</w:t>
      </w:r>
      <w:r>
        <w:rPr>
          <w:rFonts w:ascii="Times New Roman" w:cs="Times New Roman" w:eastAsia="Times New Roman" w:hAnsi="Times New Roman"/>
          <w:sz w:val="22"/>
          <w:szCs w:val="22"/>
          <w:color w:val="auto"/>
        </w:rPr>
        <w:t>”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Company and its Subsidiaries on a consolidated basis for such period in accordance with GAAP. For purposes of the foregoing, interest expense shall exclude one-time financing fees (including arrangement, amendment and contract fees), debt issuance costs, commissions, and expenses, and in each case, the amortization thereof. For purposes of the foregoing, interest expense shall be determined after giving effect to any net payments made or received by the Company and its Subsidiaries under Swap Agreements in respect of interest rates, to the extent such net costs are allocable to such period in accordance with GAAP.</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Income</w:t>
      </w:r>
      <w:r>
        <w:rPr>
          <w:rFonts w:ascii="Times New Roman" w:cs="Times New Roman" w:eastAsia="Times New Roman" w:hAnsi="Times New Roman"/>
          <w:sz w:val="22"/>
          <w:szCs w:val="22"/>
          <w:color w:val="auto"/>
        </w:rPr>
        <w:t xml:space="preserve">” means, for any period, the consolidated net income (or loss) determined for the Company and its Subsidiaries,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excluded (a) the income (or deficit) of any Person accrued prior to the date it becomes a Subsidiary or is merged into or consolidated with the Company or any Subsidiary, (b) the income (or deficit) of any Person (other than a Subsidiary) in which the Company or any Subsidiary has an ownership interest, except to the extent that any such income is actually received by the Company or such Subsidiary in the form of dividends or similar distributions, (c) the undistributed earnings of any Subsidiary, to the extent that the declaration or payment of dividends or similar distributions by such Subsidiary is not at the time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the terms of any contractual obligation (other than under any Note Document) or requirement of law applicable to such Subsidiary and (d) the cumulative effect of a change in accounting principles during such period to the extent included in net income.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Context Holders</w:t>
      </w:r>
      <w:r>
        <w:rPr>
          <w:rFonts w:ascii="Times New Roman" w:cs="Times New Roman" w:eastAsia="Times New Roman" w:hAnsi="Times New Roman"/>
          <w:sz w:val="22"/>
          <w:szCs w:val="22"/>
          <w:color w:val="auto"/>
        </w:rPr>
        <w:t>” means Context Partners Master Fund, L.P. and any investment fund or managed account that is managed on a discretionary basis by the same investment manager as Context Partners Master Fund, L.P. to which any of the Notes (or beneficial interests therein) are transferred or assigned or which otherwise becomes a beneficial owner of any of the Notes.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 Agreement</w:t>
      </w:r>
      <w:r>
        <w:rPr>
          <w:rFonts w:ascii="Times New Roman" w:cs="Times New Roman" w:eastAsia="Times New Roman" w:hAnsi="Times New Roman"/>
          <w:sz w:val="22"/>
          <w:szCs w:val="22"/>
          <w:color w:val="auto"/>
        </w:rPr>
        <w:t>” means a springing account control agreement, in form reasonably acceptable to the Collateral Agent and the Required Holders (it being agreed that any such agreements requiring U.S. Bank Trust Company, National Association, in its individual capacity, to indemnify a depositary institution shall not be reasonably satisfactory to the Collateral Agent).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Accounts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b w:val="1"/>
          <w:bCs w:val="1"/>
          <w:color w:val="auto"/>
        </w:rPr>
        <w:t>Section 3.19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xml:space="preserve">” means, with respect to a Note, the first Business Day on which the requirements set forth in </w:t>
      </w:r>
      <w:r>
        <w:rPr>
          <w:rFonts w:ascii="Times New Roman" w:cs="Times New Roman" w:eastAsia="Times New Roman" w:hAnsi="Times New Roman"/>
          <w:sz w:val="22"/>
          <w:szCs w:val="22"/>
          <w:b w:val="1"/>
          <w:bCs w:val="1"/>
          <w:color w:val="auto"/>
        </w:rPr>
        <w:t xml:space="preserve">Section 5.02(A) </w:t>
      </w:r>
      <w:r>
        <w:rPr>
          <w:rFonts w:ascii="Times New Roman" w:cs="Times New Roman" w:eastAsia="Times New Roman" w:hAnsi="Times New Roman"/>
          <w:sz w:val="22"/>
          <w:szCs w:val="22"/>
          <w:color w:val="auto"/>
        </w:rPr>
        <w:t>to convert such Note are satisfied, subject to</w:t>
      </w:r>
      <w:r>
        <w:rPr>
          <w:rFonts w:ascii="Times New Roman" w:cs="Times New Roman" w:eastAsia="Times New Roman" w:hAnsi="Times New Roman"/>
          <w:sz w:val="22"/>
          <w:szCs w:val="22"/>
          <w:b w:val="1"/>
          <w:bCs w:val="1"/>
          <w:color w:val="auto"/>
        </w:rPr>
        <w:t xml:space="preserve"> Section 5.03(C)</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xml:space="preserve">” means, as of any time, an amount equal to (A) one thousand dollars ($1,000)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Conversion Rate in effect at such time.</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xml:space="preserve">” initially means 349.6503 shares of Common Stock per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Conversion Rate is subject to adjustment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whenever this Indenture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Conversion Rate as of a particular date without setting forth a particular time on such date, such reference will be deemed to be to the Conversion Rate immediately after the Close of Business on such date.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Share</w:t>
      </w:r>
      <w:r>
        <w:rPr>
          <w:rFonts w:ascii="Times New Roman" w:cs="Times New Roman" w:eastAsia="Times New Roman" w:hAnsi="Times New Roman"/>
          <w:sz w:val="22"/>
          <w:szCs w:val="22"/>
          <w:color w:val="auto"/>
        </w:rPr>
        <w:t>” means any share of Common Stock issued or issuable upon conversion of any Note.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Cash Amount</w:t>
      </w:r>
      <w:r>
        <w:rPr>
          <w:rFonts w:ascii="Times New Roman" w:cs="Times New Roman" w:eastAsia="Times New Roman" w:hAnsi="Times New Roman"/>
          <w:sz w:val="22"/>
          <w:szCs w:val="22"/>
          <w:color w:val="auto"/>
        </w:rPr>
        <w:t>” means, with respect to any VWAP Trading Day, the lesser of (A) the applicable Daily Maximum Cash Amount; and (B) the Daily Conversion Value for such VWAP Trading Day.</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Conversion Value</w:t>
      </w:r>
      <w:r>
        <w:rPr>
          <w:rFonts w:ascii="Times New Roman" w:cs="Times New Roman" w:eastAsia="Times New Roman" w:hAnsi="Times New Roman"/>
          <w:sz w:val="22"/>
          <w:szCs w:val="22"/>
          <w:color w:val="auto"/>
        </w:rPr>
        <w:t>” means, with respect to any VWAP Trading Day, one-fortieth (1/40th) of the product of (A) the Conversion Rate on such VWAP Trading Day; and (B) the Daily VWAP per share of Common Stock on such VWAP Trading Day.</w:t>
      </w:r>
    </w:p>
    <w:p>
      <w:pPr>
        <w:spacing w:after="0" w:line="161"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Maximum Cash Amount</w:t>
      </w:r>
      <w:r>
        <w:rPr>
          <w:rFonts w:ascii="Times New Roman" w:cs="Times New Roman" w:eastAsia="Times New Roman" w:hAnsi="Times New Roman"/>
          <w:sz w:val="22"/>
          <w:szCs w:val="22"/>
          <w:color w:val="auto"/>
        </w:rPr>
        <w:t>” means, with respect to the conversion of any Note, the quotient obtained by dividing (A) the Specified Dollar Amount applicable to such conversion by (B) forty (40).</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Share Amount</w:t>
      </w:r>
      <w:r>
        <w:rPr>
          <w:rFonts w:ascii="Times New Roman" w:cs="Times New Roman" w:eastAsia="Times New Roman" w:hAnsi="Times New Roman"/>
          <w:sz w:val="22"/>
          <w:szCs w:val="22"/>
          <w:color w:val="auto"/>
        </w:rPr>
        <w:t>” means, with respect to any VWAP Trading Day, the quotient obtained by dividing (A) the excess, if any, of the Daily Conversion Value for such VWAP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22"/>
          <w:szCs w:val="22"/>
          <w:color w:val="auto"/>
        </w:rPr>
        <w:t>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8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VWAP</w:t>
      </w:r>
      <w:r>
        <w:rPr>
          <w:rFonts w:ascii="Times New Roman" w:cs="Times New Roman" w:eastAsia="Times New Roman" w:hAnsi="Times New Roman"/>
          <w:sz w:val="21"/>
          <w:szCs w:val="21"/>
          <w:color w:val="auto"/>
        </w:rPr>
        <w:t>” means, for any VWAP Trading Day, the per share volume-weighted average price of the Common Stock as displayed under the heading “Bloomberg VWAP” on Bloomberg page “SKIN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Deerfield Holders</w:t>
      </w:r>
      <w:r>
        <w:rPr>
          <w:rFonts w:ascii="Times New Roman" w:cs="Times New Roman" w:eastAsia="Times New Roman" w:hAnsi="Times New Roman"/>
          <w:sz w:val="22"/>
          <w:szCs w:val="22"/>
          <w:color w:val="auto"/>
        </w:rPr>
        <w:t>” means Deerfield Partners, L.P. and any investment fund or managed account that is managed on a discretionary basis by the same investment manager as Deerfield Partners, L.P. to which any of the Notes (or beneficial interests therein) are transferred or assigned or which otherwise becomes a beneficial owner of any of the Notes.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that is (or, after notice, passage of time or both, would be) an Event of Default.</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Settlement Method</w:t>
      </w:r>
      <w:r>
        <w:rPr>
          <w:rFonts w:ascii="Times New Roman" w:cs="Times New Roman" w:eastAsia="Times New Roman" w:hAnsi="Times New Roman"/>
          <w:sz w:val="22"/>
          <w:szCs w:val="22"/>
          <w:color w:val="auto"/>
        </w:rPr>
        <w:t xml:space="preserve">” means Combination Settlement with a Specified Dollar Amount of $1,000 per $1,000 principal amount of Notes; provided that if the conditions set forth in </w:t>
      </w:r>
      <w:r>
        <w:rPr>
          <w:rFonts w:ascii="Times New Roman" w:cs="Times New Roman" w:eastAsia="Times New Roman" w:hAnsi="Times New Roman"/>
          <w:sz w:val="22"/>
          <w:szCs w:val="22"/>
          <w:b w:val="1"/>
          <w:bCs w:val="1"/>
          <w:color w:val="auto"/>
        </w:rPr>
        <w:t>Section 5.03(A)(i)(5)</w:t>
      </w:r>
      <w:r>
        <w:rPr>
          <w:rFonts w:ascii="Times New Roman" w:cs="Times New Roman" w:eastAsia="Times New Roman" w:hAnsi="Times New Roman"/>
          <w:sz w:val="22"/>
          <w:szCs w:val="22"/>
          <w:color w:val="auto"/>
        </w:rPr>
        <w:t xml:space="preserve"> are not satisfied, then Cash Settlement.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The Depository Trust Company or its successor.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Participant</w:t>
      </w:r>
      <w:r>
        <w:rPr>
          <w:rFonts w:ascii="Times New Roman" w:cs="Times New Roman" w:eastAsia="Times New Roman" w:hAnsi="Times New Roman"/>
          <w:sz w:val="22"/>
          <w:szCs w:val="22"/>
          <w:color w:val="auto"/>
        </w:rPr>
        <w:t>” means any member of, or participant in, the Depositary.</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Procedures</w:t>
      </w:r>
      <w:r>
        <w:rPr>
          <w:rFonts w:ascii="Times New Roman" w:cs="Times New Roman" w:eastAsia="Times New Roman" w:hAnsi="Times New Roman"/>
          <w:sz w:val="22"/>
          <w:szCs w:val="22"/>
          <w:color w:val="auto"/>
        </w:rPr>
        <w:t>”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Dispose</w:t>
      </w:r>
      <w:r>
        <w:rPr>
          <w:rFonts w:ascii="Times New Roman" w:cs="Times New Roman" w:eastAsia="Times New Roman" w:hAnsi="Times New Roman"/>
          <w:sz w:val="22"/>
          <w:szCs w:val="22"/>
          <w:color w:val="auto"/>
        </w:rPr>
        <w:t xml:space="preserv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Disposition and Dispose shall not be deemed to include any issuance by the Company of any of its Equity Interests to another Person.</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 Date</w:t>
      </w:r>
      <w:r>
        <w:rPr>
          <w:rFonts w:ascii="Times New Roman" w:cs="Times New Roman" w:eastAsia="Times New Roman" w:hAnsi="Times New Roman"/>
          <w:sz w:val="22"/>
          <w:szCs w:val="22"/>
          <w:color w:val="auto"/>
        </w:rPr>
        <w:t>” means the first date occurring after the Issue Date on which the Deerfield Holders cease to beneficially own at least 25% of the aggregate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22"/>
          <w:szCs w:val="22"/>
          <w:color w:val="auto"/>
        </w:rPr>
        <w:t>Notes then outstanding (without giving effect to any Additional Notes) (as determined by the Company in good faith). Promptly following the date it has actual knowledge thereof, the Company shall notify the Trustee and the Collateral Agent in writing of the occurrence of the Disposition Date, upon which notice the Trustee and the Collateral Agent may conclusively presume that the Disposition Date has occurred.</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Equity Interests</w:t>
      </w:r>
      <w:r>
        <w:rPr>
          <w:rFonts w:ascii="Times New Roman" w:cs="Times New Roman" w:eastAsia="Times New Roman" w:hAnsi="Times New Roman"/>
          <w:sz w:val="21"/>
          <w:szCs w:val="21"/>
          <w:color w:val="auto"/>
        </w:rPr>
        <w:t>” means, with respect to any Person, any equity interest in such Person that by its terms (or by the terms of any other equity interest into which it is convertible or exchangeable) or upon the happening of any event or condition (a) matures (excluding maturity as a result of an option redemption by the issuer thereof) or is subject to mandatory redemption or repurchase (other than solely for equity interests that are not Disqualified Equity Interests and cash in lieu of fractional shares) pursuant to a sinking fund obligation or otherwise, in whole or in part, on or prior to the date that is ninety-one</w:t>
      </w:r>
    </w:p>
    <w:p>
      <w:pPr>
        <w:spacing w:after="0" w:line="1" w:lineRule="exact"/>
        <w:rPr>
          <w:sz w:val="20"/>
          <w:szCs w:val="20"/>
          <w:color w:val="auto"/>
        </w:rPr>
      </w:pPr>
    </w:p>
    <w:p>
      <w:pPr>
        <w:jc w:val="both"/>
        <w:ind w:firstLine="8"/>
        <w:spacing w:after="0" w:line="245" w:lineRule="auto"/>
        <w:tabs>
          <w:tab w:leader="none" w:pos="4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following the latest maturity date of the Notes; (b) is convertible into or exchangeable or exercisable for Indebtedness or any Disqualified Equity Interest, at the option of the holder thereof; (c) may be required to be redeemed or repurchased at the option of the holder thereof (other than solely for equity interests that are not Disqualified Equity Interests and cash in lieu of fractional shares), in whole or in part, in each case on or before the date that is ninety-one (91) days after the latest maturity date of the Notes; or (d) provides for scheduled payments to be made in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equity interests are issued pursuant to a plan for the benefit of future, current or former employees, directors or officers of the Company or any Subsidiary or by any such plan to such employees, directors or officers, such equity interests shall not constitute Disqualified Equity Interests solely because it may be required to be repurchased by the Company or any Subsidiary in order to satisfy applicable statutory or regulatory obligations or as a result of such employee’s, director’s or officer’s termination, death or disability.</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Subsidiary</w:t>
      </w:r>
      <w:r>
        <w:rPr>
          <w:rFonts w:ascii="Times New Roman" w:cs="Times New Roman" w:eastAsia="Times New Roman" w:hAnsi="Times New Roman"/>
          <w:sz w:val="22"/>
          <w:szCs w:val="22"/>
          <w:color w:val="auto"/>
        </w:rPr>
        <w:t>” means a Subsidiary organized under the laws of a jurisdiction located in the United States of America.</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Earn-outs</w:t>
      </w:r>
      <w:r>
        <w:rPr>
          <w:rFonts w:ascii="Times New Roman" w:cs="Times New Roman" w:eastAsia="Times New Roman" w:hAnsi="Times New Roman"/>
          <w:sz w:val="22"/>
          <w:szCs w:val="22"/>
          <w:color w:val="auto"/>
        </w:rPr>
        <w:t>” means unsecured liabilities of a Person arising under an agreement to make any deferred payment as a part of the purchase price of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Ex-Dividend Date</w:t>
      </w:r>
      <w:r>
        <w:rPr>
          <w:rFonts w:ascii="Times New Roman" w:cs="Times New Roman" w:eastAsia="Times New Roman" w:hAnsi="Times New Roman"/>
          <w:sz w:val="21"/>
          <w:szCs w:val="21"/>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60" w:name="page61"/>
    <w:bookmarkEnd w:id="60"/>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Agreements</w:t>
      </w:r>
      <w:r>
        <w:rPr>
          <w:rFonts w:ascii="Times New Roman" w:cs="Times New Roman" w:eastAsia="Times New Roman" w:hAnsi="Times New Roman"/>
          <w:sz w:val="22"/>
          <w:szCs w:val="22"/>
          <w:color w:val="auto"/>
        </w:rPr>
        <w:t>” means those certain exchange agreements, dated May 21, 2025, between the Company and those certain investors named therein.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Account</w:t>
      </w:r>
      <w:r>
        <w:rPr>
          <w:rFonts w:ascii="Times New Roman" w:cs="Times New Roman" w:eastAsia="Times New Roman" w:hAnsi="Times New Roman"/>
          <w:sz w:val="22"/>
          <w:szCs w:val="22"/>
          <w:color w:val="auto"/>
        </w:rPr>
        <w:t>” has the meaning assigned to such term in the Security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Asset</w:t>
      </w:r>
      <w:r>
        <w:rPr>
          <w:rFonts w:ascii="Times New Roman" w:cs="Times New Roman" w:eastAsia="Times New Roman" w:hAnsi="Times New Roman"/>
          <w:sz w:val="22"/>
          <w:szCs w:val="22"/>
          <w:color w:val="auto"/>
        </w:rPr>
        <w:t>” shall have the meaning assigned to such term in the Security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Subsidiary</w:t>
      </w:r>
      <w:r>
        <w:rPr>
          <w:rFonts w:ascii="Times New Roman" w:cs="Times New Roman" w:eastAsia="Times New Roman" w:hAnsi="Times New Roman"/>
          <w:sz w:val="21"/>
          <w:szCs w:val="21"/>
          <w:color w:val="auto"/>
        </w:rPr>
        <w:t>” means any of the following: (a) any Subsidiary that is prohibited by (i) applicable requirements of law or (ii) any contractual obligation existing on the Issue Date or on the date any such Subsidiary is acquired (so long as such prohibition is not incurred in contemplation of such acquisition or for the purpose of circumventing the guaranty or security requirements hereof), in each case, so long as such contractual obligation prohibits such subsidiary from guaranteeing the obligations hereunder, (b) any Subsidiary which would require governmental (including regulatory) consent, approval, license or authorization to provide a Guarantee (unless such governmental consent, approval, license or authorization has been obtained),</w:t>
      </w:r>
    </w:p>
    <w:p>
      <w:pPr>
        <w:spacing w:after="0" w:line="5" w:lineRule="exact"/>
        <w:rPr>
          <w:sz w:val="20"/>
          <w:szCs w:val="20"/>
          <w:color w:val="auto"/>
        </w:rPr>
      </w:pPr>
    </w:p>
    <w:p>
      <w:pPr>
        <w:jc w:val="both"/>
        <w:ind w:right="20" w:firstLine="8"/>
        <w:spacing w:after="0" w:line="254" w:lineRule="auto"/>
        <w:tabs>
          <w:tab w:leader="none" w:pos="31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for which the provision of a Guarantee would result in a material adverse tax consequence to the Company and its Subsidiaries taken as a whole, as reasonably determined by the Company, (d) [reserved], (e) each Immaterial Subsidiary,</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0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Material Foreign Subsidiary organized under the laws of France or China or (ii) after the Disposition Date, any Material Foreign Subsidiary or any Foreign Subsidiary Holding Company (or, in each case, any direct or indirect Subsidiary thereof) or (g) any bona fide not-for-profit Subsidiaries or captive insurance companies reasonably designated by the Company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determination or designation pursuant to clause (c) or (g) shall be evidenced by an Officer’s Certificate to the effect that the requirements of such clause are satisfied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that the Company, in its sole discretion may cause any Subsidiary that qualifies as an Excluded Subsidiary under clauses (e) or (f) above to become a Guarantor in accordance with the definition thereof and thereafter such Subsidiary shall not constitute an “Excluded Subsidiary”.</w:t>
      </w:r>
    </w:p>
    <w:p>
      <w:pPr>
        <w:spacing w:after="0" w:line="184"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Exempted Fundamental Change</w:t>
      </w:r>
      <w:r>
        <w:rPr>
          <w:rFonts w:ascii="Times New Roman" w:cs="Times New Roman" w:eastAsia="Times New Roman" w:hAnsi="Times New Roman"/>
          <w:sz w:val="22"/>
          <w:szCs w:val="22"/>
          <w:color w:val="auto"/>
        </w:rPr>
        <w:t xml:space="preserve">” means any Fundamental Change with respect to which, in accordance with </w:t>
      </w:r>
      <w:r>
        <w:rPr>
          <w:rFonts w:ascii="Times New Roman" w:cs="Times New Roman" w:eastAsia="Times New Roman" w:hAnsi="Times New Roman"/>
          <w:sz w:val="22"/>
          <w:szCs w:val="22"/>
          <w:b w:val="1"/>
          <w:bCs w:val="1"/>
          <w:color w:val="auto"/>
        </w:rPr>
        <w:t>Section 4.02(I)</w:t>
      </w:r>
      <w:r>
        <w:rPr>
          <w:rFonts w:ascii="Times New Roman" w:cs="Times New Roman" w:eastAsia="Times New Roman" w:hAnsi="Times New Roman"/>
          <w:sz w:val="22"/>
          <w:szCs w:val="22"/>
          <w:color w:val="auto"/>
        </w:rPr>
        <w:t>, the Company does not offer to repurchase any Notes.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Indenture</w:t>
      </w:r>
      <w:r>
        <w:rPr>
          <w:rFonts w:ascii="Times New Roman" w:cs="Times New Roman" w:eastAsia="Times New Roman" w:hAnsi="Times New Roman"/>
          <w:sz w:val="21"/>
          <w:szCs w:val="21"/>
          <w:color w:val="auto"/>
        </w:rPr>
        <w:t>” means the that certain Indenture, dated as of September 14, 2021, between the Company and U.S.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Trust Company, National Association (as successor in interest to U.S. Bank National Association), in its capacity as trustee.</w:t>
      </w:r>
    </w:p>
    <w:p>
      <w:pPr>
        <w:spacing w:after="0" w:line="217"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Notes</w:t>
      </w:r>
      <w:r>
        <w:rPr>
          <w:rFonts w:ascii="Times New Roman" w:cs="Times New Roman" w:eastAsia="Times New Roman" w:hAnsi="Times New Roman"/>
          <w:sz w:val="22"/>
          <w:szCs w:val="22"/>
          <w:color w:val="auto"/>
        </w:rPr>
        <w:t>” means the Company’s 1.25% Convertible Senior Notes due 2026 issued pursuant to the Existing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Subsidiary</w:t>
      </w:r>
      <w:r>
        <w:rPr>
          <w:rFonts w:ascii="Times New Roman" w:cs="Times New Roman" w:eastAsia="Times New Roman" w:hAnsi="Times New Roman"/>
          <w:sz w:val="22"/>
          <w:szCs w:val="22"/>
          <w:color w:val="auto"/>
        </w:rPr>
        <w:t>” means any Subsidiary which is not a Domestic Subsidiary.</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Subsidiary Holding Company</w:t>
      </w:r>
      <w:r>
        <w:rPr>
          <w:rFonts w:ascii="Times New Roman" w:cs="Times New Roman" w:eastAsia="Times New Roman" w:hAnsi="Times New Roman"/>
          <w:sz w:val="22"/>
          <w:szCs w:val="22"/>
          <w:color w:val="auto"/>
        </w:rPr>
        <w:t>” means any entity that has no material assets other than debt or equity of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8" w:right="339" w:bottom="1440" w:gutter="0" w:footer="0" w:header="0"/>
        </w:sectPr>
      </w:pPr>
    </w:p>
    <w:bookmarkStart w:id="61" w:name="page62"/>
    <w:bookmarkEnd w:id="61"/>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Freely Tradable</w:t>
      </w:r>
      <w:r>
        <w:rPr>
          <w:rFonts w:ascii="Times New Roman" w:cs="Times New Roman" w:eastAsia="Times New Roman" w:hAnsi="Times New Roman"/>
          <w:sz w:val="22"/>
          <w:szCs w:val="22"/>
          <w:color w:val="auto"/>
        </w:rPr>
        <w:t>” means, with respect to any security of the Company, that such security would be eligible to be offered, sold or otherwise transferred pursuant to Rule 144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means any of the following events:</w:t>
      </w:r>
    </w:p>
    <w:p>
      <w:pPr>
        <w:spacing w:after="0" w:line="183" w:lineRule="exact"/>
        <w:rPr>
          <w:sz w:val="20"/>
          <w:szCs w:val="20"/>
          <w:color w:val="auto"/>
        </w:rPr>
      </w:pPr>
    </w:p>
    <w:p>
      <w:pPr>
        <w:jc w:val="both"/>
        <w:ind w:firstLine="656"/>
        <w:spacing w:after="0" w:line="220" w:lineRule="auto"/>
        <w:tabs>
          <w:tab w:leader="none" w:pos="128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Company’s Common Stock;</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(i) any sale, lease, license or other transfer, in one transaction or a series of transactions, of all or substantially all of the assets of the Company and its Subsidiaries, taken as a whole, to any Person, other than solely to one or more of the Company’s Wholly Owned Subsidiaries that is a Guarantor;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any plan or proposal for the liquidation or dissolution of the Company; or</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ceases to be listed on any of The New York Stock Exchange, The NASDAQ Capital Market, The NASDAQ Global Market or The NASDAQ Global Select Market (or any of their respective successors);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 transaction or event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will not constitute a Fundamental Change if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Capital Market, The NASDAQ Global Market or The NASDAQ Global Select Market (or any of their respective successors), or that will be so listed when issued or exchanged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8" w:right="33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22"/>
          <w:szCs w:val="22"/>
          <w:color w:val="auto"/>
        </w:rPr>
        <w:t>such transaction or event, and such transaction or event constitutes a Common Stock Change Event whose Reference Property consists of such consideration.</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For the purposes of this definition, (x) any transaction or event described in both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b w:val="1"/>
          <w:bCs w:val="1"/>
          <w:color w:val="auto"/>
        </w:rPr>
        <w:t>clause (B)(i)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above (without regard to the proviso in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will be deemed to occur solely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above (subject to such proviso); and (y) whether a Person is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whether shares are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and percentage beneficial ownership, will be determined in accordance with Rule 13d-3 under the Exchange Act.</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 means the date fixed for the repurchase of any Notes by the Company pursuant to a Repurchase Upon Fundamental Change.</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Notice</w:t>
      </w:r>
      <w:r>
        <w:rPr>
          <w:rFonts w:ascii="Times New Roman" w:cs="Times New Roman" w:eastAsia="Times New Roman" w:hAnsi="Times New Roman"/>
          <w:sz w:val="22"/>
          <w:szCs w:val="22"/>
          <w:color w:val="auto"/>
        </w:rPr>
        <w:t xml:space="preserve">” means a notice (including a notice substantially in the form of the “Fundamental Change Repurchase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containing the information, or otherwise complying with the requirements, set forth in </w:t>
      </w:r>
      <w:r>
        <w:rPr>
          <w:rFonts w:ascii="Times New Roman" w:cs="Times New Roman" w:eastAsia="Times New Roman" w:hAnsi="Times New Roman"/>
          <w:sz w:val="22"/>
          <w:szCs w:val="22"/>
          <w:b w:val="1"/>
          <w:bCs w:val="1"/>
          <w:color w:val="auto"/>
        </w:rPr>
        <w:t>Section 4.02(F)(i)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4.02(F)(ii)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Price</w:t>
      </w:r>
      <w:r>
        <w:rPr>
          <w:rFonts w:ascii="Times New Roman" w:cs="Times New Roman" w:eastAsia="Times New Roman" w:hAnsi="Times New Roman"/>
          <w:sz w:val="22"/>
          <w:szCs w:val="22"/>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w:t>
      </w:r>
      <w:r>
        <w:rPr>
          <w:rFonts w:ascii="Times New Roman" w:cs="Times New Roman" w:eastAsia="Times New Roman" w:hAnsi="Times New Roman"/>
          <w:sz w:val="22"/>
          <w:szCs w:val="22"/>
          <w:color w:val="auto"/>
        </w:rPr>
        <w:t xml:space="preserve">” means a Note that is represented by a certificate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Depositary or its nominee, duly executed by the Company and authenticated by the Trustee, and deposited with the Trustee, as custodian for the Depositary.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w:t>
      </w:r>
      <w:r>
        <w:rPr>
          <w:rFonts w:ascii="Times New Roman" w:cs="Times New Roman" w:eastAsia="Times New Roman" w:hAnsi="Times New Roman"/>
          <w:sz w:val="22"/>
          <w:szCs w:val="22"/>
          <w:color w:val="auto"/>
        </w:rPr>
        <w:t xml:space="preserve">” means the guarantee by each Guarantor of the Company’s obligations under this Indenture and the Notes pursuant to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xml:space="preserve">” means collectively, each Subsidiary that is not an Excluded Subsidiary that executes this Indenture as a Guarantor on the Issue Date and each other Subsidiary that is not an Excluded Subsidiary that incurs a Guarantee;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upon the release or discharge of such Person from its Guarantee in accordance with the terms of this Indenture, such Subsidiary automatically ceases to be a Guarantor.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 Note is registered on the Registrar’s books.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Hostile Acquisition</w:t>
      </w:r>
      <w:r>
        <w:rPr>
          <w:rFonts w:ascii="Times New Roman" w:cs="Times New Roman" w:eastAsia="Times New Roman" w:hAnsi="Times New Roman"/>
          <w:sz w:val="22"/>
          <w:szCs w:val="22"/>
          <w:color w:val="auto"/>
        </w:rPr>
        <w:t>” means (a) the acquisition of the equity interests of a Person through a tender offer or similar solicitation of the owners of such equity interests which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63" w:name="page64"/>
    <w:bookmarkEnd w:id="63"/>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Immaterial Subsidiary</w:t>
      </w:r>
      <w:r>
        <w:rPr>
          <w:rFonts w:ascii="Times New Roman" w:cs="Times New Roman" w:eastAsia="Times New Roman" w:hAnsi="Times New Roman"/>
          <w:sz w:val="22"/>
          <w:szCs w:val="22"/>
          <w:color w:val="auto"/>
        </w:rPr>
        <w:t>” means any Subsidiary of the Company that is not a Material Subsidiary.</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of any Person means, without duplication, (a) all obligations of such Person for borrowed money, (b) all obligations of such Person evidenced by bonds, debentures, notes or similar instruments, (c) [reserved],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and excluding earn-outs which are separately addressed in clause (k) below), (f) 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6" w:lineRule="exact"/>
        <w:rPr>
          <w:sz w:val="20"/>
          <w:szCs w:val="20"/>
          <w:color w:val="auto"/>
        </w:rPr>
      </w:pPr>
    </w:p>
    <w:p>
      <w:pPr>
        <w:jc w:val="both"/>
        <w:ind w:firstLine="8"/>
        <w:spacing w:after="0" w:line="246" w:lineRule="auto"/>
        <w:tabs>
          <w:tab w:leader="none" w:pos="31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under any earn-out that has been actually achieved and is due and owing (including Earn-outs) solely to the extent required to be reflected as a liability on the consolidated balance sheet of such Person and its subsidiaries in accordance with GAAP, (l) any other Off-Balance Sheet Liability, (m) obligations, whether absolute or contingent and howsoever and whensoever created, arising, evidenced or acquired (including all renewals, extensions and modifications thereof and substitutions therefor), under (i) any and all Swap Agreements determined by reference to the swap termination value thereof and (ii) any and all cancellations, buy backs, reversals, terminations or assignments of any Swap Agreement transaction and (n) obligations in respect of Disqualified Equity Interests. The amount of any net obligation under any Swap Agreement on any date shall be deemed to be the Swap Termination Value thereof as of such date.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anything to the contrary set forth herein, in no event shall the following constitute Indebtedness: (i) accruals that are not overdue by more than sixty (60) days for (A) payroll, (B) other non-interest bearing liabilities not constituting debt for borrowed money, accrued in the ordinary course of business and (C) customary revenue and sales based royalties in connection with the sale of any product, accrued in the ordinary course of business (and in any event excluding any upfront, milestone or similar payment), (ii) purchase price holdbacks in respect of a portion of the purchase price of an asset to satisfy warrants or other unperformed obligations of the seller of such asset, (iii) trade accounts payable which are not more than 60 days past due or being contested in good faith, deferred revenues, liabilities associated with customer prepayments and deposits and other accrued obligations (including transfer pricing arrangements and accruals for payroll and other operating expenses accrued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22"/>
          <w:szCs w:val="22"/>
          <w:color w:val="auto"/>
        </w:rPr>
        <w:t>the ordinary course of business), in each case incurred in the ordinary course of business, (iv) operating leases pursuant to GAAP in effect as of the Issue Date, (v) customary obligations under employment agreements and deferred compensation and (vi) prepaid or deferred revenue and deferred tax liabilities.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has the meaning specified in the Security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 with respect to a Note, each May 15 and November 15 of each year, commencing on November 15, 2025 (or commencing on such other date specified in the certificate representing such Note). For the avoidance of doubt, the Maturity Date is an Interest Payment Date.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means, as to any Person,</w:t>
      </w:r>
    </w:p>
    <w:p>
      <w:pPr>
        <w:spacing w:after="0" w:line="183" w:lineRule="exact"/>
        <w:rPr>
          <w:sz w:val="20"/>
          <w:szCs w:val="20"/>
          <w:color w:val="auto"/>
        </w:rPr>
      </w:pPr>
    </w:p>
    <w:p>
      <w:pPr>
        <w:ind w:left="660" w:firstLine="644"/>
        <w:spacing w:after="0" w:line="236"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by such Person (including by merger or otherwise) of equity interests or debt or other securities (including any option or warrant) of another Person;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loan, advance or capital contribution by such Person to, Guarantee or assumption of Indebtedness by such Person of, or purchase or other acquisition by such Person of any other debt or any equity participation or equity interest in, another Person, including any partnership or joint venture interest in such other Person, but excluding any loans and advances made by Note Parties having a term not exceeding 364 days (inclusive of any roll over or extension of terms);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in-licensing or other acquisition by such Person (in one transaction or a series of transactions, whether through purchase of assets, in-licensing, merger or otherwise) of all or substantially all of the property and assets or business of another Person or assets constituting a business unit, line of business or division or all or substantially all rights to a product or intellectual property constituting a product (including with respect to a particular region or territory) of another Person.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 Date</w:t>
      </w:r>
      <w:r>
        <w:rPr>
          <w:rFonts w:ascii="Times New Roman" w:cs="Times New Roman" w:eastAsia="Times New Roman" w:hAnsi="Times New Roman"/>
          <w:sz w:val="22"/>
          <w:szCs w:val="22"/>
          <w:color w:val="auto"/>
        </w:rPr>
        <w:t>” means May 27, 2025.</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Venture</w:t>
      </w:r>
      <w:r>
        <w:rPr>
          <w:rFonts w:ascii="Times New Roman" w:cs="Times New Roman" w:eastAsia="Times New Roman" w:hAnsi="Times New Roman"/>
          <w:sz w:val="22"/>
          <w:szCs w:val="22"/>
          <w:color w:val="auto"/>
        </w:rPr>
        <w:t>” means any Person in whom the Company or any of the Subsidiaries beneficially owns any equity interest that is not a Subsidiary.</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Original Issue Date</w:t>
      </w:r>
      <w:r>
        <w:rPr>
          <w:rFonts w:ascii="Times New Roman" w:cs="Times New Roman" w:eastAsia="Times New Roman" w:hAnsi="Times New Roman"/>
          <w:sz w:val="22"/>
          <w:szCs w:val="22"/>
          <w:color w:val="auto"/>
        </w:rPr>
        <w:t xml:space="preserve">” means (A) with respect to any Notes issued pursuant to the Exchange Agreements, and any Notes issued in exchange therefor or in substitution thereof, the Issue Date; and (B) with respect to any Notes issued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and any Notes issued in exchange therefor or in substitution thereof, either (i) the date such Notes are originally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or (ii) such other date as is specified in an Officer’s Certificate delivered to the Trustee before the original issuance of such Notes.</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Common Stock for any Trading Day means the closing sale price per share (or, if no closing sale price is reported, the average of the last bid price and the last ask price per share or, if more than one in either case, the average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49" w:lineRule="auto"/>
        <w:rPr>
          <w:sz w:val="20"/>
          <w:szCs w:val="20"/>
          <w:color w:val="auto"/>
        </w:rPr>
      </w:pPr>
      <w:r>
        <w:rPr>
          <w:rFonts w:ascii="Times New Roman" w:cs="Times New Roman" w:eastAsia="Times New Roman" w:hAnsi="Times New Roman"/>
          <w:sz w:val="22"/>
          <w:szCs w:val="22"/>
          <w:color w:val="auto"/>
        </w:rPr>
        <w:t>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Neither the Trustee nor the Conversion Agent will have any duty to determine the Last Reported Sale Price.</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Liability Management Transaction</w:t>
      </w:r>
      <w:r>
        <w:rPr>
          <w:rFonts w:ascii="Times New Roman" w:cs="Times New Roman" w:eastAsia="Times New Roman" w:hAnsi="Times New Roman"/>
          <w:sz w:val="22"/>
          <w:szCs w:val="22"/>
          <w:color w:val="auto"/>
        </w:rPr>
        <w:t>” shall mean any refinancing, retirement, exchange, extension, amendment, repurchase, replacement, or defeasance of any existing Indebtedness of the Borrower or any Subsidiary (including the Notes) with any other Indebtedness, Capital Stock (or the proceeds of any other Indebtedness, Capital Stock) that is/are contractually, structurally or temporally senior (i.e., having a shorter maturity than the debt being refinanced) (including as to Lien priority with respect to any collateral, or by means of additional collateral or additional guarantors, obligors or other credit support) to any of the Notes (including, for the avoidance of doubt, through any incurrence of Indebtedness or the sale of, Capital Stock by a Person that is not a Note Party, whether or not such Person owns any assets or property).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w:t>
      </w:r>
      <w:r>
        <w:rPr>
          <w:rFonts w:ascii="Times New Roman" w:cs="Times New Roman" w:eastAsia="Times New Roman" w:hAnsi="Times New Roman"/>
          <w:sz w:val="22"/>
          <w:szCs w:val="22"/>
          <w:color w:val="auto"/>
        </w:rPr>
        <w:t xml:space="preserve">” means (A) a Fundamental Change (determined after giving effect to the proviso immediately after </w:t>
      </w:r>
      <w:r>
        <w:rPr>
          <w:rFonts w:ascii="Times New Roman" w:cs="Times New Roman" w:eastAsia="Times New Roman" w:hAnsi="Times New Roman"/>
          <w:sz w:val="22"/>
          <w:szCs w:val="22"/>
          <w:b w:val="1"/>
          <w:bCs w:val="1"/>
          <w:color w:val="auto"/>
        </w:rPr>
        <w:t>clause (D)</w:t>
      </w:r>
      <w:r>
        <w:rPr>
          <w:rFonts w:ascii="Times New Roman" w:cs="Times New Roman" w:eastAsia="Times New Roman" w:hAnsi="Times New Roman"/>
          <w:sz w:val="22"/>
          <w:szCs w:val="22"/>
          <w:color w:val="auto"/>
        </w:rPr>
        <w:t xml:space="preserve"> of the definition thereof, but without regard to the proviso to </w:t>
      </w:r>
      <w:r>
        <w:rPr>
          <w:rFonts w:ascii="Times New Roman" w:cs="Times New Roman" w:eastAsia="Times New Roman" w:hAnsi="Times New Roman"/>
          <w:sz w:val="22"/>
          <w:szCs w:val="22"/>
          <w:b w:val="1"/>
          <w:bCs w:val="1"/>
          <w:color w:val="auto"/>
        </w:rPr>
        <w:t>clause (B)(ii)</w:t>
      </w:r>
      <w:r>
        <w:rPr>
          <w:rFonts w:ascii="Times New Roman" w:cs="Times New Roman" w:eastAsia="Times New Roman" w:hAnsi="Times New Roman"/>
          <w:sz w:val="22"/>
          <w:szCs w:val="22"/>
          <w:color w:val="auto"/>
        </w:rPr>
        <w:t xml:space="preserve"> of such definition); or</w:t>
      </w:r>
    </w:p>
    <w:p>
      <w:pPr>
        <w:spacing w:after="0" w:line="1" w:lineRule="exact"/>
        <w:rPr>
          <w:sz w:val="20"/>
          <w:szCs w:val="20"/>
          <w:color w:val="auto"/>
        </w:rPr>
      </w:pPr>
    </w:p>
    <w:p>
      <w:pPr>
        <w:jc w:val="both"/>
        <w:ind w:firstLine="8"/>
        <w:spacing w:after="0" w:line="252" w:lineRule="auto"/>
        <w:tabs>
          <w:tab w:leader="none" w:pos="36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sending of a Redemption Notice pursuant to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b w:val="1"/>
          <w:bCs w:val="1"/>
          <w:color w:val="auto"/>
        </w:rPr>
        <w:t>Section 4.03(I)</w:t>
      </w:r>
      <w:r>
        <w:rPr>
          <w:rFonts w:ascii="Times New Roman" w:cs="Times New Roman" w:eastAsia="Times New Roman" w:hAnsi="Times New Roman"/>
          <w:sz w:val="22"/>
          <w:szCs w:val="22"/>
          <w:color w:val="auto"/>
        </w:rPr>
        <w:t>, the sending of a Redemption Notice will constitute a Make-Whole Fundamental Change only with respect to the Notes called for Redemption pursuant to such Redemption Notice and not with respect to any other Notes.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Conversion Period</w:t>
      </w:r>
      <w:r>
        <w:rPr>
          <w:rFonts w:ascii="Times New Roman" w:cs="Times New Roman" w:eastAsia="Times New Roman" w:hAnsi="Times New Roman"/>
          <w:sz w:val="22"/>
          <w:szCs w:val="22"/>
          <w:color w:val="auto"/>
        </w:rPr>
        <w:t>” has the following meaning:</w:t>
      </w:r>
    </w:p>
    <w:p>
      <w:pPr>
        <w:spacing w:after="0" w:line="220" w:lineRule="exact"/>
        <w:rPr>
          <w:sz w:val="20"/>
          <w:szCs w:val="20"/>
          <w:color w:val="auto"/>
        </w:rPr>
      </w:pPr>
    </w:p>
    <w:p>
      <w:pPr>
        <w:jc w:val="both"/>
        <w:ind w:firstLine="242"/>
        <w:spacing w:after="0" w:line="252" w:lineRule="auto"/>
        <w:tabs>
          <w:tab w:leader="none" w:pos="76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Make-Whole Fundamental Change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the period from, and including, the Make-Whole Fundamental Change Effective Date of such Make-Whole Fundamental Change to, and including, the seventieth (70th) Trading Day (or, in the case of a Make-Whole Fundamental Change resulting from a transaction or a series of related transactions comprising such Make-Whole Fundamental Change where all of the shares of Common Stock are converted into, or are exchanged for, or represent solely the right to receive, cash, the thirty-fifth (35th) Trading Day) after such Make-Whole Fundamental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66" w:name="page67"/>
    <w:bookmarkEnd w:id="66"/>
    <w:p>
      <w:pPr>
        <w:spacing w:after="0" w:line="271" w:lineRule="auto"/>
        <w:rPr>
          <w:sz w:val="20"/>
          <w:szCs w:val="20"/>
          <w:color w:val="auto"/>
        </w:rPr>
      </w:pPr>
      <w:r>
        <w:rPr>
          <w:rFonts w:ascii="Times New Roman" w:cs="Times New Roman" w:eastAsia="Times New Roman" w:hAnsi="Times New Roman"/>
          <w:sz w:val="22"/>
          <w:szCs w:val="22"/>
          <w:color w:val="auto"/>
        </w:rPr>
        <w:t>Change Effective Date (or, if such Make-Whole Fundamental Change also constitutes a Fundamental Change (other than an Exempted Fundamental Change), to, but excluding, the related Fundamental Change Repurchase Date); and</w:t>
      </w:r>
    </w:p>
    <w:p>
      <w:pPr>
        <w:spacing w:after="0" w:line="181" w:lineRule="exact"/>
        <w:rPr>
          <w:sz w:val="20"/>
          <w:szCs w:val="20"/>
          <w:color w:val="auto"/>
        </w:rPr>
      </w:pPr>
    </w:p>
    <w:p>
      <w:pPr>
        <w:jc w:val="both"/>
        <w:ind w:firstLine="248"/>
        <w:spacing w:after="0" w:line="265" w:lineRule="auto"/>
        <w:tabs>
          <w:tab w:leader="none" w:pos="76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the period from, and including, the Redemption Notice Date for the related Redemption to, and including, the Business Day immediately before the related Redemption Date;</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Conversion Date for the conversion of a Note that has been called (or deemed,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4.03(I)</w:t>
      </w:r>
      <w:r>
        <w:rPr>
          <w:rFonts w:ascii="Times New Roman" w:cs="Times New Roman" w:eastAsia="Times New Roman" w:hAnsi="Times New Roman"/>
          <w:sz w:val="22"/>
          <w:szCs w:val="22"/>
          <w:color w:val="auto"/>
        </w:rPr>
        <w:t xml:space="preserve">, to be called) for Redemption occurs during the Make-Whole Fundamental Change Conversion Period for both a Make-Whole Fundamental Change occurring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of “Make-Whole Fundamental Change” and a Make-Whole Fundamental Change resulting from such Redemption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such definition, then, notwithstanding anything to the contrary in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Effective Date</w:t>
      </w:r>
      <w:r>
        <w:rPr>
          <w:rFonts w:ascii="Times New Roman" w:cs="Times New Roman" w:eastAsia="Times New Roman" w:hAnsi="Times New Roman"/>
          <w:sz w:val="22"/>
          <w:szCs w:val="22"/>
          <w:color w:val="auto"/>
        </w:rPr>
        <w:t xml:space="preserve">” means (A) with respect to a Make-Whole Fundamental Change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the applicable Redemption Notice Date.</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a material adverse effect on (a) the business, assets, operations or financial condition of the Company and its Subsidiaries, taken as a whole, (b) the ability of the Note Parties, taken as a whole, to perform any of their payment Obligations when due, (c) the Collateral (taken as a whole), or the Collateral Agent’s Liens (on behalf of itself and the other Secured Parties) on such Collateral or the priority of such Liens, or (d) the validity or enforceability of this Indenture or any and all other Note Documents or the rights of or benefits available to the Trustee, the Collateral Agent or the Holders under any of the Note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67" w:name="page68"/>
    <w:bookmarkEnd w:id="67"/>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Asset</w:t>
      </w:r>
      <w:r>
        <w:rPr>
          <w:rFonts w:ascii="Times New Roman" w:cs="Times New Roman" w:eastAsia="Times New Roman" w:hAnsi="Times New Roman"/>
          <w:sz w:val="22"/>
          <w:szCs w:val="22"/>
          <w:color w:val="auto"/>
        </w:rPr>
        <w:t>” means any property, business or asset in each case that is of material value or that is material to the operation of the business of the Company and its Subsidiaries, taken as a whole. For the avoidance of doubt, Material Asset shall include Material Intellectual Property.</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Domestic Subsidiary</w:t>
      </w:r>
      <w:r>
        <w:rPr>
          <w:rFonts w:ascii="Times New Roman" w:cs="Times New Roman" w:eastAsia="Times New Roman" w:hAnsi="Times New Roman"/>
          <w:sz w:val="22"/>
          <w:szCs w:val="22"/>
          <w:color w:val="auto"/>
        </w:rPr>
        <w:t xml:space="preserve">” means each Domestic Subsidiary (i) which, as of the most recent fiscal quarter of the Company, for the period of four consecutive fiscal quarters then ended, contributed greater than five percent (5%) of Consolidated EBITDA for such period, (ii) which contributed greater than five percent (5%) of Consolidated Total Assets as of such date or (iii) which owns or holds any rights to any Material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the aggregate amount of Consolidated EBITDA or Consolidated Total Assets attributable to all Domestic Subsidiaries that are not Material Domestic Subsidiaries exceeds five percent (5%) of Consolidated EBITDA for any such period or five percent (5%) of Consolidated Total Assets as of the end of any such fiscal quarter, the Company (or, in the event the Company has failed to do so within ten</w:t>
      </w:r>
    </w:p>
    <w:p>
      <w:pPr>
        <w:spacing w:after="0" w:line="7" w:lineRule="exact"/>
        <w:rPr>
          <w:sz w:val="20"/>
          <w:szCs w:val="20"/>
          <w:color w:val="auto"/>
        </w:rPr>
      </w:pPr>
    </w:p>
    <w:p>
      <w:pPr>
        <w:jc w:val="both"/>
        <w:ind w:firstLine="8"/>
        <w:spacing w:after="0" w:line="245" w:lineRule="auto"/>
        <w:tabs>
          <w:tab w:leader="none" w:pos="46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 Required Holders) shall designate sufficient Domestic Subsidiaries as “Material Domestic Subsidiaries” to eliminate such excess, and such designated Subsidiaries shall for all purposes of this Indenture constitute Material Domestic Subsidiaries.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Foreign Subsidiary</w:t>
      </w:r>
      <w:r>
        <w:rPr>
          <w:rFonts w:ascii="Times New Roman" w:cs="Times New Roman" w:eastAsia="Times New Roman" w:hAnsi="Times New Roman"/>
          <w:sz w:val="22"/>
          <w:szCs w:val="22"/>
          <w:color w:val="auto"/>
        </w:rPr>
        <w:t>” means each Foreign Subsidiary, subject to Section 3.36, (i) which, as of the most recent fiscal quarter of the Company, for the period of four consecutive fiscal quarters then ended, contributed greater than ten percent (10%) of consolidated net revenue of the Company and its Subsidiaries, calculated for such period or (ii) which owns or holds any title, interests or rights in any Material Assets; provided that, if at any time the aggregate amount of consolidated net revenue attributable to all Foreign Subsidiaries that are not Material Foreign Subsidiaries exceeds twenty percent (20%) of consolidated net revenue of the Company and its Subsidiaries for any such period, the Company (or, in the event the Company has failed to do so within ten (10) Business Days, the Required Holders) shall designate sufficient Foreign Subsidiaries as “Material Foreign Subsidiaries” to eliminate such excess, and such designated Subsidiaries shall for all purposes of this Indenture constitute Material Foreign Subsidiaries.</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Intellectual Property</w:t>
      </w:r>
      <w:r>
        <w:rPr>
          <w:rFonts w:ascii="Times New Roman" w:cs="Times New Roman" w:eastAsia="Times New Roman" w:hAnsi="Times New Roman"/>
          <w:sz w:val="21"/>
          <w:szCs w:val="21"/>
          <w:color w:val="auto"/>
        </w:rPr>
        <w:t>” means Intellectual Property, whether currently owned by (or purported to be owned by) or subject to an in-license, covenant not to sue or similar right (or purported to be subject to an in-license, covenant not to sue or similar right) for the benefit of the Company or any of its Subsidiaries, or acquired, developed or obtained by or otherwise in-licensed to the Company or any of its Subsidiaries after the Issue Date that is, in each case, material to any current, planned or anticipated business of the Company or any of its Subsidiaries. Material Intellectual Property includes, without limitation, all Intellectual Property that is material to and used in connection with or necessary for HydraFacial LLC’s current and contemplated technology platform. Items of Material Intellectual Property may from time to time no longer be characterized by the Company and its Subsidiaries as Material Intellectual Property if the Company and its Subsidiary reasonably and in good faith believe such items to no longer warrant such characterization and discontinuing such characterization would not reasonably be expected to interfere in any material respect with the ordinary conduct of business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68" w:name="page69"/>
    <w:bookmarkEnd w:id="68"/>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Real Property</w:t>
      </w:r>
      <w:r>
        <w:rPr>
          <w:rFonts w:ascii="Times New Roman" w:cs="Times New Roman" w:eastAsia="Times New Roman" w:hAnsi="Times New Roman"/>
          <w:sz w:val="22"/>
          <w:szCs w:val="22"/>
          <w:color w:val="auto"/>
        </w:rPr>
        <w:t>” means any fee owned real property located in the United States that is owned by the Company or any Guarantor with a fair market value in excess of $10,000,000 (at the Issue Date or, with respect to real property acquired (or owned by a Person that becomes the Company or a Guarantor) after the Issue Date, at the time of acquisition or, in each case, on any subsequent date, in each case, as reasonably estimated by the Company in good faith).</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Subsidiary</w:t>
      </w:r>
      <w:r>
        <w:rPr>
          <w:rFonts w:ascii="Times New Roman" w:cs="Times New Roman" w:eastAsia="Times New Roman" w:hAnsi="Times New Roman"/>
          <w:sz w:val="22"/>
          <w:szCs w:val="22"/>
          <w:color w:val="auto"/>
        </w:rPr>
        <w:t>” means each Material Domestic Subsidiary and each Material Foreign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November 15, 2028.</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mean, collectively, the mortgages, trust deeds, deeds of trust, deeds to secure debt, assignments of leases and rents, and other security documents (including amendments to any of the foregoing) delivered with respect to Material Real Properties, in a reasonable and customary form sufficient to create a security interest in, and a mortgage on, the applicable Material Real Property in favor of the Collateral Agent, for the benefit of the Secured Parties, under the law of the applicable jurisdiction and suitable for recording in such jurisdiction.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Non-Affiliate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Agent</w:t>
      </w:r>
      <w:r>
        <w:rPr>
          <w:rFonts w:ascii="Times New Roman" w:cs="Times New Roman" w:eastAsia="Times New Roman" w:hAnsi="Times New Roman"/>
          <w:sz w:val="22"/>
          <w:szCs w:val="22"/>
          <w:color w:val="auto"/>
        </w:rPr>
        <w:t>” means any Collateral Agent, Registrar, Paying Agent or Conversion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Party</w:t>
      </w:r>
      <w:r>
        <w:rPr>
          <w:rFonts w:ascii="Times New Roman" w:cs="Times New Roman" w:eastAsia="Times New Roman" w:hAnsi="Times New Roman"/>
          <w:sz w:val="22"/>
          <w:szCs w:val="22"/>
          <w:color w:val="auto"/>
        </w:rPr>
        <w:t>” means the Company and the Guarantors.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Documents</w:t>
      </w:r>
      <w:r>
        <w:rPr>
          <w:rFonts w:ascii="Times New Roman" w:cs="Times New Roman" w:eastAsia="Times New Roman" w:hAnsi="Times New Roman"/>
          <w:sz w:val="22"/>
          <w:szCs w:val="22"/>
          <w:color w:val="auto"/>
        </w:rPr>
        <w:t>” shall mean this Indenture, the Notes, the Guarantees and the Collateral Documents.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Obligations</w:t>
      </w:r>
      <w:r>
        <w:rPr>
          <w:rFonts w:ascii="Times New Roman" w:cs="Times New Roman" w:eastAsia="Times New Roman" w:hAnsi="Times New Roman"/>
          <w:sz w:val="22"/>
          <w:szCs w:val="22"/>
          <w:color w:val="auto"/>
        </w:rPr>
        <w:t>” shall mean all Obligations of the Company or any of the Guarantors owing to any Secured Party, in each case in respect of the Notes or arising under any Note Document.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means the 7.95% Convertible Senior Secured Notes due 2028 (including any Additional Notes) issued by the Company pursuant to this Indenture.</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any principal, interest, premium, penalties, fees, expenses, costs, indemnifications, reimbursements, damages, liabilities and other obligations (monetary or otherwise) under the documentation governing any Indebtedness (including, without limitation, (i) any amounts or other consideration due upon conversion of such Indebtedness and (ii) any interest, costs, fees, expenses, indemnities and other amounts accruing subsequent to the filing of a petition in an insolvency or liquidation proceeding or similar proceeding, whether or not such amounts are an allowed claim under applicable state, federal or foreign law),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18" w:right="339" w:bottom="1440" w:gutter="0" w:footer="0" w:header="0"/>
        </w:sectPr>
      </w:pPr>
    </w:p>
    <w:bookmarkStart w:id="69" w:name="page70"/>
    <w:bookmarkEnd w:id="69"/>
    <w:p>
      <w:pPr>
        <w:jc w:val="both"/>
        <w:spacing w:after="0" w:line="271" w:lineRule="auto"/>
        <w:rPr>
          <w:sz w:val="20"/>
          <w:szCs w:val="20"/>
          <w:color w:val="auto"/>
        </w:rPr>
      </w:pPr>
      <w:r>
        <w:rPr>
          <w:rFonts w:ascii="Times New Roman" w:cs="Times New Roman" w:eastAsia="Times New Roman" w:hAnsi="Times New Roman"/>
          <w:sz w:val="22"/>
          <w:szCs w:val="22"/>
          <w:color w:val="auto"/>
        </w:rPr>
        <w:t>howsoever created, arising or evidenced, whether direct or indirect (including those acquired by assignment), absolute or contingent, now or hereafter existing, or due or to become due.</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Observation Period</w:t>
      </w:r>
      <w:r>
        <w:rPr>
          <w:rFonts w:ascii="Times New Roman" w:cs="Times New Roman" w:eastAsia="Times New Roman" w:hAnsi="Times New Roman"/>
          <w:sz w:val="21"/>
          <w:szCs w:val="21"/>
          <w:color w:val="auto"/>
        </w:rPr>
        <w:t xml:space="preserve">” means, with respect to any Note to be converted, (A) subject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below, if the Conversion Date for such Note occurs on or before the forty-first (41st) Scheduled Trading Day immediately before the Maturity, the forty (40) consecutive VWAP Trading Days beginning on, and including, the third (3rd) VWAP Trading Day immediately after such Conversion Date; (B) if such Conversion Date occurs on or after the date the Company has sent a Redemption Notice calling such Note for Redemption pursuant to </w:t>
      </w:r>
      <w:r>
        <w:rPr>
          <w:rFonts w:ascii="Times New Roman" w:cs="Times New Roman" w:eastAsia="Times New Roman" w:hAnsi="Times New Roman"/>
          <w:sz w:val="21"/>
          <w:szCs w:val="21"/>
          <w:b w:val="1"/>
          <w:bCs w:val="1"/>
          <w:color w:val="auto"/>
        </w:rPr>
        <w:t>Section 4.03(F)</w:t>
      </w:r>
      <w:r>
        <w:rPr>
          <w:rFonts w:ascii="Times New Roman" w:cs="Times New Roman" w:eastAsia="Times New Roman" w:hAnsi="Times New Roman"/>
          <w:sz w:val="21"/>
          <w:szCs w:val="21"/>
          <w:color w:val="auto"/>
        </w:rPr>
        <w:t xml:space="preserve"> and before the Business Day immediately prior to the related Redemption Date, the forty (40) consecutive VWAP Trading Days beginning on, and including, the forty first (41st) Scheduled Trading Day immediately before such Redemption Date; and (C) otherwise the forty (40) consecutive VWAP Trading Days beginning on, and including, the forty-first (41st) Scheduled Trading Day immediately before the Maturity Date.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Off-Balance Sheet Liability</w:t>
      </w:r>
      <w:r>
        <w:rPr>
          <w:rFonts w:ascii="Times New Roman" w:cs="Times New Roman" w:eastAsia="Times New Roman" w:hAnsi="Times New Roman"/>
          <w:sz w:val="22"/>
          <w:szCs w:val="22"/>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xml:space="preserve">” means an opinion, from legal counsel (including an employee of, or counsel to, the Company or any of its Subsidiaries) reasonably acceptable to the Trustee and/or Collateral Agent, that meets the requirements of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 subject to customary qualifications and exclusions.</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Partnership</w:t>
      </w:r>
      <w:r>
        <w:rPr>
          <w:rFonts w:ascii="Times New Roman" w:cs="Times New Roman" w:eastAsia="Times New Roman" w:hAnsi="Times New Roman"/>
          <w:sz w:val="22"/>
          <w:szCs w:val="22"/>
          <w:color w:val="auto"/>
        </w:rPr>
        <w:t>” means a voluntary, contractual association between two or more parties to carry out business for-profit as co-owners.</w:t>
      </w:r>
    </w:p>
    <w:p>
      <w:pPr>
        <w:spacing w:after="0" w:line="122"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means any Acquisition by any Note Party in a transaction that satisfies each of the following requirements:</w:t>
      </w:r>
    </w:p>
    <w:p>
      <w:pPr>
        <w:spacing w:after="0" w:line="150" w:lineRule="exact"/>
        <w:rPr>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not a Hostile Acquisition;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business or product, as applicable, acquired in connection with such Acquisition is engaged, directly or indirectly, in any line of business in which the Company and its Subsidiaries are engaged on the Issue Date and any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70" w:name="page71"/>
    <w:bookmarkEnd w:id="70"/>
    <w:p>
      <w:pPr>
        <w:ind w:left="660"/>
        <w:spacing w:after="0" w:line="236" w:lineRule="auto"/>
        <w:rPr>
          <w:sz w:val="20"/>
          <w:szCs w:val="20"/>
          <w:color w:val="auto"/>
        </w:rPr>
      </w:pPr>
      <w:r>
        <w:rPr>
          <w:rFonts w:ascii="Times New Roman" w:cs="Times New Roman" w:eastAsia="Times New Roman" w:hAnsi="Times New Roman"/>
          <w:sz w:val="22"/>
          <w:szCs w:val="22"/>
          <w:color w:val="auto"/>
        </w:rPr>
        <w:t>or activities that are reasonably complementary, ancillary, substantially similar, related, or incidental thereto or any business or activity that is a reasonable extension, development or expansion thereof or ancillary thereto;</w:t>
      </w:r>
    </w:p>
    <w:p>
      <w:pPr>
        <w:spacing w:after="0" w:line="150" w:lineRule="exact"/>
        <w:rPr>
          <w:sz w:val="20"/>
          <w:szCs w:val="20"/>
          <w:color w:val="auto"/>
        </w:rPr>
      </w:pPr>
    </w:p>
    <w:p>
      <w:pPr>
        <w:ind w:left="660" w:firstLine="644"/>
        <w:spacing w:after="0" w:line="236" w:lineRule="auto"/>
        <w:tabs>
          <w:tab w:leader="none" w:pos="195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immediately after giving effect (including giving effect on a pro forma basis) to such Acquisition, no Event of Default then exists or would result therefrom;</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not less than thirty (30) days prior to such Acquisition (or such shorter period as agreed by the Required Holders in their sole discretion), the Company has provided the Holders (i) notice of such Acquisition and (ii) a copy of all business and financial information reasonably requested by the Required Holders including pro forma financial statements and statements of cash flow;</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Acquisition is an acquisition of equity interests, such Acquisition will not result in any violation of</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Regulation U;</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Acquisition involves a merger or a consolidation involving any Note Party, such Note Party shall be the surviving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merger or consolidation involving the Company shall result in the Company as the surviving entity).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Party shall, as a result of or in connection with any such Acquisition, assume or incur any direct or contingent liabilities (whether relating to environmental, tax, litigation, or other matters) that would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 Acquisition of the equity interests of any Person, all Liens (other than Liens permitted by Section 3.09) on any property of such Person shall be terminated, and in connection with an Acquisition of the assets of any Person, all Liens on such assets shall be terminated, in each case, except for Liens permitted by Section 3.09;</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newly acquired or formed Subsidiary of the Company shall become a Note Party and all actions required to be taken with respect to such newly acquired or formed Subsidiary of the Company required under Section 3.22(B) shall have been taken;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by the Required Holders, the Company shall have delivered to the Trustee the final executed documentation relating to such Acquisition promptly following the consummation thereof;</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total consideration paid or payable (including all transaction costs, assumed Indebtedness, and the maximum amount of all Earn-Outs (other than royalty payments based solely on a percentage of sales or revenues attributable to the Permitted Acquisitions), but disregarding any working capital adjustments) for all Permitted Acquisitions shall not exceed, on a cumulative basis subsequent to the Issue Date, $30,000,000.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Encumbrances</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jc w:val="both"/>
        <w:ind w:left="660" w:firstLine="644"/>
        <w:spacing w:after="0" w:line="225"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assessments or other governmental charges that are not yet due or not subject to penalties for nonpayment or are being contested in good faith by appropriate proceedings and for which the Company has set aside on its books adequate reserves with respect thereto in accordance with GAAP;</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landlords’, mechanics’, materialmen’s, repairmen’s and other like Liens imposed by law, arising in the ordinary course of business and securing obligations that are not overdue by more than thirty (30) days or are being contested in good faith by appropriate proceedings and for which the Company has set aside on its books adequate reserves with respect thereto in accordance with GAAP;</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workers’ compensation, unemployment insurance and other social security laws or regulations;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to secure the performance of bids, trade contracts, leases, statutory obligations, surety and appeal bonds, performance bonds and other obligations of a like nature, in each case in the ordinary course of business and (ii) pledges and deposits in the ordinary course of business securing liability for reimbursement or indemnification obligations of insurance carriers providing property, casualty or liability insurance to the Company or any Subsidiary;</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or any of its Subsidiaries;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non-exclusive licenses, subleases or non-exclusive sublicenses granted to third parties, in each case, in the ordinary course of business and not interfering in any material respect with the ordinary conduct of business of the Company or any Subsidiary;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 banking or other financial institution arising as a matter of law or in the ordinary course of business under customary general terms and conditions encumbering deposits or other funds maintained with a depository bank or financial institution (including the right of set-off) and that are within the general parameters customary in the banking industry or arising pursuant to such banking institution’s general terms and conditions;</w:t>
      </w:r>
    </w:p>
    <w:p>
      <w:pPr>
        <w:spacing w:after="0" w:line="17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“Permitted Encumbrances” shall not include any Lien securing Indebtedness or any Lien secured by Material Intellectual Property.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 means:</w:t>
      </w:r>
    </w:p>
    <w:p>
      <w:pPr>
        <w:spacing w:after="0" w:line="183" w:lineRule="exact"/>
        <w:rPr>
          <w:sz w:val="20"/>
          <w:szCs w:val="20"/>
          <w:color w:val="auto"/>
        </w:rPr>
      </w:pPr>
    </w:p>
    <w:p>
      <w:pPr>
        <w:ind w:left="660" w:firstLine="644"/>
        <w:spacing w:after="0" w:line="236" w:lineRule="auto"/>
        <w:tabs>
          <w:tab w:leader="none" w:pos="19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U.S. (or by any agency thereof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1" w:right="339" w:bottom="1440" w:gutter="0" w:footer="0" w:header="0"/>
        </w:sectPr>
      </w:pPr>
    </w:p>
    <w:bookmarkStart w:id="72" w:name="page73"/>
    <w:bookmarkEnd w:id="72"/>
    <w:p>
      <w:pPr>
        <w:ind w:left="660"/>
        <w:spacing w:after="0" w:line="236" w:lineRule="auto"/>
        <w:rPr>
          <w:sz w:val="20"/>
          <w:szCs w:val="20"/>
          <w:color w:val="auto"/>
        </w:rPr>
      </w:pPr>
      <w:r>
        <w:rPr>
          <w:rFonts w:ascii="Times New Roman" w:cs="Times New Roman" w:eastAsia="Times New Roman" w:hAnsi="Times New Roman"/>
          <w:sz w:val="22"/>
          <w:szCs w:val="22"/>
          <w:color w:val="auto"/>
        </w:rPr>
        <w:t>obligations are backed by the full faith and credit of the U.S.), in each case maturing within one year from the date of acquisition thereof;</w:t>
      </w:r>
    </w:p>
    <w:p>
      <w:pPr>
        <w:spacing w:after="0" w:line="150" w:lineRule="exact"/>
        <w:rPr>
          <w:sz w:val="20"/>
          <w:szCs w:val="20"/>
          <w:color w:val="auto"/>
        </w:rPr>
      </w:pPr>
    </w:p>
    <w:p>
      <w:pPr>
        <w:ind w:left="660" w:firstLine="644"/>
        <w:spacing w:after="0" w:line="236" w:lineRule="auto"/>
        <w:tabs>
          <w:tab w:leader="none" w:pos="195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6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Note</w:t>
      </w:r>
      <w:r>
        <w:rPr>
          <w:rFonts w:ascii="Times New Roman" w:cs="Times New Roman" w:eastAsia="Times New Roman" w:hAnsi="Times New Roman"/>
          <w:sz w:val="22"/>
          <w:szCs w:val="22"/>
          <w:color w:val="auto"/>
        </w:rPr>
        <w:t xml:space="preserve">” means a Note (other than a Global Note) that is represented by a certificate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Holder of such Note and duly executed by the Company and authenticated by the Trustee.</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Equity Proceeds</w:t>
      </w:r>
      <w:r>
        <w:rPr>
          <w:rFonts w:ascii="Times New Roman" w:cs="Times New Roman" w:eastAsia="Times New Roman" w:hAnsi="Times New Roman"/>
          <w:sz w:val="22"/>
          <w:szCs w:val="22"/>
          <w:color w:val="auto"/>
        </w:rPr>
        <w:t>” means the net cash proceeds of any equity interests (other than Disqualified Equity Interests) issued by the Company to its shareholders.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w:t>
      </w:r>
      <w:r>
        <w:rPr>
          <w:rFonts w:ascii="Times New Roman" w:cs="Times New Roman" w:eastAsia="Times New Roman" w:hAnsi="Times New Roman"/>
          <w:sz w:val="22"/>
          <w:szCs w:val="22"/>
          <w:color w:val="auto"/>
        </w:rPr>
        <w:t xml:space="preserve">” means the repurchase of any Note by the Company pursuant to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25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xml:space="preserve">” means the date fixed, pursuant to </w:t>
      </w:r>
      <w:r>
        <w:rPr>
          <w:rFonts w:ascii="Times New Roman" w:cs="Times New Roman" w:eastAsia="Times New Roman" w:hAnsi="Times New Roman"/>
          <w:sz w:val="22"/>
          <w:szCs w:val="22"/>
          <w:b w:val="1"/>
          <w:bCs w:val="1"/>
          <w:color w:val="auto"/>
        </w:rPr>
        <w:t>Section 4.03(D)</w:t>
      </w:r>
      <w:r>
        <w:rPr>
          <w:rFonts w:ascii="Times New Roman" w:cs="Times New Roman" w:eastAsia="Times New Roman" w:hAnsi="Times New Roman"/>
          <w:sz w:val="22"/>
          <w:szCs w:val="22"/>
          <w:color w:val="auto"/>
        </w:rPr>
        <w:t>, for the settlement of the repurchase of any Notes by the Company pursuant to a Redemption.</w:t>
      </w:r>
    </w:p>
    <w:p>
      <w:pPr>
        <w:spacing w:after="0" w:line="176" w:lineRule="exact"/>
        <w:rPr>
          <w:sz w:val="20"/>
          <w:szCs w:val="20"/>
          <w:color w:val="auto"/>
        </w:rPr>
      </w:pPr>
    </w:p>
    <w:p>
      <w:pPr>
        <w:jc w:val="both"/>
        <w:ind w:right="20" w:firstLine="31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 Date</w:t>
      </w:r>
      <w:r>
        <w:rPr>
          <w:rFonts w:ascii="Times New Roman" w:cs="Times New Roman" w:eastAsia="Times New Roman" w:hAnsi="Times New Roman"/>
          <w:sz w:val="22"/>
          <w:szCs w:val="22"/>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xml:space="preserve">” means the cash price payable by the Company to redeem any Note upon its Redemption, calculated pursuant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Trigger Date</w:t>
      </w:r>
      <w:r>
        <w:rPr>
          <w:rFonts w:ascii="Times New Roman" w:cs="Times New Roman" w:eastAsia="Times New Roman" w:hAnsi="Times New Roman"/>
          <w:sz w:val="22"/>
          <w:szCs w:val="22"/>
          <w:color w:val="auto"/>
        </w:rPr>
        <w:t>” means the day that is 75 days prior to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73" w:name="page74"/>
    <w:bookmarkEnd w:id="73"/>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Record Date</w:t>
      </w:r>
      <w:r>
        <w:rPr>
          <w:rFonts w:ascii="Times New Roman" w:cs="Times New Roman" w:eastAsia="Times New Roman" w:hAnsi="Times New Roman"/>
          <w:sz w:val="22"/>
          <w:szCs w:val="22"/>
          <w:color w:val="auto"/>
        </w:rPr>
        <w:t>” has the following meaning with respect to an Interest Payment Date: (A) if such Interest Payment Date occurs on May 15, the immediately preceding May 1; and (B) if such Interest Payment Date occurs on November 15, the immediately preceding November 1.</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Repurchase Upon Fundamental Change</w:t>
      </w:r>
      <w:r>
        <w:rPr>
          <w:rFonts w:ascii="Times New Roman" w:cs="Times New Roman" w:eastAsia="Times New Roman" w:hAnsi="Times New Roman"/>
          <w:sz w:val="22"/>
          <w:szCs w:val="22"/>
          <w:color w:val="auto"/>
        </w:rPr>
        <w:t xml:space="preserve">” means the repurchase of any Note by the Company pursuant to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Holders</w:t>
      </w:r>
      <w:r>
        <w:rPr>
          <w:rFonts w:ascii="Times New Roman" w:cs="Times New Roman" w:eastAsia="Times New Roman" w:hAnsi="Times New Roman"/>
          <w:sz w:val="22"/>
          <w:szCs w:val="22"/>
          <w:color w:val="auto"/>
        </w:rPr>
        <w:t xml:space="preserve">” means Holders holding more than 50% of the aggregate principal amount of the Notes then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Disposition Date, the “Required Holders” must include the Deerfield Holders (it being understood that any request, action or direction by the Deerfield Holders as a Required Holder shall be deemed a certification that the Disposition Date has not occurred). For the avoidance of doubt, the Administrative Determination Holder(s) may act on behalf of the Required Holders in accordance with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Note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xml:space="preserve">” means, as the case may be,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 and any management, advisory, or similar fee paid to the direct or indirect owners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payment of compensation in the ordinary course of business to holders of any equity interests who are employees or directors of the Company or any Subsidiary on such date of payment and (b) tax obligations in connection with such payments of compensation shall in no event be deemed to constitute a Restricted Payment; provided, further that any replacement, payment, prepayment, conversion, repurchase, redemption, purchase, extension, renewal, or replacement of any Existing Notes shall in no event be deemed to constitute a Restricted Payment but shall be subject to </w:t>
      </w:r>
      <w:r>
        <w:rPr>
          <w:rFonts w:ascii="Times New Roman" w:cs="Times New Roman" w:eastAsia="Times New Roman" w:hAnsi="Times New Roman"/>
          <w:sz w:val="22"/>
          <w:szCs w:val="22"/>
          <w:b w:val="1"/>
          <w:bCs w:val="1"/>
          <w:color w:val="auto"/>
        </w:rPr>
        <w:t>Section 3.15(B)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3.08(S)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Legend</w:t>
      </w:r>
      <w:r>
        <w:rPr>
          <w:rFonts w:ascii="Times New Roman" w:cs="Times New Roman" w:eastAsia="Times New Roman" w:hAnsi="Times New Roman"/>
          <w:sz w:val="22"/>
          <w:szCs w:val="22"/>
          <w:color w:val="auto"/>
        </w:rPr>
        <w:t>” means, with respect to any Conversion Share, a legend substantially to the effect that the offer and sale of such Conversion Share have not been registered under the Securities Act and that such Conversion Share cannot be sold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8" w:right="339" w:bottom="1440" w:gutter="0" w:footer="0" w:header="0"/>
        </w:sectPr>
      </w:pPr>
    </w:p>
    <w:bookmarkStart w:id="74" w:name="page75"/>
    <w:bookmarkEnd w:id="7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transferred except pursuant to a transaction that is registered under the Securities Act or that is exempt from, or not subject to, the registration requirements of the Securities Act.</w:t>
      </w:r>
    </w:p>
    <w:p>
      <w:pPr>
        <w:spacing w:after="0" w:line="15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under the Securities Act (or any successor rule thereto), as the same may be amended from time to time.</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under the Securities Act (or any successor rule thereto), as the same may be amended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and Leaseback Transaction</w:t>
      </w:r>
      <w:r>
        <w:rPr>
          <w:rFonts w:ascii="Times New Roman" w:cs="Times New Roman" w:eastAsia="Times New Roman" w:hAnsi="Times New Roman"/>
          <w:sz w:val="22"/>
          <w:szCs w:val="22"/>
          <w:color w:val="auto"/>
        </w:rPr>
        <w:t>” has the meaning assigned to such term in Section 3.13.</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the Office of Foreign Assets Control of the United States Department of the Treasury or the U.S. Department of State, or (b) the United Nations Security Council, the European Union, any European Union member state or His Majesty’s Treasury of the United Kingdom or other sanctions authority applicable to the Company or any of its Affiliates.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 Documents</w:t>
      </w:r>
      <w:r>
        <w:rPr>
          <w:rFonts w:ascii="Times New Roman" w:cs="Times New Roman" w:eastAsia="Times New Roman" w:hAnsi="Times New Roman"/>
          <w:sz w:val="22"/>
          <w:szCs w:val="22"/>
          <w:color w:val="auto"/>
        </w:rPr>
        <w:t>” means all annual, quarterly and current reports, proxy statements, registration statements, prospectuses and other material schedules, forms, statements and other material documents filed by any Note Party or any of its Subsidiaries with the SEC pursuant to the Securities Act or the Exchange Act (including all financial statements and schedules included therein, all exhibits thereto and all documents incorporated by reference therein).</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the Trustee, the Collateral Agent, the Holders of the Notes and any other holder of Note Obligations or Secured Obligations (as defined in the Security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means any Note or Conversion Share.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 means that certain Security Agreement, dated as the Issue Date, by and among the Company, the other grantors from time to time party thereto and the Collateral Agent.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w:t>
      </w:r>
      <w:r>
        <w:rPr>
          <w:rFonts w:ascii="Times New Roman" w:cs="Times New Roman" w:eastAsia="Times New Roman" w:hAnsi="Times New Roman"/>
          <w:sz w:val="22"/>
          <w:szCs w:val="22"/>
          <w:color w:val="auto"/>
        </w:rPr>
        <w:t>” means Cash Settlement, Physical Settlement or Combination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75" w:name="page76"/>
    <w:bookmarkEnd w:id="75"/>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means, with respect to any Person, any Subsidiary of such Person that constitutes a “significant subsidiary” (as defined in Rule 1-02(w) of Regulation S-X under the Exchange Act) of such Person.</w:t>
      </w:r>
    </w:p>
    <w:p>
      <w:pPr>
        <w:spacing w:after="0" w:line="14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Dollar Amount</w:t>
      </w:r>
      <w:r>
        <w:rPr>
          <w:rFonts w:ascii="Times New Roman" w:cs="Times New Roman" w:eastAsia="Times New Roman" w:hAnsi="Times New Roman"/>
          <w:sz w:val="22"/>
          <w:szCs w:val="22"/>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Holders</w:t>
      </w:r>
      <w:r>
        <w:rPr>
          <w:rFonts w:ascii="Times New Roman" w:cs="Times New Roman" w:eastAsia="Times New Roman" w:hAnsi="Times New Roman"/>
          <w:sz w:val="22"/>
          <w:szCs w:val="22"/>
          <w:color w:val="auto"/>
        </w:rPr>
        <w:t>” means the BlackRock Holders, Context Holders and Deerfield Holders.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Price</w:t>
      </w:r>
      <w:r>
        <w:rPr>
          <w:rFonts w:ascii="Times New Roman" w:cs="Times New Roman" w:eastAsia="Times New Roman" w:hAnsi="Times New Roman"/>
          <w:sz w:val="22"/>
          <w:szCs w:val="22"/>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1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Subordinated Indebtedness</w:t>
      </w:r>
      <w:r>
        <w:rPr>
          <w:rFonts w:ascii="Times New Roman" w:cs="Times New Roman" w:eastAsia="Times New Roman" w:hAnsi="Times New Roman"/>
          <w:sz w:val="22"/>
          <w:szCs w:val="22"/>
          <w:color w:val="auto"/>
        </w:rPr>
        <w:t>” of a Person means any Indebtedness of such Person the payment of which is contractually subordinated to payment of the Note Obligations on terms satisfactory to the Collateral Agent (acting as directed by the Required Holders).</w:t>
      </w:r>
    </w:p>
    <w:p>
      <w:pPr>
        <w:spacing w:after="0" w:line="16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6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Agreement</w:t>
      </w:r>
      <w:r>
        <w:rPr>
          <w:rFonts w:ascii="Times New Roman" w:cs="Times New Roman" w:eastAsia="Times New Roman" w:hAnsi="Times New Roman"/>
          <w:sz w:val="22"/>
          <w:szCs w:val="22"/>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18" w:right="339" w:bottom="1440" w:gutter="0" w:footer="0" w:header="0"/>
        </w:sectPr>
      </w:pPr>
    </w:p>
    <w:bookmarkStart w:id="76" w:name="page77"/>
    <w:bookmarkEnd w:id="76"/>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risk or value or any similar transaction or any combination of these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a Person shall be a Swap Agreement.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Termination Value</w:t>
      </w:r>
      <w:r>
        <w:rPr>
          <w:rFonts w:ascii="Times New Roman" w:cs="Times New Roman" w:eastAsia="Times New Roman" w:hAnsi="Times New Roman"/>
          <w:sz w:val="22"/>
          <w:szCs w:val="22"/>
          <w:color w:val="auto"/>
        </w:rPr>
        <w:t>” means, in respect of any one or more Swap Agreement, after taking into account the effect of any legally enforceable netting agreement relating to such Swap Agreement, (a) for any date on or after the date such Swap Agreement have been closed out and termination value(s) determined in accordance therewith, such termination value(s), and (b) for any date prior to the date referenced in clause (a), the amount(s) determined as the mark-to-market value(s) for such Swap Agreement, as determined based upon one or more mid-market or other readily available quotations provided by any recognized dealer in such Swap Agreement.</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3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Transfer-Restricted Security</w:t>
      </w:r>
      <w:r>
        <w:rPr>
          <w:rFonts w:ascii="Times New Roman" w:cs="Times New Roman" w:eastAsia="Times New Roman" w:hAnsi="Times New Roman"/>
          <w:sz w:val="22"/>
          <w:szCs w:val="22"/>
          <w:color w:val="auto"/>
        </w:rPr>
        <w:t xml:space="preserve">” means any Security that constitutes a “restricted security” (as defined in Rule 144);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Security will cease to be a Transfer-Restricted Security upon the earliest to occur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events:</w:t>
      </w:r>
    </w:p>
    <w:p>
      <w:pPr>
        <w:spacing w:after="0" w:line="150" w:lineRule="exact"/>
        <w:rPr>
          <w:sz w:val="20"/>
          <w:szCs w:val="20"/>
          <w:color w:val="auto"/>
        </w:rPr>
      </w:pPr>
    </w:p>
    <w:p>
      <w:pPr>
        <w:ind w:firstLine="656"/>
        <w:spacing w:after="0" w:line="236" w:lineRule="auto"/>
        <w:tabs>
          <w:tab w:leader="none" w:pos="128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Trustee is under no obligation to determine whether any Security is a Transfer-Restricted Security and may conclusively rely on an Officer’s Certificate with respect thereto.</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means the U.S. Trust Indenture Act of 1939, as amended.</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Person named as such in the first paragraph of this Indenture until a successor replaces it in accordance with the provisions of this Indenture and, thereafter, means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77" w:name="page78"/>
    <w:bookmarkEnd w:id="77"/>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 Market Disruption Event</w:t>
      </w:r>
      <w:r>
        <w:rPr>
          <w:rFonts w:ascii="Times New Roman" w:cs="Times New Roman" w:eastAsia="Times New Roman" w:hAnsi="Times New Roman"/>
          <w:sz w:val="22"/>
          <w:szCs w:val="22"/>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 Trading Day</w:t>
      </w:r>
      <w:r>
        <w:rPr>
          <w:rFonts w:ascii="Times New Roman" w:cs="Times New Roman" w:eastAsia="Times New Roman" w:hAnsi="Times New Roman"/>
          <w:sz w:val="22"/>
          <w:szCs w:val="22"/>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3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Other Definitions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18" w:right="339" w:bottom="1440" w:gutter="0" w:footer="0" w:header="0"/>
        </w:sectPr>
      </w:pPr>
    </w:p>
    <w:bookmarkStart w:id="78" w:name="page79"/>
    <w:bookmarkEnd w:id="78"/>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Cap</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Combination Event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Consideration</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Defaulted Amount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Time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Notice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Fundamental Change Repurchase Right</w:t>
      </w:r>
      <w:r>
        <w:rPr>
          <w:rFonts w:ascii="Times New Roman" w:cs="Times New Roman" w:eastAsia="Times New Roman" w:hAnsi="Times New Roman"/>
          <w:sz w:val="21"/>
          <w:szCs w:val="21"/>
          <w:color w:val="auto"/>
        </w:rPr>
        <w:t>”</w:t>
      </w: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Stated Interest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Tender/Exchange Offer Valuation Period</w:t>
      </w:r>
      <w:r>
        <w:rPr>
          <w:rFonts w:ascii="Times New Roman" w:cs="Times New Roman" w:eastAsia="Times New Roman" w:hAnsi="Times New Roman"/>
          <w:sz w:val="21"/>
          <w:szCs w:val="21"/>
          <w:color w:val="auto"/>
        </w:rPr>
        <w:t>”</w:t>
      </w:r>
    </w:p>
    <w:p>
      <w:pPr>
        <w:spacing w:after="0" w:line="35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Defined in</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Section</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5.07(A)</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5.10(A)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6.01(A)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5.03(A)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5.03(A)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5.09(A)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2.06(A)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5.03(B)</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2.05(B)</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2.05(B)</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7.01(A)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5.05(A)(v)</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5.05(A)(v)</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4.02(E)</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4.02(A)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2.03(A)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2.06(A)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5.03(A)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4.03(F)</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5.09(A)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5.09(A)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2.06(B)</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2.06(A)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12.07</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5.05(A)(iii)(2)</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5.05(A)(iii)(2)</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2.05(A)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6.01(A)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5.09(A)</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5.05(A)(v)</w:t>
      </w:r>
    </w:p>
    <w:p>
      <w:pPr>
        <w:spacing w:after="0" w:line="820" w:lineRule="exact"/>
        <w:rPr>
          <w:sz w:val="20"/>
          <w:szCs w:val="20"/>
          <w:color w:val="auto"/>
        </w:rPr>
      </w:pPr>
    </w:p>
    <w:p>
      <w:pPr>
        <w:sectPr>
          <w:pgSz w:w="11900" w:h="16838" w:orient="portrait"/>
          <w:cols w:equalWidth="0" w:num="2">
            <w:col w:w="8580" w:space="720"/>
            <w:col w:w="1940"/>
          </w:cols>
          <w:pgMar w:left="320" w:top="1440" w:right="339" w:bottom="1440" w:gutter="0" w:footer="0" w:header="0"/>
        </w:sectPr>
      </w:pPr>
    </w:p>
    <w:p>
      <w:pPr>
        <w:spacing w:after="0" w:line="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division of this Indenture and the other Note Documents into Articles and Sections and the use of headings and captions is for convenience of reference only and shall not modify or affect the interpretation or construction of this Indenture or any of its provisions. The words “herein,” “hereof,” “hereunder,” “hereinafter” and “hereto” and words of similar import refer to this Indenture (or other applicable Note Document). The term “or” has, except where otherwise indicated, the inclusive meaning represented by the phrase “and/or.” The term “documents” and “agreements” include any and all instruments, documents, agreements, certificates, indentures,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type w:val="continuous"/>
        </w:sectPr>
      </w:pPr>
    </w:p>
    <w:bookmarkStart w:id="79" w:name="page80"/>
    <w:bookmarkEnd w:id="7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notices and other writings, however evidenced. The use in any of the Note Documents of the word “include” or “including”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References to a specified Article, Exhibit, Section or Schedule shall be construed as a reference to that specified Article, Exhibit, Section or Schedule of this Indenture (or other applicable Note Document). Unless specifically stated otherwise, any reference to any of the Note Documents means such document as the same shall be amended, restated, supplemented or otherwise modified and from time to time in effect in accordance with the terms hereof or thereof, as applicable. The references to “assets” and “properties” in the Note Documents are meant to be mean the same and are used throughout the Note Documents interchangeably, and such words shall be deemed to refer to any and all tangible and intangible assets and properties, including cash, securities, Stock, accounts and contract rights. The meanings of defined terms shall be equally applicable to the singular and plural forms of the defined terms. The payment, prepayment, redemption or repayment of any principal, interest, charges, fees, amounts and/or other Obligations under this Indenture or the other Note Documents (including any Make Whole Amount and Cash Settlement Amount (including any Cash Settlement Amount within the meaning of the Warrants)) shall be made in cash in Dollars unless expressly stated otherwise herein or therein. Any reference to “payment in full,” “payment in full in cash,” “paid in full,” “paid in full in cash,” “repaid in full,” “repaid in full in cash,” “prepaid in full,” “prepaid in full in cash,” “redeemed in full,” “redeemed in full in cash” or any other term or word of similar effect used in this Indenture or any other Note Document with respect to the Notes or the Obligations shall mean all Obligations, but excluding contingent claims for indemnification to the extent no claim giving rise thereto has been asserted, have been repaid in full in cash or by conversion into shares of Common Stock in accordance with the terms of this Indenture and have been fully performed;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reference otherwise to “payment,” “paid,” “repaid,” “prepaid,” “redeem,” “purchase,” “defease,” “prepayment” or “redemption” or any term or word of similar effect used in this Indenture or any other Note Document with respect to the Notes or the Obligations shall mean in cash and not by conversion into shares of Common Stock. The phrase “ordinary course of business” means, with respect to any action of the Company, an action that is the type that would be taken in the ordinary course of business of the Company and its Subsidiaries or a Person engaged in a business that is substantially similar in industry, size and scope as engaged in by the Company and its Subsidiaries. The phrase “consistent with past practice” shall mean an action of the Company that is taken by the Company or any of its Subsidiaries (or an officer, director or employee of such Person) that is not inconsistent with the manner in which the business of the Company or any of its Subsidiaries has previously been operated, including, in connection with events that are unusual or infrequent in nature, in each case, as determined by the Company reasonably and in good faith.</w:t>
      </w:r>
    </w:p>
    <w:p>
      <w:pPr>
        <w:spacing w:after="0" w:line="18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Accounting Terms and Principles; Basket Compliance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All accounting determinations required to be made pursuant hereto shall, unless expressly otherwise provided herein, be made in accordance with GAAP. The Company may rely on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than one basket or exception hereunder at the time of any proposed transaction to the extent applicable.</w:t>
      </w:r>
    </w:p>
    <w:p>
      <w:pPr>
        <w:spacing w:after="0" w:line="18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Uniform Commercial Code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As used herein, the following terms are defined in accordance with the UCC in effect in the State of New York from time to time: “Commodity Account,” “Deposit Account,” and “Securities Account.”</w:t>
      </w:r>
    </w:p>
    <w:p>
      <w:pPr>
        <w:spacing w:after="0" w:line="1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THE NOTES</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Form, Dating and Denominations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The Notes and the Trustee’s certificate of authentication will be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Notes will bear the legends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and may bear notations, legends or endorsements required by law, stock exchange rule or usage or the Depositary. Each Note will be dated as of the date of its authentication.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Notes will be issuable only in registered form without interest coupons and only in Authorized Denominations.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Each certificate representing a Note will bear a unique registration number that is not affixed to any other certificate representing another outstanding Note.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terms contained in the Notes constitute part of this Indenture, and, to the extent applicable, the Company, the Guarantors, the Collateral Agent and the Trustee, by their execution and delivery of this Indenture, agree to such terms and to be bound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that any provision of any Note conflicts with the provisions of this Indenture, the provisions of this Indenture will control for purposes of this Indenture and such Note.</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Execution, Authentication and Delivery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7" w:lineRule="auto"/>
        <w:tabs>
          <w:tab w:leader="none" w:pos="128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Due Execution by the Company</w:t>
      </w:r>
      <w:r>
        <w:rPr>
          <w:rFonts w:ascii="Times New Roman" w:cs="Times New Roman" w:eastAsia="Times New Roman" w:hAnsi="Times New Roman"/>
          <w:sz w:val="22"/>
          <w:szCs w:val="22"/>
          <w:color w:val="auto"/>
        </w:rPr>
        <w:t>. At least one (1) duly authorized Officer will sign the Notes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by manual, electronic or facsimile signature. A Note’s validity will not be affected by the failure of any Officer whose signature is on any Note to hold, at the time such Note is authenticated, the same or any other office at the Company.</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 by the Trustee and Delivery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will be valid until it is authenticated by the Trustee. A Note will be deemed to be duly authenticated only when an authorized signatory of the Trustee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2"/>
          <w:szCs w:val="22"/>
          <w:color w:val="auto"/>
        </w:rPr>
        <w:t>a duly appointed authenticating agent) manually signs the certificate of authentication of such Note.</w:t>
      </w:r>
    </w:p>
    <w:p>
      <w:pPr>
        <w:spacing w:after="0" w:line="179" w:lineRule="exact"/>
        <w:rPr>
          <w:sz w:val="20"/>
          <w:szCs w:val="20"/>
          <w:color w:val="auto"/>
        </w:rPr>
      </w:pPr>
    </w:p>
    <w:p>
      <w:pPr>
        <w:jc w:val="both"/>
        <w:ind w:left="660" w:firstLine="644"/>
        <w:spacing w:after="0" w:line="216" w:lineRule="auto"/>
        <w:tabs>
          <w:tab w:leader="none" w:pos="195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cause an authorized signatory of the Trustee (or a duly appointed authenticating agent) to manually sign the certificate of authentication of a Note only if (1) the Company delivers such Note to the Trustee;</w:t>
      </w:r>
    </w:p>
    <w:p>
      <w:pPr>
        <w:jc w:val="both"/>
        <w:ind w:left="660" w:hanging="4"/>
        <w:spacing w:after="0" w:line="212" w:lineRule="auto"/>
        <w:tabs>
          <w:tab w:leader="none" w:pos="96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Note is executed by the Company in accordance with </w:t>
      </w:r>
      <w:r>
        <w:rPr>
          <w:rFonts w:ascii="Times New Roman" w:cs="Times New Roman" w:eastAsia="Times New Roman" w:hAnsi="Times New Roman"/>
          <w:sz w:val="22"/>
          <w:szCs w:val="22"/>
          <w:b w:val="1"/>
          <w:bCs w:val="1"/>
          <w:color w:val="auto"/>
        </w:rPr>
        <w:t>Section 2.02(A)</w:t>
      </w:r>
      <w:r>
        <w:rPr>
          <w:rFonts w:ascii="Times New Roman" w:cs="Times New Roman" w:eastAsia="Times New Roman" w:hAnsi="Times New Roman"/>
          <w:sz w:val="22"/>
          <w:szCs w:val="22"/>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54"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authentication agent was validly appointed to undertake.</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Initial Notes and Additional Notes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1" w:lineRule="auto"/>
        <w:tabs>
          <w:tab w:leader="none" w:pos="128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Notes</w:t>
      </w:r>
      <w:r>
        <w:rPr>
          <w:rFonts w:ascii="Times New Roman" w:cs="Times New Roman" w:eastAsia="Times New Roman" w:hAnsi="Times New Roman"/>
          <w:sz w:val="22"/>
          <w:szCs w:val="22"/>
          <w:color w:val="auto"/>
        </w:rPr>
        <w:t>. On the Issue Date, there will be originally issued two hundred fifty million dollars ($250,000,000)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aggregate principal amount of Notes, subject to the provisions of this Indenture (including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Notes issued pursuant to this </w:t>
      </w:r>
      <w:r>
        <w:rPr>
          <w:rFonts w:ascii="Times New Roman" w:cs="Times New Roman" w:eastAsia="Times New Roman" w:hAnsi="Times New Roman"/>
          <w:sz w:val="22"/>
          <w:szCs w:val="22"/>
          <w:b w:val="1"/>
          <w:bCs w:val="1"/>
          <w:color w:val="auto"/>
        </w:rPr>
        <w:t>Section 2.03(A)</w:t>
      </w:r>
      <w:r>
        <w:rPr>
          <w:rFonts w:ascii="Times New Roman" w:cs="Times New Roman" w:eastAsia="Times New Roman" w:hAnsi="Times New Roman"/>
          <w:sz w:val="22"/>
          <w:szCs w:val="22"/>
          <w:color w:val="auto"/>
        </w:rPr>
        <w:t>, and any Notes issued in exchange therefor or in substitution thereof, are referred to in this Indenture as the “</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Notes</w:t>
      </w:r>
      <w:r>
        <w:rPr>
          <w:rFonts w:ascii="Times New Roman" w:cs="Times New Roman" w:eastAsia="Times New Roman" w:hAnsi="Times New Roman"/>
          <w:sz w:val="22"/>
          <w:szCs w:val="22"/>
          <w:color w:val="auto"/>
        </w:rPr>
        <w:t>. Without the consent of any Holder, the Company may, subject to the provisions of this Indenture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(including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3.08</w:t>
      </w:r>
      <w:r>
        <w:rPr>
          <w:rFonts w:ascii="Times New Roman" w:cs="Times New Roman" w:eastAsia="Times New Roman" w:hAnsi="Times New Roman"/>
          <w:sz w:val="22"/>
          <w:szCs w:val="22"/>
          <w:color w:val="auto"/>
        </w:rPr>
        <w:t xml:space="preserve">), originally issue additional Notes in an aggregate principal amount not to exceed fifty million dollars ($50,000,000) with the same terms as the Initial Notes (except, to the extent applicable, with respect to the date as of which 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any such additional Notes (and any Notes that are resold after such Notes have been purchased or otherwise acquired by the 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 For the avoidance of doubt, no Additional Notes may be issued except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3.08(R)</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Method of Payment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1" w:lineRule="auto"/>
        <w:tabs>
          <w:tab w:leader="none" w:pos="128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The Company will pay, or cause the Paying Agent to pay, the principal (whether due upon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Maturity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The Company will pay, or cause the Paying Agent to pay, the principal (whether due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maturity on the Maturity Date or repurchase on a Fundamental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82" w:name="page83"/>
    <w:bookmarkEnd w:id="82"/>
    <w:p>
      <w:pPr>
        <w:jc w:val="both"/>
        <w:spacing w:after="0" w:line="217" w:lineRule="auto"/>
        <w:rPr>
          <w:sz w:val="20"/>
          <w:szCs w:val="20"/>
          <w:color w:val="auto"/>
        </w:rPr>
      </w:pPr>
      <w:r>
        <w:rPr>
          <w:rFonts w:ascii="Times New Roman" w:cs="Times New Roman" w:eastAsia="Times New Roman" w:hAnsi="Times New Roman"/>
          <w:sz w:val="21"/>
          <w:szCs w:val="21"/>
          <w:color w:val="auto"/>
        </w:rPr>
        <w:t>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w:t>
      </w:r>
    </w:p>
    <w:p>
      <w:pPr>
        <w:ind w:left="320" w:hanging="312"/>
        <w:spacing w:after="0" w:line="219" w:lineRule="auto"/>
        <w:tabs>
          <w:tab w:leader="none" w:pos="3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payment of any interest due on an Interest Payment Date, the immediately preceding Regular Record Date;</w:t>
      </w:r>
    </w:p>
    <w:p>
      <w:pPr>
        <w:ind w:firstLine="8"/>
        <w:spacing w:after="0" w:line="225" w:lineRule="auto"/>
        <w:tabs>
          <w:tab w:leader="none" w:pos="31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cash Conversion Consideration, the relevant Conversion Date; and (z) with respect to any other payment, the date that is fifteen (15) calendar days immediately before the date such payment is due.</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Accrual of Interest; Defaulted Amounts; When Payment Date is Not a Business Day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1" w:lineRule="auto"/>
        <w:tabs>
          <w:tab w:leader="none" w:pos="128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Accrual of Interest</w:t>
      </w:r>
      <w:r>
        <w:rPr>
          <w:rFonts w:ascii="Times New Roman" w:cs="Times New Roman" w:eastAsia="Times New Roman" w:hAnsi="Times New Roman"/>
          <w:sz w:val="22"/>
          <w:szCs w:val="22"/>
          <w:color w:val="auto"/>
        </w:rPr>
        <w:t>. Each Note will accrue interest at a rate per annum equal to 7.95% (the “</w:t>
      </w:r>
      <w:r>
        <w:rPr>
          <w:rFonts w:ascii="Times New Roman" w:cs="Times New Roman" w:eastAsia="Times New Roman" w:hAnsi="Times New Roman"/>
          <w:sz w:val="22"/>
          <w:szCs w:val="22"/>
          <w:b w:val="1"/>
          <w:bCs w:val="1"/>
          <w:color w:val="auto"/>
        </w:rPr>
        <w:t>Stated Interest</w:t>
      </w:r>
      <w:r>
        <w:rPr>
          <w:rFonts w:ascii="Times New Roman" w:cs="Times New Roman" w:eastAsia="Times New Roman" w:hAnsi="Times New Roman"/>
          <w:sz w:val="22"/>
          <w:szCs w:val="22"/>
          <w:color w:val="auto"/>
        </w:rPr>
        <w:t>”), 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Additional Interest that may accrue pursuant to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22"/>
          <w:szCs w:val="22"/>
          <w:b w:val="1"/>
          <w:bCs w:val="1"/>
          <w:color w:val="auto"/>
        </w:rPr>
        <w:t>Sections 4.02(D), 4.03(E)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on the Notes will be computed on the basis of a 360-day year comprised of twelve 30-day months.</w:t>
      </w:r>
    </w:p>
    <w:p>
      <w:pPr>
        <w:spacing w:after="0" w:line="151" w:lineRule="exact"/>
        <w:rPr>
          <w:rFonts w:ascii="Times New Roman" w:cs="Times New Roman" w:eastAsia="Times New Roman" w:hAnsi="Times New Roman"/>
          <w:sz w:val="22"/>
          <w:szCs w:val="22"/>
          <w:color w:val="auto"/>
        </w:rPr>
      </w:pPr>
    </w:p>
    <w:p>
      <w:pPr>
        <w:jc w:val="both"/>
        <w:ind w:firstLine="656"/>
        <w:spacing w:after="0" w:line="228" w:lineRule="auto"/>
        <w:tabs>
          <w:tab w:leader="none" w:pos="128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Defaulted Amounts</w:t>
      </w:r>
      <w:r>
        <w:rPr>
          <w:rFonts w:ascii="Times New Roman" w:cs="Times New Roman" w:eastAsia="Times New Roman" w:hAnsi="Times New Roman"/>
          <w:sz w:val="21"/>
          <w:szCs w:val="21"/>
          <w:color w:val="auto"/>
        </w:rPr>
        <w:t>. If the Company fails to pay any amount (a “</w:t>
      </w:r>
      <w:r>
        <w:rPr>
          <w:rFonts w:ascii="Times New Roman" w:cs="Times New Roman" w:eastAsia="Times New Roman" w:hAnsi="Times New Roman"/>
          <w:sz w:val="21"/>
          <w:szCs w:val="21"/>
          <w:b w:val="1"/>
          <w:bCs w:val="1"/>
          <w:color w:val="auto"/>
        </w:rPr>
        <w:t>Defaulted Amount</w:t>
      </w:r>
      <w:r>
        <w:rPr>
          <w:rFonts w:ascii="Times New Roman" w:cs="Times New Roman" w:eastAsia="Times New Roman" w:hAnsi="Times New Roman"/>
          <w:sz w:val="21"/>
          <w:szCs w:val="21"/>
          <w:color w:val="auto"/>
        </w:rPr>
        <w:t>”) payable on a Note 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before the due date therefor as provided in this Indenture, then, regardless of whether such failure constitutes an Event of Default,</w:t>
      </w:r>
    </w:p>
    <w:p>
      <w:pPr>
        <w:spacing w:after="0" w:line="1" w:lineRule="exact"/>
        <w:rPr>
          <w:rFonts w:ascii="Times New Roman" w:cs="Times New Roman" w:eastAsia="Times New Roman" w:hAnsi="Times New Roman"/>
          <w:sz w:val="21"/>
          <w:szCs w:val="21"/>
          <w:color w:val="auto"/>
        </w:rPr>
      </w:pPr>
    </w:p>
    <w:p>
      <w:pPr>
        <w:ind w:left="280" w:hanging="272"/>
        <w:spacing w:after="0" w:line="204" w:lineRule="auto"/>
        <w:tabs>
          <w:tab w:leader="none" w:pos="2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Defaulted Amount will forthwith cease to be payable to the Holder of such Note otherwise entitled to such payment;</w:t>
      </w:r>
    </w:p>
    <w:p>
      <w:pPr>
        <w:jc w:val="both"/>
        <w:ind w:firstLine="8"/>
        <w:spacing w:after="0" w:line="209" w:lineRule="auto"/>
        <w:tabs>
          <w:tab w:leader="none" w:pos="3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lawful, interest (“</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special record date must be no more than fifteen (15), nor less than ten (10), calendar days before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53"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of Payment when Payment Date is Not a Business Day</w:t>
      </w:r>
      <w:r>
        <w:rPr>
          <w:rFonts w:ascii="Times New Roman" w:cs="Times New Roman" w:eastAsia="Times New Roman" w:hAnsi="Times New Roman"/>
          <w:sz w:val="22"/>
          <w:szCs w:val="22"/>
          <w:color w:val="auto"/>
        </w:rPr>
        <w:t>. If the due date for a payment on a Note as 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Indenture is 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83" w:name="page84"/>
    <w:bookmarkEnd w:id="83"/>
    <w:p>
      <w:pPr>
        <w:spacing w:after="0" w:line="236" w:lineRule="auto"/>
        <w:rPr>
          <w:sz w:val="20"/>
          <w:szCs w:val="20"/>
          <w:color w:val="auto"/>
        </w:rPr>
      </w:pPr>
      <w:r>
        <w:rPr>
          <w:rFonts w:ascii="Times New Roman" w:cs="Times New Roman" w:eastAsia="Times New Roman" w:hAnsi="Times New Roman"/>
          <w:sz w:val="22"/>
          <w:szCs w:val="22"/>
          <w:color w:val="auto"/>
        </w:rPr>
        <w:t>applicable place of payment is authorized or required by law or executive order to close or be closed will be deemed not to be a “Business Day.”</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Registrar, Paying Agent and Conversion Agent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2" w:lineRule="auto"/>
        <w:tabs>
          <w:tab w:leader="none" w:pos="128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maintain (i) an office or agency in the continental United States where Notes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presented for registration of transfer or for exchange (the “</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(ii) an office or agency in the continental United States where Notes may be presented for payment (the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and (iii) an office or agency in the continental United States where Notes may be presented for conversion (the “</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xml:space="preserve">”).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cs="Times New Roman" w:eastAsia="Times New Roman" w:hAnsi="Times New Roman"/>
          <w:sz w:val="22"/>
          <w:szCs w:val="22"/>
          <w:b w:val="1"/>
          <w:bCs w:val="1"/>
          <w:color w:val="auto"/>
        </w:rPr>
        <w:t>Section 2.06(A)</w:t>
      </w:r>
      <w:r>
        <w:rPr>
          <w:rFonts w:ascii="Times New Roman" w:cs="Times New Roman" w:eastAsia="Times New Roman" w:hAnsi="Times New Roman"/>
          <w:sz w:val="22"/>
          <w:szCs w:val="22"/>
          <w:color w:val="auto"/>
        </w:rPr>
        <w:t>, each of the Registrar, Paying Agent and Conversion Agent with respect to any Global Note must at all times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Person that is eligible to act in that capacity under the Depositary Procedures.</w:t>
      </w:r>
    </w:p>
    <w:p>
      <w:pPr>
        <w:spacing w:after="0" w:line="148"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Duties of the Registrar</w:t>
      </w:r>
      <w:r>
        <w:rPr>
          <w:rFonts w:ascii="Times New Roman" w:cs="Times New Roman" w:eastAsia="Times New Roman" w:hAnsi="Times New Roman"/>
          <w:sz w:val="22"/>
          <w:szCs w:val="22"/>
          <w:color w:val="auto"/>
        </w:rPr>
        <w:t>. The Registrar will keep a record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of the names and addresses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the Notes held by each Holder and the transfer, exchange, repurchase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47" w:lineRule="exact"/>
        <w:rPr>
          <w:rFonts w:ascii="Times New Roman" w:cs="Times New Roman" w:eastAsia="Times New Roman" w:hAnsi="Times New Roman"/>
          <w:sz w:val="22"/>
          <w:szCs w:val="22"/>
          <w:color w:val="auto"/>
        </w:rPr>
      </w:pPr>
    </w:p>
    <w:p>
      <w:pPr>
        <w:jc w:val="both"/>
        <w:ind w:firstLine="656"/>
        <w:spacing w:after="0" w:line="224" w:lineRule="auto"/>
        <w:tabs>
          <w:tab w:leader="none" w:pos="128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Co-Agents; Company’s Right to Appoint Successor Registrars, Paying Agents and Conversion Agents</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Company may appoint one or 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21"/>
          <w:szCs w:val="21"/>
          <w:b w:val="1"/>
          <w:bCs w:val="1"/>
          <w:color w:val="auto"/>
        </w:rPr>
        <w:t>Section 2.06(A)</w:t>
      </w:r>
      <w:r>
        <w:rPr>
          <w:rFonts w:ascii="Times New Roman" w:cs="Times New Roman" w:eastAsia="Times New Roman" w:hAnsi="Times New Roman"/>
          <w:sz w:val="21"/>
          <w:szCs w:val="21"/>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50" w:lineRule="exact"/>
        <w:rPr>
          <w:rFonts w:ascii="Times New Roman" w:cs="Times New Roman" w:eastAsia="Times New Roman" w:hAnsi="Times New Roman"/>
          <w:sz w:val="21"/>
          <w:szCs w:val="21"/>
          <w:color w:val="auto"/>
        </w:rPr>
      </w:pPr>
    </w:p>
    <w:p>
      <w:pPr>
        <w:ind w:firstLine="656"/>
        <w:spacing w:after="0" w:line="238" w:lineRule="auto"/>
        <w:tabs>
          <w:tab w:leader="none" w:pos="128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Appointments</w:t>
      </w:r>
      <w:r>
        <w:rPr>
          <w:rFonts w:ascii="Times New Roman" w:cs="Times New Roman" w:eastAsia="Times New Roman" w:hAnsi="Times New Roman"/>
          <w:sz w:val="22"/>
          <w:szCs w:val="22"/>
          <w:color w:val="auto"/>
        </w:rPr>
        <w:t>. The Company appoints the Trustee as the initial Paying Agent, the initial Registrar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Conversion Agent.</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Paying Agent and Conversion Agent to Hold Property in Trust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84" w:name="page85"/>
    <w:bookmarkEnd w:id="8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22"/>
          <w:szCs w:val="22"/>
          <w:b w:val="1"/>
          <w:bCs w:val="1"/>
          <w:color w:val="auto"/>
        </w:rPr>
        <w:t>clause (ix)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1"/>
          <w:szCs w:val="21"/>
          <w:b w:val="1"/>
          <w:bCs w:val="1"/>
          <w:color w:val="auto"/>
        </w:rPr>
        <w:t>Holder Lists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3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Legends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8" w:lineRule="auto"/>
        <w:tabs>
          <w:tab w:leader="none" w:pos="12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 Legend</w:t>
      </w:r>
      <w:r>
        <w:rPr>
          <w:rFonts w:ascii="Times New Roman" w:cs="Times New Roman" w:eastAsia="Times New Roman" w:hAnsi="Times New Roman"/>
          <w:sz w:val="22"/>
          <w:szCs w:val="22"/>
          <w:color w:val="auto"/>
        </w:rPr>
        <w:t>. Each Global Note will bear the Global Note Legend (or any similar legend, not inconsistent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this Indenture, required by the Depositary for such Global Note).</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Non-Affiliate Legend</w:t>
      </w:r>
      <w:r>
        <w:rPr>
          <w:rFonts w:ascii="Times New Roman" w:cs="Times New Roman" w:eastAsia="Times New Roman" w:hAnsi="Times New Roman"/>
          <w:sz w:val="22"/>
          <w:szCs w:val="22"/>
          <w:color w:val="auto"/>
        </w:rPr>
        <w:t>. Each Note will bear the Non-Affiliate Legend.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Note Legend</w:t>
      </w:r>
      <w:r>
        <w:rPr>
          <w:rFonts w:ascii="Times New Roman" w:cs="Times New Roman" w:eastAsia="Times New Roman" w:hAnsi="Times New Roman"/>
          <w:sz w:val="22"/>
          <w:szCs w:val="22"/>
          <w:color w:val="auto"/>
        </w:rPr>
        <w:t>. Subject to the other provisions of this Indenture,</w:t>
      </w:r>
    </w:p>
    <w:p>
      <w:pPr>
        <w:spacing w:after="0" w:line="18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that is a Transfer-Restricted Security will bear the Restricted Note Legend;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22"/>
          <w:szCs w:val="22"/>
          <w:b w:val="1"/>
          <w:bCs w:val="1"/>
          <w:color w:val="auto"/>
        </w:rPr>
        <w:t>Section 2.09(C)(ii)</w:t>
      </w:r>
      <w:r>
        <w:rPr>
          <w:rFonts w:ascii="Times New Roman" w:cs="Times New Roman" w:eastAsia="Times New Roman" w:hAnsi="Times New Roman"/>
          <w:sz w:val="22"/>
          <w:szCs w:val="22"/>
          <w:color w:val="auto"/>
        </w:rPr>
        <w:t xml:space="preserve">), including pursuant to Section </w:t>
      </w:r>
      <w:r>
        <w:rPr>
          <w:rFonts w:ascii="Times New Roman" w:cs="Times New Roman" w:eastAsia="Times New Roman" w:hAnsi="Times New Roman"/>
          <w:sz w:val="22"/>
          <w:szCs w:val="22"/>
          <w:b w:val="1"/>
          <w:bCs w:val="1"/>
          <w:color w:val="auto"/>
        </w:rPr>
        <w:t>2.10(B)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2.10(C)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2.12</w:t>
      </w:r>
      <w:r>
        <w:rPr>
          <w:rFonts w:ascii="Times New Roman" w:cs="Times New Roman" w:eastAsia="Times New Roman" w:hAnsi="Times New Roman"/>
          <w:sz w:val="22"/>
          <w:szCs w:val="22"/>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Note need not bear the Restricted Note Legend if such Note does not constitute a Transfer-Restricted Security immediately after such exchange or substitution, or as of such Conversion Date, as applicable.</w:t>
      </w:r>
    </w:p>
    <w:p>
      <w:pPr>
        <w:spacing w:after="0" w:line="152" w:lineRule="exact"/>
        <w:rPr>
          <w:rFonts w:ascii="Times New Roman" w:cs="Times New Roman" w:eastAsia="Times New Roman" w:hAnsi="Times New Roman"/>
          <w:sz w:val="22"/>
          <w:szCs w:val="22"/>
          <w:color w:val="auto"/>
        </w:rPr>
      </w:pPr>
    </w:p>
    <w:p>
      <w:pPr>
        <w:ind w:firstLine="656"/>
        <w:spacing w:after="0" w:line="259" w:lineRule="auto"/>
        <w:tabs>
          <w:tab w:leader="none" w:pos="128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Legends</w:t>
      </w:r>
      <w:r>
        <w:rPr>
          <w:rFonts w:ascii="Times New Roman" w:cs="Times New Roman" w:eastAsia="Times New Roman" w:hAnsi="Times New Roman"/>
          <w:sz w:val="21"/>
          <w:szCs w:val="21"/>
          <w:color w:val="auto"/>
        </w:rPr>
        <w:t>. A Note may bear any other legend or text, not inconsistent with this Indenture, as may be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applicable law or by any securities exchange or automated quotation system on which such Note is traded or quoted.</w:t>
      </w:r>
    </w:p>
    <w:p>
      <w:pPr>
        <w:spacing w:after="0" w:line="126" w:lineRule="exact"/>
        <w:rPr>
          <w:rFonts w:ascii="Times New Roman" w:cs="Times New Roman" w:eastAsia="Times New Roman" w:hAnsi="Times New Roman"/>
          <w:sz w:val="21"/>
          <w:szCs w:val="21"/>
          <w:color w:val="auto"/>
        </w:rPr>
      </w:pPr>
    </w:p>
    <w:p>
      <w:pPr>
        <w:jc w:val="both"/>
        <w:ind w:firstLine="656"/>
        <w:spacing w:after="0" w:line="227" w:lineRule="auto"/>
        <w:tabs>
          <w:tab w:leader="none" w:pos="12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Acknowledgment and Agreement by the Holders</w:t>
      </w:r>
      <w:r>
        <w:rPr>
          <w:rFonts w:ascii="Times New Roman" w:cs="Times New Roman" w:eastAsia="Times New Roman" w:hAnsi="Times New Roman"/>
          <w:sz w:val="22"/>
          <w:szCs w:val="22"/>
          <w:color w:val="auto"/>
        </w:rPr>
        <w:t>. A Holder’s acceptance of any Note bearing any legend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this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will constitute such Holder’s acknowledgment of, and agreement to comply with, the restrictions set forth in such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85" w:name="page86"/>
    <w:bookmarkEnd w:id="85"/>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Stock Legend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28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Conversion Share need not bear the Restricted Stock Legend if the Company determines, in its reasonable discretion, that such Conversion Share need not bear the Restricted Stock Legend.</w:t>
      </w:r>
    </w:p>
    <w:p>
      <w:pPr>
        <w:spacing w:after="0" w:line="148" w:lineRule="exact"/>
        <w:rPr>
          <w:rFonts w:ascii="Times New Roman" w:cs="Times New Roman" w:eastAsia="Times New Roman" w:hAnsi="Times New Roman"/>
          <w:sz w:val="22"/>
          <w:szCs w:val="22"/>
          <w:color w:val="auto"/>
        </w:rPr>
      </w:pPr>
    </w:p>
    <w:p>
      <w:pPr>
        <w:jc w:val="both"/>
        <w:ind w:left="4" w:firstLine="644"/>
        <w:spacing w:after="0" w:line="232" w:lineRule="auto"/>
        <w:tabs>
          <w:tab w:leader="none" w:pos="129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b w:val="1"/>
          <w:bCs w:val="1"/>
          <w:color w:val="auto"/>
        </w:rPr>
        <w:t>Section 2.09(F)</w:t>
      </w:r>
      <w:r>
        <w:rPr>
          <w:rFonts w:ascii="Times New Roman" w:cs="Times New Roman" w:eastAsia="Times New Roman" w:hAnsi="Times New Roman"/>
          <w:sz w:val="21"/>
          <w:szCs w:val="21"/>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46" w:lineRule="exact"/>
        <w:rPr>
          <w:sz w:val="20"/>
          <w:szCs w:val="20"/>
          <w:color w:val="auto"/>
        </w:rPr>
      </w:pPr>
    </w:p>
    <w:p>
      <w:pPr>
        <w:ind w:left="4"/>
        <w:spacing w:after="0"/>
        <w:tabs>
          <w:tab w:leader="none" w:pos="1604"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1"/>
          <w:szCs w:val="21"/>
          <w:b w:val="1"/>
          <w:bCs w:val="1"/>
          <w:color w:val="auto"/>
        </w:rPr>
        <w:t>Transfers and Exchanges; Certain Transfer Restrictions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44" w:hanging="644"/>
        <w:spacing w:after="0"/>
        <w:tabs>
          <w:tab w:leader="none" w:pos="6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Applicable to All Transfers and Exchanges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4" w:firstLine="644"/>
        <w:spacing w:after="0" w:line="238" w:lineRule="auto"/>
        <w:tabs>
          <w:tab w:leader="none" w:pos="128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Physical Notes and beneficial interests in Global Notes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or exchanged from time to time and the Registrar will record each such transfer or exchange in the Register.</w:t>
      </w:r>
    </w:p>
    <w:p>
      <w:pPr>
        <w:spacing w:after="0" w:line="146"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9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Transferred and Exchanged Notes Remain Valid Obligations of the Company</w:t>
      </w:r>
      <w:r>
        <w:rPr>
          <w:rFonts w:ascii="Times New Roman" w:cs="Times New Roman" w:eastAsia="Times New Roman" w:hAnsi="Times New Roman"/>
          <w:sz w:val="22"/>
          <w:szCs w:val="22"/>
          <w:color w:val="auto"/>
        </w:rPr>
        <w:t>. Each Note issued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or exchange of any other Note (such other Note being referred to as the “old Note” for purposes of this </w:t>
      </w:r>
      <w:r>
        <w:rPr>
          <w:rFonts w:ascii="Times New Roman" w:cs="Times New Roman" w:eastAsia="Times New Roman" w:hAnsi="Times New Roman"/>
          <w:sz w:val="22"/>
          <w:szCs w:val="22"/>
          <w:b w:val="1"/>
          <w:bCs w:val="1"/>
          <w:color w:val="auto"/>
        </w:rPr>
        <w:t>Section 2.10(A)(ii)</w:t>
      </w:r>
      <w:r>
        <w:rPr>
          <w:rFonts w:ascii="Times New Roman" w:cs="Times New Roman" w:eastAsia="Times New Roman" w:hAnsi="Times New Roman"/>
          <w:sz w:val="22"/>
          <w:szCs w:val="22"/>
          <w:color w:val="auto"/>
        </w:rPr>
        <w:t>) or portion thereof in accordance with this Indenture will be the valid obligation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evidencing the same indebtedness, and entitled to the same benefits under this Indenture, as such old Note or portion thereof, as applicable.</w:t>
      </w:r>
    </w:p>
    <w:p>
      <w:pPr>
        <w:spacing w:after="0" w:line="147"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Services Charge; Transfer Taxes</w:t>
      </w:r>
      <w:r>
        <w:rPr>
          <w:rFonts w:ascii="Times New Roman" w:cs="Times New Roman" w:eastAsia="Times New Roman" w:hAnsi="Times New Roman"/>
          <w:sz w:val="22"/>
          <w:szCs w:val="22"/>
          <w:color w:val="auto"/>
        </w:rPr>
        <w:t>. The Company, the Trustee and the Note Agents will not impose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8.05</w:t>
      </w:r>
      <w:r>
        <w:rPr>
          <w:rFonts w:ascii="Times New Roman" w:cs="Times New Roman" w:eastAsia="Times New Roman" w:hAnsi="Times New Roman"/>
          <w:sz w:val="22"/>
          <w:szCs w:val="22"/>
          <w:color w:val="auto"/>
        </w:rPr>
        <w:t xml:space="preserve"> not involving any transfer.</w:t>
      </w:r>
    </w:p>
    <w:p>
      <w:pPr>
        <w:spacing w:after="0" w:line="147" w:lineRule="exact"/>
        <w:rPr>
          <w:rFonts w:ascii="Times New Roman" w:cs="Times New Roman" w:eastAsia="Times New Roman" w:hAnsi="Times New Roman"/>
          <w:sz w:val="22"/>
          <w:szCs w:val="22"/>
          <w:color w:val="auto"/>
        </w:rPr>
      </w:pPr>
    </w:p>
    <w:p>
      <w:pPr>
        <w:jc w:val="both"/>
        <w:ind w:left="4" w:firstLine="644"/>
        <w:spacing w:after="0" w:line="227" w:lineRule="auto"/>
        <w:tabs>
          <w:tab w:leader="none" w:pos="128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Must Be in Authorized Denominations</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Indenture or the Notes, a Note may not be transferred or exchanged in part unless the portion to be so transferred or exchanged is in an Authorized Denomination.</w:t>
      </w:r>
    </w:p>
    <w:p>
      <w:pPr>
        <w:spacing w:after="0" w:line="146"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9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The Trustee will have no obligation or duty to monitor, determine or inquire as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47" w:lineRule="exact"/>
        <w:rPr>
          <w:rFonts w:ascii="Times New Roman" w:cs="Times New Roman" w:eastAsia="Times New Roman" w:hAnsi="Times New Roman"/>
          <w:sz w:val="22"/>
          <w:szCs w:val="22"/>
          <w:color w:val="auto"/>
        </w:rPr>
      </w:pPr>
    </w:p>
    <w:p>
      <w:pPr>
        <w:ind w:left="4" w:right="20" w:firstLine="644"/>
        <w:spacing w:after="0" w:line="238" w:lineRule="auto"/>
        <w:tabs>
          <w:tab w:leader="none" w:pos="128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Each Note issued upon transfer of, or in exchange for, another Note will bear each legend, if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584"/>
          </w:cols>
          <w:pgMar w:left="976" w:top="1391" w:right="339" w:bottom="1440" w:gutter="0" w:footer="0" w:header="0"/>
        </w:sectPr>
      </w:pPr>
    </w:p>
    <w:bookmarkStart w:id="86" w:name="page87"/>
    <w:bookmarkEnd w:id="86"/>
    <w:p>
      <w:pPr>
        <w:jc w:val="both"/>
        <w:ind w:left="4" w:firstLine="644"/>
        <w:spacing w:after="0" w:line="227" w:lineRule="auto"/>
        <w:tabs>
          <w:tab w:leader="none" w:pos="129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of Transfers and Exchanges</w:t>
      </w:r>
      <w:r>
        <w:rPr>
          <w:rFonts w:ascii="Times New Roman" w:cs="Times New Roman" w:eastAsia="Times New Roman" w:hAnsi="Times New Roman"/>
          <w:sz w:val="22"/>
          <w:szCs w:val="22"/>
          <w:color w:val="auto"/>
        </w:rPr>
        <w:t>. Upon satisfaction of the requirements of this Indenture to effect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 or exchange of any Note, the Company will cause such transfer or exchange to be effected as soon as reasonably practicable but in no event later than the second (2nd) Business Day after the date of such satisfaction.</w:t>
      </w:r>
    </w:p>
    <w:p>
      <w:pPr>
        <w:spacing w:after="0" w:line="146"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For the avoidance of doubt, and subject to the terms of this Indenture, as used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an “exchange” of a Global Note or a Physical Note includes (x) an exchange effected for the sole purpose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4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of Global Notes.</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6" w:lineRule="auto"/>
        <w:tabs>
          <w:tab w:leader="none" w:pos="128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Restrictions</w:t>
      </w:r>
      <w:r>
        <w:rPr>
          <w:rFonts w:ascii="Times New Roman" w:cs="Times New Roman" w:eastAsia="Times New Roman" w:hAnsi="Times New Roman"/>
          <w:sz w:val="22"/>
          <w:szCs w:val="22"/>
          <w:color w:val="auto"/>
        </w:rPr>
        <w:t>. Subject to the immediately following sentence, no Global Note may be transferred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Global Note will be exchanged, pursuant to customary procedures, for one or more Physical Notes if:</w:t>
      </w:r>
    </w:p>
    <w:p>
      <w:pPr>
        <w:spacing w:after="0" w:line="149"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52" w:lineRule="exact"/>
        <w:rPr>
          <w:rFonts w:ascii="Times New Roman" w:cs="Times New Roman" w:eastAsia="Times New Roman" w:hAnsi="Times New Roman"/>
          <w:sz w:val="22"/>
          <w:szCs w:val="22"/>
          <w:color w:val="auto"/>
        </w:rPr>
      </w:pPr>
    </w:p>
    <w:p>
      <w:pPr>
        <w:ind w:left="4" w:firstLine="1292"/>
        <w:spacing w:after="0" w:line="236" w:lineRule="auto"/>
        <w:tabs>
          <w:tab w:leader="none" w:pos="19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 its sole discretion, permits the exchange of any beneficial interest in such Global Note for one or more Physical Notes at the request of the owner of such beneficial interest.</w:t>
      </w:r>
    </w:p>
    <w:p>
      <w:pPr>
        <w:spacing w:after="0" w:line="146" w:lineRule="exact"/>
        <w:rPr>
          <w:rFonts w:ascii="Times New Roman" w:cs="Times New Roman" w:eastAsia="Times New Roman" w:hAnsi="Times New Roman"/>
          <w:sz w:val="22"/>
          <w:szCs w:val="22"/>
          <w:color w:val="auto"/>
        </w:rPr>
      </w:pPr>
    </w:p>
    <w:p>
      <w:pPr>
        <w:ind w:left="4" w:firstLine="644"/>
        <w:spacing w:after="0" w:line="238" w:lineRule="auto"/>
        <w:tabs>
          <w:tab w:leader="none" w:pos="129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Effecting Transfers and Exchanges</w:t>
      </w:r>
      <w:r>
        <w:rPr>
          <w:rFonts w:ascii="Times New Roman" w:cs="Times New Roman" w:eastAsia="Times New Roman" w:hAnsi="Times New Roman"/>
          <w:sz w:val="22"/>
          <w:szCs w:val="22"/>
          <w:color w:val="auto"/>
        </w:rPr>
        <w:t>. Upon satisfaction of the requirements of this Indenture to effect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 or exchange of any Global Note (or any portion thereof):</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584"/>
          </w:cols>
          <w:pgMar w:left="976" w:top="1391" w:right="339" w:bottom="1440" w:gutter="0" w:footer="0" w:header="0"/>
        </w:sectPr>
      </w:pPr>
    </w:p>
    <w:bookmarkStart w:id="87" w:name="page88"/>
    <w:bookmarkEnd w:id="87"/>
    <w:p>
      <w:pPr>
        <w:jc w:val="both"/>
        <w:ind w:left="4" w:right="20" w:firstLine="1292"/>
        <w:spacing w:after="0" w:line="225" w:lineRule="auto"/>
        <w:tabs>
          <w:tab w:leader="none" w:pos="1943"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a new Global Note bearing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19" w:lineRule="auto"/>
        <w:tabs>
          <w:tab w:leader="none" w:pos="1943"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21"/>
          <w:szCs w:val="21"/>
          <w:b w:val="1"/>
          <w:bCs w:val="1"/>
          <w:color w:val="auto"/>
        </w:rPr>
        <w:t>Section 2.02</w:t>
      </w:r>
      <w:r>
        <w:rPr>
          <w:rFonts w:ascii="Times New Roman" w:cs="Times New Roman" w:eastAsia="Times New Roman" w:hAnsi="Times New Roman"/>
          <w:sz w:val="21"/>
          <w:szCs w:val="21"/>
          <w:color w:val="auto"/>
        </w:rPr>
        <w:t>,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w:t>
      </w:r>
    </w:p>
    <w:p>
      <w:pPr>
        <w:spacing w:after="0" w:line="2" w:lineRule="exact"/>
        <w:rPr>
          <w:rFonts w:ascii="Times New Roman" w:cs="Times New Roman" w:eastAsia="Times New Roman" w:hAnsi="Times New Roman"/>
          <w:sz w:val="21"/>
          <w:szCs w:val="21"/>
          <w:color w:val="auto"/>
        </w:rPr>
      </w:pPr>
    </w:p>
    <w:p>
      <w:pPr>
        <w:ind w:left="284" w:hanging="284"/>
        <w:spacing w:after="0"/>
        <w:tabs>
          <w:tab w:leader="none" w:pos="2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left="4" w:firstLine="644"/>
        <w:spacing w:after="0" w:line="238" w:lineRule="auto"/>
        <w:tabs>
          <w:tab w:leader="none" w:pos="13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Depositary Procedures</w:t>
      </w:r>
      <w:r>
        <w:rPr>
          <w:rFonts w:ascii="Times New Roman" w:cs="Times New Roman" w:eastAsia="Times New Roman" w:hAnsi="Times New Roman"/>
          <w:sz w:val="22"/>
          <w:szCs w:val="22"/>
          <w:color w:val="auto"/>
        </w:rPr>
        <w:t>. Each transfer or exchange of a beneficial interest in any Global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 will be made in accordance with the Depositary Procedures.</w:t>
      </w:r>
    </w:p>
    <w:p>
      <w:pPr>
        <w:spacing w:after="0" w:line="146" w:lineRule="exact"/>
        <w:rPr>
          <w:sz w:val="20"/>
          <w:szCs w:val="20"/>
          <w:color w:val="auto"/>
        </w:rPr>
      </w:pPr>
    </w:p>
    <w:p>
      <w:pPr>
        <w:ind w:left="644" w:hanging="644"/>
        <w:spacing w:after="0"/>
        <w:tabs>
          <w:tab w:leader="none" w:pos="6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of Physical Notes.</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Requirements for Transfers and Exchanges</w:t>
      </w:r>
      <w:r>
        <w:rPr>
          <w:rFonts w:ascii="Times New Roman" w:cs="Times New Roman" w:eastAsia="Times New Roman" w:hAnsi="Times New Roman"/>
          <w:sz w:val="21"/>
          <w:szCs w:val="21"/>
          <w:color w:val="auto"/>
        </w:rPr>
        <w:t>. Subject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2.10</w:t>
      </w:r>
      <w:r>
        <w:rPr>
          <w:rFonts w:ascii="Times New Roman" w:cs="Times New Roman" w:eastAsia="Times New Roman" w:hAnsi="Times New Roman"/>
          <w:sz w:val="21"/>
          <w:szCs w:val="21"/>
          <w:color w:val="auto"/>
        </w:rPr>
        <w:t>, a Holder of a Physical Note may</w:t>
      </w:r>
    </w:p>
    <w:p>
      <w:pPr>
        <w:spacing w:after="0" w:line="2" w:lineRule="exact"/>
        <w:rPr>
          <w:rFonts w:ascii="Times New Roman" w:cs="Times New Roman" w:eastAsia="Times New Roman" w:hAnsi="Times New Roman"/>
          <w:sz w:val="21"/>
          <w:szCs w:val="21"/>
          <w:color w:val="auto"/>
        </w:rPr>
      </w:pPr>
    </w:p>
    <w:p>
      <w:pPr>
        <w:ind w:left="4"/>
        <w:spacing w:after="0" w:line="20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transfer such Physical Note (or any portion thereof in an Authorized Denomination) to one or more other Person(s);</w:t>
      </w:r>
    </w:p>
    <w:p>
      <w:pPr>
        <w:jc w:val="both"/>
        <w:ind w:left="4"/>
        <w:spacing w:after="0" w:line="22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to effect any such transfer or exchange, such Holder must:</w:t>
      </w:r>
    </w:p>
    <w:p>
      <w:pPr>
        <w:spacing w:after="0" w:line="150" w:lineRule="exact"/>
        <w:rPr>
          <w:rFonts w:ascii="Times New Roman" w:cs="Times New Roman" w:eastAsia="Times New Roman" w:hAnsi="Times New Roman"/>
          <w:sz w:val="21"/>
          <w:szCs w:val="21"/>
          <w:color w:val="auto"/>
        </w:rPr>
      </w:pPr>
    </w:p>
    <w:p>
      <w:pPr>
        <w:ind w:left="4" w:firstLine="1292"/>
        <w:spacing w:after="0" w:line="255" w:lineRule="auto"/>
        <w:tabs>
          <w:tab w:leader="none" w:pos="1943"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such Physical Note to be transferred or exchanged to the office of the Registrar, together with any endorsements or transfer instruments reasonably required by the Company, the Trustee or the Registrar; and</w:t>
      </w:r>
    </w:p>
    <w:p>
      <w:pPr>
        <w:spacing w:after="0" w:line="121" w:lineRule="exact"/>
        <w:rPr>
          <w:rFonts w:ascii="Times New Roman" w:cs="Times New Roman" w:eastAsia="Times New Roman" w:hAnsi="Times New Roman"/>
          <w:sz w:val="21"/>
          <w:szCs w:val="21"/>
          <w:color w:val="auto"/>
        </w:rPr>
      </w:pPr>
    </w:p>
    <w:p>
      <w:pPr>
        <w:ind w:left="1944" w:hanging="648"/>
        <w:spacing w:after="0"/>
        <w:tabs>
          <w:tab w:leader="none" w:pos="194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such  certificates,  documentation  or  evidence  as  may  be  required  pursuant  to</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2.10(D)</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left="4" w:firstLine="644"/>
        <w:spacing w:after="0" w:line="227" w:lineRule="auto"/>
        <w:tabs>
          <w:tab w:leader="none" w:pos="129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Effecting Transfers and Exchanges</w:t>
      </w:r>
      <w:r>
        <w:rPr>
          <w:rFonts w:ascii="Times New Roman" w:cs="Times New Roman" w:eastAsia="Times New Roman" w:hAnsi="Times New Roman"/>
          <w:sz w:val="22"/>
          <w:szCs w:val="22"/>
          <w:color w:val="auto"/>
        </w:rPr>
        <w:t>. Upon the satisfaction of the requirements of this Indenture to effect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or exchange of any Physical Note (such Physical Note being referred to as the “old Physical Note” for purposes of this </w:t>
      </w:r>
      <w:r>
        <w:rPr>
          <w:rFonts w:ascii="Times New Roman" w:cs="Times New Roman" w:eastAsia="Times New Roman" w:hAnsi="Times New Roman"/>
          <w:sz w:val="22"/>
          <w:szCs w:val="22"/>
          <w:b w:val="1"/>
          <w:bCs w:val="1"/>
          <w:color w:val="auto"/>
        </w:rPr>
        <w:t>Section 2.10(C)(ii)</w:t>
      </w:r>
      <w:r>
        <w:rPr>
          <w:rFonts w:ascii="Times New Roman" w:cs="Times New Roman" w:eastAsia="Times New Roman" w:hAnsi="Times New Roman"/>
          <w:sz w:val="22"/>
          <w:szCs w:val="22"/>
          <w:color w:val="auto"/>
        </w:rPr>
        <w:t>) of a Holder (or any portion of such old Physical Note in an Authorized Denomination):</w:t>
      </w:r>
    </w:p>
    <w:p>
      <w:pPr>
        <w:spacing w:after="0" w:line="146"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old Physical Note will be promptly cancelled pursuant to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4" w:firstLine="1292"/>
        <w:spacing w:after="0" w:line="217" w:lineRule="auto"/>
        <w:tabs>
          <w:tab w:leader="none" w:pos="194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584"/>
          </w:cols>
          <w:pgMar w:left="976" w:top="1395" w:right="339" w:bottom="1440" w:gutter="0" w:footer="0" w:header="0"/>
        </w:sectPr>
      </w:pPr>
    </w:p>
    <w:bookmarkStart w:id="88" w:name="page89"/>
    <w:bookmarkEnd w:id="88"/>
    <w:p>
      <w:pPr>
        <w:ind w:left="2600" w:hanging="648"/>
        <w:spacing w:after="0"/>
        <w:tabs>
          <w:tab w:leader="none" w:pos="260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transfer:</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16" w:lineRule="auto"/>
        <w:tabs>
          <w:tab w:leader="none" w:pos="3253" w:val="left"/>
        </w:tabs>
        <w:numPr>
          <w:ilvl w:val="3"/>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21"/>
          <w:szCs w:val="21"/>
          <w:b w:val="1"/>
          <w:bCs w:val="1"/>
          <w:color w:val="auto"/>
        </w:rPr>
        <w:t>Section 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21"/>
          <w:szCs w:val="21"/>
          <w:b w:val="1"/>
          <w:bCs w:val="1"/>
          <w:color w:val="auto"/>
        </w:rPr>
        <w:t>Section 2.09</w:t>
      </w:r>
      <w:r>
        <w:rPr>
          <w:rFonts w:ascii="Times New Roman" w:cs="Times New Roman" w:eastAsia="Times New Roman" w:hAnsi="Times New Roman"/>
          <w:sz w:val="21"/>
          <w:szCs w:val="21"/>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21"/>
          <w:szCs w:val="21"/>
          <w:b w:val="1"/>
          <w:bCs w:val="1"/>
          <w:color w:val="auto"/>
        </w:rPr>
        <w:t>Section 2.02</w:t>
      </w:r>
      <w:r>
        <w:rPr>
          <w:rFonts w:ascii="Times New Roman" w:cs="Times New Roman" w:eastAsia="Times New Roman" w:hAnsi="Times New Roman"/>
          <w:sz w:val="21"/>
          <w:szCs w:val="21"/>
          <w:color w:val="auto"/>
        </w:rPr>
        <w:t>, one or more Global Notes that (x) are in Authorized Denominations and have an aggregate principal amount equal to the principal amount that is to be so transferred but that is not effected by notation as provided above; and</w:t>
      </w:r>
    </w:p>
    <w:p>
      <w:pPr>
        <w:spacing w:after="0" w:line="6" w:lineRule="exact"/>
        <w:rPr>
          <w:rFonts w:ascii="Times New Roman" w:cs="Times New Roman" w:eastAsia="Times New Roman" w:hAnsi="Times New Roman"/>
          <w:sz w:val="21"/>
          <w:szCs w:val="21"/>
          <w:color w:val="auto"/>
        </w:rPr>
      </w:pP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(y)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55" w:lineRule="exact"/>
        <w:rPr>
          <w:rFonts w:ascii="Times New Roman" w:cs="Times New Roman" w:eastAsia="Times New Roman" w:hAnsi="Times New Roman"/>
          <w:sz w:val="21"/>
          <w:szCs w:val="21"/>
          <w:color w:val="auto"/>
        </w:rPr>
      </w:pPr>
    </w:p>
    <w:p>
      <w:pPr>
        <w:jc w:val="both"/>
        <w:ind w:left="1960" w:firstLine="640"/>
        <w:spacing w:after="0" w:line="215" w:lineRule="auto"/>
        <w:tabs>
          <w:tab w:leader="none" w:pos="3251" w:val="left"/>
        </w:tabs>
        <w:numPr>
          <w:ilvl w:val="3"/>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right="20" w:firstLine="656"/>
        <w:spacing w:after="0" w:line="238" w:lineRule="auto"/>
        <w:tabs>
          <w:tab w:leader="none" w:pos="128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 to Deliver Documentation and Other Evidence</w:t>
      </w:r>
      <w:r>
        <w:rPr>
          <w:rFonts w:ascii="Times New Roman" w:cs="Times New Roman" w:eastAsia="Times New Roman" w:hAnsi="Times New Roman"/>
          <w:sz w:val="22"/>
          <w:szCs w:val="22"/>
          <w:color w:val="auto"/>
        </w:rPr>
        <w:t>. If a Holder of any Note that is identified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CUSIP number or that bears a Restricted Note Legend or is a Transfer-Restricted Security requests to:</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Note to be identified by an “unrestricted” CUSIP number;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such Restricted Note Legend; or</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such Note to the name of another Person,</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for the Company to determine that such identification,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removal or transfer, as applicable, complies with the Securities Act and other applicable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without limiting </w:t>
      </w:r>
      <w:r>
        <w:rPr>
          <w:rFonts w:ascii="Times New Roman" w:cs="Times New Roman" w:eastAsia="Times New Roman" w:hAnsi="Times New Roman"/>
          <w:sz w:val="22"/>
          <w:szCs w:val="22"/>
          <w:b w:val="1"/>
          <w:bCs w:val="1"/>
          <w:color w:val="auto"/>
        </w:rPr>
        <w:t>Section 2.10(E)</w:t>
      </w:r>
      <w:r>
        <w:rPr>
          <w:rFonts w:ascii="Times New Roman" w:cs="Times New Roman" w:eastAsia="Times New Roman" w:hAnsi="Times New Roman"/>
          <w:sz w:val="22"/>
          <w:szCs w:val="22"/>
          <w:color w:val="auto"/>
        </w:rPr>
        <w:t xml:space="preserve">, no such certificates, documentation or evidence (other than, in the case of the following clause (w), a written request in the form contemplated by </w:t>
      </w:r>
      <w:r>
        <w:rPr>
          <w:rFonts w:ascii="Times New Roman" w:cs="Times New Roman" w:eastAsia="Times New Roman" w:hAnsi="Times New Roman"/>
          <w:sz w:val="22"/>
          <w:szCs w:val="22"/>
          <w:b w:val="1"/>
          <w:bCs w:val="1"/>
          <w:color w:val="auto"/>
        </w:rPr>
        <w:t>Section 2.10(E)</w:t>
      </w:r>
      <w:r>
        <w:rPr>
          <w:rFonts w:ascii="Times New Roman" w:cs="Times New Roman" w:eastAsia="Times New Roman" w:hAnsi="Times New Roman"/>
          <w:sz w:val="22"/>
          <w:szCs w:val="22"/>
          <w:color w:val="auto"/>
        </w:rPr>
        <w:t>) need be so delivered (w) on or and after the date that is six (6) months after the Last Original Issue Date of such Note if the requirements of Rule 144(c) and (i) are then satisfied with respect to the Company; (x) in connection with any transfer of a beneficial interest in a Global Note pursuant to Rule 144A; (y) in connection with any transfer of such Note to the Company or one of its Subsidiaries; or (z) in connection with any transfer of such Note pursuant to an effective registration statement under the Securities Act.</w:t>
      </w:r>
    </w:p>
    <w:p>
      <w:pPr>
        <w:spacing w:after="0" w:line="153" w:lineRule="exact"/>
        <w:rPr>
          <w:sz w:val="20"/>
          <w:szCs w:val="20"/>
          <w:color w:val="auto"/>
        </w:rPr>
      </w:pPr>
    </w:p>
    <w:p>
      <w:pPr>
        <w:jc w:val="both"/>
        <w:ind w:firstLine="656"/>
        <w:spacing w:after="0" w:line="213" w:lineRule="auto"/>
        <w:tabs>
          <w:tab w:leader="none" w:pos="128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De-Legending Procedures</w:t>
      </w:r>
      <w:r>
        <w:rPr>
          <w:rFonts w:ascii="Times New Roman" w:cs="Times New Roman" w:eastAsia="Times New Roman" w:hAnsi="Times New Roman"/>
          <w:sz w:val="22"/>
          <w:szCs w:val="22"/>
          <w:color w:val="auto"/>
        </w:rPr>
        <w:t>. If a Holder of any Note or share of Common Stock issued upon conversion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Note, or an owner of a beneficial interest in any Global Note, or in a global certificate representing any share of Common Stock issued upon conversion of any Note, transfers such Note or share in compliance with Rule 144 and delivers to the Company a written request, certifying that it is not, and has not been at any time during the preceding three (3) months, an Affiliate of the Company),to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such occurrence within two (2) Trading Days of such request.</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of Notes Subject to Conversion</w:t>
      </w:r>
      <w:r>
        <w:rPr>
          <w:rFonts w:ascii="Times New Roman" w:cs="Times New Roman" w:eastAsia="Times New Roman" w:hAnsi="Times New Roman"/>
          <w:sz w:val="22"/>
          <w:szCs w:val="22"/>
          <w:color w:val="auto"/>
        </w:rPr>
        <w:t>. Notwithstanding anything to the contrary in this Indenture or the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the Trustee and the Registrar will not be required to register the transfer of or exchange any Note that has been surrendered for conversion, except to the extent that any portion of such Note is not subject to conversion.</w:t>
      </w:r>
    </w:p>
    <w:p>
      <w:pPr>
        <w:spacing w:after="0" w:line="146" w:lineRule="exact"/>
        <w:rPr>
          <w:sz w:val="20"/>
          <w:szCs w:val="20"/>
          <w:color w:val="auto"/>
        </w:rPr>
      </w:pPr>
    </w:p>
    <w:p>
      <w:pPr>
        <w:ind w:left="2280" w:hanging="1619"/>
        <w:spacing w:after="0" w:line="238" w:lineRule="auto"/>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1.11.</w:t>
      </w:r>
      <w:r>
        <w:rPr>
          <w:sz w:val="20"/>
          <w:szCs w:val="20"/>
          <w:color w:val="auto"/>
        </w:rPr>
        <w:tab/>
      </w:r>
      <w:r>
        <w:rPr>
          <w:rFonts w:ascii="Times New Roman" w:cs="Times New Roman" w:eastAsia="Times New Roman" w:hAnsi="Times New Roman"/>
          <w:sz w:val="22"/>
          <w:szCs w:val="22"/>
          <w:b w:val="1"/>
          <w:bCs w:val="1"/>
          <w:color w:val="auto"/>
        </w:rPr>
        <w:t>Exchange and Cancellation of Notes to Be Converted or to Be Repurchased Pursuant to a Repurchase Upon Fundamental Change or Redemption</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56"/>
        <w:spacing w:after="0" w:line="210" w:lineRule="auto"/>
        <w:tabs>
          <w:tab w:leader="none" w:pos="128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Conversions of Physical Notes and Partial Repurchases of Physical Notes Pursuant to a Repurchase Upon Fundamental Change or Redemption</w:t>
      </w:r>
      <w:r>
        <w:rPr>
          <w:rFonts w:ascii="Times New Roman" w:cs="Times New Roman" w:eastAsia="Times New Roman" w:hAnsi="Times New Roman"/>
          <w:sz w:val="22"/>
          <w:szCs w:val="22"/>
          <w:color w:val="auto"/>
        </w:rPr>
        <w:t>. If only a portion of a Physical Note of a Holder is to be converted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22"/>
          <w:szCs w:val="22"/>
          <w:b w:val="1"/>
          <w:bCs w:val="1"/>
          <w:color w:val="auto"/>
        </w:rPr>
        <w:t>Section 2.10(C)</w:t>
      </w:r>
      <w:r>
        <w:rPr>
          <w:rFonts w:ascii="Times New Roman" w:cs="Times New Roman" w:eastAsia="Times New Roman" w:hAnsi="Times New Roman"/>
          <w:sz w:val="22"/>
          <w:szCs w:val="22"/>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Physical Note referred to in this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need not be issued at any time after which such principal amount subject to such conversion or repurchase, as applicable, is deemed to cease to be outstanding pursuant to </w:t>
      </w:r>
      <w:r>
        <w:rPr>
          <w:rFonts w:ascii="Times New Roman" w:cs="Times New Roman" w:eastAsia="Times New Roman" w:hAnsi="Times New Roman"/>
          <w:sz w:val="22"/>
          <w:szCs w:val="22"/>
          <w:b w:val="1"/>
          <w:bCs w:val="1"/>
          <w:color w:val="auto"/>
        </w:rPr>
        <w:t>Section 2.17</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 of Notes that Are Converted and Notes that Are Repurchased Pursuant to a Repurchase Upon Fundamental Change or Redemption</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660" w:firstLine="644"/>
        <w:spacing w:after="0" w:line="238" w:lineRule="auto"/>
        <w:tabs>
          <w:tab w:leader="none" w:pos="19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If a Physical Note (or any portion thereof that has not theretofore been exchanged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Section 2.11(A)</w:t>
      </w:r>
      <w:r>
        <w:rPr>
          <w:rFonts w:ascii="Times New Roman" w:cs="Times New Roman" w:eastAsia="Times New Roman" w:hAnsi="Times New Roman"/>
          <w:sz w:val="22"/>
          <w:szCs w:val="22"/>
          <w:color w:val="auto"/>
        </w:rPr>
        <w:t>) of a Holder is to be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18" w:right="339" w:bottom="1440" w:gutter="0" w:footer="0" w:header="0"/>
        </w:sectPr>
      </w:pPr>
    </w:p>
    <w:bookmarkStart w:id="90" w:name="page91"/>
    <w:bookmarkEnd w:id="90"/>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22"/>
          <w:szCs w:val="22"/>
          <w:b w:val="1"/>
          <w:bCs w:val="1"/>
          <w:color w:val="auto"/>
        </w:rPr>
        <w:t xml:space="preserve">Section 2.17 </w:t>
      </w:r>
      <w:r>
        <w:rPr>
          <w:rFonts w:ascii="Times New Roman" w:cs="Times New Roman" w:eastAsia="Times New Roman" w:hAnsi="Times New Roman"/>
          <w:sz w:val="22"/>
          <w:szCs w:val="22"/>
          <w:color w:val="auto"/>
        </w:rPr>
        <w:t>and the time such Physical Note is surrendered for such conversion or repurchase, as applicable, (1)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Physical Note will be cancelled pursuant to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 xml:space="preserve">; and (2) in the case of a partial conversion or repurchase, as applicable, the Company will issue, execute and deliver to such Holder,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left="660" w:firstLine="644"/>
        <w:spacing w:after="0" w:line="214" w:lineRule="auto"/>
        <w:tabs>
          <w:tab w:leader="none" w:pos="195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If a Global Note (or any portion thereof) is to be converted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pursuant to a Repurchase Upon Fundamental Change or Redemption, then, promptly after the time such Note (or such portion) is deemed to cease to be outstanding pursuant to </w:t>
      </w:r>
      <w:r>
        <w:rPr>
          <w:rFonts w:ascii="Times New Roman" w:cs="Times New Roman" w:eastAsia="Times New Roman" w:hAnsi="Times New Roman"/>
          <w:sz w:val="22"/>
          <w:szCs w:val="22"/>
          <w:b w:val="1"/>
          <w:bCs w:val="1"/>
          <w:color w:val="auto"/>
        </w:rPr>
        <w:t>Section 2.17</w:t>
      </w:r>
      <w:r>
        <w:rPr>
          <w:rFonts w:ascii="Times New Roman" w:cs="Times New Roman" w:eastAsia="Times New Roman" w:hAnsi="Times New Roman"/>
          <w:sz w:val="22"/>
          <w:szCs w:val="22"/>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b w:val="1"/>
          <w:bCs w:val="1"/>
          <w:color w:val="auto"/>
        </w:rPr>
        <w:t>Replacement Notes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spacing w:after="0" w:line="17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 xml:space="preserve">Every replacement Note issued pursuant to this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will be an additional obligation of the Company and will be entitled to all of the benefits of this Indenture equally and ratably with all other Notes issued under this Indenture.</w:t>
      </w:r>
    </w:p>
    <w:p>
      <w:pPr>
        <w:spacing w:after="0" w:line="11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1.13.</w:t>
      </w:r>
      <w:r>
        <w:rPr>
          <w:sz w:val="20"/>
          <w:szCs w:val="20"/>
          <w:color w:val="auto"/>
        </w:rPr>
        <w:tab/>
      </w:r>
      <w:r>
        <w:rPr>
          <w:rFonts w:ascii="Times New Roman" w:cs="Times New Roman" w:eastAsia="Times New Roman" w:hAnsi="Times New Roman"/>
          <w:sz w:val="21"/>
          <w:szCs w:val="21"/>
          <w:b w:val="1"/>
          <w:bCs w:val="1"/>
          <w:color w:val="auto"/>
        </w:rPr>
        <w:t>Registered Holders; Certain Rights with Respect to Global Notes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1" w:right="339" w:bottom="1440" w:gutter="0" w:footer="0" w:header="0"/>
        </w:sectPr>
      </w:pPr>
    </w:p>
    <w:bookmarkStart w:id="91" w:name="page92"/>
    <w:bookmarkEnd w:id="91"/>
    <w:p>
      <w:pPr>
        <w:jc w:val="both"/>
        <w:spacing w:after="0" w:line="271" w:lineRule="auto"/>
        <w:rPr>
          <w:sz w:val="20"/>
          <w:szCs w:val="20"/>
          <w:color w:val="auto"/>
        </w:rPr>
      </w:pPr>
      <w:r>
        <w:rPr>
          <w:rFonts w:ascii="Times New Roman" w:cs="Times New Roman" w:eastAsia="Times New Roman" w:hAnsi="Times New Roman"/>
          <w:sz w:val="22"/>
          <w:szCs w:val="22"/>
          <w:color w:val="auto"/>
        </w:rPr>
        <w:t>or the Notes; and (B) the Company and the Trustee, and their respective agents, may give effect to any written certification, proxy or other authorization furnished by the Depositary.</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1.14.</w:t>
      </w:r>
      <w:r>
        <w:rPr>
          <w:sz w:val="20"/>
          <w:szCs w:val="20"/>
          <w:color w:val="auto"/>
        </w:rPr>
        <w:tab/>
      </w:r>
      <w:r>
        <w:rPr>
          <w:rFonts w:ascii="Times New Roman" w:cs="Times New Roman" w:eastAsia="Times New Roman" w:hAnsi="Times New Roman"/>
          <w:sz w:val="21"/>
          <w:szCs w:val="21"/>
          <w:b w:val="1"/>
          <w:bCs w:val="1"/>
          <w:color w:val="auto"/>
        </w:rPr>
        <w:t>Cancellation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the Company may not originally issue new Notes to replace Notes that it has paid or that have been cancelled upon transfer, exchange, payment or conversion.</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color w:val="auto"/>
        </w:rPr>
        <w:t>Notes Held by the Company or its Affiliates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2.17</w:t>
      </w:r>
      <w:r>
        <w:rPr>
          <w:rFonts w:ascii="Times New Roman" w:cs="Times New Roman" w:eastAsia="Times New Roman" w:hAnsi="Times New Roman"/>
          <w:sz w:val="22"/>
          <w:szCs w:val="22"/>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determining whether the Trustee is protected in relying on any such direction, waiver or consent, only Notes that a Responsible Officer of the Trustee knows are so owned will be so disregarded.</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1.16.</w:t>
      </w:r>
      <w:r>
        <w:rPr>
          <w:sz w:val="20"/>
          <w:szCs w:val="20"/>
          <w:color w:val="auto"/>
        </w:rPr>
        <w:tab/>
      </w:r>
      <w:r>
        <w:rPr>
          <w:rFonts w:ascii="Times New Roman" w:cs="Times New Roman" w:eastAsia="Times New Roman" w:hAnsi="Times New Roman"/>
          <w:sz w:val="21"/>
          <w:szCs w:val="21"/>
          <w:b w:val="1"/>
          <w:bCs w:val="1"/>
          <w:color w:val="auto"/>
        </w:rPr>
        <w:t>Temporary Notes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definitive Notes in exchange for temporary Notes. Until so exchanged, each temporary Note will in all respects be entitled to the same benefits under this Indenture as definitive Notes.</w:t>
      </w:r>
    </w:p>
    <w:p>
      <w:pPr>
        <w:spacing w:after="0" w:line="15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1.17.</w:t>
      </w:r>
      <w:r>
        <w:rPr>
          <w:sz w:val="20"/>
          <w:szCs w:val="20"/>
          <w:color w:val="auto"/>
        </w:rPr>
        <w:tab/>
      </w:r>
      <w:r>
        <w:rPr>
          <w:rFonts w:ascii="Times New Roman" w:cs="Times New Roman" w:eastAsia="Times New Roman" w:hAnsi="Times New Roman"/>
          <w:sz w:val="21"/>
          <w:szCs w:val="21"/>
          <w:b w:val="1"/>
          <w:bCs w:val="1"/>
          <w:color w:val="auto"/>
        </w:rPr>
        <w:t>Outstanding Notes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6" w:lineRule="auto"/>
        <w:tabs>
          <w:tab w:leader="none" w:pos="12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Notes that are outstanding at any time will be deemed to be those Notes that, at such time,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been duly executed and 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or (iv) deemed to cease to be outstanding to the extent provided in, and subject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2.17</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Replaced Notes</w:t>
      </w:r>
      <w:r>
        <w:rPr>
          <w:rFonts w:ascii="Times New Roman" w:cs="Times New Roman" w:eastAsia="Times New Roman" w:hAnsi="Times New Roman"/>
          <w:sz w:val="22"/>
          <w:szCs w:val="22"/>
          <w:color w:val="auto"/>
        </w:rPr>
        <w:t>. If a Note is replaced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then such Note will cease to be outstanding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of its replacement, unless the Trustee and the Company receive proof reasonably satisfactory to them that such Note is held by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656"/>
        <w:spacing w:after="0" w:line="212" w:lineRule="auto"/>
        <w:tabs>
          <w:tab w:leader="none" w:pos="12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Maturing Notes and Notes Called for Redemption or Subject to Repurchase</w:t>
      </w:r>
      <w:r>
        <w:rPr>
          <w:rFonts w:ascii="Times New Roman" w:cs="Times New Roman" w:eastAsia="Times New Roman" w:hAnsi="Times New Roman"/>
          <w:sz w:val="22"/>
          <w:szCs w:val="22"/>
          <w:color w:val="auto"/>
        </w:rPr>
        <w:t>. If, on a Redemption Date,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22"/>
          <w:szCs w:val="22"/>
          <w:b w:val="1"/>
          <w:bCs w:val="1"/>
          <w:color w:val="auto"/>
        </w:rPr>
        <w:t>Section 4.02(D), 4.03(E)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and (ii) the rights of the Holders of such Notes (or such portions thereof), as such, will terminate with respect to such Notes (or such portions thereof), other than the right to receive the Redemption Price, the Fundamental Change Repurchase Price or principal amount, as applicable, of, and accrued and unpaid interest on, such Notes (or such portions thereof), in each case as provided in this Indenture.</w:t>
      </w:r>
    </w:p>
    <w:p>
      <w:pPr>
        <w:spacing w:after="0" w:line="14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Notes to Be Converted</w:t>
      </w:r>
      <w:r>
        <w:rPr>
          <w:rFonts w:ascii="Times New Roman" w:cs="Times New Roman" w:eastAsia="Times New Roman" w:hAnsi="Times New Roman"/>
          <w:sz w:val="22"/>
          <w:szCs w:val="22"/>
          <w:color w:val="auto"/>
        </w:rPr>
        <w:t>. At the Close of Business on the Conversion Date for any Note (or any portion thereof)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converted, such Note (or such portion) will (unless there occurs a Default in the delivery of the Conversion Consideration or interest due, pursuant to </w:t>
      </w:r>
      <w:r>
        <w:rPr>
          <w:rFonts w:ascii="Times New Roman" w:cs="Times New Roman" w:eastAsia="Times New Roman" w:hAnsi="Times New Roman"/>
          <w:sz w:val="22"/>
          <w:szCs w:val="22"/>
          <w:b w:val="1"/>
          <w:bCs w:val="1"/>
          <w:color w:val="auto"/>
        </w:rPr>
        <w:t>Section 5.03(B)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upon such conversion) be deemed to cease to be outstanding, except to the extent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5.08</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Cessation of Accrual of Interest</w:t>
      </w:r>
      <w:r>
        <w:rPr>
          <w:rFonts w:ascii="Times New Roman" w:cs="Times New Roman" w:eastAsia="Times New Roman" w:hAnsi="Times New Roman"/>
          <w:sz w:val="22"/>
          <w:szCs w:val="22"/>
          <w:color w:val="auto"/>
        </w:rPr>
        <w:t>. 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4.02(D), 4.03(E)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interest will cease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accrue on each Note from, and including, the date that such Note is deemed, pursuant to this </w:t>
      </w:r>
      <w:r>
        <w:rPr>
          <w:rFonts w:ascii="Times New Roman" w:cs="Times New Roman" w:eastAsia="Times New Roman" w:hAnsi="Times New Roman"/>
          <w:sz w:val="22"/>
          <w:szCs w:val="22"/>
          <w:b w:val="1"/>
          <w:bCs w:val="1"/>
          <w:color w:val="auto"/>
        </w:rPr>
        <w:t>Section 2.17</w:t>
      </w:r>
      <w:r>
        <w:rPr>
          <w:rFonts w:ascii="Times New Roman" w:cs="Times New Roman" w:eastAsia="Times New Roman" w:hAnsi="Times New Roman"/>
          <w:sz w:val="22"/>
          <w:szCs w:val="22"/>
          <w:color w:val="auto"/>
        </w:rPr>
        <w:t>, to cease to be outstanding, unless there occurs a default in the payment or delivery of any cash or other property due on such Note.</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1.18.</w:t>
      </w:r>
      <w:r>
        <w:rPr>
          <w:sz w:val="20"/>
          <w:szCs w:val="20"/>
          <w:color w:val="auto"/>
        </w:rPr>
        <w:tab/>
      </w:r>
      <w:r>
        <w:rPr>
          <w:rFonts w:ascii="Times New Roman" w:cs="Times New Roman" w:eastAsia="Times New Roman" w:hAnsi="Times New Roman"/>
          <w:sz w:val="21"/>
          <w:szCs w:val="21"/>
          <w:b w:val="1"/>
          <w:bCs w:val="1"/>
          <w:color w:val="auto"/>
        </w:rPr>
        <w:t>Repurchases by the Company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 xml:space="preserve">, the Company may, from time to time, repurchase Notes in open market purchases or in negotiated transactions without delivering prior notice to Holders, in each case in compliance with the applicable provisions in </w:t>
      </w:r>
      <w:r>
        <w:rPr>
          <w:rFonts w:ascii="Times New Roman" w:cs="Times New Roman" w:eastAsia="Times New Roman" w:hAnsi="Times New Roman"/>
          <w:sz w:val="22"/>
          <w:szCs w:val="22"/>
          <w:b w:val="1"/>
          <w:bCs w:val="1"/>
          <w:color w:val="auto"/>
        </w:rPr>
        <w:t>Article 3</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1.19.</w:t>
      </w:r>
      <w:r>
        <w:rPr>
          <w:sz w:val="20"/>
          <w:szCs w:val="20"/>
          <w:color w:val="auto"/>
        </w:rPr>
        <w:tab/>
      </w:r>
      <w:r>
        <w:rPr>
          <w:rFonts w:ascii="Times New Roman" w:cs="Times New Roman" w:eastAsia="Times New Roman" w:hAnsi="Times New Roman"/>
          <w:sz w:val="21"/>
          <w:szCs w:val="21"/>
          <w:b w:val="1"/>
          <w:bCs w:val="1"/>
          <w:color w:val="auto"/>
        </w:rPr>
        <w:t>CUSIP and ISIN Numbers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Payment on Notes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7" w:lineRule="auto"/>
        <w:tabs>
          <w:tab w:leader="none" w:pos="128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pay or cause to be paid all the principal of, the Fundamental Change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and Redemption Price for, interest on, and other amounts due with respect to, the Notes on the dates and in the manner set forth in this Indenture.</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Deposit of Funds</w:t>
      </w:r>
      <w:r>
        <w:rPr>
          <w:rFonts w:ascii="Times New Roman" w:cs="Times New Roman" w:eastAsia="Times New Roman" w:hAnsi="Times New Roman"/>
          <w:sz w:val="22"/>
          <w:szCs w:val="22"/>
          <w:color w:val="auto"/>
        </w:rPr>
        <w:t>. Before 11:00 A.M., New York City time, on each Redemption Date, Fundamental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Repurchase Date or Interest Payment Date, and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1" w:right="339" w:bottom="1440" w:gutter="0" w:footer="0" w:header="0"/>
        </w:sectPr>
      </w:pPr>
    </w:p>
    <w:bookmarkStart w:id="93" w:name="page94"/>
    <w:bookmarkEnd w:id="93"/>
    <w:p>
      <w:pPr>
        <w:jc w:val="both"/>
        <w:spacing w:after="0" w:line="220" w:lineRule="auto"/>
        <w:rPr>
          <w:sz w:val="20"/>
          <w:szCs w:val="20"/>
          <w:color w:val="auto"/>
        </w:rPr>
      </w:pPr>
      <w:r>
        <w:rPr>
          <w:rFonts w:ascii="Times New Roman" w:cs="Times New Roman" w:eastAsia="Times New Roman" w:hAnsi="Times New Roman"/>
          <w:sz w:val="22"/>
          <w:szCs w:val="22"/>
          <w:color w:val="auto"/>
        </w:rPr>
        <w:t>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color w:val="auto"/>
        </w:rPr>
        <w:t>Exchange Act Reports and Financial Statements.</w:t>
      </w:r>
    </w:p>
    <w:p>
      <w:pPr>
        <w:spacing w:after="0" w:line="179" w:lineRule="exact"/>
        <w:rPr>
          <w:sz w:val="20"/>
          <w:szCs w:val="20"/>
          <w:color w:val="auto"/>
        </w:rPr>
      </w:pPr>
    </w:p>
    <w:p>
      <w:pPr>
        <w:jc w:val="both"/>
        <w:ind w:firstLine="656"/>
        <w:spacing w:after="0" w:line="211" w:lineRule="auto"/>
        <w:tabs>
          <w:tab w:leader="none" w:pos="128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send to the Trustee copies of all reports that the Company is required to file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furnish with the SEC pursuant to Section 13(a) or 15(d) of the Exchange Act within fifteen (15) calendar days after the date that the Company is required to file or furnish the same (after giving effect to all applicable grace periods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need not send to the Trustee any material for which the Company has received, or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seeking in good faith and has not been denied, confidential treatment by the SEC. Any report that the Company files or furnishes with the SEC through the EDGAR system (or any successor thereto) will be deemed to be sent to the Trustee at the time such report is so filed or furnished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other than a report that is deemed to be sent to the Trustee pursuant to the preceding sentence. The Company shall comply in all respects with the filing requirements under Section 13 or 15(d) of the Exchange Act, as applicable.</w:t>
      </w:r>
    </w:p>
    <w:p>
      <w:pPr>
        <w:spacing w:after="0" w:line="155"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filed or furnished with the SEC through the EDGAR system (or any successor thereto), if the Company is not subject to Section 13 or 15(d) of the Exchange Act at any time when any Notes or shares of Common Stock issuable upon conversion of the Notes are outstanding, then the Company shall:</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within one hundred twenty (120) days after the end of each fiscal year of the Company, deliver to the Trustee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28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within forty-five (45) days after the end of each of the first three fiscal quarters of each fiscal year of the Company, deliver to the Trustee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w:t>
      </w:r>
    </w:p>
    <w:p>
      <w:pPr>
        <w:spacing w:after="0" w:line="151"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financial statements included in any SEC Documents or delivered pursuant to clause (B) shall fairly present the consolidated financial position of the Company and its Subsidiaries as of the dates thereof and the consolidated results of their operations and cash flows for the periods presented and shall have been prepared in accordance with GAAP, consistently applied (subject, in the case of unaudited quarterly financial statements, to normal year-end adjustments that are not material individually or in the aggregate and lack of footnote disclosures). Any audit or report of the Company’s independent certified public accountants on any financial statements included in any such SEC Document or delivered pursuant to clause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12" w:lineRule="auto"/>
        <w:rPr>
          <w:sz w:val="20"/>
          <w:szCs w:val="20"/>
          <w:color w:val="auto"/>
        </w:rPr>
      </w:pPr>
      <w:r>
        <w:rPr>
          <w:rFonts w:ascii="Times New Roman" w:cs="Times New Roman" w:eastAsia="Times New Roman" w:hAnsi="Times New Roman"/>
          <w:sz w:val="22"/>
          <w:szCs w:val="22"/>
          <w:color w:val="auto"/>
        </w:rPr>
        <w:t>shall contain an unqualified opinion (subject to the exception set forth in the parenthetical at the end of the immediately following sentence) stating that such consolidated financial statements present fairly in all material respects the consolidated financial position and results of operations and cash flows of the Company and its Subsidiaries as of the dates thereof and for the periods presented and have been prepared in conformity with GAAP applied on a basis materially consistent with prior years. Any financial statements or notes thereto included in any such SEC Document or delivered pursuant to clause (B) shall not include any qualification, explanatory paragraph, emphasis of matter or other statement expressing substantial doubt as to going concern status (other than a “going concern” or like qualification or exception resulting solely from an upcoming maturity date of any Indebtedness).</w:t>
      </w:r>
    </w:p>
    <w:p>
      <w:pPr>
        <w:spacing w:after="0" w:line="152" w:lineRule="exact"/>
        <w:rPr>
          <w:sz w:val="20"/>
          <w:szCs w:val="20"/>
          <w:color w:val="auto"/>
        </w:rPr>
      </w:pPr>
    </w:p>
    <w:p>
      <w:pPr>
        <w:jc w:val="both"/>
        <w:ind w:firstLine="656"/>
        <w:spacing w:after="0" w:line="218" w:lineRule="auto"/>
        <w:tabs>
          <w:tab w:leader="none" w:pos="129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The Trustee need not determine whether the Company has filed any material via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EDGAR system (or such successor). The sending or filing of reports pursuant to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xml:space="preserve"> or the delivery of other documents or notices to the Trustee under this Indenture will not be deemed to constitute actual or constructive notice to the Trustee of any information contained, or determinable from information contained, therein, including the Company’s compliance with any of its covenants under this Indenture.</w:t>
      </w:r>
    </w:p>
    <w:p>
      <w:pPr>
        <w:spacing w:after="0" w:line="14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Rule 144A Information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Additional Interest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8" w:lineRule="auto"/>
        <w:tabs>
          <w:tab w:leader="none" w:pos="12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Accrual of Additional Interest</w:t>
      </w:r>
      <w:r>
        <w:rPr>
          <w:rFonts w:ascii="Times New Roman" w:cs="Times New Roman" w:eastAsia="Times New Roman" w:hAnsi="Times New Roman"/>
          <w:sz w:val="22"/>
          <w:szCs w:val="22"/>
          <w:color w:val="auto"/>
        </w:rPr>
        <w:t>. If, on any day occurring on or after the date that is six (6) months after the Last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Original Issue Date of any Note,</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satisfied the reporting conditions (including, for the avoidance of doubt, the requirement for current Form 10 information) set forth in Rule 144(c) and (i)(2) under the Securities Act;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is not otherwise Freely Tradable,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 Additional Interest will accrue on such Note for such day.</w:t>
      </w:r>
    </w:p>
    <w:p>
      <w:pPr>
        <w:spacing w:after="0" w:line="189" w:lineRule="exact"/>
        <w:rPr>
          <w:sz w:val="20"/>
          <w:szCs w:val="20"/>
          <w:color w:val="auto"/>
        </w:rPr>
      </w:pPr>
    </w:p>
    <w:p>
      <w:pPr>
        <w:jc w:val="both"/>
        <w:ind w:firstLine="656"/>
        <w:spacing w:after="0" w:line="221" w:lineRule="auto"/>
        <w:tabs>
          <w:tab w:leader="none" w:pos="128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and Payment of Additional Interest</w:t>
      </w:r>
      <w:r>
        <w:rPr>
          <w:rFonts w:ascii="Times New Roman" w:cs="Times New Roman" w:eastAsia="Times New Roman" w:hAnsi="Times New Roman"/>
          <w:sz w:val="22"/>
          <w:szCs w:val="22"/>
          <w:color w:val="auto"/>
        </w:rPr>
        <w:t>. Any Additional Interest that accrues on a Note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3.04(A) </w:t>
      </w:r>
      <w:r>
        <w:rPr>
          <w:rFonts w:ascii="Times New Roman" w:cs="Times New Roman" w:eastAsia="Times New Roman" w:hAnsi="Times New Roman"/>
          <w:sz w:val="22"/>
          <w:szCs w:val="22"/>
          <w:color w:val="auto"/>
        </w:rPr>
        <w:t>will be payable on the same dates and in the same manner as the Stated Interest on such Note and will accrue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rate per annum equal to one half of one percent (0.50%) of the principal amount thereof. For the avoidance of doubt, any Additional Interest that accrues on a Note will be in addition to the Stated Interest that accrues on such Note.</w:t>
      </w:r>
    </w:p>
    <w:p>
      <w:pPr>
        <w:spacing w:after="0" w:line="14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Accrual of Additional Interest; Trustee’s Disclaimer</w:t>
      </w:r>
      <w:r>
        <w:rPr>
          <w:rFonts w:ascii="Times New Roman" w:cs="Times New Roman" w:eastAsia="Times New Roman" w:hAnsi="Times New Roman"/>
          <w:sz w:val="22"/>
          <w:szCs w:val="22"/>
          <w:color w:val="auto"/>
        </w:rPr>
        <w:t>. The Company will send notice to the Holder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Note,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95" w:name="page96"/>
    <w:bookmarkEnd w:id="95"/>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48" w:lineRule="exact"/>
        <w:rPr>
          <w:sz w:val="20"/>
          <w:szCs w:val="20"/>
          <w:color w:val="auto"/>
        </w:rPr>
      </w:pPr>
    </w:p>
    <w:p>
      <w:pPr>
        <w:ind w:firstLine="656"/>
        <w:spacing w:after="0" w:line="238" w:lineRule="auto"/>
        <w:tabs>
          <w:tab w:leader="none" w:pos="128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Exclusive Remedy</w:t>
      </w:r>
      <w:r>
        <w:rPr>
          <w:rFonts w:ascii="Times New Roman" w:cs="Times New Roman" w:eastAsia="Times New Roman" w:hAnsi="Times New Roman"/>
          <w:sz w:val="22"/>
          <w:szCs w:val="22"/>
          <w:color w:val="auto"/>
        </w:rPr>
        <w:t>. The accrual of Additional Interest will be the exclusive remedy available to Holders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failure of their Notes to become Freely Tradable.</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Compliance and Default Certificates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6" w:lineRule="auto"/>
        <w:tabs>
          <w:tab w:leader="none" w:pos="128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Compliance Certificate</w:t>
      </w:r>
      <w:r>
        <w:rPr>
          <w:rFonts w:ascii="Times New Roman" w:cs="Times New Roman" w:eastAsia="Times New Roman" w:hAnsi="Times New Roman"/>
          <w:sz w:val="22"/>
          <w:szCs w:val="22"/>
          <w:color w:val="auto"/>
        </w:rPr>
        <w:t>. Within one hundred twenty (120) days after December 31, 2025 and each fiscal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of the Company ending 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 Certificate</w:t>
      </w:r>
      <w:r>
        <w:rPr>
          <w:rFonts w:ascii="Times New Roman" w:cs="Times New Roman" w:eastAsia="Times New Roman" w:hAnsi="Times New Roman"/>
          <w:sz w:val="22"/>
          <w:szCs w:val="22"/>
          <w:color w:val="auto"/>
        </w:rPr>
        <w:t>. If a Default or Event of Default occurs, then the Company will, within five (5) Business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its first occurrence, deliver an Officer’s Certificate to the Trustee describing the same and what action the Company is taking or proposes to take with respect thereto.</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Stay, Extension and Usury Laws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5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Acquisition of Notes by the Company and its Affiliates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2.17</w:t>
      </w:r>
      <w:r>
        <w:rPr>
          <w:rFonts w:ascii="Times New Roman" w:cs="Times New Roman" w:eastAsia="Times New Roman" w:hAnsi="Times New Roman"/>
          <w:sz w:val="22"/>
          <w:szCs w:val="22"/>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14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Note Party will, nor will it permit any Subsidiary to, create, incur, assume or suffer to exist any Indebtedness on or after the Issue Date, except:</w:t>
      </w:r>
    </w:p>
    <w:p>
      <w:pPr>
        <w:spacing w:after="0" w:line="131"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 Obligations;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3.08(B);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96" w:name="page97"/>
    <w:bookmarkEnd w:id="96"/>
    <w:p>
      <w:pPr>
        <w:jc w:val="both"/>
        <w:ind w:firstLine="656"/>
        <w:spacing w:after="0" w:line="217" w:lineRule="auto"/>
        <w:tabs>
          <w:tab w:leader="none" w:pos="12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Company to any Subsidiary and of any Subsidiary to the Company or any other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Indebtedness of any Subsidiary that is not a Note Party to the Company or any other Note Party shall be subject to </w:t>
      </w:r>
      <w:r>
        <w:rPr>
          <w:rFonts w:ascii="Times New Roman" w:cs="Times New Roman" w:eastAsia="Times New Roman" w:hAnsi="Times New Roman"/>
          <w:sz w:val="22"/>
          <w:szCs w:val="22"/>
          <w:b w:val="1"/>
          <w:bCs w:val="1"/>
          <w:color w:val="auto"/>
        </w:rPr>
        <w:t>Section 3.11(D)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3.11(P)</w:t>
      </w:r>
      <w:r>
        <w:rPr>
          <w:rFonts w:ascii="Times New Roman" w:cs="Times New Roman" w:eastAsia="Times New Roman" w:hAnsi="Times New Roman"/>
          <w:sz w:val="22"/>
          <w:szCs w:val="22"/>
          <w:color w:val="auto"/>
        </w:rPr>
        <w:t xml:space="preserve"> and (ii) Indebtedness of any Note Party to any Subsidiary that is not a Note Party shall be subordinated to the Note Obligations pursuant to a subordination agreement on terms substantially in the form attached hereto as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Company of Indebtedness of any Subsidiary to a bona fide third party and by any Subsidiary of Indebtedness of the Company or any other Subsidiary to a bona fide third party (including, without limitation, constituting customary indemnification, purchase price adjustments or other similar reimbursement obligations incurred under customary agreements in the ordinary course of business, or Dispositions or investments otherwise permitted under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Indebtedness so Guaranteed is otherwise permitted by this </w:t>
      </w:r>
      <w:r>
        <w:rPr>
          <w:rFonts w:ascii="Times New Roman" w:cs="Times New Roman" w:eastAsia="Times New Roman" w:hAnsi="Times New Roman"/>
          <w:sz w:val="22"/>
          <w:szCs w:val="22"/>
          <w:b w:val="1"/>
          <w:bCs w:val="1"/>
          <w:color w:val="auto"/>
        </w:rPr>
        <w:t>Section 3.08</w:t>
      </w:r>
      <w:r>
        <w:rPr>
          <w:rFonts w:ascii="Times New Roman" w:cs="Times New Roman" w:eastAsia="Times New Roman" w:hAnsi="Times New Roman"/>
          <w:sz w:val="22"/>
          <w:szCs w:val="22"/>
          <w:color w:val="auto"/>
        </w:rPr>
        <w:t xml:space="preserve">, (ii) Guarantees by the Company or any other Note Party of Indebtedness of any Subsidiary that is not a Note Party shall be subject to </w:t>
      </w:r>
      <w:r>
        <w:rPr>
          <w:rFonts w:ascii="Times New Roman" w:cs="Times New Roman" w:eastAsia="Times New Roman" w:hAnsi="Times New Roman"/>
          <w:sz w:val="22"/>
          <w:szCs w:val="22"/>
          <w:b w:val="1"/>
          <w:bCs w:val="1"/>
          <w:color w:val="auto"/>
        </w:rPr>
        <w:t>Section 3.11(E)</w:t>
      </w:r>
      <w:r>
        <w:rPr>
          <w:rFonts w:ascii="Times New Roman" w:cs="Times New Roman" w:eastAsia="Times New Roman" w:hAnsi="Times New Roman"/>
          <w:sz w:val="22"/>
          <w:szCs w:val="22"/>
          <w:color w:val="auto"/>
        </w:rPr>
        <w:t xml:space="preserve"> and (iii) Guarantees permitted under this clause (d) shall be subordinated to the Note Obligations on the same terms as the Indebtedness so Guaranteed is subordinated to the Note Obligations;</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Company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is incurred prior to or within 180 days after such acquisition or the completion of such construction or improvement and (ii) the aggregate principal amount of Indebtedness permitted by this clause (E), together with any Refinance Indebtedness (as defined below) in respect thereof permitted by clause (F) below, shall not exceed the greater of (i) $15,000,000 and (ii) 15% of Consolidated EBITDA in the aggregate at any time outstanding;</w:t>
      </w:r>
    </w:p>
    <w:p>
      <w:pPr>
        <w:spacing w:after="0" w:line="156"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22"/>
          <w:szCs w:val="22"/>
          <w:b w:val="1"/>
          <w:bCs w:val="1"/>
          <w:color w:val="auto"/>
        </w:rPr>
        <w:t>Refinance Indebtedness</w:t>
      </w:r>
      <w:r>
        <w:rPr>
          <w:rFonts w:ascii="Times New Roman" w:cs="Times New Roman" w:eastAsia="Times New Roman" w:hAnsi="Times New Roman"/>
          <w:sz w:val="22"/>
          <w:szCs w:val="22"/>
          <w:color w:val="auto"/>
        </w:rPr>
        <w:t>”) of any of the Indebtedness described in clauses (B), (E) and (M) hereof (such Indebtedness being referred to herein as the “</w:t>
      </w:r>
      <w:r>
        <w:rPr>
          <w:rFonts w:ascii="Times New Roman" w:cs="Times New Roman" w:eastAsia="Times New Roman" w:hAnsi="Times New Roman"/>
          <w:sz w:val="22"/>
          <w:szCs w:val="22"/>
          <w:b w:val="1"/>
          <w:bCs w:val="1"/>
          <w:color w:val="auto"/>
        </w:rPr>
        <w:t>Original 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principal amount or accreted value, if applicable, of such Refinance Indebtedness does not increase the principal amount or accreted value, if applicable, of the Original Indebtedness and, in the case of Indebtedness described in clause (E) hereof, the aggregate principal amount of Indebtedness permitted by this clause (F), together with any Indebtedness permitted by clause (E), shall not exceed the greater of (i) $15,000,000 and (ii) 15% of Consolidated EBITDA in the aggregate at any time outstanding, (ii) any Liens securing such Refinance Indebtedness are not extended to any additional property of any Note Party or any Subsidiary, (iii) no Note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 are not less favorable to the obligor thereunder than the original terms of such Original Indebtedness, and (vi) if such Original Indebtedness was subordinated in right of payment to the Obligations or any of the other Note Obligations, then the terms and conditions of such Refinance Indebtedness must include subordination terms and conditions that are at least as favorable to the Trustee, the Collateral Agent and the Holders as those that were applicable to such Original Indebtedness;</w:t>
      </w:r>
    </w:p>
    <w:p>
      <w:pPr>
        <w:spacing w:after="0" w:line="164" w:lineRule="exact"/>
        <w:rPr>
          <w:rFonts w:ascii="Times New Roman" w:cs="Times New Roman" w:eastAsia="Times New Roman" w:hAnsi="Times New Roman"/>
          <w:sz w:val="22"/>
          <w:szCs w:val="22"/>
          <w:color w:val="auto"/>
        </w:rPr>
      </w:pPr>
    </w:p>
    <w:p>
      <w:pPr>
        <w:ind w:right="20" w:firstLine="656"/>
        <w:spacing w:after="0" w:line="236" w:lineRule="auto"/>
        <w:tabs>
          <w:tab w:leader="none" w:pos="128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workers’ compensation, health, disability or other employee benefits or property, casualty or liability insurance,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reimbursement or indemnification obligations to such Person, in each case incurred in the ordinary course of business;</w:t>
      </w:r>
    </w:p>
    <w:p>
      <w:pPr>
        <w:spacing w:after="0" w:line="179" w:lineRule="exact"/>
        <w:rPr>
          <w:sz w:val="20"/>
          <w:szCs w:val="20"/>
          <w:color w:val="auto"/>
        </w:rPr>
      </w:pPr>
    </w:p>
    <w:p>
      <w:pPr>
        <w:ind w:firstLine="656"/>
        <w:spacing w:after="0" w:line="236" w:lineRule="auto"/>
        <w:tabs>
          <w:tab w:leader="none" w:pos="128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Note Party in respect of performance bonds, bid bonds, appeal bonds, surety bonds and similar obligations, in each case provided in the ordinary course of business;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endorsement of instruments or other payment items for deposit in the ordinary course of business;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judgments not constituting an Event of Default;</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related to Swap Agreements permitted by </w:t>
      </w:r>
      <w:r>
        <w:rPr>
          <w:rFonts w:ascii="Times New Roman" w:cs="Times New Roman" w:eastAsia="Times New Roman" w:hAnsi="Times New Roman"/>
          <w:sz w:val="22"/>
          <w:szCs w:val="22"/>
          <w:b w:val="1"/>
          <w:bCs w:val="1"/>
          <w:color w:val="auto"/>
        </w:rPr>
        <w:t>Section 3.14</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in the form of Earn-outs or other contingent payment obligations due and payable in connection with any Permitted Acquisition or other Investment permitted hereunder and (ii) Subordinated Indebtedness, including seller notes entered into in connection with Permitted Acquisitions, in an aggregate principal amount for all such Indebtedness under this clause (l) not to exceed the greater of (i) $10,000,000 and (ii) 10% of Consolidated EBITDA in the aggregate at any time outstanding;</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that becomes a Subsidiary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(M), together with any Refinance Indebtedness in respect thereof permitted by clause (F) above, shall not exceed $6,000,000 in the aggregate at any time outstanding;</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of any Note Party or wholly-owned Subsidiary of any Note Party in an aggregate principal amount not exceeding $15,000,000 in the aggregate at any time outstanding; provided that the aggregate principal amount of Indebtedness of Subsidiaries that are not Note Parties permitted by this clause (N) shall not exceed $3,500,000 in the aggregate at any time outstanding and shall not be Indebtedness for borrowed money;</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connection with the deemed financing of insurance premiums arising as a result of the payment of such premiums in installments in the ordinary course of business (expressly excluding third party 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Indebtedness permitted by this clause (O) shall not exceed $6,000,000 in the aggregate at any time outstanding;</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the Company that is evidenced by promissory notes issued by the Company to current or former directors, consultants, managers, officers and employees (or their spouses or estates) of the Company and its Subsidiaries in connection with repurchases or redemptions of the equity interests of the Company issued to such director, consultant, manager, officer or employee so long as (i) such Indebtedness is not guaranteed by the Company or any Subsidiary of the Company, (ii) such Indebtedness does not have any maturity, amortization, interest payments, redemption, sinking fund or other similar payment prior to the Maturity Date then in effect, (iv) such Indebtedness does not have any covenants or defaults (other than a bankruptcy of the Company, change of control and non-payment of such Indebtedness but otherwise subject to the subordination provisions thereof), (v) such Indebtedness is subordinated to the Note Obligations as to right and time of payment and as to other rights and remedies thereunder on terms and conditions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98" w:name="page99"/>
    <w:bookmarkEnd w:id="98"/>
    <w:p>
      <w:pPr>
        <w:spacing w:after="0" w:line="236" w:lineRule="auto"/>
        <w:rPr>
          <w:sz w:val="20"/>
          <w:szCs w:val="20"/>
          <w:color w:val="auto"/>
        </w:rPr>
      </w:pPr>
      <w:r>
        <w:rPr>
          <w:rFonts w:ascii="Times New Roman" w:cs="Times New Roman" w:eastAsia="Times New Roman" w:hAnsi="Times New Roman"/>
          <w:sz w:val="22"/>
          <w:szCs w:val="22"/>
          <w:color w:val="auto"/>
        </w:rPr>
        <w:t>Collateral Agent, and (vi) the aggregate principal amount of all such Indebtedness outstanding under this clause (P) does not exceed $7,500,000 in the aggregate at any time outstanding;</w:t>
      </w:r>
    </w:p>
    <w:p>
      <w:pPr>
        <w:spacing w:after="0" w:line="150" w:lineRule="exact"/>
        <w:rPr>
          <w:sz w:val="20"/>
          <w:szCs w:val="20"/>
          <w:color w:val="auto"/>
        </w:rPr>
      </w:pPr>
    </w:p>
    <w:p>
      <w:pPr>
        <w:jc w:val="both"/>
        <w:ind w:firstLine="656"/>
        <w:spacing w:after="0" w:line="220" w:lineRule="auto"/>
        <w:tabs>
          <w:tab w:leader="none" w:pos="128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working capital and similar deferred purchase price adjustments entered into in connection with any Permitted Acquisition or other similar Investments permitted hereunder (but for the avoidance of doubt, not Earn-outs, milestone payments or similar payments, or other contingent payment obligations due and payable in connection with any Permitted Acquisition);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repurchase obligations in connection with customary customer financing arrangements that the Company or its Subsidiaries enter into in the ordinary course of business consistent with past practice as of the Issue Date; and</w:t>
      </w:r>
    </w:p>
    <w:p>
      <w:pPr>
        <w:spacing w:after="0" w:line="148"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connection with any Additional Notes issued pursuant to </w:t>
      </w:r>
      <w:r>
        <w:rPr>
          <w:rFonts w:ascii="Times New Roman" w:cs="Times New Roman" w:eastAsia="Times New Roman" w:hAnsi="Times New Roman"/>
          <w:sz w:val="22"/>
          <w:szCs w:val="22"/>
          <w:b w:val="1"/>
          <w:bCs w:val="1"/>
          <w:color w:val="auto"/>
        </w:rPr>
        <w:t>Section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Additional Notes are issued in exchange for the Existing Notes, (ii) the exchange price is no greater than 85% of par value and</w:t>
      </w:r>
    </w:p>
    <w:p>
      <w:pPr>
        <w:ind w:left="380" w:hanging="372"/>
        <w:spacing w:after="0"/>
        <w:tabs>
          <w:tab w:leader="none" w:pos="3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all such Additional Notes does not exceed fifty million dollars ($50,000,000).</w:t>
      </w:r>
    </w:p>
    <w:p>
      <w:pPr>
        <w:spacing w:after="0" w:line="15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Liens</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 Note Party will, nor will it permit any Subsidiary to, create, incur, assume or permit to exist any Lien on any property or asset now owned or hereafter acquired by it, or after the Issue Date, except:</w:t>
      </w:r>
    </w:p>
    <w:p>
      <w:pPr>
        <w:spacing w:after="0" w:line="131" w:lineRule="exact"/>
        <w:rPr>
          <w:sz w:val="20"/>
          <w:szCs w:val="20"/>
          <w:color w:val="auto"/>
        </w:rPr>
      </w:pPr>
    </w:p>
    <w:p>
      <w:pPr>
        <w:ind w:left="1300" w:hanging="644"/>
        <w:spacing w:after="0"/>
        <w:tabs>
          <w:tab w:leader="none" w:pos="13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pursuant to any Note Document;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Company or any Subsidiary existing on the date hereof, as set forth in </w:t>
      </w:r>
      <w:r>
        <w:rPr>
          <w:rFonts w:ascii="Times New Roman" w:cs="Times New Roman" w:eastAsia="Times New Roman" w:hAnsi="Times New Roman"/>
          <w:sz w:val="22"/>
          <w:szCs w:val="22"/>
          <w:b w:val="1"/>
          <w:bCs w:val="1"/>
          <w:color w:val="auto"/>
        </w:rPr>
        <w:t>Schedule 3.09(C)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 such Lien shall not apply to any other property or asset of the Company or any 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(ii) such Lien shall secure only those obligations which it secures on the date hereof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constructed or improved by the Company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secure Indebtedness permitted by </w:t>
      </w:r>
      <w:r>
        <w:rPr>
          <w:rFonts w:ascii="Times New Roman" w:cs="Times New Roman" w:eastAsia="Times New Roman" w:hAnsi="Times New Roman"/>
          <w:sz w:val="22"/>
          <w:szCs w:val="22"/>
          <w:b w:val="1"/>
          <w:bCs w:val="1"/>
          <w:color w:val="auto"/>
        </w:rPr>
        <w:t>Section 3.08(E)</w:t>
      </w:r>
      <w:r>
        <w:rPr>
          <w:rFonts w:ascii="Times New Roman" w:cs="Times New Roman" w:eastAsia="Times New Roman" w:hAnsi="Times New Roman"/>
          <w:sz w:val="22"/>
          <w:szCs w:val="22"/>
          <w:color w:val="auto"/>
        </w:rPr>
        <w:t>, (ii) such Liens and the Indebtedness secured thereby are incurred prior to or within 180 days after such acquisition or the completion of such construction or improvement, (iii) the Indebtedness secured thereby does not exceed the cost of acquiring, constructing or improving such fixed or capital assets,</w:t>
      </w:r>
    </w:p>
    <w:p>
      <w:pPr>
        <w:spacing w:after="0" w:line="2" w:lineRule="exact"/>
        <w:rPr>
          <w:rFonts w:ascii="Times New Roman" w:cs="Times New Roman" w:eastAsia="Times New Roman" w:hAnsi="Times New Roman"/>
          <w:sz w:val="22"/>
          <w:szCs w:val="22"/>
          <w:color w:val="auto"/>
        </w:rPr>
      </w:pPr>
    </w:p>
    <w:p>
      <w:pPr>
        <w:ind w:firstLine="8"/>
        <w:spacing w:after="0" w:line="225" w:lineRule="auto"/>
        <w:tabs>
          <w:tab w:leader="none" w:pos="3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Liens shall not be on any Intellectual Property and (v) such Liens shall not apply to any other property or assets of the Company or any Subsidiary;</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8"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is not created in contemplation of or in connection with such acquisition or such Person becoming a Subsidiary, as the case may be, (ii) such Lien shall not apply to any other property or assets of the Subsidiary and (iii) such Lien shall secure only those obligations which it secures on the date of such acquisition or the date such Person becomes a Subsidiary, as the case may be, and extensions, renewals and replacements thereof that do not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5" w:right="339" w:bottom="1440" w:gutter="0" w:footer="0" w:header="0"/>
        </w:sectPr>
      </w:pPr>
    </w:p>
    <w:bookmarkStart w:id="99" w:name="page100"/>
    <w:bookmarkEnd w:id="99"/>
    <w:p>
      <w:pPr>
        <w:spacing w:after="0" w:line="236" w:lineRule="auto"/>
        <w:rPr>
          <w:sz w:val="20"/>
          <w:szCs w:val="20"/>
          <w:color w:val="auto"/>
        </w:rPr>
      </w:pPr>
      <w:r>
        <w:rPr>
          <w:rFonts w:ascii="Times New Roman" w:cs="Times New Roman" w:eastAsia="Times New Roman" w:hAnsi="Times New Roman"/>
          <w:sz w:val="22"/>
          <w:szCs w:val="22"/>
          <w:color w:val="auto"/>
        </w:rPr>
        <w:t>outstanding principal amount thereof (except by the amount of any accrued interest and premiums with respect to such Indebtedness and transaction fees, costs and expenses in connection with such extension, renewal or replacement thereof);</w:t>
      </w:r>
    </w:p>
    <w:p>
      <w:pPr>
        <w:spacing w:after="0" w:line="150" w:lineRule="exact"/>
        <w:rPr>
          <w:sz w:val="20"/>
          <w:szCs w:val="20"/>
          <w:color w:val="auto"/>
        </w:rPr>
      </w:pPr>
    </w:p>
    <w:p>
      <w:pPr>
        <w:ind w:firstLine="656"/>
        <w:spacing w:after="0" w:line="236" w:lineRule="auto"/>
        <w:tabs>
          <w:tab w:leader="none" w:pos="12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 under Section 4-210 of the UCC in effect in the relevant jurisdiction covering only the items being collected upon;</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by a Subsidiary that is not a Note Party in favor of the Company or a Guarantor in respect of Indebtedness owed by such Subsidiary to a Note Party;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uniform commercial code financing statements filed under any operating lease permitted by this Indenture;</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unearned insurance premiums and proceeds thereof to secure premiums payable under insurance policies described in </w:t>
      </w:r>
      <w:r>
        <w:rPr>
          <w:rFonts w:ascii="Times New Roman" w:cs="Times New Roman" w:eastAsia="Times New Roman" w:hAnsi="Times New Roman"/>
          <w:sz w:val="22"/>
          <w:szCs w:val="22"/>
          <w:b w:val="1"/>
          <w:bCs w:val="1"/>
          <w:color w:val="auto"/>
        </w:rPr>
        <w:t>Section 3.08(o)</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solely on any cash earnest money deposits, escrow arrangements or similar arrangements made by Company or any of its Subsidiaries in connection with any bona fide letters of intent or purchase agreements with respect to Investments permitted under </w:t>
      </w:r>
      <w:r>
        <w:rPr>
          <w:rFonts w:ascii="Times New Roman" w:cs="Times New Roman" w:eastAsia="Times New Roman" w:hAnsi="Times New Roman"/>
          <w:sz w:val="22"/>
          <w:szCs w:val="22"/>
          <w:b w:val="1"/>
          <w:bCs w:val="1"/>
          <w:color w:val="auto"/>
        </w:rPr>
        <w:t>Section 3.11</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on assets securing Indebtedness (other than any Indebtedness for borrowed money) or other obligations outstanding at any time in an aggregate amount not to exceed $7,500,000;</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which secure payment of customs duties in connection with the importation of goods in the ordinary course of business;</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deposits paid to landlords in the ordinary course of business securing leases and subleases permitted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incurred in connection with Swap Agreements permitted by Section 3.08(k);</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similar Liens incurred on deposits made in the ordinary course of business and contractual rights of set-off relating to pooled deposit or sweep accounts of the Company or any of its Subsidiaries to permit satisfaction of overdraft of similar obligations incurred in the ordinary course of business; and</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applicable law; and (iii) rights of expropriation, access or user or any similar right conferred or reserved by or in any applicable, which, in the aggregate for clauses (i), (ii) and (iii) above, are not material, and which do not in any case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100" w:name="page101"/>
    <w:bookmarkEnd w:id="100"/>
    <w:p>
      <w:pPr>
        <w:spacing w:after="0" w:line="236" w:lineRule="auto"/>
        <w:rPr>
          <w:sz w:val="20"/>
          <w:szCs w:val="20"/>
          <w:color w:val="auto"/>
        </w:rPr>
      </w:pPr>
      <w:r>
        <w:rPr>
          <w:rFonts w:ascii="Times New Roman" w:cs="Times New Roman" w:eastAsia="Times New Roman" w:hAnsi="Times New Roman"/>
          <w:sz w:val="22"/>
          <w:szCs w:val="22"/>
          <w:color w:val="auto"/>
        </w:rPr>
        <w:t>detract from the value of the property subject thereto or interfere with the ordinary conduct of the business of the Company or any of its Subsidiaries.</w:t>
      </w:r>
    </w:p>
    <w:p>
      <w:pPr>
        <w:sectPr>
          <w:pgSz w:w="11900" w:h="16838" w:orient="portrait"/>
          <w:cols w:equalWidth="0" w:num="1">
            <w:col w:w="11240"/>
          </w:cols>
          <w:pgMar w:left="320" w:top="1395" w:right="33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Section 1.10.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sectPr>
          <w:pgSz w:w="11900" w:h="16838" w:orient="portrait"/>
          <w:cols w:equalWidth="0" w:num="2">
            <w:col w:w="1820" w:space="460"/>
            <w:col w:w="8960"/>
          </w:cols>
          <w:pgMar w:left="320" w:top="1395"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b w:val="1"/>
          <w:bCs w:val="1"/>
          <w:color w:val="auto"/>
        </w:rPr>
        <w:t>Section 1.11.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Investments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800" w:space="460"/>
            <w:col w:w="8980"/>
          </w:cols>
          <w:pgMar w:left="320" w:top="1395" w:right="3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 Note Party will, nor will it permit any Subsidiary to, make or permit to exist any Investment on or after the Issue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w:t>
      </w:r>
    </w:p>
    <w:p>
      <w:pPr>
        <w:spacing w:after="0" w:line="169"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existence on the date hereof and described in Schedule 3.11(B);</w:t>
      </w:r>
    </w:p>
    <w:p>
      <w:pPr>
        <w:spacing w:after="0" w:line="179" w:lineRule="exact"/>
        <w:rPr>
          <w:rFonts w:ascii="Times New Roman" w:cs="Times New Roman" w:eastAsia="Times New Roman" w:hAnsi="Times New Roman"/>
          <w:sz w:val="22"/>
          <w:szCs w:val="22"/>
          <w:color w:val="auto"/>
        </w:rPr>
      </w:pPr>
    </w:p>
    <w:p>
      <w:pPr>
        <w:jc w:val="both"/>
        <w:ind w:firstLine="656"/>
        <w:spacing w:after="0" w:line="209" w:lineRule="auto"/>
        <w:tabs>
          <w:tab w:leader="none" w:pos="128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equity investments (including capital contributions) made by the Company and the Subsidiaries in equity interests in their respective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such equity interests held by a Note Party shall be pledged pursuant to the Security Agreement to the extent required thereunder, (ii) any such equity investments in a Subsidiary that is not a Note Party shall be made in cash only, unless they are made in connection with the forgiveness of any intercompany balances in the process of winding down a Foreign Subsidiary in connection with transitioning from a direct sales model to a distributor model in a manner substantially consistent with the type of distributor model publicly disclosed by the Company prior to the Issue Date, (iii) no Subsidiary that is not a Note Party may hold any equity interests in a Note Party, and (iv) the aggregate outstanding amount of investments by the Note Parties in Subsidiaries that are not Note Parties pursuant to this Section 3.11(C) (together with outstanding intercompany loans permitted under clause (ii) of the proviso to Section 3.11(D), principal amount of Indebtedness subject to Guarantees permitted under the proviso to Section 3.11(E), Investments permitted under Section 3.11(P), Restricted Payments permitted under Section 3.15(A)(vi) and payments of Indebtedness permitted under Section 3.15(B)(vii)) shall not exceed $10,000,000 in the aggregate at any time outstanding (in each case determined without regard to any write-downs or write-offs);</w:t>
      </w:r>
    </w:p>
    <w:p>
      <w:pPr>
        <w:spacing w:after="0" w:line="16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extensions of credit or advances made by any Note Party to any Subsidiary and made by any Subsidiary to a Note Party or any other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such loans and advances made by a Note Party shall be pledged pursuant to the Security Agreement and evidenced by a promissory note to the extent required by the Security Agreement and (ii) the outstanding amount of such loans and advances made by the Note Parties to Subsidiaries that are not Note Parties pursuant to this Section 3.11(D) (together with outstanding investments permitted under clause (ii) of the proviso to Section 3.11(C), outstanding principal amount of Indebtedness subject to Guarantees permitted under the proviso to Section 3.11(E), Investments permitted under Section 3.11(P), Restricted Payments permitted under Section 3.15(A)(vi) and payments of Indebtedness permitted under Section 3.15(B)(vii)) shall not exceed $10,000,000 in the aggregate at any time outstanding (in each case determined without regard to any write-downs or write-offs);</w:t>
      </w:r>
    </w:p>
    <w:p>
      <w:pPr>
        <w:spacing w:after="0" w:line="158"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constituting Indebtedness permitted by Section 3.08,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principal amount of Indebtedness of Subsidiaries that are not Note Parties that is Guaranteed by any Note Party pursuant to this Section 3.11(E) (together with outstanding investments permitted under clause (ii) of the proviso to Section 3.11(C), outstanding intercompany loans permitted under clause (ii) of the proviso to Section 3.11(D), Investments permitted under Section 3.11(P), Restricted Payments permitted under Section 3.15(A)(vi) and payments of Indebtedness permitted under Section 3.15(B)(vii)) shall not exceed $10,000,000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the aggregate at any time outstanding (in each case determined without regard to any write-downs or write-offs);</w:t>
      </w:r>
    </w:p>
    <w:p>
      <w:pPr>
        <w:spacing w:after="0" w:line="179" w:lineRule="exact"/>
        <w:rPr>
          <w:sz w:val="20"/>
          <w:szCs w:val="20"/>
          <w:color w:val="auto"/>
        </w:rPr>
      </w:pPr>
    </w:p>
    <w:p>
      <w:pPr>
        <w:jc w:val="both"/>
        <w:ind w:firstLine="656"/>
        <w:spacing w:after="0" w:line="225" w:lineRule="auto"/>
        <w:tabs>
          <w:tab w:leader="none" w:pos="129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made by a Note Party to its employees on an arms-length basis in the ordinary course of business consistent with past practices for travel and entertainment expenses, relocation costs and similar purposes up to a maximum of $2,500,000 in the aggregate at any one time outstanding;</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payable, or stock or other securities issued by any Person obligated on an account to a Note Party pursuant to negotiated agreements with respect to settlement of such Person’s accounts in the ordinary course of business, consistent with past practices;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Swap Agreements permitted by Section 3.14;</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any Person existing at the time such Person becomes a Subsidiary of the Company or consolidates or merges with the Company or any Subsidiary (including in connection with a Permitted Acquisition), so long as such investments were not made in contemplation of such Person becoming a Subsidiary or of such merger;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the Disposition of assets permitted by Section 3.12;</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deposits described in clauses (c) and (d) of the definition of the term “Permitted Encumbrances”;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has occurred and is continuing or would result therefrom, the amount of Qualified Equity Proceeds received by the Company substantially contemporaneously with the making of such investment (and in any event excluding any Qualified Equity Proceeds received prior to the making of such investment);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endorsements for collection or deposit in the ordinary course of business;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as the non-cash portion of consideration received in connection with transactions permitted pursuant to Section 3.12;</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Investments, (i) intercompany payables arising from sales of inventory by the Company or its Subsidiaries in the ordinary course of business consistent with past practice as of the Issue Date, (ii) repurchase obligations in connection with customary customer financing arrangements that the Company or its Subsidiaries enter into in the ordinary course of business consistent with past practice, in each case, as of the Issue Date, (iii) intercompany advances between and among the Company and its Subsidiaries relating to their payroll, professional employer organization processes, tax and accounting operations, or general administrative costs and expenses, in each case, in the ordinary course of business and consistent with past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Investments made by a Note Party in a Subsidiary that is not a Note Party pursuant to this sub-clause (iii) shall not exceed $10,000,000 in the aggregate at any time outstanding;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all intercompany payables owing to any Note Party pursuant to this clause (P) shall be evidenced by an intercompany note and pledged pursuant to the Security Agreement;</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(other than Acquisitions) in addition to those otherwise permitted by this Section in an amount not to exceed (together with outstanding investments permitted under clause (ii) of the proviso to Section 3.11(C), outstanding intercompany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25" w:lineRule="auto"/>
        <w:rPr>
          <w:sz w:val="20"/>
          <w:szCs w:val="20"/>
          <w:color w:val="auto"/>
        </w:rPr>
      </w:pPr>
      <w:r>
        <w:rPr>
          <w:rFonts w:ascii="Times New Roman" w:cs="Times New Roman" w:eastAsia="Times New Roman" w:hAnsi="Times New Roman"/>
          <w:sz w:val="22"/>
          <w:szCs w:val="22"/>
          <w:color w:val="auto"/>
        </w:rPr>
        <w:t>permitted under clause (ii) of the proviso to Section 3.11(D), outstanding principal amount of Indebtedness subject to Guarantees permitted under the proviso to Section 3.11(E), Restricted Payments permitted under Section 3.15(A)(vi) and payments of Indebtedness permitted under Section 3.15(B)(vii)) $10,000,000 in the aggregate at any time outstanding;</w:t>
      </w:r>
    </w:p>
    <w:p>
      <w:pPr>
        <w:spacing w:after="0" w:line="153" w:lineRule="exact"/>
        <w:rPr>
          <w:sz w:val="20"/>
          <w:szCs w:val="20"/>
          <w:color w:val="auto"/>
        </w:rPr>
      </w:pPr>
    </w:p>
    <w:p>
      <w:pPr>
        <w:jc w:val="both"/>
        <w:ind w:firstLine="656"/>
        <w:spacing w:after="0" w:line="208" w:lineRule="auto"/>
        <w:tabs>
          <w:tab w:leader="none" w:pos="128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that are comprised of (i) (a) intercompany balances arising from transfer pricing arrangements prepared by KPMG or another nationally recognized accounting firm, between the Company and its Subsidiaries, in the ordinary course of business, consistent with past practice as of the Issue Date and in accordance with applicable law, including with the legal requirements of the various tax laws of the jurisdictions in which such Persons operate and the non-cash settlement of such balances through the netting of intercompany receivables and payables for Foreign Subsidiaries, other than Hydrafacial Trading (Shanghai) Co., Ltd. in China (“</w:t>
      </w:r>
      <w:r>
        <w:rPr>
          <w:rFonts w:ascii="Times New Roman" w:cs="Times New Roman" w:eastAsia="Times New Roman" w:hAnsi="Times New Roman"/>
          <w:sz w:val="22"/>
          <w:szCs w:val="22"/>
          <w:b w:val="1"/>
          <w:bCs w:val="1"/>
          <w:color w:val="auto"/>
        </w:rPr>
        <w:t>HF China</w:t>
      </w:r>
      <w:r>
        <w:rPr>
          <w:rFonts w:ascii="Times New Roman" w:cs="Times New Roman" w:eastAsia="Times New Roman" w:hAnsi="Times New Roman"/>
          <w:sz w:val="22"/>
          <w:szCs w:val="22"/>
          <w:color w:val="auto"/>
        </w:rPr>
        <w:t xml:space="preserve">”), and (b) before September 30, 2025, an amount not to exceed $25,000,000 in the aggregate for intercompany balances arising from transfer pricing arrangements prepared by KPMG or another nationally recognized accounting firm, from the Company to HF China, in accordance with applicable law, including with the legal requirements of the various tax laws of the jurisdictions in which such Persons operate and the cash settlements for such balances;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HF China shall return to the Company a portion of such balances such that on or prior to September 30, 2025, the amount of such investment by the Company in HF China, after funds are returned to the Company, shall not exceed $5,000,000 in the aggregate;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after September 30, 2025, the aggregate amount of investments pursuant to this clause 3.11(R)(i)(b) shall not exceed $5,000,000 at any time, or (ii) accounts receivable arising and trade credit granted to bona fide customers in the ordinary course of business and any securities received in satisfaction or partial satisfaction thereof from financially troubled account debtors to the extent reasonably necessary in order to prevent or limit loss and prepayments and other credits to suppliers made in the ordinary course of business consistent with the past practices as of the Issue Date of the Company and its Subsidiaries;</w:t>
      </w:r>
    </w:p>
    <w:p>
      <w:pPr>
        <w:spacing w:after="0" w:line="160" w:lineRule="exact"/>
        <w:rPr>
          <w:rFonts w:ascii="Times New Roman" w:cs="Times New Roman" w:eastAsia="Times New Roman" w:hAnsi="Times New Roman"/>
          <w:sz w:val="22"/>
          <w:szCs w:val="22"/>
          <w:color w:val="auto"/>
        </w:rPr>
      </w:pPr>
    </w:p>
    <w:p>
      <w:pPr>
        <w:ind w:firstLine="656"/>
        <w:spacing w:after="0" w:line="236" w:lineRule="auto"/>
        <w:tabs>
          <w:tab w:leader="none" w:pos="129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investments for the purchase of tangible goods pursuant to bona fide distributor agreements; and</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8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customary revenue and sales based royalties in connection with the sale of any product, made in the ordinary course of business.</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determining the amount of investments outstanding at any time, investments shall always be taken at the original amount invested, without adjustment for subsequent increases or decreases in the value of such Investment.</w:t>
      </w:r>
    </w:p>
    <w:p>
      <w:pPr>
        <w:spacing w:after="0" w:line="3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b w:val="1"/>
          <w:bCs w:val="1"/>
          <w:color w:val="auto"/>
        </w:rPr>
        <w:t>Asset Sales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Note Party will, nor will it permit any Subsidiary to, Dispose of any asset or suffer to exist such Disposition, including any equity interest in another entity owned by it, nor will the Company permit any Subsidiary to issue any additional equity interest in such Subsidiary or suffer to exist such issuance (other than to the Company or another Subsidiary in compliance with Section 3.11) on or after the Issue Date, except:</w:t>
      </w:r>
    </w:p>
    <w:p>
      <w:pPr>
        <w:spacing w:after="0" w:line="149" w:lineRule="exact"/>
        <w:rPr>
          <w:sz w:val="20"/>
          <w:szCs w:val="20"/>
          <w:color w:val="auto"/>
        </w:rPr>
      </w:pPr>
    </w:p>
    <w:p>
      <w:pPr>
        <w:ind w:firstLine="656"/>
        <w:spacing w:after="0" w:line="236" w:lineRule="auto"/>
        <w:tabs>
          <w:tab w:leader="none" w:pos="128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 inventory in the ordinary course of business, and (ii) used, obsolete, worn out or surplus equipment in the ordinary course of business;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103" w:name="page104"/>
    <w:bookmarkEnd w:id="103"/>
    <w:p>
      <w:pPr>
        <w:ind w:firstLine="656"/>
        <w:spacing w:after="0" w:line="236" w:lineRule="auto"/>
        <w:tabs>
          <w:tab w:leader="none" w:pos="128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accounts (excluding Dispositions in a factoring arrangement) in connection with the compromise, settlement or collection thereof;</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by Section 3.11 and Restricted Payments permitted by Section 3.15;</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(other than of Material Intellectual Property) by any Foreign Subsidiary in connection with the process of winding down a Foreign Subsidiary in connection with transitioning such Foreign Subsidiary from a direct sales model to a distributor model in a manner substantially consistent with the type of distributor model publicly disclosed by the Company prior to the Issue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any casualty or other insured damage to, or any taking under power of eminent domain or by condemnation or similar proceeding of, any property or asset (other than Intellectual Property) of the Company or any Subsidiary;</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Dispositions of assets (other than Intellectual Property and equity interests in a Subsidiary unless all equity interests in such Subsidiary are sold) that are not permitted by any other clause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fair market value of all assets Disposed of in reliance upon this paragraph (G) shall not exceed $6,000,000 during any fiscal year of the Company;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Dispositions permitted under this clause (G) shall be made for fair market value and for at least 75% cash consideration;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abandonment, cancellation, non-renewal or discontinuance of use or maintenance of any non-Material Intellectual Property, so long as such abandonment, cancellation, non-renewal, or discontinuance, individually or in the aggregate, is undertaken reasonably and in good faith by the Company or a Subsidiary and would not reasonably be expected to interfere in any material respect with the ordinary conduct of business of the Company or any Subsidiary;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 non-exclusive licenses of Intellectual Property granted in the ordinary course of business and that do not interfere in any material respect with the ordinary conduct of business of the Company or any Subsidiary;</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assets (i) by the Company or any Guarantor to any Guarantor or to the Company, (ii) by any Subsidiary that is not a Guarantor to the Company or another Subsidiary that is not a Guarantor, and (iii) by the Company or any Guarantor to any Subsidiary that is not a Note Party for bona fide business purposes so long as (x) the value of such assets does not exceed $6,000,000 in the aggregate in any fiscal year and (y) such assets shall be cash or Permitted Investments only;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or unwinding of any Swap Agreement permitted hereunder in accordance with its terms;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cash or Permitted Investments of the Company and its Subsidiaries in a manner not otherwise prohibited by this Indenture; and</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(other than with respect to Intellectual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83" w:lineRule="exact"/>
        <w:rPr>
          <w:rFonts w:ascii="Times New Roman" w:cs="Times New Roman" w:eastAsia="Times New Roman" w:hAnsi="Times New Roman"/>
          <w:sz w:val="22"/>
          <w:szCs w:val="22"/>
          <w:color w:val="auto"/>
        </w:rPr>
      </w:pPr>
    </w:p>
    <w:p>
      <w:pPr>
        <w:ind w:left="660" w:firstLine="644"/>
        <w:spacing w:after="0" w:line="255" w:lineRule="auto"/>
        <w:tabs>
          <w:tab w:leader="none" w:pos="1944"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such Disposition (other than any such Disposition made pursuant to a legally binding commitment entered into at a time when no Default exists), no Default shall exist or would result from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104" w:name="page105"/>
    <w:bookmarkEnd w:id="104"/>
    <w:p>
      <w:pPr>
        <w:jc w:val="both"/>
        <w:ind w:left="660" w:firstLine="644"/>
        <w:spacing w:after="0" w:line="225" w:lineRule="auto"/>
        <w:tabs>
          <w:tab w:leader="none" w:pos="195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of the Subsidiaries shall receive not less than 75.00% of such consideration in the form of cash or Permitted Investments; provided however, that for the purposes of this clause (ii) each of the following shall be deemed to be cash;</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(as shown on the Company’s or such Subsidiary’s most recent balance sheet provided hereunder or in the footnotes thereto) of the Company or such Subsidiary, other than liabilities that are by their terms subordinated to the payment in cash of the Obligations, that are assumed by the transferee with respect to the applicable Disposition and for which the Company and all of the Subsidiaries shall have been validly released by all applicable creditors in writing;</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received by such Company or Subsidiary from such transferee that are converted by such Company or Subsidiary into cash or Permitted Investments (to the extent of the cash or Permitted Investments received) within one hundred and eighty days following the closing of the applicable Disposition; and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Disposition shall be for no less than the fair market value of such property at the time of such Disposition, as determined by the Company or such Subsidiary in good faith.</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1.13.</w:t>
      </w:r>
      <w:r>
        <w:rPr>
          <w:sz w:val="20"/>
          <w:szCs w:val="20"/>
          <w:color w:val="auto"/>
        </w:rPr>
        <w:tab/>
      </w:r>
      <w:r>
        <w:rPr>
          <w:rFonts w:ascii="Times New Roman" w:cs="Times New Roman" w:eastAsia="Times New Roman" w:hAnsi="Times New Roman"/>
          <w:sz w:val="21"/>
          <w:szCs w:val="21"/>
          <w:b w:val="1"/>
          <w:bCs w:val="1"/>
          <w:color w:val="auto"/>
        </w:rPr>
        <w:t>Sale and Leaseback Transactions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Note Party will, nor will it permit any Subsidiary to, enter into or suffer to exist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22"/>
          <w:szCs w:val="22"/>
          <w:b w:val="1"/>
          <w:bCs w:val="1"/>
          <w:color w:val="auto"/>
        </w:rPr>
        <w:t>Sale and Leaseback Transaction</w:t>
      </w:r>
      <w:r>
        <w:rPr>
          <w:rFonts w:ascii="Times New Roman" w:cs="Times New Roman" w:eastAsia="Times New Roman" w:hAnsi="Times New Roman"/>
          <w:sz w:val="22"/>
          <w:szCs w:val="22"/>
          <w:color w:val="auto"/>
        </w:rPr>
        <w:t>”) on or after the Issue Date.</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1.14.</w:t>
      </w:r>
      <w:r>
        <w:rPr>
          <w:sz w:val="20"/>
          <w:szCs w:val="20"/>
          <w:color w:val="auto"/>
        </w:rPr>
        <w:tab/>
      </w:r>
      <w:r>
        <w:rPr>
          <w:rFonts w:ascii="Times New Roman" w:cs="Times New Roman" w:eastAsia="Times New Roman" w:hAnsi="Times New Roman"/>
          <w:sz w:val="21"/>
          <w:szCs w:val="21"/>
          <w:b w:val="1"/>
          <w:bCs w:val="1"/>
          <w:color w:val="auto"/>
        </w:rPr>
        <w:t>Swap Agreements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 Note Party will, nor will it permit any Subsidiary to, enter into or suffer to exist any Swap Agreement, except (a) Swap Agreements entered into to hedge or mitigate risks to which the Company or any Subsidiary has actual exposure (other than those in respect of equity interests of the Company or any Subsidiary), (b) Swap Agreements entered into in order to effectively cap, collar or exchange interest rates (from floating to fixed rates, from one floating rate to another floating rate or otherwise) with respect to any interest-bearing liability or investment of the Company or any Subsidiary and (c) the Capped Call Transactions.</w:t>
      </w:r>
    </w:p>
    <w:p>
      <w:pPr>
        <w:spacing w:after="0" w:line="15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color w:val="auto"/>
        </w:rPr>
        <w:t>Restricted Payments; Certain Payments of Indebtedness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25" w:lineRule="auto"/>
        <w:tabs>
          <w:tab w:leader="none" w:pos="128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nor will it permit any Subsidiary to, declare or make, or agree to declare or make, directly or indirectly, any Restricted Payment, or incur or suffer to exist any obligation (contingent or otherwise) to do so on or after the Issue Date, except: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declare and pay dividends with respect to its common stock payable solely in additional shares of its common stock, and, with respect to its preferred stock (other than Disqualified Equity Interests), payable solely in additional shares of such preferred stock (other than Disqualified Equity Interests) or in shares of its common stock and may issue any option, warrant or other right to acquire any such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105" w:name="page106"/>
    <w:bookmarkEnd w:id="105"/>
    <w:p>
      <w:pPr>
        <w:ind w:left="660" w:firstLine="644"/>
        <w:spacing w:after="0" w:line="236" w:lineRule="auto"/>
        <w:tabs>
          <w:tab w:leader="none" w:pos="195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Subsidiaries may declare and pay dividends in cash ratably with respect to their equity interests and the Subsidiaries may make distributions or payments in cash to the Company or other Subsidiaries of the Company;</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equity interests (other than Disqualified Equity Interest) deemed to occur upon the exercise of stock options or warrants if such repurchased equity interests represents a portion of the exercise price of such options or warrants pursuant to a “cashless exercise” or similar feature;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may receive or accept the return to the Company or any Subsidiary of Stock of the Company constituting a portion of the purchase price consideration in settlement of indemnification claims in connection with a Permitted Acquisition;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Restricted Payments in cash, not exceeding the greater of (i) $5,000,000 and (ii) 5% of Consolidated EBITDA in the aggregate during any fiscal year, pursuant to and in accordance with stock option plans or other benefit plans for management or employees of the Company and its Subsidiaries;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Restricted Payments in cash, not exceeding (together with outstanding investments permitted under clause (ii) of the proviso to Section 3.11(C), outstanding intercompany loans permitted under clause (ii) of the proviso to Section 3.11(D), outstanding principal amount of Indebtedness subject to Guarantees permitted under the proviso to Section 3.11(E), Investments permitted under Section 3.11(P) and payments of Indebtedness permitted under Section 3.15(B)(vii)) $10,000,000 in the aggregate at any time outstanding after the Issue Date;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payment of cash in lieu of the issuance of fractional shares of Capital Stock in connection with any dividend, split or reverse split of, or upon exercise or conversion of warrants, options or other securities exercisable or convertible into, Capital Stock of the Company or in connection with the issuance of any dividend otherwise permitted to be made under this </w:t>
      </w:r>
      <w:r>
        <w:rPr>
          <w:rFonts w:ascii="Times New Roman" w:cs="Times New Roman" w:eastAsia="Times New Roman" w:hAnsi="Times New Roman"/>
          <w:sz w:val="22"/>
          <w:szCs w:val="22"/>
          <w:b w:val="1"/>
          <w:bCs w:val="1"/>
          <w:color w:val="auto"/>
        </w:rPr>
        <w:t>Section 3.15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Note Party will, nor will it permit any Subsidiary to, make or agree to pay or make, directly or indirectly, any payment or other distribution (whether in cash, securities or other property) of or in respect of principal of or interest on any Indebtedness for borrowed money (other than Indebtedness incurred pursuant to </w:t>
      </w:r>
      <w:r>
        <w:rPr>
          <w:rFonts w:ascii="Times New Roman" w:cs="Times New Roman" w:eastAsia="Times New Roman" w:hAnsi="Times New Roman"/>
          <w:sz w:val="22"/>
          <w:szCs w:val="22"/>
          <w:b w:val="1"/>
          <w:bCs w:val="1"/>
          <w:color w:val="auto"/>
        </w:rPr>
        <w:t>Section 3.08(C)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Section 3.08(E)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3.08(K)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3.08(L)</w:t>
      </w:r>
      <w:r>
        <w:rPr>
          <w:rFonts w:ascii="Times New Roman" w:cs="Times New Roman" w:eastAsia="Times New Roman" w:hAnsi="Times New Roman"/>
          <w:sz w:val="22"/>
          <w:szCs w:val="22"/>
          <w:color w:val="auto"/>
        </w:rPr>
        <w:t>), or any payment or other distribution (whether in cash, securities or other property),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sinking fund or similar deposit, on account of the purchase, redemption, retirement, acquisition, cancellation or termination of any such Indebtedness for borrowed money, except: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Indebtedness created under the Note Documents;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Indebtedness created under the Existing Indenture and Existing Notes (for the avoidance of doubt, subject to the limitations set forth in clause (iii) of the final paragraph of this Section 3.15);</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regularly scheduled interest and principal payments as and when due in respect of any Indebtedness permitted under Section 3.08, other than payments in respect of Subordinated Indebtedness prohibited by the subordination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106" w:name="page107"/>
    <w:bookmarkEnd w:id="106"/>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refinancings of Indebtedness to the extent permitted by </w:t>
      </w:r>
      <w:r>
        <w:rPr>
          <w:rFonts w:ascii="Times New Roman" w:cs="Times New Roman" w:eastAsia="Times New Roman" w:hAnsi="Times New Roman"/>
          <w:sz w:val="22"/>
          <w:szCs w:val="22"/>
          <w:b w:val="1"/>
          <w:bCs w:val="1"/>
          <w:color w:val="auto"/>
        </w:rPr>
        <w:t>Section 3.08(F)</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660" w:firstLine="644"/>
        <w:spacing w:after="0" w:line="255" w:lineRule="auto"/>
        <w:tabs>
          <w:tab w:leader="none" w:pos="195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secured Indebtedness that becomes due as a result of the voluntary sale or transfer of the property or assets securing such Indebtedness to the extent such sale or transfer is permitted by the terms of Section 3.12;</w:t>
      </w:r>
    </w:p>
    <w:p>
      <w:pPr>
        <w:spacing w:after="0" w:line="134"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Subordinated Indebtedness, and so long as no Event of Default has occurred and is continuing or would result therefrom, payments made with Qualified Equity Proceeds received by Company substantially contemporaneously with the making of such payment;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make payments or other distributions (whether in cash, securities or other property) of or in respect of principal of or interest on any Indebtedness, or any payments or other distributions (whether in cash, securities or other property), including any sinking fund or similar deposit, on account of the purchase, redemption, retirement, acquisition, cancellation or termination of any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(x) no Event of Default exists or would result therefrom, and (y) the aggregate amount of such payments or other distributions shall not exceed (together with outstanding investments permitted under clause (ii) of the proviso to Section 3.11(C), outstanding intercompany loans permitted under clause (ii) of the proviso to Section 3.11(D), outstanding principal amount of Indebtedness subject to Guarantees permitted under the proviso to Section 3.11(E), Investments permitted under Section 3.11(P) and Restricted Payments permitted under Section 3.15(A)(vi)) $10,000,000 in the aggregate.</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Notwithstanding the foregoing, in no event shall the Company or any Subsidiary (i) make any payment in respect of Subordinated Indebtedness in violation of the subordination terms thereof, (ii) make any Restricted Payments to a Subsidiary that is not a Note Party in the form of any non-cash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(ii) shall not apply to Restricted Payments made by any Subsidiary that is not a Note Party to another Subsidiary that is not a Note Party, or (iii) make any prepayment, redemption, defeasance, purchase, repurchase, discharge or other acquisition or retirement in cash of any outstanding Existing Notes other than any such prepayment, redemption, defeasance, purchase, repurchase, discharge or other acquisition or retirement in cash (A) prior to September 1, 2026 at a price no greater than 95% or (B) on or after September 1, 2026;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of (A) and (B) both immediately before and immediately after giving effect to such prepayment, redemption, defeasance, purchase, repurchase, discharge or other acquisition or retirement, no Event of Default then exists or would result therefrom.</w:t>
      </w:r>
    </w:p>
    <w:p>
      <w:pPr>
        <w:spacing w:after="0" w:line="13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1.16.</w:t>
      </w:r>
      <w:r>
        <w:rPr>
          <w:sz w:val="20"/>
          <w:szCs w:val="20"/>
          <w:color w:val="auto"/>
        </w:rPr>
        <w:tab/>
      </w:r>
      <w:r>
        <w:rPr>
          <w:rFonts w:ascii="Times New Roman" w:cs="Times New Roman" w:eastAsia="Times New Roman" w:hAnsi="Times New Roman"/>
          <w:sz w:val="21"/>
          <w:szCs w:val="21"/>
          <w:b w:val="1"/>
          <w:bCs w:val="1"/>
          <w:color w:val="auto"/>
        </w:rPr>
        <w:t>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1" w:right="339" w:bottom="1440" w:gutter="0" w:footer="0" w:header="0"/>
        </w:sectPr>
      </w:pPr>
    </w:p>
    <w:bookmarkStart w:id="107" w:name="page108"/>
    <w:bookmarkEnd w:id="107"/>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No Note Party will, nor will it permit any Subsidiary to, sell, lease or otherwise transfer any property or assets to, or purchase, lease or otherwise acquire any property or assets from, or otherwise engage in or suffer to exist any other transactions with, any of its Affiliates on or after the Issue Date, except (a) transactions that (i) are in the ordinary course of business and (ii) are at prices and on terms and conditions not less favorable to such Note Party or such Subsidiary than could be obtained on an arm’s-length basis from unrelated third parties, (b) transactions between or among the Note Parties only, (c) any investment permitted by Sections 3.11(b), 3.11(c), 3.11(d), 3.11(e), 3.11(i), 3.11(p), 3.11(q) or 3.11(r) or Dispositions permitted by Sections 3.12(e), 3.12(j), 3.12(l) and 3.12(m), (d) (i) any Indebtedness permitted under Sections 3.08(c), 3.08(d), 3.08(g), 3.08(m) and</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3.08(p) and (ii) any Liens permitted under Sections 3.09(e) and 3.09(h), (e) any Restricted Payment permitted by Section 3.15, (f) loans or advances to employees permitted under Section 3.11(f), (g) the payment of reasonable fees to directors of the Company or any Subsidiary who are not employees of the Company or any Subsidiary, and compensation and employee benefit arrangements paid to, and indemnities provided for the benefit of, directors, officers or employees of the Company or its Subsidiaries in the ordinary course of business, (h) [Reserved], and (i) any issuances of securities or other payments, awards or grants in cash, securities or otherwise, in each case of the Company, pursuant to, or the funding of, customary employment agreements, stock options and stock ownership plans or similar arrangements approved by the Company’s Board of Directors.</w:t>
      </w:r>
    </w:p>
    <w:p>
      <w:pPr>
        <w:spacing w:after="0" w:line="16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1.17.</w:t>
      </w:r>
      <w:r>
        <w:rPr>
          <w:sz w:val="20"/>
          <w:szCs w:val="20"/>
          <w:color w:val="auto"/>
        </w:rPr>
        <w:tab/>
      </w:r>
      <w:r>
        <w:rPr>
          <w:rFonts w:ascii="Times New Roman" w:cs="Times New Roman" w:eastAsia="Times New Roman" w:hAnsi="Times New Roman"/>
          <w:sz w:val="21"/>
          <w:szCs w:val="21"/>
          <w:b w:val="1"/>
          <w:bCs w:val="1"/>
          <w:color w:val="auto"/>
        </w:rPr>
        <w:t>Restrictive Agreements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No Note Party will, nor will it permit any Subsidiary to, directly or indirectly enter into, incur or permit to exist any agreement or other arrangement that prohibits, restricts or imposes any condition upon (a) the ability of such Note Party or any Subsidiary to create, incur or permit to exist any Lien upon any of its property or assets, or (b) the ability of any Subsidiary to pay dividends or other distributions with respect to any equity interests or to make or repay loans or advances to the Company or any other Subsidiary or to Guarantee Indebtedness of the Company or any other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foregoing shall not apply to restrictions and conditions imposed by any requirement of law or by any Note Document, (ii) the foregoing shall not apply to restrictions and conditions existing on the date hereof and identified on </w:t>
      </w:r>
      <w:r>
        <w:rPr>
          <w:rFonts w:ascii="Times New Roman" w:cs="Times New Roman" w:eastAsia="Times New Roman" w:hAnsi="Times New Roman"/>
          <w:sz w:val="21"/>
          <w:szCs w:val="21"/>
          <w:b w:val="1"/>
          <w:bCs w:val="1"/>
          <w:color w:val="auto"/>
        </w:rPr>
        <w:t>Schedule 3.17</w:t>
      </w:r>
      <w:r>
        <w:rPr>
          <w:rFonts w:ascii="Times New Roman" w:cs="Times New Roman" w:eastAsia="Times New Roman" w:hAnsi="Times New Roman"/>
          <w:sz w:val="21"/>
          <w:szCs w:val="21"/>
          <w:color w:val="auto"/>
        </w:rPr>
        <w:t xml:space="preserve"> (but shall apply to any extension or renewal of, or any amendment or modification materially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Indenture if such restrictions or conditions apply only to the property or assets securing such Indebtedness, (v) clause (a) of the foregoing shall not apply to customary provisions in leases, licenses and other contracts, and (vi) the foregoing shall not apply to any restrictions or conditions set forth in any agreement in effect at any time any Person becomes a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was not entered into in contemplation of such Person becoming a Subsidiary and the restriction or condition set forth in such agreement does not apply to the Company or any other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108" w:name="page109"/>
    <w:bookmarkEnd w:id="108"/>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1.18.</w:t>
      </w:r>
      <w:r>
        <w:rPr>
          <w:sz w:val="20"/>
          <w:szCs w:val="20"/>
          <w:color w:val="auto"/>
        </w:rPr>
        <w:tab/>
      </w:r>
      <w:r>
        <w:rPr>
          <w:rFonts w:ascii="Times New Roman" w:cs="Times New Roman" w:eastAsia="Times New Roman" w:hAnsi="Times New Roman"/>
          <w:sz w:val="21"/>
          <w:szCs w:val="21"/>
          <w:b w:val="1"/>
          <w:bCs w:val="1"/>
          <w:color w:val="auto"/>
        </w:rPr>
        <w:t>Amendment of Material Documents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or after the Issue Date, no Note Party will, nor will it permit any Note Party to, amend, modify or waive any of its rights under (a) any agreement relating to any Subordinated Indebtedness, except as may be permitted under the applicable subordination or intercreditor agreement or (b) its charter, articles or certificate of organization or incorporation and bylaws or operating, management or partnership agreement, or other organizational or governing documents, in each case, to the extent any such amendment, modification or waiver would be adverse to the Holders in any material respect.</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1.19.</w:t>
      </w:r>
      <w:r>
        <w:rPr>
          <w:sz w:val="20"/>
          <w:szCs w:val="20"/>
          <w:color w:val="auto"/>
        </w:rPr>
        <w:tab/>
      </w:r>
      <w:r>
        <w:rPr>
          <w:rFonts w:ascii="Times New Roman" w:cs="Times New Roman" w:eastAsia="Times New Roman" w:hAnsi="Times New Roman"/>
          <w:sz w:val="21"/>
          <w:szCs w:val="21"/>
          <w:b w:val="1"/>
          <w:bCs w:val="1"/>
          <w:color w:val="auto"/>
        </w:rPr>
        <w:t>Cash Management Systems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On or after the Issue Date, each Note Party shall enter into, and cause each depository, securities intermediary or commodities intermediary to enter into, Control Agreements to the extent that such a Control Agreement is required for a perfected security interest under the applicable law of the relevant jurisdiction, as determined by the Administrative Determination Holders) with respect to each deposit, securities, commodity or similar account maintained by such Person (other than Excluded Accounts) (such deposit, securities, commodity or similar accounts, “</w:t>
      </w:r>
      <w:r>
        <w:rPr>
          <w:rFonts w:ascii="Times New Roman" w:cs="Times New Roman" w:eastAsia="Times New Roman" w:hAnsi="Times New Roman"/>
          <w:sz w:val="21"/>
          <w:szCs w:val="21"/>
          <w:b w:val="1"/>
          <w:bCs w:val="1"/>
          <w:color w:val="auto"/>
        </w:rPr>
        <w:t>Controlled Accounts</w:t>
      </w:r>
      <w:r>
        <w:rPr>
          <w:rFonts w:ascii="Times New Roman" w:cs="Times New Roman" w:eastAsia="Times New Roman" w:hAnsi="Times New Roman"/>
          <w:sz w:val="21"/>
          <w:szCs w:val="21"/>
          <w:color w:val="auto"/>
        </w:rPr>
        <w:t xml:space="preserve">”) as of and after the Issue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Note Parties shall have until the date that is sixty (60) days following the Issue Date (or such later period as reasonably agreed by the Required Holders and communicated to the Trustee, the Collateral Agent and the Company in writing, which may be by email) (such date, the “</w:t>
      </w:r>
      <w:r>
        <w:rPr>
          <w:rFonts w:ascii="Times New Roman" w:cs="Times New Roman" w:eastAsia="Times New Roman" w:hAnsi="Times New Roman"/>
          <w:sz w:val="21"/>
          <w:szCs w:val="21"/>
          <w:b w:val="1"/>
          <w:bCs w:val="1"/>
          <w:color w:val="auto"/>
        </w:rPr>
        <w:t>Control Agreement Completion Date</w:t>
      </w:r>
      <w:r>
        <w:rPr>
          <w:rFonts w:ascii="Times New Roman" w:cs="Times New Roman" w:eastAsia="Times New Roman" w:hAnsi="Times New Roman"/>
          <w:sz w:val="21"/>
          <w:szCs w:val="21"/>
          <w:color w:val="auto"/>
        </w:rPr>
        <w:t xml:space="preserve">”), the closing date of any Permitted Acquisition or the opening of any new account, as applicable (or such later period as reasonably agreed by the Required Holders and communicated to the Trustee, the Collateral Agent and the Company in writing, which may be by email) to comply with the provisions of this </w:t>
      </w:r>
      <w:r>
        <w:rPr>
          <w:rFonts w:ascii="Times New Roman" w:cs="Times New Roman" w:eastAsia="Times New Roman" w:hAnsi="Times New Roman"/>
          <w:sz w:val="21"/>
          <w:szCs w:val="21"/>
          <w:b w:val="1"/>
          <w:bCs w:val="1"/>
          <w:color w:val="auto"/>
        </w:rPr>
        <w:t>Section 3.19</w:t>
      </w:r>
      <w:r>
        <w:rPr>
          <w:rFonts w:ascii="Times New Roman" w:cs="Times New Roman" w:eastAsia="Times New Roman" w:hAnsi="Times New Roman"/>
          <w:sz w:val="21"/>
          <w:szCs w:val="21"/>
          <w:color w:val="auto"/>
        </w:rPr>
        <w:t xml:space="preserve"> with regard to such accounts (other than Excluded Accounts) of the Note Parties.</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1.20.</w:t>
      </w:r>
      <w:r>
        <w:rPr>
          <w:sz w:val="20"/>
          <w:szCs w:val="20"/>
          <w:color w:val="auto"/>
        </w:rPr>
        <w:tab/>
      </w:r>
      <w:r>
        <w:rPr>
          <w:rFonts w:ascii="Times New Roman" w:cs="Times New Roman" w:eastAsia="Times New Roman" w:hAnsi="Times New Roman"/>
          <w:sz w:val="21"/>
          <w:szCs w:val="21"/>
          <w:b w:val="1"/>
          <w:bCs w:val="1"/>
          <w:color w:val="auto"/>
        </w:rPr>
        <w:t>Material Assets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After the Issue Date, notwithstanding anything herein or in any Note Documents to the contrary, following the Issue Date,</w:t>
      </w:r>
    </w:p>
    <w:p>
      <w:pPr>
        <w:spacing w:after="0" w:line="39" w:lineRule="exact"/>
        <w:rPr>
          <w:sz w:val="20"/>
          <w:szCs w:val="20"/>
          <w:color w:val="auto"/>
        </w:rPr>
      </w:pPr>
    </w:p>
    <w:p>
      <w:pPr>
        <w:jc w:val="both"/>
        <w:ind w:firstLine="8"/>
        <w:spacing w:after="0" w:line="246" w:lineRule="auto"/>
        <w:tabs>
          <w:tab w:leader="none" w:pos="26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Note Parties shall not, and shall not permit any respective Subsidiaries to, directly or indirectly sell, license, sublicense, covenant not to sue, convey, Dispose, distribute, make a Restricted Payment of, invest or otherwise transfer any Material Intellectual Property or any other Material Asset to any Subsidiary or Affiliate thereof that is not a Note Party other than in the case of Intellectual Property, pursuant to a non-exclusive license entered in the ordinary course of business on customary terms that would not interfere in any material respect with the ordinary conduct of business of the Company or any Subsidiary and (ii) no Subsidiary that is not a Note Party shall own, hold or have any rights to any Material Intellectual Property or any other Material Asset.</w:t>
      </w:r>
    </w:p>
    <w:p>
      <w:pPr>
        <w:spacing w:after="0" w:line="16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1.21.</w:t>
      </w:r>
      <w:r>
        <w:rPr>
          <w:sz w:val="20"/>
          <w:szCs w:val="20"/>
          <w:color w:val="auto"/>
        </w:rPr>
        <w:tab/>
      </w:r>
      <w:r>
        <w:rPr>
          <w:rFonts w:ascii="Times New Roman" w:cs="Times New Roman" w:eastAsia="Times New Roman" w:hAnsi="Times New Roman"/>
          <w:sz w:val="21"/>
          <w:szCs w:val="21"/>
          <w:b w:val="1"/>
          <w:bCs w:val="1"/>
          <w:color w:val="auto"/>
        </w:rPr>
        <w:t>Mortgages</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Within 120 days after the acquisition of any Material Real Property after the Issue Date (or such later date as may be reasonably necessary despite the Company or applicable Guarantor’s use of commercially reasonable efforts), the Company or the applicable Guarantor shall (i) deliver to the Collateral Agent (for the benefit of the Secured Parties) an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1" w:right="3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2"/>
          <w:szCs w:val="22"/>
          <w:color w:val="auto"/>
        </w:rPr>
        <w:t>Mortgage on, such Material Real Property to secure the Secured Obligations (as defined in the Security Agreement) in a form reasonably acceptable to the Company and sufficient to effect such security interest, which security interest and mortgage shall constitute valid and enforceable Liens subject only to Permitted Encumbrances, (ii) deliver for recording or filing, with all required documentation, such Mortgage or instruments related thereto in such manner and in such places as is sufficient to establish, perfect, preserve and protect the Liens subject only to Permitted Encumbrances in favor of the Collateral Agent (for the benefit of the Secured Parties) required to be granted pursuant to the Mortgages and pay in full, all taxes, fees and other charges required to be paid in connection with such recording or filing and (iii) deliver an opinion of counsel to the Company or such applicable Guarantor as to the enforceability of such Mortgage as are customarily covered thereby in the applicable jurisdiction where such Material Real Property is located.</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1.22.</w:t>
      </w:r>
      <w:r>
        <w:rPr>
          <w:sz w:val="20"/>
          <w:szCs w:val="20"/>
          <w:color w:val="auto"/>
        </w:rPr>
        <w:tab/>
      </w:r>
      <w:r>
        <w:rPr>
          <w:rFonts w:ascii="Times New Roman" w:cs="Times New Roman" w:eastAsia="Times New Roman" w:hAnsi="Times New Roman"/>
          <w:sz w:val="21"/>
          <w:szCs w:val="21"/>
          <w:b w:val="1"/>
          <w:bCs w:val="1"/>
          <w:color w:val="auto"/>
        </w:rPr>
        <w:t>Further Assurances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8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reasonable request of the Required Holders, the Collateral Agent or the Trustee, the Note Parties shall (and, subject to the limitations set forth herein and in the other Note Documents, shall cause each of their Subsidiaries (other than Excluded Subsidiaries) to) take such additional actions and execute such instruments, documents, certificates and financing and continuation statements as the Required Holders may reasonably require from time to time in order to effectuate the purposes and objectives of this Indenture and the applicable Note Documents.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the foregoing, the Note Parties shall cause each of their Subsidiaries (other than Excluded Subsidiaries) as of the date hereof, or within forty-five (45) days (or in the case of any Material Foreign Subsidiary within seventy-five (75) Business Days (inclusive of business days of the applicable country) or such later date as agreed by the Required Holders in their reasonable discretion) after the date of the formation, acquisition thereof or becoming a Subsidiary that is not an Excluded Subsidiary, to guaranty the Notes and to cause each such Subsidiary to grant to the Collateral Agent, for the benefit of the Secured Parties, a security interest in, subject to the limitations set forth herein and in the Note Documents, all of such Subsidiary’s Collateral to secure such guaranty and to take such other actions reasonably requested by the Requested Holders with respect to making any such Subsidiary a Note Party under the Note Documents, and, with respect to any Subsidiary (other than an Excluded Subsidiary) formed, acquired or no longer being an Excluded Subsidiary after the Issue Date, within forty-five (45) days (or in the case of any Material Foreign Subsidiary within seventy-five (75) Business Days (inclusive of business days of the applicable country) or such later date as agreed by the Required Holders in their reasonable discretion) after the date of the formation, acquisition thereof or no longer being an Excluded Subsidiary, cause such Subsidiary to enter into a supplemental indenture in the form of </w:t>
      </w:r>
      <w:r>
        <w:rPr>
          <w:rFonts w:ascii="Times New Roman" w:cs="Times New Roman" w:eastAsia="Times New Roman" w:hAnsi="Times New Roman"/>
          <w:sz w:val="21"/>
          <w:szCs w:val="21"/>
          <w:b w:val="1"/>
          <w:bCs w:val="1"/>
          <w:color w:val="auto"/>
        </w:rPr>
        <w:t>Exhibit C</w:t>
      </w:r>
      <w:r>
        <w:rPr>
          <w:rFonts w:ascii="Times New Roman" w:cs="Times New Roman" w:eastAsia="Times New Roman" w:hAnsi="Times New Roman"/>
          <w:sz w:val="21"/>
          <w:szCs w:val="21"/>
          <w:color w:val="auto"/>
        </w:rPr>
        <w:t xml:space="preserve"> and otherwise in accordance with </w:t>
      </w:r>
      <w:r>
        <w:rPr>
          <w:rFonts w:ascii="Times New Roman" w:cs="Times New Roman" w:eastAsia="Times New Roman" w:hAnsi="Times New Roman"/>
          <w:sz w:val="21"/>
          <w:szCs w:val="21"/>
          <w:b w:val="1"/>
          <w:bCs w:val="1"/>
          <w:color w:val="auto"/>
        </w:rPr>
        <w:t>Article 11</w:t>
      </w:r>
      <w:r>
        <w:rPr>
          <w:rFonts w:ascii="Times New Roman" w:cs="Times New Roman" w:eastAsia="Times New Roman" w:hAnsi="Times New Roman"/>
          <w:sz w:val="21"/>
          <w:szCs w:val="21"/>
          <w:color w:val="auto"/>
        </w:rPr>
        <w:t xml:space="preserve">. The Note Parties shall deliver, or cause to be delivered, promptly after (and in any event within forty-five (45) days (or in the case of any Material Foreign Subsidiary within seventy-five (75) Business Days (inclusive of business days of the applicable country) or such later date as may be agreed to by the Required Holders in their reasonable discretion) after) such date, with respect to such newly formed or acquired Subsidiary (that is not an Excluded Subsidiary), to the Collateral Agent (i) appropriate resolutions, secretary certificates, certified Organizational Documents, (ii) if requested by any Holder or beneficial owner, legal opinions relating to the matters described in this </w:t>
      </w:r>
      <w:r>
        <w:rPr>
          <w:rFonts w:ascii="Times New Roman" w:cs="Times New Roman" w:eastAsia="Times New Roman" w:hAnsi="Times New Roman"/>
          <w:sz w:val="21"/>
          <w:szCs w:val="21"/>
          <w:b w:val="1"/>
          <w:bCs w:val="1"/>
          <w:color w:val="auto"/>
        </w:rPr>
        <w:t>Section 3.22</w:t>
      </w:r>
      <w:r>
        <w:rPr>
          <w:rFonts w:ascii="Times New Roman" w:cs="Times New Roman" w:eastAsia="Times New Roman" w:hAnsi="Times New Roman"/>
          <w:sz w:val="21"/>
          <w:szCs w:val="21"/>
          <w:color w:val="auto"/>
        </w:rPr>
        <w:t xml:space="preserve"> (which opinions shall be in form and substance reasonably acceptable to the Required Holders and, to the extent applicable, substantially similar to the opinions delivered on the Issue Date), (iii) joinder agreements with respect to the Security Agreement and, as reasonably requested by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110" w:name="page111"/>
    <w:bookmarkEnd w:id="110"/>
    <w:p>
      <w:pPr>
        <w:jc w:val="both"/>
        <w:spacing w:after="0" w:line="210" w:lineRule="auto"/>
        <w:rPr>
          <w:sz w:val="20"/>
          <w:szCs w:val="20"/>
          <w:color w:val="auto"/>
        </w:rPr>
      </w:pPr>
      <w:r>
        <w:rPr>
          <w:rFonts w:ascii="Times New Roman" w:cs="Times New Roman" w:eastAsia="Times New Roman" w:hAnsi="Times New Roman"/>
          <w:sz w:val="22"/>
          <w:szCs w:val="22"/>
          <w:color w:val="auto"/>
        </w:rPr>
        <w:t>Agent or the Required Holders, all other Collateral Documents and other documents reasonably requested to establish the Lien of the Collateral Agent in all Collateral of such Subsidiary, and (iv) Uniform Commercial Code financing statements, documents and original collateral (including pledged securities and instruments) and such other documents and agreements, including short-form intellectual property security agreements, as may be reasonably required by the Collateral Agent or any Holder or beneficial owner, all as necessary or desirable to establish and maintain a valid, perfected Lien in all Collateral in which such Subsidiary has an interest consistent with the terms of the Note Documents, in each instance with respect to (1) each Note Party or Subsidiary formed or acquired or becoming a Subsidiary that is not an Excluded Subsidiary and (2) each Note Party or Person (other than a Note Party) whose equity interests are being pledged, in each case of clauses (1) and (2), after the Issue Date. In connection with each pledge of equity interests and subject to the terms of the Collateral Documents, within five (5) Business Days after the date of any such pledge of equity interests, the Note Parties shall deliver, or cause to be delivered, to the Collateral Agent, irrevocable proxies and stock powers and/or assignments, as applicable, duly executed in blank, in each case, in form and substance reasonably satisfactory to the Required Holders.</w:t>
      </w:r>
    </w:p>
    <w:p>
      <w:pPr>
        <w:spacing w:after="0" w:line="152" w:lineRule="exact"/>
        <w:rPr>
          <w:sz w:val="20"/>
          <w:szCs w:val="20"/>
          <w:color w:val="auto"/>
        </w:rPr>
      </w:pPr>
    </w:p>
    <w:p>
      <w:pPr>
        <w:jc w:val="both"/>
        <w:ind w:firstLine="656"/>
        <w:spacing w:after="0" w:line="217" w:lineRule="auto"/>
        <w:tabs>
          <w:tab w:leader="none" w:pos="128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so long as no Event of Default has occurred and is continuing, the Company may request in writing to the Collateral Agent that the Required Holders waive the requirements of this </w:t>
      </w:r>
      <w:r>
        <w:rPr>
          <w:rFonts w:ascii="Times New Roman" w:cs="Times New Roman" w:eastAsia="Times New Roman" w:hAnsi="Times New Roman"/>
          <w:sz w:val="22"/>
          <w:szCs w:val="22"/>
          <w:b w:val="1"/>
          <w:bCs w:val="1"/>
          <w:color w:val="auto"/>
        </w:rPr>
        <w:t>Section 3.22</w:t>
      </w:r>
      <w:r>
        <w:rPr>
          <w:rFonts w:ascii="Times New Roman" w:cs="Times New Roman" w:eastAsia="Times New Roman" w:hAnsi="Times New Roman"/>
          <w:sz w:val="22"/>
          <w:szCs w:val="22"/>
          <w:color w:val="auto"/>
        </w:rPr>
        <w:t xml:space="preserve"> to provide a Lien, security interest or guaranty, as the case may be, due to the cost or burden thereof to the Company and its Subsidiaries (when taken as a whole) being unreasonably excessive relative to the benefit that would inure to the Secured Parties, and describing such cost or burden in reasonable detail.</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1.23.</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1.24.</w:t>
      </w:r>
      <w:r>
        <w:rPr>
          <w:sz w:val="20"/>
          <w:szCs w:val="20"/>
          <w:color w:val="auto"/>
        </w:rPr>
        <w:tab/>
      </w:r>
      <w:r>
        <w:rPr>
          <w:rFonts w:ascii="Times New Roman" w:cs="Times New Roman" w:eastAsia="Times New Roman" w:hAnsi="Times New Roman"/>
          <w:sz w:val="21"/>
          <w:szCs w:val="21"/>
          <w:b w:val="1"/>
          <w:bCs w:val="1"/>
          <w:color w:val="auto"/>
        </w:rPr>
        <w:t>No Liability Management Transaction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Neither the Company nor any of its respective Subsidiaries shall, directly or indirectly, (i) create, incur, assume or otherwise become or remain liable with respect to any Indebtedness or issue any Capital Stock, (ii) create, incur, assume or permit or suffer to exist any Lien on or with respect to any property of any kind owned by it, whether now owned or hereafter acquired, or any income or profits therefrom, (iii) make or own any Investment in any other Person, (iv) enter into any transaction of merger, consolidation or amalgamation, or liquidate, wind up or dissolve themselves (or suffer any liquidation or dissolution) or (v) convey, sell, lease or otherwise dispose of all or any part of its property or assets or to otherwise engage in any other activity, in each case, that is undertaken in connection with a Liability Management Transaction.</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1.25.</w:t>
      </w:r>
      <w:r>
        <w:rPr>
          <w:sz w:val="20"/>
          <w:szCs w:val="20"/>
          <w:color w:val="auto"/>
        </w:rPr>
        <w:tab/>
      </w:r>
      <w:r>
        <w:rPr>
          <w:rFonts w:ascii="Times New Roman" w:cs="Times New Roman" w:eastAsia="Times New Roman" w:hAnsi="Times New Roman"/>
          <w:sz w:val="21"/>
          <w:szCs w:val="21"/>
          <w:b w:val="1"/>
          <w:bCs w:val="1"/>
          <w:color w:val="auto"/>
        </w:rPr>
        <w:t>Joint Venture.</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 Note Party shall be engaged in any Joint Venture or Partnership with any other Person or an Affiliate of any other Person, unless (i) the Note Parties shall pledge their equity interests in the Joint Venture or Partnership to the Collateral Agent for the benefit of the Holders, and to the extent applicable, deliver the pledged equity interests in accordance with Section 3.22(B) and (ii) if the Note Parties collectively hold 50% or less of the equity interests in the Joint Venture or Partnership, such Joint Venture or Partnership shall not engage in any financing transactions.</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1.26.</w:t>
      </w:r>
      <w:r>
        <w:rPr>
          <w:sz w:val="20"/>
          <w:szCs w:val="20"/>
          <w:color w:val="auto"/>
        </w:rPr>
        <w:tab/>
      </w:r>
      <w:r>
        <w:rPr>
          <w:rFonts w:ascii="Times New Roman" w:cs="Times New Roman" w:eastAsia="Times New Roman" w:hAnsi="Times New Roman"/>
          <w:sz w:val="21"/>
          <w:szCs w:val="21"/>
          <w:b w:val="1"/>
          <w:bCs w:val="1"/>
          <w:color w:val="auto"/>
        </w:rPr>
        <w:t>Existence; Conduct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111" w:name="page112"/>
    <w:bookmarkEnd w:id="111"/>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Each Note Party shall, and shall cause each Subsidiary to, (a) do or cause to be done all things reasonably necessary to preserve, renew and keep in full force and effect its legal existence and the rights, qualifications, licenses, permits, privileges, franchises, governmental authorizations, rights in or to Intellectual Property material to the conduct of its business (in each case subject to any exceptions expressly permitted by this Indenture), licenses and permits material to the conduct of its business, (b) maintain all requisite authority to conduct its business in each jurisdiction in which its business is conducted, except, in each case, where the failure to do so would not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w:t>
      </w:r>
      <w:r>
        <w:rPr>
          <w:rFonts w:ascii="Times New Roman" w:cs="Times New Roman" w:eastAsia="Times New Roman" w:hAnsi="Times New Roman"/>
          <w:sz w:val="22"/>
          <w:szCs w:val="22"/>
          <w:b w:val="1"/>
          <w:bCs w:val="1"/>
          <w:color w:val="auto"/>
        </w:rPr>
        <w:t>Section 3.11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3.12</w:t>
      </w:r>
      <w:r>
        <w:rPr>
          <w:rFonts w:ascii="Times New Roman" w:cs="Times New Roman" w:eastAsia="Times New Roman" w:hAnsi="Times New Roman"/>
          <w:sz w:val="22"/>
          <w:szCs w:val="22"/>
          <w:color w:val="auto"/>
        </w:rPr>
        <w:t xml:space="preserve"> and (c) carry on and conduct its business in substantially the same manner and in substantially the same fields of enterprise as it is presently conducted or as are reasonably related, incidental, ancillary or complementary to or a natural extension of the same. Each Note Party shall not, and shall cause each Subsidiary to not, enter into any covenant not to sue or agree to any similar restriction that burdens or otherwise restricts such Note Party or Subsidiary’s rights to use, exploit or recover damages from any Material Intellectual Property, except for any such covenant not to sue or similar restriction that would not interfere in any material respect with the ordinary conduct of business of the Company or any Subsidiary.</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1.27.</w:t>
      </w:r>
      <w:r>
        <w:rPr>
          <w:sz w:val="20"/>
          <w:szCs w:val="20"/>
          <w:color w:val="auto"/>
        </w:rPr>
        <w:tab/>
      </w:r>
      <w:r>
        <w:rPr>
          <w:rFonts w:ascii="Times New Roman" w:cs="Times New Roman" w:eastAsia="Times New Roman" w:hAnsi="Times New Roman"/>
          <w:sz w:val="21"/>
          <w:szCs w:val="21"/>
          <w:b w:val="1"/>
          <w:bCs w:val="1"/>
          <w:color w:val="auto"/>
        </w:rPr>
        <w:t>Compliance with Laws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in each case as would not reasonably be expected to have a Material Adverse Effect, each Note Party shall, and shall cause each Subsidiary to, comply with each requirement of law applicable to it or its property (including without limitation environmental laws).</w:t>
      </w:r>
    </w:p>
    <w:p>
      <w:pPr>
        <w:spacing w:after="0" w:line="13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1.28.</w:t>
      </w:r>
      <w:r>
        <w:rPr>
          <w:sz w:val="20"/>
          <w:szCs w:val="20"/>
          <w:color w:val="auto"/>
        </w:rPr>
        <w:tab/>
      </w:r>
      <w:r>
        <w:rPr>
          <w:rFonts w:ascii="Times New Roman" w:cs="Times New Roman" w:eastAsia="Times New Roman" w:hAnsi="Times New Roman"/>
          <w:sz w:val="21"/>
          <w:szCs w:val="21"/>
          <w:b w:val="1"/>
          <w:bCs w:val="1"/>
          <w:color w:val="auto"/>
        </w:rPr>
        <w:t>Authorizations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Note Parties shall, and shall cause their Subsidiaries to, obtain, make and keep in full force and effect all authorizations required to conduct their businesses, except where the failure to make and keep authorizations in full force and effect would not reasonably be expected, individually or in the aggregate, to have a Material Adverse Effect.</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1.29.</w:t>
      </w:r>
      <w:r>
        <w:rPr>
          <w:sz w:val="20"/>
          <w:szCs w:val="20"/>
          <w:color w:val="auto"/>
        </w:rPr>
        <w:tab/>
      </w:r>
      <w:r>
        <w:rPr>
          <w:rFonts w:ascii="Times New Roman" w:cs="Times New Roman" w:eastAsia="Times New Roman" w:hAnsi="Times New Roman"/>
          <w:sz w:val="21"/>
          <w:szCs w:val="21"/>
          <w:b w:val="1"/>
          <w:bCs w:val="1"/>
          <w:color w:val="auto"/>
        </w:rPr>
        <w:t>Maintenance of Property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Each Note Party will, and will cause each Subsidiary to, keep and maintain all property material to the conduct of its business in good working order and condition, ordinary wear and tear excepted. Each Note Party will, and will cause each Subsidiary to (a) maintain in full force and effect, pay all costs and expenses related to, and renew, file for, prosecute and enforce all Material Intellectual Property, and all other Intellectual Property owned, used or controlled by such Note Party or any such Subsidiary that are necessary or useful in the conduct of its business, except where the failure to do so, individually or in the aggregate, would not reasonably be expected to result in a Material Adverse Effect, (b) promptly after obtaining knowledge thereof, notify the Collateral Agent of any infringement, misappropriation or other violation by any Person of any Material Intellectual Property where such infringement, misappropriation, or other violation would reasonably be expected to be material to the Company or any of its Subsidiaries, and use commercially reasonable efforts to stop, curtail or abate such infringement, misappropriation or other violation, and (c) promptly after obtaining knowledge thereof,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112" w:name="page113"/>
    <w:bookmarkEnd w:id="112"/>
    <w:p>
      <w:pPr>
        <w:jc w:val="both"/>
        <w:spacing w:after="0" w:line="257" w:lineRule="auto"/>
        <w:rPr>
          <w:sz w:val="20"/>
          <w:szCs w:val="20"/>
          <w:color w:val="auto"/>
        </w:rPr>
      </w:pPr>
      <w:r>
        <w:rPr>
          <w:rFonts w:ascii="Times New Roman" w:cs="Times New Roman" w:eastAsia="Times New Roman" w:hAnsi="Times New Roman"/>
          <w:sz w:val="22"/>
          <w:szCs w:val="22"/>
          <w:color w:val="auto"/>
        </w:rPr>
        <w:t>the Collateral Agent of any claim by any Person that the conduct of the business of the Company or any of its Subsidiaries has infringed, misappropriated or otherwise violated any Intellectual Property of such Person, where such claim would reasonably be expected to have a Material Adverse Effect.</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1.30.</w:t>
      </w:r>
      <w:r>
        <w:rPr>
          <w:sz w:val="20"/>
          <w:szCs w:val="20"/>
          <w:color w:val="auto"/>
        </w:rPr>
        <w:tab/>
      </w:r>
      <w:r>
        <w:rPr>
          <w:rFonts w:ascii="Times New Roman" w:cs="Times New Roman" w:eastAsia="Times New Roman" w:hAnsi="Times New Roman"/>
          <w:sz w:val="21"/>
          <w:szCs w:val="21"/>
          <w:b w:val="1"/>
          <w:bCs w:val="1"/>
          <w:color w:val="auto"/>
        </w:rPr>
        <w:t>Insurance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Note Party shall, and shall cause each Subsidiary to,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Company will furnish to the Holders, upon the reasonable written request of the Trustee (acting as directed by the Required Holders), but no less frequently than annually, information in reasonable detail as to the insurance so maintained.</w:t>
      </w:r>
    </w:p>
    <w:p>
      <w:pPr>
        <w:spacing w:after="0" w:line="15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1.31.</w:t>
      </w:r>
      <w:r>
        <w:rPr>
          <w:sz w:val="20"/>
          <w:szCs w:val="20"/>
          <w:color w:val="auto"/>
        </w:rPr>
        <w:tab/>
      </w:r>
      <w:r>
        <w:rPr>
          <w:rFonts w:ascii="Times New Roman" w:cs="Times New Roman" w:eastAsia="Times New Roman" w:hAnsi="Times New Roman"/>
          <w:sz w:val="21"/>
          <w:szCs w:val="21"/>
          <w:b w:val="1"/>
          <w:bCs w:val="1"/>
          <w:color w:val="auto"/>
        </w:rPr>
        <w:t>Payment of Taxes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Each Note Party shall, pay all material taxes imposed upon it or any of its properties or assets or in respect of any of its income, businesses or franchises before any penalty accrues thereon (taking into account any valid extensions thereon);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such tax or claim is being contested in good faith by appropriate proceedings and such Note Party has set aside on its books adequate reserves with respect thereto in accordance with GAAP.</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1.32.</w:t>
      </w:r>
      <w:r>
        <w:rPr>
          <w:sz w:val="20"/>
          <w:szCs w:val="20"/>
          <w:color w:val="auto"/>
        </w:rPr>
        <w:tab/>
      </w:r>
      <w:r>
        <w:rPr>
          <w:rFonts w:ascii="Times New Roman" w:cs="Times New Roman" w:eastAsia="Times New Roman" w:hAnsi="Times New Roman"/>
          <w:sz w:val="21"/>
          <w:szCs w:val="21"/>
          <w:b w:val="1"/>
          <w:bCs w:val="1"/>
          <w:color w:val="auto"/>
        </w:rPr>
        <w:t>DTC Matters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At all times during the term of the Notes, (a) the Common Stock shall be eligible for clearing through DTC, through its Deposit/Withdrawal At Custodian (DWAC) system; (b) the Company shall be eligible and participating in the Direct Registration System (DRS) of DTC with respect to the Common Stock; (c) the transfer agent for the Common Stock shall be a participant in, and the Common Stock shall be eligible for transfer pursuant to, DTC’s Fast Automated Securities Transfer Program (or successor thereto); and (d) the Company shall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the Company shall use its reasonable best efforts to cause any such “chill,” “freeze” or similar restriction to be removed at the earliest possible time.</w:t>
      </w:r>
    </w:p>
    <w:p>
      <w:pPr>
        <w:spacing w:after="0" w:line="16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1.33.</w:t>
      </w:r>
      <w:r>
        <w:rPr>
          <w:sz w:val="20"/>
          <w:szCs w:val="20"/>
          <w:color w:val="auto"/>
        </w:rPr>
        <w:tab/>
      </w:r>
      <w:r>
        <w:rPr>
          <w:rFonts w:ascii="Times New Roman" w:cs="Times New Roman" w:eastAsia="Times New Roman" w:hAnsi="Times New Roman"/>
          <w:sz w:val="21"/>
          <w:szCs w:val="21"/>
          <w:b w:val="1"/>
          <w:bCs w:val="1"/>
          <w:color w:val="auto"/>
        </w:rPr>
        <w:t>Accounting and Fiscal Year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shall not, and shall not suffer or permit any Note Party to, (a) make any significant change in accounting treatment or reporting practices, except as required by or permitted by GAAP or (b) change the fiscal year of the Company or of any Note Party,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71" w:lineRule="auto"/>
        <w:rPr>
          <w:sz w:val="20"/>
          <w:szCs w:val="20"/>
          <w:color w:val="auto"/>
        </w:rPr>
      </w:pPr>
      <w:r>
        <w:rPr>
          <w:rFonts w:ascii="Times New Roman" w:cs="Times New Roman" w:eastAsia="Times New Roman" w:hAnsi="Times New Roman"/>
          <w:sz w:val="22"/>
          <w:szCs w:val="22"/>
          <w:color w:val="auto"/>
        </w:rPr>
        <w:t>change the fiscal year of a Subsidiary acquired in connection with any Permitted Acquisition to conform its fiscal year to that of the Company.</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1.34.</w:t>
      </w:r>
      <w:r>
        <w:rPr>
          <w:sz w:val="20"/>
          <w:szCs w:val="20"/>
          <w:color w:val="auto"/>
        </w:rPr>
        <w:tab/>
      </w:r>
      <w:r>
        <w:rPr>
          <w:rFonts w:ascii="Times New Roman" w:cs="Times New Roman" w:eastAsia="Times New Roman" w:hAnsi="Times New Roman"/>
          <w:sz w:val="21"/>
          <w:szCs w:val="21"/>
          <w:b w:val="1"/>
          <w:bCs w:val="1"/>
          <w:color w:val="auto"/>
        </w:rPr>
        <w:t>Anti-Corruption Laws; Sanctions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Note Party shall maintain in effect policies and procedures designed to achieve compliance by such Note Party, its Subsidiaries and their respective directors, officers, employees and agents with Anti-Corruption Laws and applicable Sanctions. No Note Party shall, and no Note Party shall permit any of its Subsidiaries to, directly or knowingly indirectly, fail to comply with Anti-Corruption Laws and applicable Sanctions. The Company shall not use, and shall procure that its Subsidiaries and its or their respective directors, officers, employees and agents shall not use, the proceeds of any Notes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Person in violation of applicable Sanctions, and/or (iii) in any manner that would reasonably be expected to result in the violation of any Sanctions applicable to any party hereto.</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1.35.</w:t>
      </w:r>
      <w:r>
        <w:rPr>
          <w:sz w:val="20"/>
          <w:szCs w:val="20"/>
          <w:color w:val="auto"/>
        </w:rPr>
        <w:tab/>
      </w:r>
      <w:r>
        <w:rPr>
          <w:rFonts w:ascii="Times New Roman" w:cs="Times New Roman" w:eastAsia="Times New Roman" w:hAnsi="Times New Roman"/>
          <w:sz w:val="21"/>
          <w:szCs w:val="21"/>
          <w:b w:val="1"/>
          <w:bCs w:val="1"/>
          <w:color w:val="auto"/>
        </w:rPr>
        <w:t>Material Non-Public Information</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Notwithstanding anything to the contrary set forth in this Indenture or any other Note Document, the Company and the Holders hereby acknowledge and agree that, as of the Issue Date, the Holders desire not to receive reports, notices, documentation and other information (collectively, “Information”) which the Company reasonably believes may contain material non-public information with respect to the Company or any of its Subsidiaries, and the Company shall not provide such Information to the Holders, in each case, for so long as the Company is subject to the reporting requirements of Section 13 or Section 15 of the Exchange Act. Notwithstanding the foregoing, any Holder may, upon written notice to the Company, change its election as to receiving material non-public information (generally or in respect of particular Information or categories thereof). The Company hereby acknowledges that each Holder is relying on the foregoing acknowledgment and covenant in effecting transactions in securities of the Company. Neither the Trustee nor the Collateral Agent shall be under any obligation to determine whether any information provided to it under the Note Documents is or contains any material non-public information, and shall have no liability for the dissemination of any information or documents to the Holders pursuant to the Note Documents.</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1.36.</w:t>
      </w:r>
      <w:r>
        <w:rPr>
          <w:sz w:val="20"/>
          <w:szCs w:val="20"/>
          <w:color w:val="auto"/>
        </w:rPr>
        <w:tab/>
      </w:r>
      <w:r>
        <w:rPr>
          <w:rFonts w:ascii="Times New Roman" w:cs="Times New Roman" w:eastAsia="Times New Roman" w:hAnsi="Times New Roman"/>
          <w:sz w:val="21"/>
          <w:szCs w:val="21"/>
          <w:b w:val="1"/>
          <w:bCs w:val="1"/>
          <w:color w:val="auto"/>
        </w:rPr>
        <w:t>Post-Closing Covenants.</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will, and will cause its applicable Subsidiaries listed on Schedule 3.36 to, take such actions set forth on Schedule 3.36 within the time period prescribed therefor on such schedule (as such time period may be extended by the Administrative Determination Holder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22"/>
          <w:szCs w:val="22"/>
          <w:b w:val="1"/>
          <w:bCs w:val="1"/>
          <w:color w:val="auto"/>
        </w:rPr>
        <w:t>4.</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REPURCHASE AND REDEMPTION</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No Sinking Fund</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sinking fund is required to be provided for the Notes.</w:t>
      </w:r>
    </w:p>
    <w:p>
      <w:pPr>
        <w:spacing w:after="0" w:line="18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Right of Holders to Require the Company to Repurchase Notes Upon a Fundamental Change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8" w:lineRule="auto"/>
        <w:tabs>
          <w:tab w:leader="none" w:pos="128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of Holders to Require the Company to Repurchase Notes Upon a Fundamental Change</w:t>
      </w:r>
      <w:r>
        <w:rPr>
          <w:rFonts w:ascii="Times New Roman" w:cs="Times New Roman" w:eastAsia="Times New Roman" w:hAnsi="Times New Roman"/>
          <w:sz w:val="22"/>
          <w:szCs w:val="22"/>
          <w:color w:val="auto"/>
        </w:rPr>
        <w:t>. Subject to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of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if a Fundamental Change occurs, then each Holder will have the right (the “</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Repurchase Right</w:t>
      </w:r>
      <w:r>
        <w:rPr>
          <w:rFonts w:ascii="Times New Roman" w:cs="Times New Roman" w:eastAsia="Times New Roman" w:hAnsi="Times New Roman"/>
          <w:sz w:val="22"/>
          <w:szCs w:val="22"/>
          <w:color w:val="auto"/>
        </w:rPr>
        <w:t>”) to require the Company to repurchase such Holder’s Notes (or any portion thereof in an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Denomination) on the Fundamental Change Repurchase Date for such Fundamental Change for a cash purchase price equal to the Fundamental Change Repurchase Price.</w:t>
      </w:r>
    </w:p>
    <w:p>
      <w:pPr>
        <w:spacing w:after="0" w:line="147" w:lineRule="exact"/>
        <w:rPr>
          <w:rFonts w:ascii="Times New Roman" w:cs="Times New Roman" w:eastAsia="Times New Roman" w:hAnsi="Times New Roman"/>
          <w:sz w:val="22"/>
          <w:szCs w:val="22"/>
          <w:color w:val="auto"/>
        </w:rPr>
      </w:pPr>
    </w:p>
    <w:p>
      <w:pPr>
        <w:jc w:val="both"/>
        <w:ind w:firstLine="656"/>
        <w:spacing w:after="0" w:line="213" w:lineRule="auto"/>
        <w:tabs>
          <w:tab w:leader="none" w:pos="128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 Prohibited in Certain Circumstances</w:t>
      </w:r>
      <w:r>
        <w:rPr>
          <w:rFonts w:ascii="Times New Roman" w:cs="Times New Roman" w:eastAsia="Times New Roman" w:hAnsi="Times New Roman"/>
          <w:sz w:val="22"/>
          <w:szCs w:val="22"/>
          <w:color w:val="auto"/>
        </w:rPr>
        <w:t>. If the principal amount of the Notes has been accelerated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acceleration has not been rescinded on or before the Fundamental Change Repurchase Date for a Repurchase Upon Fundamental Change (including as a result of the payment of the related Fundamental Change Repurchase Price, and any related interest pursuant to the proviso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 xml:space="preserve">, on such Fundamental Change Repurchase Date), then (i) the Company may not repurchase any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47"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Repurchase Date</w:t>
      </w:r>
      <w:r>
        <w:rPr>
          <w:rFonts w:ascii="Times New Roman" w:cs="Times New Roman" w:eastAsia="Times New Roman" w:hAnsi="Times New Roman"/>
          <w:sz w:val="22"/>
          <w:szCs w:val="22"/>
          <w:color w:val="auto"/>
        </w:rPr>
        <w:t>. The Fundamental Change Repurchase Date for any Fundamental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be a Business Day of the Company’s choosing that is no more than seventy (70), nor less than forty (40), Business Days (or, in the case of a Fundamental Change resulting from a transaction or a series of related transactions comprising such Fundamental Change where all of the shares of Common Stock are converted into, or are exchanged for, or represent solely the right to receive, cash, no more than thirty five (35), nor less than twenty (20), Business Days) after the date the Company sends the related Fundamental Change Notice pursuant to </w:t>
      </w:r>
      <w:r>
        <w:rPr>
          <w:rFonts w:ascii="Times New Roman" w:cs="Times New Roman" w:eastAsia="Times New Roman" w:hAnsi="Times New Roman"/>
          <w:sz w:val="22"/>
          <w:szCs w:val="22"/>
          <w:b w:val="1"/>
          <w:bCs w:val="1"/>
          <w:color w:val="auto"/>
        </w:rPr>
        <w:t>Section 4.02(E)</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Repurchase Price</w:t>
      </w:r>
      <w:r>
        <w:rPr>
          <w:rFonts w:ascii="Times New Roman" w:cs="Times New Roman" w:eastAsia="Times New Roman" w:hAnsi="Times New Roman"/>
          <w:sz w:val="22"/>
          <w:szCs w:val="22"/>
          <w:color w:val="auto"/>
        </w:rPr>
        <w:t>. The Fundamental Change Repurchase Price for any Note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1" w:right="339" w:bottom="1440" w:gutter="0" w:footer="0" w:header="0"/>
        </w:sectPr>
      </w:pPr>
    </w:p>
    <w:bookmarkStart w:id="115" w:name="page116"/>
    <w:bookmarkEnd w:id="115"/>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Interest Payment Date is not a Business Day within the meaning of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spacing w:after="0" w:line="147" w:lineRule="exact"/>
        <w:rPr>
          <w:sz w:val="20"/>
          <w:szCs w:val="20"/>
          <w:color w:val="auto"/>
        </w:rPr>
      </w:pPr>
    </w:p>
    <w:p>
      <w:pPr>
        <w:jc w:val="both"/>
        <w:ind w:right="20" w:firstLine="656"/>
        <w:spacing w:after="0" w:line="227" w:lineRule="auto"/>
        <w:tabs>
          <w:tab w:leader="none" w:pos="12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Notice</w:t>
      </w:r>
      <w:r>
        <w:rPr>
          <w:rFonts w:ascii="Times New Roman" w:cs="Times New Roman" w:eastAsia="Times New Roman" w:hAnsi="Times New Roman"/>
          <w:sz w:val="22"/>
          <w:szCs w:val="22"/>
          <w:color w:val="auto"/>
        </w:rPr>
        <w:t>. On or before the twentieth (20th) calendar day after the effective date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the Company will send to each Holder, the Trustee, the Conversion Agent and the Paying Agent a notice of such Fundamental Change (a “</w:t>
      </w:r>
      <w:r>
        <w:rPr>
          <w:rFonts w:ascii="Times New Roman" w:cs="Times New Roman" w:eastAsia="Times New Roman" w:hAnsi="Times New Roman"/>
          <w:sz w:val="22"/>
          <w:szCs w:val="22"/>
          <w:b w:val="1"/>
          <w:bCs w:val="1"/>
          <w:color w:val="auto"/>
        </w:rPr>
        <w:t>Fundamental Change Notice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Fundamental Change Notice must state:</w:t>
      </w:r>
    </w:p>
    <w:p>
      <w:pPr>
        <w:spacing w:after="0" w:line="193" w:lineRule="exact"/>
        <w:rPr>
          <w:sz w:val="20"/>
          <w:szCs w:val="20"/>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briefly, the events causing such Fundamental Change;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such Fundamental Change;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procedures that a Holder must follow to require the Company to repurchase its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including the deadline for exercising the Fundamental Change Repurchase Right and the procedures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submitting and withdrawing a Fundamental Change Repurchase Notice;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Fundamental Change Repurchase Date for such Fundamental Change;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and ISIN numbers, if any, of the Notes.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1" w:right="339" w:bottom="1440" w:gutter="0" w:footer="0" w:header="0"/>
        </w:sectPr>
      </w:pPr>
    </w:p>
    <w:bookmarkStart w:id="116" w:name="page117"/>
    <w:bookmarkEnd w:id="116"/>
    <w:p>
      <w:pPr>
        <w:ind w:left="644" w:hanging="644"/>
        <w:spacing w:after="0"/>
        <w:tabs>
          <w:tab w:leader="none" w:pos="6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Procedures to Exercise the Fundamental Change Repurchase Right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7" w:lineRule="auto"/>
        <w:tabs>
          <w:tab w:leader="none" w:pos="128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Fundamental Change Repurchase Notice and Notes to Be Repurchased</w:t>
      </w:r>
      <w:r>
        <w:rPr>
          <w:rFonts w:ascii="Times New Roman" w:cs="Times New Roman" w:eastAsia="Times New Roman" w:hAnsi="Times New Roman"/>
          <w:sz w:val="22"/>
          <w:szCs w:val="22"/>
          <w:color w:val="auto"/>
        </w:rPr>
        <w:t>. To exercise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Repurchase Right for a Note following a Fundamental Change, the Holder thereof must deliver to the Paying Agent:</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52" w:lineRule="exact"/>
        <w:rPr>
          <w:rFonts w:ascii="Times New Roman" w:cs="Times New Roman" w:eastAsia="Times New Roman" w:hAnsi="Times New Roman"/>
          <w:sz w:val="22"/>
          <w:szCs w:val="22"/>
          <w:color w:val="auto"/>
        </w:rPr>
      </w:pPr>
    </w:p>
    <w:p>
      <w:pPr>
        <w:ind w:left="4" w:firstLine="1292"/>
        <w:spacing w:after="0" w:line="236" w:lineRule="auto"/>
        <w:tabs>
          <w:tab w:leader="none" w:pos="1943"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duly endorsed for transfer (if such Note is a Physical Note) or by book-entry transfer (if such Note is a Global Note).</w:t>
      </w:r>
    </w:p>
    <w:p>
      <w:pPr>
        <w:spacing w:after="0" w:line="177" w:lineRule="exact"/>
        <w:rPr>
          <w:sz w:val="20"/>
          <w:szCs w:val="20"/>
          <w:color w:val="auto"/>
        </w:rPr>
      </w:pPr>
    </w:p>
    <w:p>
      <w:pPr>
        <w:ind w:left="4" w:right="20"/>
        <w:spacing w:after="0" w:line="271" w:lineRule="auto"/>
        <w:rPr>
          <w:sz w:val="20"/>
          <w:szCs w:val="20"/>
          <w:color w:val="auto"/>
        </w:rPr>
      </w:pPr>
      <w:r>
        <w:rPr>
          <w:rFonts w:ascii="Times New Roman" w:cs="Times New Roman" w:eastAsia="Times New Roman" w:hAnsi="Times New Roman"/>
          <w:sz w:val="22"/>
          <w:szCs w:val="22"/>
          <w:color w:val="auto"/>
        </w:rPr>
        <w:t>The Paying Agent will promptly deliver to the Company a copy of each Fundamental Change Repurchase Notice that it receives.</w:t>
      </w:r>
    </w:p>
    <w:p>
      <w:pPr>
        <w:spacing w:after="0" w:line="127" w:lineRule="exact"/>
        <w:rPr>
          <w:sz w:val="20"/>
          <w:szCs w:val="20"/>
          <w:color w:val="auto"/>
        </w:rPr>
      </w:pPr>
    </w:p>
    <w:p>
      <w:pPr>
        <w:ind w:left="4" w:right="20" w:firstLine="644"/>
        <w:spacing w:after="0" w:line="238" w:lineRule="auto"/>
        <w:tabs>
          <w:tab w:leader="none" w:pos="12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Contents of Fundamental Change Repurchase Notices</w:t>
      </w:r>
      <w:r>
        <w:rPr>
          <w:rFonts w:ascii="Times New Roman" w:cs="Times New Roman" w:eastAsia="Times New Roman" w:hAnsi="Times New Roman"/>
          <w:sz w:val="22"/>
          <w:szCs w:val="22"/>
          <w:color w:val="auto"/>
        </w:rPr>
        <w:t>. Each Fundamental Change Repurchase Notice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 Note must state:</w:t>
      </w:r>
    </w:p>
    <w:p>
      <w:pPr>
        <w:spacing w:after="0" w:line="150"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Physical Note, the certificate number of such Note;</w:t>
      </w:r>
    </w:p>
    <w:p>
      <w:pPr>
        <w:spacing w:after="0" w:line="177"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such Note to be repurchased, which must be an Authorized Denomination;</w:t>
      </w: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55" w:lineRule="exact"/>
        <w:rPr>
          <w:rFonts w:ascii="Times New Roman" w:cs="Times New Roman" w:eastAsia="Times New Roman" w:hAnsi="Times New Roman"/>
          <w:sz w:val="21"/>
          <w:szCs w:val="21"/>
          <w:color w:val="auto"/>
        </w:rPr>
      </w:pPr>
    </w:p>
    <w:p>
      <w:pPr>
        <w:ind w:left="4" w:right="20" w:firstLine="1292"/>
        <w:spacing w:after="0" w:line="236" w:lineRule="auto"/>
        <w:tabs>
          <w:tab w:leader="none" w:pos="194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Holder is exercising its Fundamental Change Repurchase Right with respect to such principal amount of such Note;</w:t>
      </w:r>
    </w:p>
    <w:p>
      <w:pPr>
        <w:spacing w:after="0" w:line="173"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Note is a Global Note, then such Fundamental Change Repurchase Notice must comply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the Depositary 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jc w:val="both"/>
        <w:ind w:left="4" w:firstLine="644"/>
        <w:spacing w:after="0" w:line="221" w:lineRule="auto"/>
        <w:tabs>
          <w:tab w:leader="none" w:pos="13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Withdrawal of Fundamental Change Repurchase Notice</w:t>
      </w:r>
      <w:r>
        <w:rPr>
          <w:rFonts w:ascii="Times New Roman" w:cs="Times New Roman" w:eastAsia="Times New Roman" w:hAnsi="Times New Roman"/>
          <w:sz w:val="22"/>
          <w:szCs w:val="22"/>
          <w:color w:val="auto"/>
        </w:rPr>
        <w:t>. A Holder that has delivered a Fundamental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52"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Physical Note, the certificate number of such Note;</w:t>
      </w:r>
    </w:p>
    <w:p>
      <w:pPr>
        <w:spacing w:after="0" w:line="166"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 to be withdrawn, which must be an Authorized Denomination;</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55" w:lineRule="exact"/>
        <w:rPr>
          <w:rFonts w:ascii="Times New Roman" w:cs="Times New Roman" w:eastAsia="Times New Roman" w:hAnsi="Times New Roman"/>
          <w:sz w:val="22"/>
          <w:szCs w:val="22"/>
          <w:color w:val="auto"/>
        </w:rPr>
      </w:pPr>
    </w:p>
    <w:p>
      <w:pPr>
        <w:ind w:left="4" w:firstLine="1292"/>
        <w:spacing w:after="0" w:line="236" w:lineRule="auto"/>
        <w:tabs>
          <w:tab w:leader="none" w:pos="194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 if any, that remains subject to such Fundamental Change Repurchase Notice, which 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0584"/>
          </w:cols>
          <w:pgMar w:left="976" w:top="1391" w:right="339" w:bottom="1440" w:gutter="0" w:footer="0" w:header="0"/>
        </w:sectPr>
      </w:pPr>
    </w:p>
    <w:bookmarkStart w:id="117" w:name="page118"/>
    <w:bookmarkEnd w:id="117"/>
    <w:p>
      <w:pPr>
        <w:jc w:val="both"/>
        <w:ind w:left="660"/>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Note is a Global Note, then such withdrawal notice must comply with the Depositary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Procedures (and any such withdrawal notice delivered in compliance with the Depositary Procedures will be deemed to satisfy the requirements of this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Upon receipt of any such withdrawal notice with respect to a Note (or any portion thereof), the Paying Agent will</w:t>
      </w:r>
    </w:p>
    <w:p>
      <w:pPr>
        <w:spacing w:after="0" w:line="28" w:lineRule="exact"/>
        <w:rPr>
          <w:sz w:val="20"/>
          <w:szCs w:val="20"/>
          <w:color w:val="auto"/>
        </w:rPr>
      </w:pPr>
    </w:p>
    <w:p>
      <w:pPr>
        <w:jc w:val="both"/>
        <w:ind w:left="660" w:hanging="4"/>
        <w:spacing w:after="0" w:line="246" w:lineRule="auto"/>
        <w:tabs>
          <w:tab w:leader="none" w:pos="97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58" w:lineRule="exact"/>
        <w:rPr>
          <w:sz w:val="20"/>
          <w:szCs w:val="20"/>
          <w:color w:val="auto"/>
        </w:rPr>
      </w:pPr>
    </w:p>
    <w:p>
      <w:pPr>
        <w:jc w:val="both"/>
        <w:ind w:firstLine="656"/>
        <w:spacing w:after="0" w:line="221" w:lineRule="auto"/>
        <w:tabs>
          <w:tab w:leader="none" w:pos="1285"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 of the Fundamental Change Repurchase Price</w:t>
      </w:r>
      <w:r>
        <w:rPr>
          <w:rFonts w:ascii="Times New Roman" w:cs="Times New Roman" w:eastAsia="Times New Roman" w:hAnsi="Times New Roman"/>
          <w:sz w:val="21"/>
          <w:szCs w:val="21"/>
          <w:color w:val="auto"/>
        </w:rPr>
        <w:t>. Without limiting the Company’s obligation to deposit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Fundamental Change Repurchase Price within the time proscribed by </w:t>
      </w:r>
      <w:r>
        <w:rPr>
          <w:rFonts w:ascii="Times New Roman" w:cs="Times New Roman" w:eastAsia="Times New Roman" w:hAnsi="Times New Roman"/>
          <w:sz w:val="21"/>
          <w:szCs w:val="21"/>
          <w:b w:val="1"/>
          <w:bCs w:val="1"/>
          <w:color w:val="auto"/>
        </w:rPr>
        <w:t>Section 3.01(B)</w:t>
      </w:r>
      <w:r>
        <w:rPr>
          <w:rFonts w:ascii="Times New Roman" w:cs="Times New Roman" w:eastAsia="Times New Roman" w:hAnsi="Times New Roman"/>
          <w:sz w:val="21"/>
          <w:szCs w:val="21"/>
          <w:color w:val="auto"/>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w:t>
      </w:r>
    </w:p>
    <w:p>
      <w:pPr>
        <w:spacing w:after="0" w:line="2" w:lineRule="exact"/>
        <w:rPr>
          <w:rFonts w:ascii="Times New Roman" w:cs="Times New Roman" w:eastAsia="Times New Roman" w:hAnsi="Times New Roman"/>
          <w:sz w:val="21"/>
          <w:szCs w:val="21"/>
          <w:color w:val="auto"/>
        </w:rPr>
      </w:pPr>
    </w:p>
    <w:p>
      <w:pPr>
        <w:jc w:val="both"/>
        <w:ind w:firstLine="8"/>
        <w:spacing w:after="0" w:line="211" w:lineRule="auto"/>
        <w:tabs>
          <w:tab w:leader="none" w:pos="32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Times New Roman" w:cs="Times New Roman" w:eastAsia="Times New Roman" w:hAnsi="Times New Roman"/>
          <w:sz w:val="22"/>
          <w:szCs w:val="22"/>
          <w:b w:val="1"/>
          <w:bCs w:val="1"/>
          <w:color w:val="auto"/>
        </w:rPr>
        <w:t xml:space="preserve">Section 4.02(D) </w:t>
      </w:r>
      <w:r>
        <w:rPr>
          <w:rFonts w:ascii="Times New Roman" w:cs="Times New Roman" w:eastAsia="Times New Roman" w:hAnsi="Times New Roman"/>
          <w:sz w:val="22"/>
          <w:szCs w:val="22"/>
          <w:color w:val="auto"/>
        </w:rPr>
        <w:t>on any Note to be repurchased pursuant to a Repurchase Upon Fundamental Change must be paid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proviso regardless of whether such Note is delivered or such Depositary Procedures are complied with pursuant to the first sentence of this </w:t>
      </w:r>
      <w:r>
        <w:rPr>
          <w:rFonts w:ascii="Times New Roman" w:cs="Times New Roman" w:eastAsia="Times New Roman" w:hAnsi="Times New Roman"/>
          <w:sz w:val="22"/>
          <w:szCs w:val="22"/>
          <w:b w:val="1"/>
          <w:bCs w:val="1"/>
          <w:color w:val="auto"/>
        </w:rPr>
        <w:t>Section 4.02(G)</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firstLine="656"/>
        <w:spacing w:after="0" w:line="226" w:lineRule="auto"/>
        <w:tabs>
          <w:tab w:leader="none" w:pos="128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Third Party May Conduct Repurchase Offer In Lieu of the Company</w:t>
      </w:r>
      <w:r>
        <w:rPr>
          <w:rFonts w:ascii="Times New Roman" w:cs="Times New Roman" w:eastAsia="Times New Roman" w:hAnsi="Times New Roman"/>
          <w:sz w:val="21"/>
          <w:szCs w:val="21"/>
          <w:color w:val="auto"/>
        </w:rPr>
        <w:t>. Notwithstanding anything to the contrary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Section 4.02</w:t>
      </w:r>
      <w:r>
        <w:rPr>
          <w:rFonts w:ascii="Times New Roman" w:cs="Times New Roman" w:eastAsia="Times New Roman" w:hAnsi="Times New Roman"/>
          <w:sz w:val="21"/>
          <w:szCs w:val="21"/>
          <w:color w:val="auto"/>
        </w:rPr>
        <w:t xml:space="preserve">, the Company will be deemed to satisfy its obligations under this </w:t>
      </w:r>
      <w:r>
        <w:rPr>
          <w:rFonts w:ascii="Times New Roman" w:cs="Times New Roman" w:eastAsia="Times New Roman" w:hAnsi="Times New Roman"/>
          <w:sz w:val="21"/>
          <w:szCs w:val="21"/>
          <w:b w:val="1"/>
          <w:bCs w:val="1"/>
          <w:color w:val="auto"/>
        </w:rPr>
        <w:t>Section 4.02</w:t>
      </w:r>
      <w:r>
        <w:rPr>
          <w:rFonts w:ascii="Times New Roman" w:cs="Times New Roman" w:eastAsia="Times New Roman" w:hAnsi="Times New Roman"/>
          <w:sz w:val="21"/>
          <w:szCs w:val="21"/>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21"/>
          <w:szCs w:val="21"/>
          <w:b w:val="1"/>
          <w:bCs w:val="1"/>
          <w:color w:val="auto"/>
        </w:rPr>
        <w:t xml:space="preserve">Section 4.02 </w:t>
      </w:r>
      <w:r>
        <w:rPr>
          <w:rFonts w:ascii="Times New Roman" w:cs="Times New Roman" w:eastAsia="Times New Roman" w:hAnsi="Times New Roman"/>
          <w:sz w:val="21"/>
          <w:szCs w:val="21"/>
          <w:color w:val="auto"/>
        </w:rPr>
        <w:t>in a manner that would have satisfied the requirements of this</w:t>
      </w:r>
      <w:r>
        <w:rPr>
          <w:rFonts w:ascii="Times New Roman" w:cs="Times New Roman" w:eastAsia="Times New Roman" w:hAnsi="Times New Roman"/>
          <w:sz w:val="21"/>
          <w:szCs w:val="21"/>
          <w:b w:val="1"/>
          <w:bCs w:val="1"/>
          <w:color w:val="auto"/>
        </w:rPr>
        <w:t xml:space="preserve"> Section 4.02 </w:t>
      </w:r>
      <w:r>
        <w:rPr>
          <w:rFonts w:ascii="Times New Roman" w:cs="Times New Roman" w:eastAsia="Times New Roman" w:hAnsi="Times New Roman"/>
          <w:sz w:val="21"/>
          <w:szCs w:val="21"/>
          <w:color w:val="auto"/>
        </w:rPr>
        <w:t>if conducted directly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(ii) an owner of a beneficial interest in any Note repurchased by such third party or parties will not receive a lesser amount (as a result of withholding or other similar taxes) than such owner would have received had the Company repurchased such Note.</w:t>
      </w:r>
    </w:p>
    <w:p>
      <w:pPr>
        <w:spacing w:after="0" w:line="147" w:lineRule="exact"/>
        <w:rPr>
          <w:rFonts w:ascii="Times New Roman" w:cs="Times New Roman" w:eastAsia="Times New Roman" w:hAnsi="Times New Roman"/>
          <w:sz w:val="21"/>
          <w:szCs w:val="21"/>
          <w:color w:val="auto"/>
        </w:rPr>
      </w:pPr>
    </w:p>
    <w:p>
      <w:pPr>
        <w:jc w:val="both"/>
        <w:ind w:firstLine="656"/>
        <w:spacing w:after="0" w:line="222" w:lineRule="auto"/>
        <w:tabs>
          <w:tab w:leader="none" w:pos="129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21"/>
          <w:szCs w:val="21"/>
          <w:color w:val="auto"/>
        </w:rPr>
        <w:t>. Notwithstanding anything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the contrary in this </w:t>
      </w:r>
      <w:r>
        <w:rPr>
          <w:rFonts w:ascii="Times New Roman" w:cs="Times New Roman" w:eastAsia="Times New Roman" w:hAnsi="Times New Roman"/>
          <w:sz w:val="21"/>
          <w:szCs w:val="21"/>
          <w:b w:val="1"/>
          <w:bCs w:val="1"/>
          <w:color w:val="auto"/>
        </w:rPr>
        <w:t>Section 4.02</w:t>
      </w:r>
      <w:r>
        <w:rPr>
          <w:rFonts w:ascii="Times New Roman" w:cs="Times New Roman" w:eastAsia="Times New Roman" w:hAnsi="Times New Roman"/>
          <w:sz w:val="21"/>
          <w:szCs w:val="21"/>
          <w:color w:val="auto"/>
        </w:rPr>
        <w:t xml:space="preserve">, the Company will not be required to send a Fundamental Change Notice pursuant to </w:t>
      </w:r>
      <w:r>
        <w:rPr>
          <w:rFonts w:ascii="Times New Roman" w:cs="Times New Roman" w:eastAsia="Times New Roman" w:hAnsi="Times New Roman"/>
          <w:sz w:val="21"/>
          <w:szCs w:val="21"/>
          <w:b w:val="1"/>
          <w:bCs w:val="1"/>
          <w:color w:val="auto"/>
        </w:rPr>
        <w:t>Section 4.02(E)</w:t>
      </w:r>
      <w:r>
        <w:rPr>
          <w:rFonts w:ascii="Times New Roman" w:cs="Times New Roman" w:eastAsia="Times New Roman" w:hAnsi="Times New Roman"/>
          <w:sz w:val="21"/>
          <w:szCs w:val="21"/>
          <w:color w:val="auto"/>
        </w:rPr>
        <w:t>, or offer to repurchase or repurchase any Notes pursuant to this</w:t>
      </w:r>
      <w:r>
        <w:rPr>
          <w:rFonts w:ascii="Times New Roman" w:cs="Times New Roman" w:eastAsia="Times New Roman" w:hAnsi="Times New Roman"/>
          <w:sz w:val="21"/>
          <w:szCs w:val="21"/>
          <w:b w:val="1"/>
          <w:bCs w:val="1"/>
          <w:color w:val="auto"/>
        </w:rPr>
        <w:t xml:space="preserve"> Section 4.02</w:t>
      </w:r>
      <w:r>
        <w:rPr>
          <w:rFonts w:ascii="Times New Roman" w:cs="Times New Roman" w:eastAsia="Times New Roman" w:hAnsi="Times New Roman"/>
          <w:sz w:val="21"/>
          <w:szCs w:val="21"/>
          <w:color w:val="auto"/>
        </w:rPr>
        <w:t>, in connection with a Fundamental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Change occurring pursuant to </w:t>
      </w:r>
      <w:r>
        <w:rPr>
          <w:rFonts w:ascii="Times New Roman" w:cs="Times New Roman" w:eastAsia="Times New Roman" w:hAnsi="Times New Roman"/>
          <w:sz w:val="21"/>
          <w:szCs w:val="21"/>
          <w:b w:val="1"/>
          <w:bCs w:val="1"/>
          <w:color w:val="auto"/>
        </w:rPr>
        <w:t>clause (B)(ii)</w:t>
      </w:r>
      <w:r>
        <w:rPr>
          <w:rFonts w:ascii="Times New Roman" w:cs="Times New Roman" w:eastAsia="Times New Roman" w:hAnsi="Times New Roman"/>
          <w:sz w:val="21"/>
          <w:szCs w:val="21"/>
          <w:color w:val="auto"/>
        </w:rPr>
        <w:t xml:space="preserve"> (or pursuant to </w:t>
      </w:r>
      <w:r>
        <w:rPr>
          <w:rFonts w:ascii="Times New Roman" w:cs="Times New Roman" w:eastAsia="Times New Roman" w:hAnsi="Times New Roman"/>
          <w:sz w:val="21"/>
          <w:szCs w:val="21"/>
          <w:b w:val="1"/>
          <w:bCs w:val="1"/>
          <w:color w:val="auto"/>
        </w:rPr>
        <w:t>clause (A)</w:t>
      </w:r>
      <w:r>
        <w:rPr>
          <w:rFonts w:ascii="Times New Roman" w:cs="Times New Roman" w:eastAsia="Times New Roman" w:hAnsi="Times New Roman"/>
          <w:sz w:val="21"/>
          <w:szCs w:val="21"/>
          <w:color w:val="auto"/>
        </w:rPr>
        <w:t xml:space="preserve"> that also constitutes a Fundamental Change occurring pursuant to </w:t>
      </w:r>
      <w:r>
        <w:rPr>
          <w:rFonts w:ascii="Times New Roman" w:cs="Times New Roman" w:eastAsia="Times New Roman" w:hAnsi="Times New Roman"/>
          <w:sz w:val="21"/>
          <w:szCs w:val="21"/>
          <w:b w:val="1"/>
          <w:bCs w:val="1"/>
          <w:color w:val="auto"/>
        </w:rPr>
        <w:t>clause (B)(ii)</w:t>
      </w:r>
      <w:r>
        <w:rPr>
          <w:rFonts w:ascii="Times New Roman" w:cs="Times New Roman" w:eastAsia="Times New Roman" w:hAnsi="Times New Roman"/>
          <w:sz w:val="21"/>
          <w:szCs w:val="21"/>
          <w:color w:val="auto"/>
        </w:rPr>
        <w:t xml:space="preserve">) of the definition thereof, if (i) such Fundamental Change constitutes a Common Stock Change Event whose Reference Property consists entirely of cash in U.S. dollars; and (ii) immediately after such Fundamental Change, the Notes become convertible, pursuant to </w:t>
      </w:r>
      <w:r>
        <w:rPr>
          <w:rFonts w:ascii="Times New Roman" w:cs="Times New Roman" w:eastAsia="Times New Roman" w:hAnsi="Times New Roman"/>
          <w:sz w:val="21"/>
          <w:szCs w:val="21"/>
          <w:b w:val="1"/>
          <w:bCs w:val="1"/>
          <w:color w:val="auto"/>
        </w:rPr>
        <w:t>Section 5.09(A)</w:t>
      </w:r>
      <w:r>
        <w:rPr>
          <w:rFonts w:ascii="Times New Roman" w:cs="Times New Roman" w:eastAsia="Times New Roman" w:hAnsi="Times New Roman"/>
          <w:sz w:val="21"/>
          <w:szCs w:val="21"/>
          <w:color w:val="auto"/>
        </w:rPr>
        <w:t xml:space="preserve"> and, if applicable, </w:t>
      </w:r>
      <w:r>
        <w:rPr>
          <w:rFonts w:ascii="Times New Roman" w:cs="Times New Roman" w:eastAsia="Times New Roman" w:hAnsi="Times New Roman"/>
          <w:sz w:val="21"/>
          <w:szCs w:val="21"/>
          <w:b w:val="1"/>
          <w:bCs w:val="1"/>
          <w:color w:val="auto"/>
        </w:rPr>
        <w:t>Section 5.07</w:t>
      </w:r>
      <w:r>
        <w:rPr>
          <w:rFonts w:ascii="Times New Roman" w:cs="Times New Roman" w:eastAsia="Times New Roman" w:hAnsi="Times New Roman"/>
          <w:sz w:val="21"/>
          <w:szCs w:val="21"/>
          <w:color w:val="auto"/>
        </w:rPr>
        <w:t>, into consideration that consists solely of U.S. dollars in an amount per $1,000 aggregate principal amount of Notes that equals or exceeds the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18" w:right="339" w:bottom="1440" w:gutter="0" w:footer="0" w:header="0"/>
        </w:sectPr>
      </w:pPr>
    </w:p>
    <w:bookmarkStart w:id="118" w:name="page119"/>
    <w:bookmarkEnd w:id="118"/>
    <w:p>
      <w:pPr>
        <w:spacing w:after="0" w:line="236" w:lineRule="auto"/>
        <w:rPr>
          <w:sz w:val="20"/>
          <w:szCs w:val="20"/>
          <w:color w:val="auto"/>
        </w:rPr>
      </w:pPr>
      <w:r>
        <w:rPr>
          <w:rFonts w:ascii="Times New Roman" w:cs="Times New Roman" w:eastAsia="Times New Roman" w:hAnsi="Times New Roman"/>
          <w:sz w:val="22"/>
          <w:szCs w:val="22"/>
          <w:color w:val="auto"/>
        </w:rPr>
        <w:t>Repurchase Price per $1,000 aggregate principal amount of Notes (calculated assuming that the same includes accrued and unpaid interest to, but excluding, the latest possible Fundamental Change Repurchase Date for such Fundamental Change).</w:t>
      </w:r>
    </w:p>
    <w:p>
      <w:pPr>
        <w:spacing w:after="0" w:line="146" w:lineRule="exact"/>
        <w:rPr>
          <w:sz w:val="20"/>
          <w:szCs w:val="20"/>
          <w:color w:val="auto"/>
        </w:rPr>
      </w:pPr>
    </w:p>
    <w:p>
      <w:pPr>
        <w:jc w:val="both"/>
        <w:ind w:firstLine="656"/>
        <w:spacing w:after="0" w:line="214" w:lineRule="auto"/>
        <w:tabs>
          <w:tab w:leader="none" w:pos="12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Applicable Securities Laws</w:t>
      </w:r>
      <w:r>
        <w:rPr>
          <w:rFonts w:ascii="Times New Roman" w:cs="Times New Roman" w:eastAsia="Times New Roman" w:hAnsi="Times New Roman"/>
          <w:sz w:val="22"/>
          <w:szCs w:val="22"/>
          <w:color w:val="auto"/>
        </w:rPr>
        <w:t>. To the extent applicable, the Company will comply,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that the Company’s obligations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 in Part</w:t>
      </w:r>
      <w:r>
        <w:rPr>
          <w:rFonts w:ascii="Times New Roman" w:cs="Times New Roman" w:eastAsia="Times New Roman" w:hAnsi="Times New Roman"/>
          <w:sz w:val="22"/>
          <w:szCs w:val="22"/>
          <w:color w:val="auto"/>
        </w:rPr>
        <w:t>. Subject to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Notes may be repurchased pursuant to a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Upon Fundamental Change in part, but only in Authorized Denominations. Provisions of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applying to the repurchase of a Note in whole will equally apply to the repurchase of a permitted portion of a Note.</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Right of the Company to Redeem the Notes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8" w:lineRule="auto"/>
        <w:tabs>
          <w:tab w:leader="none" w:pos="128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Redeem Before the Redemption Trigger Date</w:t>
      </w:r>
      <w:r>
        <w:rPr>
          <w:rFonts w:ascii="Times New Roman" w:cs="Times New Roman" w:eastAsia="Times New Roman" w:hAnsi="Times New Roman"/>
          <w:sz w:val="22"/>
          <w:szCs w:val="22"/>
          <w:color w:val="auto"/>
        </w:rPr>
        <w:t>. The Company may not redeem the Notes at its option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before the Redemption Trigger Date.</w:t>
      </w:r>
    </w:p>
    <w:p>
      <w:pPr>
        <w:spacing w:after="0" w:line="146"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to Redeem the Notes on or After the Redemption Trigger Date. S</w:t>
      </w:r>
      <w:r>
        <w:rPr>
          <w:rFonts w:ascii="Times New Roman" w:cs="Times New Roman" w:eastAsia="Times New Roman" w:hAnsi="Times New Roman"/>
          <w:sz w:val="22"/>
          <w:szCs w:val="22"/>
          <w:color w:val="auto"/>
        </w:rPr>
        <w:t>ubject to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has the right, at its election, to redeem all, or any portion in an Authorized Denomination, of the Notes, at any time, and from time to time, on a Redemption Date on or after the Redemption Trigger Date and on or before the 40th Scheduled Trading Day immediately before the Maturity Date, for a cash purchase price equal to the Redemption Price;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Company will not be entitled to call less than all of the outstanding Notes for Redemption. For the avoidance of doubt, the calling of any Notes for Redemption will constitute a Make-Whole Fundamental Change with respect to such Notes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w:t>
      </w:r>
    </w:p>
    <w:p>
      <w:pPr>
        <w:spacing w:after="0" w:line="148"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Prohibited in Certain Circumstances</w:t>
      </w:r>
      <w:r>
        <w:rPr>
          <w:rFonts w:ascii="Times New Roman" w:cs="Times New Roman" w:eastAsia="Times New Roman" w:hAnsi="Times New Roman"/>
          <w:sz w:val="22"/>
          <w:szCs w:val="22"/>
          <w:color w:val="auto"/>
        </w:rPr>
        <w:t>. If the principal amount of the Notes has been accelerated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acceleration has not been rescinded on or before the Redemption Date (including as a result of the payment of the related Redemption Price, and any related interest pursuant to the proviso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 xml:space="preserve">, on such Redemption Date), then (i) the Company may not call for Redemption or otherwise redeem any Notes pursuant to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The Redemption Date for any Redemption will be a Business Day of the Company’s choosing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is no more than sixty-five (65), nor less than fifty-five (55), Scheduled Trading Days after the Redemption Notice Date for such Redemption.</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The Redemption Price for any Note called for Redemption is an amount in cash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principal amount of such Note plus accrued and unpaid interest on such Note to, but excluding, the Redemption Date for such Redemption;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Redemption Date is after a Regular Record Date and on or before the next Interest Payment Date, then (i) the Holder of such Note at the Close of Business on such Regular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119" w:name="page120"/>
    <w:bookmarkEnd w:id="119"/>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48" w:lineRule="exact"/>
        <w:rPr>
          <w:sz w:val="20"/>
          <w:szCs w:val="20"/>
          <w:color w:val="auto"/>
        </w:rPr>
      </w:pPr>
    </w:p>
    <w:p>
      <w:pPr>
        <w:ind w:firstLine="656"/>
        <w:spacing w:after="0" w:line="238" w:lineRule="auto"/>
        <w:tabs>
          <w:tab w:leader="none" w:pos="129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Notice</w:t>
      </w:r>
      <w:r>
        <w:rPr>
          <w:rFonts w:ascii="Times New Roman" w:cs="Times New Roman" w:eastAsia="Times New Roman" w:hAnsi="Times New Roman"/>
          <w:sz w:val="22"/>
          <w:szCs w:val="22"/>
          <w:color w:val="auto"/>
        </w:rPr>
        <w:t>. To call any Notes for Redemption, the Company must send to each Holder of such Notes,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and the Paying Agent a written notice of such Redemption (a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Such Redemption Notice must state:</w:t>
      </w:r>
    </w:p>
    <w:p>
      <w:pPr>
        <w:spacing w:after="0" w:line="193" w:lineRule="exact"/>
        <w:rPr>
          <w:sz w:val="20"/>
          <w:szCs w:val="20"/>
          <w:color w:val="auto"/>
        </w:rPr>
      </w:pPr>
    </w:p>
    <w:p>
      <w:pPr>
        <w:ind w:left="660" w:firstLine="644"/>
        <w:spacing w:after="0" w:line="236"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Notes have been called for Redemption, briefly describing the Company’s Redemption right under this Indenture;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 for such Redemption;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95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Method that will apply to all conversions of Notes with a Conversion Date that occurs on or after such Redemption Notice Date and on or before the Business Day immediately preceding such Redemption Date; and</w:t>
      </w:r>
    </w:p>
    <w:p>
      <w:pPr>
        <w:spacing w:after="0" w:line="134"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and ISIN numbers, if any, of the Notes.</w:t>
      </w:r>
    </w:p>
    <w:p>
      <w:pPr>
        <w:spacing w:after="0" w:line="206" w:lineRule="exact"/>
        <w:rPr>
          <w:sz w:val="20"/>
          <w:szCs w:val="20"/>
          <w:color w:val="auto"/>
        </w:rPr>
      </w:pPr>
    </w:p>
    <w:p>
      <w:pPr>
        <w:ind w:firstLine="322"/>
        <w:spacing w:after="0" w:line="271" w:lineRule="auto"/>
        <w:rPr>
          <w:sz w:val="20"/>
          <w:szCs w:val="20"/>
          <w:color w:val="auto"/>
        </w:rPr>
      </w:pPr>
      <w:r>
        <w:rPr>
          <w:rFonts w:ascii="Times New Roman" w:cs="Times New Roman" w:eastAsia="Times New Roman" w:hAnsi="Times New Roman"/>
          <w:sz w:val="22"/>
          <w:szCs w:val="22"/>
          <w:color w:val="auto"/>
        </w:rPr>
        <w:t>On or before the Redemption Notice Date, the Company will send a copy of such Redemption Notice to the Trustee, the Conversion Agent and the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120" w:name="page121"/>
    <w:bookmarkEnd w:id="120"/>
    <w:p>
      <w:pPr>
        <w:ind w:left="1300" w:hanging="644"/>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Selection and Conversion of Notes to Be Redeemed in Part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Notes then outstanding are called for Redemption, then the Notes to be redeemed will be selected as follows: (1) in the case of Global Notes, in accordance with the Depositary Procedures; and (2) in the case of Physical Notes, pro rata, by lot or by such other method the Trustee considers fair and appropriate.</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2007"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a portion of a Note is subject to Redemption and such Note is converted in part, then the converted portion of such Note will be deemed to be from the portion of such Note that was subject to Redemption.</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the Redemption Price</w:t>
      </w:r>
      <w:r>
        <w:rPr>
          <w:rFonts w:ascii="Times New Roman" w:cs="Times New Roman" w:eastAsia="Times New Roman" w:hAnsi="Times New Roman"/>
          <w:sz w:val="22"/>
          <w:szCs w:val="22"/>
          <w:color w:val="auto"/>
        </w:rPr>
        <w:t>. Without limiting the Company’s obligation to deposit the Redemption Price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time proscribed by </w:t>
      </w:r>
      <w:r>
        <w:rPr>
          <w:rFonts w:ascii="Times New Roman" w:cs="Times New Roman" w:eastAsia="Times New Roman" w:hAnsi="Times New Roman"/>
          <w:sz w:val="22"/>
          <w:szCs w:val="22"/>
          <w:b w:val="1"/>
          <w:bCs w:val="1"/>
          <w:color w:val="auto"/>
        </w:rPr>
        <w:t>Section 3.01(B)</w:t>
      </w:r>
      <w:r>
        <w:rPr>
          <w:rFonts w:ascii="Times New Roman" w:cs="Times New Roman" w:eastAsia="Times New Roman" w:hAnsi="Times New Roman"/>
          <w:sz w:val="22"/>
          <w:szCs w:val="22"/>
          <w:color w:val="auto"/>
        </w:rPr>
        <w:t xml:space="preserve">, the Company will cause the Redemption Price for a Note (or portion thereof) subject to Redemption to be paid to the Holder thereof on or before the applicable Redemption Date. For the avoidance of doubt, interest payable pursuant to the proviso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 xml:space="preserve"> on any Note (or portion thereof) subject to Redemption must be paid pursuant to such proviso.</w:t>
      </w:r>
    </w:p>
    <w:p>
      <w:pPr>
        <w:spacing w:after="0" w:line="147"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Provisions for Partial Calls</w:t>
      </w:r>
      <w:r>
        <w:rPr>
          <w:rFonts w:ascii="Times New Roman" w:cs="Times New Roman" w:eastAsia="Times New Roman" w:hAnsi="Times New Roman"/>
          <w:sz w:val="22"/>
          <w:szCs w:val="22"/>
          <w:color w:val="auto"/>
        </w:rPr>
        <w:t>. If the Company elects to redeem less than all of the outstanding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pursuant to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xml:space="preserve">, and the Holder of any Note, or any owner of a beneficial interest in any Global Note, is reasonably not able to determine, before the Close of Business on the forty-second (42nd) Scheduled Trading Day (or, if, in accordance with </w:t>
      </w:r>
      <w:r>
        <w:rPr>
          <w:rFonts w:ascii="Times New Roman" w:cs="Times New Roman" w:eastAsia="Times New Roman" w:hAnsi="Times New Roman"/>
          <w:sz w:val="22"/>
          <w:szCs w:val="22"/>
          <w:b w:val="1"/>
          <w:bCs w:val="1"/>
          <w:color w:val="auto"/>
        </w:rPr>
        <w:t>Section 5.03(A)(i)(3)</w:t>
      </w:r>
      <w:r>
        <w:rPr>
          <w:rFonts w:ascii="Times New Roman" w:cs="Times New Roman" w:eastAsia="Times New Roman" w:hAnsi="Times New Roman"/>
          <w:sz w:val="22"/>
          <w:szCs w:val="22"/>
          <w:color w:val="auto"/>
        </w:rPr>
        <w:t>, the Company has elected to settle all conversions of Notes with a Conversion Date that occurs on or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Redemption Notice Date for such Redemption and on or before the Business Day immediately before the Redemption Date by Physical Settlement,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5.</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CONVERSION</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Right to Convert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8" w:lineRule="auto"/>
        <w:tabs>
          <w:tab w:leader="none" w:pos="128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each Holder may, at its option, convert such Holder’s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Conversion Consideration.</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Conversions in Part</w:t>
      </w:r>
      <w:r>
        <w:rPr>
          <w:rFonts w:ascii="Times New Roman" w:cs="Times New Roman" w:eastAsia="Times New Roman" w:hAnsi="Times New Roman"/>
          <w:sz w:val="22"/>
          <w:szCs w:val="22"/>
          <w:color w:val="auto"/>
        </w:rPr>
        <w:t>. Subject to the terms of this Indenture, Notes may be converted in part, but only in Authorized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Denominations. Provisions of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applying to the conversion of a Note in whole will equally apply to conversions of a permitted portion of a Note.</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When Notes May Be Converted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1" w:right="339" w:bottom="1440" w:gutter="0" w:footer="0" w:header="0"/>
        </w:sectPr>
      </w:pPr>
    </w:p>
    <w:bookmarkStart w:id="121" w:name="page122"/>
    <w:bookmarkEnd w:id="121"/>
    <w:p>
      <w:pPr>
        <w:jc w:val="both"/>
        <w:ind w:left="660" w:firstLine="644"/>
        <w:spacing w:after="0" w:line="227" w:lineRule="auto"/>
        <w:tabs>
          <w:tab w:leader="none" w:pos="19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5.01(C)(ii)</w:t>
      </w:r>
      <w:r>
        <w:rPr>
          <w:rFonts w:ascii="Times New Roman" w:cs="Times New Roman" w:eastAsia="Times New Roman" w:hAnsi="Times New Roman"/>
          <w:sz w:val="22"/>
          <w:szCs w:val="22"/>
          <w:color w:val="auto"/>
        </w:rPr>
        <w:t>, a Holder may convert its Notes at any time from, and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Issue Date until the Close of Business on the second (2nd) Scheduled Trading Day immediately before the Maturity Date.</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and Closed Periods</w:t>
      </w:r>
      <w:r>
        <w:rPr>
          <w:rFonts w:ascii="Times New Roman" w:cs="Times New Roman" w:eastAsia="Times New Roman" w:hAnsi="Times New Roman"/>
          <w:sz w:val="22"/>
          <w:szCs w:val="22"/>
          <w:color w:val="auto"/>
        </w:rPr>
        <w:t>. Notwithstanding anything to the contrary in this Indenture or the Notes:</w:t>
      </w:r>
    </w:p>
    <w:p>
      <w:pPr>
        <w:spacing w:after="0" w:line="183"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may be surrendered for conversion only after the Open of Business and before the Close of Business on a day that is a Business Day; and</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may any Note be converted after the Close of Business on the second (2nd) Scheduled Trading Day immediately before the Maturity Date.</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Conversion Procedures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4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To convert a beneficial interest in a Global Note that is convertible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5.01(C)</w:t>
      </w:r>
      <w:r>
        <w:rPr>
          <w:rFonts w:ascii="Times New Roman" w:cs="Times New Roman" w:eastAsia="Times New Roman" w:hAnsi="Times New Roman"/>
          <w:sz w:val="22"/>
          <w:szCs w:val="22"/>
          <w:color w:val="auto"/>
        </w:rPr>
        <w:t>, the owner of such beneficial interest must (1) comply with the Depositary Procedures for converting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beneficial interest (at which time such conversion will become irrevocable); and (2) pay any amounts due pursuant to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5.02(E)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16" w:lineRule="auto"/>
        <w:tabs>
          <w:tab w:leader="none" w:pos="195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To convert all or a portion of a Physical Note that is convertible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5.01(C)</w:t>
      </w:r>
      <w:r>
        <w:rPr>
          <w:rFonts w:ascii="Times New Roman" w:cs="Times New Roman" w:eastAsia="Times New Roman" w:hAnsi="Times New Roman"/>
          <w:sz w:val="22"/>
          <w:szCs w:val="22"/>
          <w:color w:val="auto"/>
        </w:rPr>
        <w:t>, the Holder of such Note must (1) complete, manually sign and deliver to the Conversion Agent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22"/>
          <w:szCs w:val="22"/>
          <w:b w:val="1"/>
          <w:bCs w:val="1"/>
          <w:color w:val="auto"/>
        </w:rPr>
        <w:t xml:space="preserve">Section 5.02(D)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5.02(E)</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Converting a Note</w:t>
      </w:r>
      <w:r>
        <w:rPr>
          <w:rFonts w:ascii="Times New Roman" w:cs="Times New Roman" w:eastAsia="Times New Roman" w:hAnsi="Times New Roman"/>
          <w:sz w:val="22"/>
          <w:szCs w:val="22"/>
          <w:color w:val="auto"/>
        </w:rPr>
        <w:t>. At the Close of Business on the Conversion Date for a Note (or any portion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be converted, such Note (or such portion) will (unless there occurs a Default in the delivery of the Conversion Consideration or interest due, pursuant to </w:t>
      </w:r>
      <w:r>
        <w:rPr>
          <w:rFonts w:ascii="Times New Roman" w:cs="Times New Roman" w:eastAsia="Times New Roman" w:hAnsi="Times New Roman"/>
          <w:sz w:val="22"/>
          <w:szCs w:val="22"/>
          <w:b w:val="1"/>
          <w:bCs w:val="1"/>
          <w:color w:val="auto"/>
        </w:rPr>
        <w:t>Section 5.03(B)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Holder of Record of Conversion Shares</w:t>
      </w:r>
      <w:r>
        <w:rPr>
          <w:rFonts w:ascii="Times New Roman" w:cs="Times New Roman" w:eastAsia="Times New Roman" w:hAnsi="Times New Roman"/>
          <w:sz w:val="22"/>
          <w:szCs w:val="22"/>
          <w:color w:val="auto"/>
        </w:rPr>
        <w:t>. The Person in whose name any share of Common Stock is issuable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48" w:lineRule="exact"/>
        <w:rPr>
          <w:rFonts w:ascii="Times New Roman" w:cs="Times New Roman" w:eastAsia="Times New Roman" w:hAnsi="Times New Roman"/>
          <w:sz w:val="22"/>
          <w:szCs w:val="22"/>
          <w:color w:val="auto"/>
        </w:rPr>
      </w:pPr>
    </w:p>
    <w:p>
      <w:pPr>
        <w:jc w:val="both"/>
        <w:ind w:firstLine="656"/>
        <w:spacing w:after="0" w:line="226" w:lineRule="auto"/>
        <w:tabs>
          <w:tab w:leader="none" w:pos="128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 Payable Upon Conversion in Certain Circumstances</w:t>
      </w:r>
      <w:r>
        <w:rPr>
          <w:rFonts w:ascii="Times New Roman" w:cs="Times New Roman" w:eastAsia="Times New Roman" w:hAnsi="Times New Roman"/>
          <w:sz w:val="21"/>
          <w:szCs w:val="21"/>
          <w:color w:val="auto"/>
        </w:rPr>
        <w:t>. If the Conversion Date of a Note is after a Regular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1" w:right="339" w:bottom="1440" w:gutter="0" w:footer="0" w:header="0"/>
        </w:sectPr>
      </w:pPr>
    </w:p>
    <w:bookmarkStart w:id="122" w:name="page123"/>
    <w:bookmarkEnd w:id="122"/>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Note for conversion must deliver to the Conversion Agent, at the time of such surrender, an amount of cash equal to the amount of such interest referred to in </w:t>
      </w:r>
      <w:r>
        <w:rPr>
          <w:rFonts w:ascii="Times New Roman" w:cs="Times New Roman" w:eastAsia="Times New Roman" w:hAnsi="Times New Roman"/>
          <w:sz w:val="21"/>
          <w:szCs w:val="21"/>
          <w:b w:val="1"/>
          <w:bCs w:val="1"/>
          <w:color w:val="auto"/>
        </w:rPr>
        <w:t>clause (i)</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Holder surrendering such Note for conversion need not deliver such cash (v) if the Company has specified a Redemption Date that is after such Regular Record Date and on or before the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cs="Times New Roman" w:eastAsia="Times New Roman" w:hAnsi="Times New Roman"/>
          <w:sz w:val="21"/>
          <w:szCs w:val="21"/>
          <w:b w:val="1"/>
          <w:bCs w:val="1"/>
          <w:color w:val="auto"/>
        </w:rPr>
        <w:t>Section 5.02(D)</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656"/>
        <w:spacing w:after="0" w:line="218" w:lineRule="auto"/>
        <w:tabs>
          <w:tab w:leader="none" w:pos="128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and Duties</w:t>
      </w:r>
      <w:r>
        <w:rPr>
          <w:rFonts w:ascii="Times New Roman" w:cs="Times New Roman" w:eastAsia="Times New Roman" w:hAnsi="Times New Roman"/>
          <w:sz w:val="22"/>
          <w:szCs w:val="22"/>
          <w:color w:val="auto"/>
        </w:rPr>
        <w:t>. If a Holder converts a Note, the Company will pay any documentary, stamp or similar issue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tax or duty due on the issue or delivery of any shares of Common Stock upon such conversion;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Agent to Notify Company of Conversions</w:t>
      </w:r>
      <w:r>
        <w:rPr>
          <w:rFonts w:ascii="Times New Roman" w:cs="Times New Roman" w:eastAsia="Times New Roman" w:hAnsi="Times New Roman"/>
          <w:sz w:val="22"/>
          <w:szCs w:val="22"/>
          <w:color w:val="auto"/>
        </w:rPr>
        <w:t>. If any Note is submitted for conversion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Settlement Upon Conversion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8" w:lineRule="auto"/>
        <w:tabs>
          <w:tab w:leader="none" w:pos="128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Method</w:t>
      </w:r>
      <w:r>
        <w:rPr>
          <w:rFonts w:ascii="Times New Roman" w:cs="Times New Roman" w:eastAsia="Times New Roman" w:hAnsi="Times New Roman"/>
          <w:sz w:val="22"/>
          <w:szCs w:val="22"/>
          <w:color w:val="auto"/>
        </w:rPr>
        <w:t>. Upon the conversion of any Note, the Company will settle such conversion by paying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delivering, as applicable and as provided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either (x) shares of Common Stock, together, if applicable, with cash in lieu of fractional shares as provided in </w:t>
      </w:r>
      <w:r>
        <w:rPr>
          <w:rFonts w:ascii="Times New Roman" w:cs="Times New Roman" w:eastAsia="Times New Roman" w:hAnsi="Times New Roman"/>
          <w:sz w:val="22"/>
          <w:szCs w:val="22"/>
          <w:b w:val="1"/>
          <w:bCs w:val="1"/>
          <w:color w:val="auto"/>
        </w:rPr>
        <w:t>Section 5.03(B)(i)(1)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 xml:space="preserve">”); (y) solely cash as provided in </w:t>
      </w:r>
      <w:r>
        <w:rPr>
          <w:rFonts w:ascii="Times New Roman" w:cs="Times New Roman" w:eastAsia="Times New Roman" w:hAnsi="Times New Roman"/>
          <w:sz w:val="22"/>
          <w:szCs w:val="22"/>
          <w:b w:val="1"/>
          <w:bCs w:val="1"/>
          <w:color w:val="auto"/>
        </w:rPr>
        <w:t xml:space="preserve">Section 5.03(B)(i)(2)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 or (z) a combination of cash and shares of Common Stock, together, if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cash in lieu of fractional shares as provided in </w:t>
      </w:r>
      <w:r>
        <w:rPr>
          <w:rFonts w:ascii="Times New Roman" w:cs="Times New Roman" w:eastAsia="Times New Roman" w:hAnsi="Times New Roman"/>
          <w:sz w:val="22"/>
          <w:szCs w:val="22"/>
          <w:b w:val="1"/>
          <w:bCs w:val="1"/>
          <w:color w:val="auto"/>
        </w:rPr>
        <w:t>Section 5.03(B)(i)(3)</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ind w:left="660" w:firstLine="644"/>
        <w:spacing w:after="0" w:line="238" w:lineRule="auto"/>
        <w:tabs>
          <w:tab w:leader="none" w:pos="19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Company’s Right to Elect Settlement Method</w:t>
      </w:r>
      <w:r>
        <w:rPr>
          <w:rFonts w:ascii="Times New Roman" w:cs="Times New Roman" w:eastAsia="Times New Roman" w:hAnsi="Times New Roman"/>
          <w:sz w:val="22"/>
          <w:szCs w:val="22"/>
          <w:color w:val="auto"/>
        </w:rPr>
        <w:t>. The Company will have the right to elect the Settlement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Method applicable to any conversion of a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send notice of such Settlement Method to the Holder of such Note, with a copy to the Trustee and the Conversion Agent no later than the Close of Business on the Business Day immediately after such 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sectPr>
      </w:pPr>
    </w:p>
    <w:bookmarkStart w:id="123" w:name="page124"/>
    <w:bookmarkEnd w:id="123"/>
    <w:p>
      <w:pPr>
        <w:ind w:left="1944" w:hanging="648"/>
        <w:spacing w:after="0"/>
        <w:tabs>
          <w:tab w:leader="none" w:pos="1944"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use the same Settlement Method for all conversions of Notes with the same</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Date;</w:t>
      </w:r>
    </w:p>
    <w:p>
      <w:pPr>
        <w:spacing w:after="0" w:line="155"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17" w:lineRule="auto"/>
        <w:tabs>
          <w:tab w:leader="none" w:pos="1943"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timely elects Combination Settlement with respect to the conversion of a Note but does not timely notify the Holder of such Note of the applicable Specified Dollar Amount, with a copy to the Trustee and the Conversion Agent,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17" w:lineRule="auto"/>
        <w:tabs>
          <w:tab w:leader="none" w:pos="1943"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or any other provision of this Indenture to the contrary, without the consent of the Holder, the Company shall deliver Conversion Consideration solely by means of Cash Settlement, and shall not elect Physical Settlement or Combination Settlement, unless the Conversion Shares so issued in respect of Physical Settlement or Combination Settlement are immediately Freely Tradable upon issuance and the Company is currently in compliance with its SEC filing obligations under Rule 144(i).</w:t>
      </w:r>
    </w:p>
    <w:p>
      <w:pPr>
        <w:spacing w:after="0" w:line="14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Consideration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right="20" w:firstLine="644"/>
        <w:spacing w:after="0" w:line="227" w:lineRule="auto"/>
        <w:tabs>
          <w:tab w:leader="none" w:pos="128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5.03(B)(ii)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5.03(B)(iii)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5.09(A)(2)</w:t>
      </w:r>
      <w:r>
        <w:rPr>
          <w:rFonts w:ascii="Times New Roman" w:cs="Times New Roman" w:eastAsia="Times New Roman" w:hAnsi="Times New Roman"/>
          <w:sz w:val="22"/>
          <w:szCs w:val="22"/>
          <w:color w:val="auto"/>
        </w:rPr>
        <w:t>, the type and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consideration (the “</w:t>
      </w:r>
      <w:r>
        <w:rPr>
          <w:rFonts w:ascii="Times New Roman" w:cs="Times New Roman" w:eastAsia="Times New Roman" w:hAnsi="Times New Roman"/>
          <w:sz w:val="22"/>
          <w:szCs w:val="22"/>
          <w:b w:val="1"/>
          <w:bCs w:val="1"/>
          <w:color w:val="auto"/>
        </w:rPr>
        <w:t>Conversion Consideration</w:t>
      </w:r>
      <w:r>
        <w:rPr>
          <w:rFonts w:ascii="Times New Roman" w:cs="Times New Roman" w:eastAsia="Times New Roman" w:hAnsi="Times New Roman"/>
          <w:sz w:val="22"/>
          <w:szCs w:val="22"/>
          <w:color w:val="auto"/>
        </w:rPr>
        <w:t>”) due in respect of each $1,000 principal amount of a Note to be converted will be as follows:</w:t>
      </w:r>
    </w:p>
    <w:p>
      <w:pPr>
        <w:spacing w:after="0" w:line="150" w:lineRule="exact"/>
        <w:rPr>
          <w:rFonts w:ascii="Times New Roman" w:cs="Times New Roman" w:eastAsia="Times New Roman" w:hAnsi="Times New Roman"/>
          <w:sz w:val="22"/>
          <w:szCs w:val="22"/>
          <w:color w:val="auto"/>
        </w:rPr>
      </w:pPr>
    </w:p>
    <w:p>
      <w:pPr>
        <w:ind w:left="4" w:right="20" w:firstLine="1292"/>
        <w:spacing w:after="0" w:line="236" w:lineRule="auto"/>
        <w:tabs>
          <w:tab w:leader="none" w:pos="1943"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Physical Settlement applies to such conversion, a number of shares of Common Stock equal to the Conversion Rate in effect on the Conversion Date for such conversion;</w:t>
      </w:r>
    </w:p>
    <w:p>
      <w:pPr>
        <w:spacing w:after="0" w:line="150" w:lineRule="exact"/>
        <w:rPr>
          <w:rFonts w:ascii="Times New Roman" w:cs="Times New Roman" w:eastAsia="Times New Roman" w:hAnsi="Times New Roman"/>
          <w:sz w:val="22"/>
          <w:szCs w:val="22"/>
          <w:color w:val="auto"/>
        </w:rPr>
      </w:pPr>
    </w:p>
    <w:p>
      <w:pPr>
        <w:ind w:left="4" w:firstLine="1292"/>
        <w:spacing w:after="0" w:line="236" w:lineRule="auto"/>
        <w:tabs>
          <w:tab w:leader="none" w:pos="1943"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Cash Settlement applies to such conversion, cash in an amount equal to the sum of the Daily Conversion Values for each VWAP Trading Day in the Observation Period for such conversion; or</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3"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48" w:lineRule="exact"/>
        <w:rPr>
          <w:rFonts w:ascii="Times New Roman" w:cs="Times New Roman" w:eastAsia="Times New Roman" w:hAnsi="Times New Roman"/>
          <w:sz w:val="22"/>
          <w:szCs w:val="22"/>
          <w:color w:val="auto"/>
        </w:rPr>
      </w:pPr>
    </w:p>
    <w:p>
      <w:pPr>
        <w:jc w:val="both"/>
        <w:ind w:left="4" w:firstLine="644"/>
        <w:spacing w:after="0" w:line="213" w:lineRule="auto"/>
        <w:tabs>
          <w:tab w:leader="none" w:pos="129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Shares</w:t>
      </w:r>
      <w:r>
        <w:rPr>
          <w:rFonts w:ascii="Times New Roman" w:cs="Times New Roman" w:eastAsia="Times New Roman" w:hAnsi="Times New Roman"/>
          <w:sz w:val="22"/>
          <w:szCs w:val="22"/>
          <w:color w:val="auto"/>
        </w:rPr>
        <w:t>. If Physical Settlement or Combination Settlement applies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conversion of any Note and the number of shares of Common Stock deliverable pursuant to </w:t>
      </w:r>
      <w:r>
        <w:rPr>
          <w:rFonts w:ascii="Times New Roman" w:cs="Times New Roman" w:eastAsia="Times New Roman" w:hAnsi="Times New Roman"/>
          <w:sz w:val="22"/>
          <w:szCs w:val="22"/>
          <w:b w:val="1"/>
          <w:bCs w:val="1"/>
          <w:color w:val="auto"/>
        </w:rPr>
        <w:t>Section 5.03(B)(i)</w:t>
      </w:r>
      <w:r>
        <w:rPr>
          <w:rFonts w:ascii="Times New Roman" w:cs="Times New Roman" w:eastAsia="Times New Roman" w:hAnsi="Times New Roman"/>
          <w:sz w:val="22"/>
          <w:szCs w:val="22"/>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0584"/>
          </w:cols>
          <w:pgMar w:left="976" w:top="1382" w:right="339" w:bottom="1440" w:gutter="0" w:footer="0" w:header="0"/>
        </w:sectPr>
      </w:pPr>
    </w:p>
    <w:bookmarkStart w:id="124" w:name="page125"/>
    <w:bookmarkEnd w:id="124"/>
    <w:p>
      <w:pPr>
        <w:jc w:val="both"/>
        <w:ind w:left="660" w:firstLine="644"/>
        <w:spacing w:after="0" w:line="221" w:lineRule="auto"/>
        <w:tabs>
          <w:tab w:leader="none" w:pos="195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of Multiple Notes by a Single Holder</w:t>
      </w:r>
      <w:r>
        <w:rPr>
          <w:rFonts w:ascii="Times New Roman" w:cs="Times New Roman" w:eastAsia="Times New Roman" w:hAnsi="Times New Roman"/>
          <w:sz w:val="22"/>
          <w:szCs w:val="22"/>
          <w:color w:val="auto"/>
        </w:rPr>
        <w:t>. If a Holder converts more than one (1) Note on a single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Calculation of Conversion Consideration</w:t>
      </w:r>
      <w:r>
        <w:rPr>
          <w:rFonts w:ascii="Times New Roman" w:cs="Times New Roman" w:eastAsia="Times New Roman" w:hAnsi="Times New Roman"/>
          <w:sz w:val="22"/>
          <w:szCs w:val="22"/>
          <w:color w:val="auto"/>
        </w:rPr>
        <w:t>. If Cash Settlement or Combination Settlement applies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the Conversion Consideration</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5.05(D)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5.09</w:t>
      </w:r>
      <w:r>
        <w:rPr>
          <w:rFonts w:ascii="Times New Roman" w:cs="Times New Roman" w:eastAsia="Times New Roman" w:hAnsi="Times New Roman"/>
          <w:sz w:val="22"/>
          <w:szCs w:val="22"/>
          <w:color w:val="auto"/>
        </w:rPr>
        <w:t>, the Company will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deliver, as applicable, the Conversion Consideration due upon the conversion of any Note to the Holder as follows: (i) if Cash Settlement or Combination Settlement applies to such conversion, on the second (2nd) Business Day immediately after the last VWAP Trading Day of the Observation Period for such conversion; and (ii) if Physical Settlement applies to such conversion, on the second (2nd) Business Day immediately after the Conversion Date for such conversion.</w:t>
      </w:r>
    </w:p>
    <w:p>
      <w:pPr>
        <w:spacing w:after="0" w:line="147"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Deemed Payment of Principal and Interest; Settlement of Accrued Interest Notwithstanding Conversion</w:t>
      </w:r>
      <w:r>
        <w:rPr>
          <w:rFonts w:ascii="Times New Roman" w:cs="Times New Roman" w:eastAsia="Times New Roman" w:hAnsi="Times New Roman"/>
          <w:sz w:val="22"/>
          <w:szCs w:val="22"/>
          <w:color w:val="auto"/>
        </w:rPr>
        <w:t>. If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 converts a Note, then the Company will not adjust the Conversion Rate to account for any accrued and unpaid interest on such Note, and, except as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any accrued and unpaid interest on a converted Note will be deemed to be paid in full rather than cancelled, extinguished or forfeited. In addition, subject to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if the Conversion Consideration for a Note consists of both cash and shares of Common Stock, then accrued and unpaid interest that is deemed to be paid therewith will be deemed to be paid first out of such cash.</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Reserve and Status of Common Stock Issued Upon Conversion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4" w:lineRule="auto"/>
        <w:tabs>
          <w:tab w:leader="none" w:pos="128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Reserve</w:t>
      </w:r>
      <w:r>
        <w:rPr>
          <w:rFonts w:ascii="Times New Roman" w:cs="Times New Roman" w:eastAsia="Times New Roman" w:hAnsi="Times New Roman"/>
          <w:sz w:val="22"/>
          <w:szCs w:val="22"/>
          <w:color w:val="auto"/>
        </w:rPr>
        <w:t>. At all times when any Notes are outstanding, the Company will reserve (out of its authorized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 outstanding but unissued shares of Common Stock that are not reserved for other purposes) a number of shares of Common Stock sufficient to permit the conversion of all then-outstanding Notes, assuming (x) Physical Settlement will apply to such conversion; and (y) the Conversion Rate is 349.6503, as may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Conversion Shares; Listing</w:t>
      </w:r>
      <w:r>
        <w:rPr>
          <w:rFonts w:ascii="Times New Roman" w:cs="Times New Roman" w:eastAsia="Times New Roman" w:hAnsi="Times New Roman"/>
          <w:sz w:val="22"/>
          <w:szCs w:val="22"/>
          <w:color w:val="auto"/>
        </w:rPr>
        <w:t>. Each Conversion Share, if any, delivered upon conversion of any Note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a newly issued or treasury share (except that any Conversion Share delivered by a designated financial institution pursuant to </w:t>
      </w:r>
      <w:r>
        <w:rPr>
          <w:rFonts w:ascii="Times New Roman" w:cs="Times New Roman" w:eastAsia="Times New Roman" w:hAnsi="Times New Roman"/>
          <w:sz w:val="22"/>
          <w:szCs w:val="22"/>
          <w:b w:val="1"/>
          <w:bCs w:val="1"/>
          <w:color w:val="auto"/>
        </w:rPr>
        <w:t xml:space="preserve">Section 5.08 </w:t>
      </w:r>
      <w:r>
        <w:rPr>
          <w:rFonts w:ascii="Times New Roman" w:cs="Times New Roman" w:eastAsia="Times New Roman" w:hAnsi="Times New Roman"/>
          <w:sz w:val="22"/>
          <w:szCs w:val="22"/>
          <w:color w:val="auto"/>
        </w:rPr>
        <w:t>need not be a newly issued or treasury share) and will be duly authorized, validly issued, fully paid, non-assessable,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free from preemptive rights and free of any lien or adverse claim (except to the extent of any lien or adverse claim created by the action or inaction of the Holder of such Note or the Person to whom such Conversion Share will be delivered). If the Common Stock is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1" w:right="339" w:bottom="1440" w:gutter="0" w:footer="0" w:header="0"/>
        </w:sectPr>
      </w:pPr>
    </w:p>
    <w:bookmarkStart w:id="125" w:name="page126"/>
    <w:bookmarkEnd w:id="125"/>
    <w:p>
      <w:pPr>
        <w:jc w:val="both"/>
        <w:spacing w:after="0" w:line="225" w:lineRule="auto"/>
        <w:rPr>
          <w:sz w:val="20"/>
          <w:szCs w:val="20"/>
          <w:color w:val="auto"/>
        </w:rPr>
      </w:pPr>
      <w:r>
        <w:rPr>
          <w:rFonts w:ascii="Times New Roman" w:cs="Times New Roman" w:eastAsia="Times New Roman" w:hAnsi="Times New Roman"/>
          <w:sz w:val="22"/>
          <w:szCs w:val="22"/>
          <w:color w:val="auto"/>
        </w:rPr>
        <w:t>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Adjustments to the Conversion Rate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Events Requiring an Adjustment to the Conversion Rate</w:t>
      </w:r>
      <w:r>
        <w:rPr>
          <w:rFonts w:ascii="Times New Roman" w:cs="Times New Roman" w:eastAsia="Times New Roman" w:hAnsi="Times New Roman"/>
          <w:sz w:val="21"/>
          <w:szCs w:val="21"/>
          <w:color w:val="auto"/>
        </w:rPr>
        <w:t>. The Conversion Rate will be adjusted from time to time</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32" w:lineRule="auto"/>
        <w:tabs>
          <w:tab w:leader="none" w:pos="194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Dividends, Splits and Combinations</w:t>
      </w:r>
      <w:r>
        <w:rPr>
          <w:rFonts w:ascii="Times New Roman" w:cs="Times New Roman" w:eastAsia="Times New Roman" w:hAnsi="Times New Roman"/>
          <w:sz w:val="21"/>
          <w:szCs w:val="21"/>
          <w:color w:val="auto"/>
        </w:rPr>
        <w:t>. If the Company issues solely shares of Common Stock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121285</wp:posOffset>
            </wp:positionV>
            <wp:extent cx="1003300" cy="402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0033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395" w:right="339" w:bottom="1440" w:gutter="0" w:footer="0" w:header="0"/>
        </w:sectPr>
      </w:pP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w:t>
      </w:r>
    </w:p>
    <w:p>
      <w:pPr>
        <w:spacing w:after="0" w:line="32" w:lineRule="exact"/>
        <w:rPr>
          <w:sz w:val="20"/>
          <w:szCs w:val="20"/>
          <w:color w:val="auto"/>
        </w:rPr>
      </w:pPr>
    </w:p>
    <w:p>
      <w:pPr>
        <w:sectPr>
          <w:pgSz w:w="11900" w:h="16838" w:orient="portrait"/>
          <w:cols w:equalWidth="0" w:num="3">
            <w:col w:w="1000" w:space="300"/>
            <w:col w:w="120" w:space="320"/>
            <w:col w:w="9500"/>
          </w:cols>
          <w:pgMar w:left="320" w:top="1395" w:right="339" w:bottom="1440" w:gutter="0" w:footer="0" w:header="0"/>
          <w:type w:val="continuous"/>
        </w:sectPr>
      </w:pPr>
    </w:p>
    <w:p>
      <w:pPr>
        <w:ind w:left="1960"/>
        <w:spacing w:after="0" w:line="243" w:lineRule="auto"/>
        <w:rPr>
          <w:sz w:val="20"/>
          <w:szCs w:val="20"/>
          <w:color w:val="auto"/>
        </w:rPr>
      </w:pPr>
      <w:r>
        <w:rPr>
          <w:rFonts w:ascii="Times New Roman" w:cs="Times New Roman" w:eastAsia="Times New Roman" w:hAnsi="Times New Roman"/>
          <w:sz w:val="22"/>
          <w:szCs w:val="22"/>
          <w:color w:val="auto"/>
        </w:rPr>
        <w:t>dividend or distribution, or immediately before the Open of Business on the effective date of such stock split or stock combination, as applicable;</w:t>
      </w:r>
    </w:p>
    <w:p>
      <w:pPr>
        <w:sectPr>
          <w:pgSz w:w="11900" w:h="16838" w:orient="portrait"/>
          <w:cols w:equalWidth="0" w:num="1">
            <w:col w:w="11240"/>
          </w:cols>
          <w:pgMar w:left="320" w:top="1395"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 or effective</w:t>
      </w:r>
    </w:p>
    <w:p>
      <w:pPr>
        <w:spacing w:after="0" w:line="57" w:lineRule="exact"/>
        <w:rPr>
          <w:sz w:val="20"/>
          <w:szCs w:val="20"/>
          <w:color w:val="auto"/>
        </w:rPr>
      </w:pPr>
    </w:p>
    <w:p>
      <w:pPr>
        <w:sectPr>
          <w:pgSz w:w="11900" w:h="16838" w:orient="portrait"/>
          <w:cols w:equalWidth="0" w:num="3">
            <w:col w:w="1000" w:space="260"/>
            <w:col w:w="120" w:space="280"/>
            <w:col w:w="9580"/>
          </w:cols>
          <w:pgMar w:left="320" w:top="1395"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1"/>
          <w:szCs w:val="21"/>
          <w:color w:val="auto"/>
        </w:rPr>
        <w:t>date, as applicable;</w:t>
      </w:r>
    </w:p>
    <w:p>
      <w:pPr>
        <w:sectPr>
          <w:pgSz w:w="11900" w:h="16838" w:orient="portrait"/>
          <w:cols w:equalWidth="0" w:num="1">
            <w:col w:w="11240"/>
          </w:cols>
          <w:pgMar w:left="320" w:top="1395" w:right="339" w:bottom="1440" w:gutter="0" w:footer="0" w:header="0"/>
          <w:type w:val="continuous"/>
        </w:sectPr>
      </w:pP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w:t>
      </w:r>
    </w:p>
    <w:p>
      <w:pPr>
        <w:spacing w:after="0" w:line="32" w:lineRule="exact"/>
        <w:rPr>
          <w:sz w:val="20"/>
          <w:szCs w:val="20"/>
          <w:color w:val="auto"/>
        </w:rPr>
      </w:pPr>
    </w:p>
    <w:p>
      <w:pPr>
        <w:sectPr>
          <w:pgSz w:w="11900" w:h="16838" w:orient="portrait"/>
          <w:cols w:equalWidth="0" w:num="3">
            <w:col w:w="1000" w:space="280"/>
            <w:col w:w="120" w:space="300"/>
            <w:col w:w="9540"/>
          </w:cols>
          <w:pgMar w:left="320" w:top="1395" w:right="339" w:bottom="1440" w:gutter="0" w:footer="0" w:header="0"/>
          <w:type w:val="continuous"/>
        </w:sectPr>
      </w:pPr>
    </w:p>
    <w:p>
      <w:pPr>
        <w:ind w:left="1960"/>
        <w:spacing w:after="0" w:line="243" w:lineRule="auto"/>
        <w:rPr>
          <w:sz w:val="20"/>
          <w:szCs w:val="20"/>
          <w:color w:val="auto"/>
        </w:rPr>
      </w:pPr>
      <w:r>
        <w:rPr>
          <w:rFonts w:ascii="Times New Roman" w:cs="Times New Roman" w:eastAsia="Times New Roman" w:hAnsi="Times New Roman"/>
          <w:sz w:val="22"/>
          <w:szCs w:val="22"/>
          <w:color w:val="auto"/>
        </w:rPr>
        <w:t>Dividend Date or effective date, as applicable, without giving effect to such dividend, distribution, stock split or stock combination; and</w:t>
      </w:r>
    </w:p>
    <w:p>
      <w:pPr>
        <w:sectPr>
          <w:pgSz w:w="11900" w:h="16838" w:orient="portrait"/>
          <w:cols w:equalWidth="0" w:num="1">
            <w:col w:w="11240"/>
          </w:cols>
          <w:pgMar w:left="320" w:top="1395"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after giving effect to such dividend,</w:t>
      </w:r>
    </w:p>
    <w:p>
      <w:pPr>
        <w:spacing w:after="0" w:line="46" w:lineRule="exact"/>
        <w:rPr>
          <w:sz w:val="20"/>
          <w:szCs w:val="20"/>
          <w:color w:val="auto"/>
        </w:rPr>
      </w:pPr>
    </w:p>
    <w:p>
      <w:pPr>
        <w:sectPr>
          <w:pgSz w:w="11900" w:h="16838" w:orient="portrait"/>
          <w:cols w:equalWidth="0" w:num="3">
            <w:col w:w="1000" w:space="380"/>
            <w:col w:w="120" w:space="380"/>
            <w:col w:w="9360"/>
          </w:cols>
          <w:pgMar w:left="320" w:top="1395"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1"/>
          <w:szCs w:val="21"/>
          <w:color w:val="auto"/>
        </w:rPr>
        <w:t>distribution, stock split or stock combination.</w:t>
      </w:r>
    </w:p>
    <w:p>
      <w:pPr>
        <w:sectPr>
          <w:pgSz w:w="11900" w:h="16838" w:orient="portrait"/>
          <w:cols w:equalWidth="0" w:num="1">
            <w:col w:w="11240"/>
          </w:cols>
          <w:pgMar w:left="320" w:top="1395" w:right="339" w:bottom="1440" w:gutter="0" w:footer="0" w:header="0"/>
          <w:type w:val="continuous"/>
        </w:sectPr>
      </w:pPr>
    </w:p>
    <w:p>
      <w:pPr>
        <w:spacing w:after="0" w:line="19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If any dividend, distribution, stock split or stock combination of the type described in this </w:t>
      </w:r>
      <w:r>
        <w:rPr>
          <w:rFonts w:ascii="Times New Roman" w:cs="Times New Roman" w:eastAsia="Times New Roman" w:hAnsi="Times New Roman"/>
          <w:sz w:val="22"/>
          <w:szCs w:val="22"/>
          <w:b w:val="1"/>
          <w:bCs w:val="1"/>
          <w:color w:val="auto"/>
        </w:rPr>
        <w:t>Section 5.05(A)(i)</w:t>
      </w:r>
      <w:r>
        <w:rPr>
          <w:rFonts w:ascii="Times New Roman" w:cs="Times New Roman" w:eastAsia="Times New Roman" w:hAnsi="Times New Roman"/>
          <w:sz w:val="22"/>
          <w:szCs w:val="22"/>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62" w:lineRule="exact"/>
        <w:rPr>
          <w:sz w:val="20"/>
          <w:szCs w:val="20"/>
          <w:color w:val="auto"/>
        </w:rPr>
      </w:pPr>
    </w:p>
    <w:p>
      <w:pPr>
        <w:ind w:left="660" w:firstLine="644"/>
        <w:spacing w:after="0" w:line="238" w:lineRule="auto"/>
        <w:tabs>
          <w:tab w:leader="none" w:pos="195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Options and Warrants</w:t>
      </w:r>
      <w:r>
        <w:rPr>
          <w:rFonts w:ascii="Times New Roman" w:cs="Times New Roman" w:eastAsia="Times New Roman" w:hAnsi="Times New Roman"/>
          <w:sz w:val="22"/>
          <w:szCs w:val="22"/>
          <w:color w:val="auto"/>
        </w:rPr>
        <w:t>. If the Company distributes, to all or substantially all holders of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rights, options or warrants (other than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type w:val="continuous"/>
        </w:sectPr>
      </w:pPr>
    </w:p>
    <w:bookmarkStart w:id="126" w:name="page127"/>
    <w:bookmarkEnd w:id="126"/>
    <w:p>
      <w:pPr>
        <w:jc w:val="both"/>
        <w:ind w:left="4"/>
        <w:spacing w:after="0" w:line="216" w:lineRule="auto"/>
        <w:rPr>
          <w:sz w:val="20"/>
          <w:szCs w:val="20"/>
          <w:color w:val="auto"/>
        </w:rPr>
      </w:pPr>
      <w:r>
        <w:rPr>
          <w:rFonts w:ascii="Times New Roman" w:cs="Times New Roman" w:eastAsia="Times New Roman" w:hAnsi="Times New Roman"/>
          <w:sz w:val="22"/>
          <w:szCs w:val="22"/>
          <w:color w:val="auto"/>
        </w:rPr>
        <w:t xml:space="preserve">issued or otherwise distributed pursuant to a stockholder rights plan, as to which </w:t>
      </w:r>
      <w:r>
        <w:rPr>
          <w:rFonts w:ascii="Times New Roman" w:cs="Times New Roman" w:eastAsia="Times New Roman" w:hAnsi="Times New Roman"/>
          <w:sz w:val="22"/>
          <w:szCs w:val="22"/>
          <w:b w:val="1"/>
          <w:bCs w:val="1"/>
          <w:color w:val="auto"/>
        </w:rPr>
        <w:t>Sections 5.05(A)(iii)(1)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5.05(F)</w:t>
      </w:r>
      <w:r>
        <w:rPr>
          <w:rFonts w:ascii="Times New Roman" w:cs="Times New Roman" w:eastAsia="Times New Roman" w:hAnsi="Times New Roman"/>
          <w:sz w:val="22"/>
          <w:szCs w:val="22"/>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121285</wp:posOffset>
            </wp:positionV>
            <wp:extent cx="1156970" cy="360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1569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4"/>
          </w:cols>
          <w:pgMar w:left="976" w:top="1391" w:right="339" w:bottom="1440" w:gutter="0" w:footer="0" w:header="0"/>
        </w:sectPr>
      </w:pP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w:t>
      </w:r>
    </w:p>
    <w:p>
      <w:pPr>
        <w:spacing w:after="0" w:line="32" w:lineRule="exact"/>
        <w:rPr>
          <w:sz w:val="20"/>
          <w:szCs w:val="20"/>
          <w:color w:val="auto"/>
        </w:rPr>
      </w:pPr>
    </w:p>
    <w:p>
      <w:pPr>
        <w:sectPr>
          <w:pgSz w:w="11900" w:h="16838" w:orient="portrait"/>
          <w:cols w:equalWidth="0" w:num="3">
            <w:col w:w="344" w:space="300"/>
            <w:col w:w="120" w:space="320"/>
            <w:col w:w="9500"/>
          </w:cols>
          <w:pgMar w:left="976" w:top="1391" w:right="3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21"/>
          <w:szCs w:val="21"/>
          <w:color w:val="auto"/>
        </w:rPr>
        <w:t>distribution;</w:t>
      </w:r>
    </w:p>
    <w:p>
      <w:pPr>
        <w:sectPr>
          <w:pgSz w:w="11900" w:h="16838" w:orient="portrait"/>
          <w:cols w:equalWidth="0" w:num="1">
            <w:col w:w="10584"/>
          </w:cols>
          <w:pgMar w:left="976" w:top="1391" w:right="339" w:bottom="1440" w:gutter="0" w:footer="0" w:header="0"/>
          <w:type w:val="continuous"/>
        </w:sectPr>
      </w:pP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3">
            <w:col w:w="344" w:space="220"/>
            <w:col w:w="120" w:space="220"/>
            <w:col w:w="9680"/>
          </w:cols>
          <w:pgMar w:left="976" w:top="1391" w:right="339" w:bottom="1440" w:gutter="0" w:footer="0" w:header="0"/>
          <w:type w:val="continuous"/>
        </w:sectPr>
      </w:pP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i w:val="1"/>
          <w:iCs w:val="1"/>
          <w:color w:val="auto"/>
        </w:rPr>
        <w:t>OS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w:t>
        <w:tab/>
        <w:t>the number of shares of Common Stock outstanding immediately before the Open of Business on such Ex-</w:t>
      </w:r>
    </w:p>
    <w:p>
      <w:pPr>
        <w:spacing w:after="0" w:line="29" w:lineRule="exact"/>
        <w:rPr>
          <w:sz w:val="20"/>
          <w:szCs w:val="20"/>
          <w:color w:val="auto"/>
        </w:rPr>
      </w:pPr>
    </w:p>
    <w:p>
      <w:pPr>
        <w:sectPr>
          <w:pgSz w:w="11900" w:h="16838" w:orient="portrait"/>
          <w:cols w:equalWidth="0" w:num="2">
            <w:col w:w="264" w:space="300"/>
            <w:col w:w="10020"/>
          </w:cols>
          <w:pgMar w:left="976" w:top="1391" w:right="3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21"/>
          <w:szCs w:val="21"/>
          <w:color w:val="auto"/>
        </w:rPr>
        <w:t>Dividend Date;</w:t>
      </w:r>
    </w:p>
    <w:p>
      <w:pPr>
        <w:sectPr>
          <w:pgSz w:w="11900" w:h="16838" w:orient="portrait"/>
          <w:cols w:equalWidth="0" w:num="1">
            <w:col w:w="10584"/>
          </w:cols>
          <w:pgMar w:left="976" w:top="1391" w:right="339" w:bottom="1440" w:gutter="0" w:footer="0" w:header="0"/>
          <w:type w:val="continuous"/>
        </w:sectPr>
      </w:pPr>
    </w:p>
    <w:p>
      <w:pPr>
        <w:spacing w:after="0" w:line="219" w:lineRule="exact"/>
        <w:rPr>
          <w:sz w:val="20"/>
          <w:szCs w:val="20"/>
          <w:color w:val="auto"/>
        </w:rPr>
      </w:pPr>
    </w:p>
    <w:p>
      <w:pPr>
        <w:ind w:left="344" w:hanging="344"/>
        <w:spacing w:after="0"/>
        <w:tabs>
          <w:tab w:leader="none" w:pos="344" w:val="left"/>
        </w:tabs>
        <w:numPr>
          <w:ilvl w:val="0"/>
          <w:numId w:val="1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total number of shares of Common Stock issuable pursuant to such rights, options or warrants; and</w:t>
      </w:r>
    </w:p>
    <w:p>
      <w:pPr>
        <w:spacing w:after="0" w:line="220" w:lineRule="exact"/>
        <w:rPr>
          <w:sz w:val="20"/>
          <w:szCs w:val="20"/>
          <w:color w:val="auto"/>
        </w:rPr>
      </w:pPr>
    </w:p>
    <w:p>
      <w:pPr>
        <w:ind w:left="1304" w:hanging="1304"/>
        <w:spacing w:after="0" w:line="256" w:lineRule="auto"/>
        <w:tabs>
          <w:tab w:leader="none" w:pos="348" w:val="left"/>
        </w:tabs>
        <w:numPr>
          <w:ilvl w:val="0"/>
          <w:numId w:val="1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76"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w:t>
      </w:r>
    </w:p>
    <w:p>
      <w:pPr>
        <w:spacing w:after="0" w:line="176"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Section 5.05(A)(ii)</w:t>
      </w:r>
      <w:r>
        <w:rPr>
          <w:rFonts w:ascii="Times New Roman" w:cs="Times New Roman" w:eastAsia="Times New Roman" w:hAnsi="Times New Roman"/>
          <w:sz w:val="22"/>
          <w:szCs w:val="22"/>
          <w:color w:val="auto"/>
        </w:rPr>
        <w:t>, in determining whether any rights, options or warrants entitle holders of Common Stock to subscribe for or purchase shares of Common Stock at a price per share that is less than the average of the Last Reported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0584"/>
          </w:cols>
          <w:pgMar w:left="976" w:top="1391" w:right="339" w:bottom="1440" w:gutter="0" w:footer="0" w:header="0"/>
          <w:type w:val="continuous"/>
        </w:sectPr>
      </w:pPr>
    </w:p>
    <w:bookmarkStart w:id="127" w:name="page128"/>
    <w:bookmarkEnd w:id="127"/>
    <w:p>
      <w:pPr>
        <w:jc w:val="both"/>
        <w:spacing w:after="0" w:line="268" w:lineRule="auto"/>
        <w:rPr>
          <w:sz w:val="20"/>
          <w:szCs w:val="20"/>
          <w:color w:val="auto"/>
        </w:rPr>
      </w:pPr>
      <w:r>
        <w:rPr>
          <w:rFonts w:ascii="Times New Roman" w:cs="Times New Roman" w:eastAsia="Times New Roman" w:hAnsi="Times New Roman"/>
          <w:sz w:val="21"/>
          <w:szCs w:val="21"/>
          <w:color w:val="auto"/>
        </w:rPr>
        <w:t>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spacing w:after="0" w:line="133" w:lineRule="exact"/>
        <w:rPr>
          <w:sz w:val="20"/>
          <w:szCs w:val="20"/>
          <w:color w:val="auto"/>
        </w:rPr>
      </w:pPr>
    </w:p>
    <w:p>
      <w:pPr>
        <w:ind w:left="1300" w:hanging="656"/>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 and Other Distributed Property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292"/>
        <w:spacing w:after="0" w:line="227" w:lineRule="auto"/>
        <w:tabs>
          <w:tab w:leader="none" w:pos="193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Distributions Other than Spin-Offs</w:t>
      </w:r>
      <w:r>
        <w:rPr>
          <w:rFonts w:ascii="Times New Roman" w:cs="Times New Roman" w:eastAsia="Times New Roman" w:hAnsi="Times New Roman"/>
          <w:sz w:val="22"/>
          <w:szCs w:val="22"/>
          <w:color w:val="auto"/>
        </w:rPr>
        <w:t>. If the Company distributes shares of its Capital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evidences of its indebtedness or other assets or property of the Company, or rights, options or warrants to acquire Capital Stock of the Company or other securities, to all or substantially all holders of the Common Stock, excluding:</w:t>
      </w:r>
    </w:p>
    <w:p>
      <w:pPr>
        <w:sectPr>
          <w:pgSz w:w="11900" w:h="16838" w:orient="portrait"/>
          <w:cols w:equalWidth="0" w:num="1">
            <w:col w:w="10580"/>
          </w:cols>
          <w:pgMar w:left="980" w:top="1422" w:right="339" w:bottom="1440" w:gutter="0" w:footer="0" w:header="0"/>
        </w:sectPr>
      </w:pPr>
    </w:p>
    <w:p>
      <w:pPr>
        <w:spacing w:after="0" w:line="150" w:lineRule="exact"/>
        <w:rPr>
          <w:sz w:val="20"/>
          <w:szCs w:val="20"/>
          <w:color w:val="auto"/>
        </w:rPr>
      </w:pPr>
    </w:p>
    <w:p>
      <w:pPr>
        <w:jc w:val="both"/>
        <w:ind w:left="1300" w:firstLine="640"/>
        <w:spacing w:after="0" w:line="225" w:lineRule="auto"/>
        <w:tabs>
          <w:tab w:leader="none" w:pos="25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distributions, rights, options or warrants for Conversion Rate is required (or would be required without regard to </w:t>
      </w:r>
      <w:r>
        <w:rPr>
          <w:rFonts w:ascii="Times New Roman" w:cs="Times New Roman" w:eastAsia="Times New Roman" w:hAnsi="Times New Roman"/>
          <w:sz w:val="22"/>
          <w:szCs w:val="22"/>
          <w:b w:val="1"/>
          <w:bCs w:val="1"/>
          <w:color w:val="auto"/>
        </w:rPr>
        <w:t xml:space="preserve">Section 5.05(A)(i)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5.05(A)(ii)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1300" w:firstLine="640"/>
        <w:spacing w:after="0" w:line="225" w:lineRule="auto"/>
        <w:tabs>
          <w:tab w:leader="none" w:pos="25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or distributions paid exclusively in cash for Conversion Rate is required (or would be required without regard to </w:t>
      </w:r>
      <w:r>
        <w:rPr>
          <w:rFonts w:ascii="Times New Roman" w:cs="Times New Roman" w:eastAsia="Times New Roman" w:hAnsi="Times New Roman"/>
          <w:sz w:val="22"/>
          <w:szCs w:val="22"/>
          <w:b w:val="1"/>
          <w:bCs w:val="1"/>
          <w:color w:val="auto"/>
        </w:rPr>
        <w:t>Section 5.05(A)(iv)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20" w:firstLine="17"/>
        <w:spacing w:after="0" w:line="236" w:lineRule="auto"/>
        <w:rPr>
          <w:sz w:val="20"/>
          <w:szCs w:val="20"/>
          <w:color w:val="auto"/>
        </w:rPr>
      </w:pPr>
      <w:r>
        <w:rPr>
          <w:rFonts w:ascii="Times New Roman" w:cs="Times New Roman" w:eastAsia="Times New Roman" w:hAnsi="Times New Roman"/>
          <w:sz w:val="22"/>
          <w:szCs w:val="22"/>
          <w:color w:val="auto"/>
        </w:rPr>
        <w:t xml:space="preserve">which an adjustment to the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pursuant to</w:t>
      </w:r>
    </w:p>
    <w:p>
      <w:pPr>
        <w:spacing w:after="0" w:line="366" w:lineRule="exact"/>
        <w:rPr>
          <w:sz w:val="20"/>
          <w:szCs w:val="20"/>
          <w:color w:val="auto"/>
        </w:rPr>
      </w:pPr>
    </w:p>
    <w:p>
      <w:pPr>
        <w:ind w:firstLine="25"/>
        <w:spacing w:after="0" w:line="236" w:lineRule="auto"/>
        <w:rPr>
          <w:sz w:val="20"/>
          <w:szCs w:val="20"/>
          <w:color w:val="auto"/>
        </w:rPr>
      </w:pPr>
      <w:r>
        <w:rPr>
          <w:rFonts w:ascii="Times New Roman" w:cs="Times New Roman" w:eastAsia="Times New Roman" w:hAnsi="Times New Roman"/>
          <w:sz w:val="22"/>
          <w:szCs w:val="22"/>
          <w:color w:val="auto"/>
        </w:rPr>
        <w:t xml:space="preserve">which an adjustment to the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pursuant to</w:t>
      </w:r>
    </w:p>
    <w:p>
      <w:pPr>
        <w:spacing w:after="0" w:line="366" w:lineRule="exact"/>
        <w:rPr>
          <w:sz w:val="20"/>
          <w:szCs w:val="20"/>
          <w:color w:val="auto"/>
        </w:rPr>
      </w:pPr>
    </w:p>
    <w:p>
      <w:pPr>
        <w:sectPr>
          <w:pgSz w:w="11900" w:h="16838" w:orient="portrait"/>
          <w:cols w:equalWidth="0" w:num="2">
            <w:col w:w="7780" w:space="120"/>
            <w:col w:w="2680"/>
          </w:cols>
          <w:pgMar w:left="980" w:top="1422" w:right="339" w:bottom="1440" w:gutter="0" w:footer="0" w:header="0"/>
          <w:type w:val="continuous"/>
        </w:sectPr>
      </w:pPr>
    </w:p>
    <w:p>
      <w:pPr>
        <w:ind w:left="1300" w:right="20" w:firstLine="640"/>
        <w:spacing w:after="0" w:line="236" w:lineRule="auto"/>
        <w:tabs>
          <w:tab w:leader="none" w:pos="25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rights issued or otherwise distributed pursuant to a stockholder rights plan, except to the extent provided in </w:t>
      </w:r>
      <w:r>
        <w:rPr>
          <w:rFonts w:ascii="Times New Roman" w:cs="Times New Roman" w:eastAsia="Times New Roman" w:hAnsi="Times New Roman"/>
          <w:sz w:val="22"/>
          <w:szCs w:val="22"/>
          <w:b w:val="1"/>
          <w:bCs w:val="1"/>
          <w:color w:val="auto"/>
        </w:rPr>
        <w:t>Section 5.05(F)</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firstLine="640"/>
        <w:spacing w:after="0" w:line="236" w:lineRule="auto"/>
        <w:tabs>
          <w:tab w:leader="none" w:pos="25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Spin-Offs for which an adjustment to the Conversion Rate is required (or would be required without regard to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firstLine="640"/>
        <w:spacing w:after="0" w:line="236" w:lineRule="auto"/>
        <w:tabs>
          <w:tab w:leader="none" w:pos="25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tender offer or exchange offer for shares of Common Stock, as to which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xml:space="preserve"> will apply; and</w:t>
      </w:r>
    </w:p>
    <w:p>
      <w:pPr>
        <w:spacing w:after="0" w:line="137"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Common Stock Change Event, as to which </w:t>
      </w:r>
      <w:r>
        <w:rPr>
          <w:rFonts w:ascii="Times New Roman" w:cs="Times New Roman" w:eastAsia="Times New Roman" w:hAnsi="Times New Roman"/>
          <w:sz w:val="22"/>
          <w:szCs w:val="22"/>
          <w:b w:val="1"/>
          <w:bCs w:val="1"/>
          <w:color w:val="auto"/>
        </w:rPr>
        <w:t>Section 5.09</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apply,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147955</wp:posOffset>
            </wp:positionV>
            <wp:extent cx="1328420"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284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32" w:lineRule="exact"/>
        <w:rPr>
          <w:sz w:val="20"/>
          <w:szCs w:val="20"/>
          <w:color w:val="auto"/>
        </w:rPr>
      </w:pPr>
    </w:p>
    <w:p>
      <w:pPr>
        <w:ind w:left="640" w:hanging="1295"/>
        <w:spacing w:after="0" w:line="271" w:lineRule="auto"/>
        <w:tabs>
          <w:tab w:leader="none" w:pos="62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r>
        <w:rPr>
          <w:sz w:val="20"/>
          <w:szCs w:val="20"/>
          <w:color w:val="auto"/>
        </w:rPr>
        <w:tab/>
      </w:r>
      <w:r>
        <w:rPr>
          <w:rFonts w:ascii="Times New Roman" w:cs="Times New Roman" w:eastAsia="Times New Roman" w:hAnsi="Times New Roman"/>
          <w:sz w:val="22"/>
          <w:szCs w:val="22"/>
          <w:color w:val="auto"/>
        </w:rPr>
        <w:t>= the Conversion Rate in effect immediately before the Open of Business on the Ex-Dividend Date for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0580"/>
          </w:cols>
          <w:pgMar w:left="980" w:top="1422"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3">
            <w:col w:w="340" w:space="220"/>
            <w:col w:w="120" w:space="220"/>
            <w:col w:w="9680"/>
          </w:cols>
          <w:pgMar w:left="980" w:top="1418"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average of the Last Reported Sale Prices per share of Common Stock for the ten (10) consecutive Trading</w:t>
      </w:r>
    </w:p>
    <w:p>
      <w:pPr>
        <w:spacing w:after="0" w:line="29" w:lineRule="exact"/>
        <w:rPr>
          <w:sz w:val="20"/>
          <w:szCs w:val="20"/>
          <w:color w:val="auto"/>
        </w:rPr>
      </w:pPr>
    </w:p>
    <w:p>
      <w:pPr>
        <w:sectPr>
          <w:pgSz w:w="11900" w:h="16838" w:orient="portrait"/>
          <w:cols w:equalWidth="0" w:num="3">
            <w:col w:w="240" w:space="260"/>
            <w:col w:w="120" w:space="260"/>
            <w:col w:w="9700"/>
          </w:cols>
          <w:pgMar w:left="980" w:top="14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Days ending on, and including, the Trading Day immediately before such Ex-Dividend Date; and</w:t>
      </w:r>
    </w:p>
    <w:p>
      <w:pPr>
        <w:sectPr>
          <w:pgSz w:w="11900" w:h="16838" w:orient="portrait"/>
          <w:cols w:equalWidth="0" w:num="1">
            <w:col w:w="10580"/>
          </w:cols>
          <w:pgMar w:left="980" w:top="1418" w:right="33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FMV</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fair market value (as determined by the Company in good faith and in a commercially reasonable manner),</w:t>
      </w:r>
    </w:p>
    <w:p>
      <w:pPr>
        <w:spacing w:after="0" w:line="29" w:lineRule="exact"/>
        <w:rPr>
          <w:sz w:val="20"/>
          <w:szCs w:val="20"/>
          <w:color w:val="auto"/>
        </w:rPr>
      </w:pPr>
    </w:p>
    <w:p>
      <w:pPr>
        <w:sectPr>
          <w:pgSz w:w="11900" w:h="16838" w:orient="portrait"/>
          <w:cols w:equalWidth="0" w:num="2">
            <w:col w:w="440" w:space="220"/>
            <w:col w:w="9920"/>
          </w:cols>
          <w:pgMar w:left="980" w:top="1418" w:right="339" w:bottom="1440" w:gutter="0" w:footer="0" w:header="0"/>
          <w:type w:val="continuous"/>
        </w:sectPr>
      </w:pPr>
    </w:p>
    <w:p>
      <w:pPr>
        <w:ind w:left="1300" w:right="20"/>
        <w:spacing w:after="0" w:line="246" w:lineRule="auto"/>
        <w:rPr>
          <w:sz w:val="20"/>
          <w:szCs w:val="20"/>
          <w:color w:val="auto"/>
        </w:rPr>
      </w:pPr>
      <w:r>
        <w:rPr>
          <w:rFonts w:ascii="Times New Roman" w:cs="Times New Roman" w:eastAsia="Times New Roman" w:hAnsi="Times New Roman"/>
          <w:sz w:val="22"/>
          <w:szCs w:val="22"/>
          <w:color w:val="auto"/>
        </w:rPr>
        <w:t>as of such Ex-Dividend Date, of the shares of Capital Stock, evidences of indebtedness, assets, property, rights, options or warrants distributed per share of Common Stock pursuant to such distribution;</w:t>
      </w:r>
    </w:p>
    <w:p>
      <w:pPr>
        <w:sectPr>
          <w:pgSz w:w="11900" w:h="16838" w:orient="portrait"/>
          <w:cols w:equalWidth="0" w:num="1">
            <w:col w:w="10580"/>
          </w:cols>
          <w:pgMar w:left="980" w:top="1418" w:right="339" w:bottom="1440" w:gutter="0" w:footer="0" w:header="0"/>
          <w:type w:val="continuous"/>
        </w:sectPr>
      </w:pP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w:t>
      </w:r>
      <w:r>
        <w:rPr>
          <w:rFonts w:ascii="Times New Roman" w:cs="Times New Roman" w:eastAsia="Times New Roman" w:hAnsi="Times New Roman"/>
          <w:sz w:val="22"/>
          <w:szCs w:val="22"/>
          <w:i w:val="1"/>
          <w:iCs w:val="1"/>
          <w:color w:val="auto"/>
        </w:rPr>
        <w:t xml:space="preserve"> FMV </w:t>
      </w:r>
      <w:r>
        <w:rPr>
          <w:rFonts w:ascii="Times New Roman" w:cs="Times New Roman" w:eastAsia="Times New Roman" w:hAnsi="Times New Roman"/>
          <w:sz w:val="22"/>
          <w:szCs w:val="22"/>
          <w:color w:val="auto"/>
        </w:rPr>
        <w:t>is equal to or greater than</w:t>
      </w:r>
      <w:r>
        <w:rPr>
          <w:rFonts w:ascii="Times New Roman" w:cs="Times New Roman" w:eastAsia="Times New Roman" w:hAnsi="Times New Roman"/>
          <w:sz w:val="22"/>
          <w:szCs w:val="22"/>
          <w:i w:val="1"/>
          <w:iCs w:val="1"/>
          <w:color w:val="auto"/>
        </w:rPr>
        <w:t xml:space="preserve"> SP</w:t>
      </w:r>
      <w:r>
        <w:rPr>
          <w:rFonts w:ascii="Times New Roman" w:cs="Times New Roman" w:eastAsia="Times New Roman" w:hAnsi="Times New Roman"/>
          <w:sz w:val="22"/>
          <w:szCs w:val="22"/>
          <w:color w:val="auto"/>
        </w:rPr>
        <w:t>, then, in lieu of the foregoing adjustment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each 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7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18" w:lineRule="exact"/>
        <w:rPr>
          <w:sz w:val="20"/>
          <w:szCs w:val="20"/>
          <w:color w:val="auto"/>
        </w:rPr>
      </w:pPr>
    </w:p>
    <w:p>
      <w:pPr>
        <w:jc w:val="both"/>
        <w:ind w:firstLine="1292"/>
        <w:spacing w:after="0" w:line="214" w:lineRule="auto"/>
        <w:tabs>
          <w:tab w:leader="none" w:pos="193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w:t>
      </w:r>
      <w:r>
        <w:rPr>
          <w:rFonts w:ascii="Times New Roman" w:cs="Times New Roman" w:eastAsia="Times New Roman" w:hAnsi="Times New Roman"/>
          <w:sz w:val="22"/>
          <w:szCs w:val="22"/>
          <w:color w:val="auto"/>
        </w:rPr>
        <w:t>. If the Company distributes or dividends shares of Capital Stock of any class or series,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similar equity interests, 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will apply; or (y) a tender offer or exchange offer for shares of Common Stock, as to which </w:t>
      </w:r>
      <w:r>
        <w:rPr>
          <w:rFonts w:ascii="Times New Roman" w:cs="Times New Roman" w:eastAsia="Times New Roman" w:hAnsi="Times New Roman"/>
          <w:sz w:val="22"/>
          <w:szCs w:val="22"/>
          <w:b w:val="1"/>
          <w:bCs w:val="1"/>
          <w:color w:val="auto"/>
        </w:rPr>
        <w:t xml:space="preserve">Section 5.05(A)(v) </w:t>
      </w:r>
      <w:r>
        <w:rPr>
          <w:rFonts w:ascii="Times New Roman" w:cs="Times New Roman" w:eastAsia="Times New Roman" w:hAnsi="Times New Roman"/>
          <w:sz w:val="22"/>
          <w:szCs w:val="22"/>
          <w:color w:val="auto"/>
        </w:rPr>
        <w:t>will apply), and such Capital Stock or equity interests are listed or quoted (or will be listed or quoted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consummation of the transaction) on a U.S. national securities exchange (a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123190</wp:posOffset>
            </wp:positionV>
            <wp:extent cx="132842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284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0"/>
          </w:cols>
          <w:pgMar w:left="980" w:top="1418" w:right="33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Rate in effect immediately before the Close of Business on the last Trading Day of the Spin-Off</w:t>
      </w:r>
    </w:p>
    <w:p>
      <w:pPr>
        <w:spacing w:after="0" w:line="57" w:lineRule="exact"/>
        <w:rPr>
          <w:sz w:val="20"/>
          <w:szCs w:val="20"/>
          <w:color w:val="auto"/>
        </w:rPr>
      </w:pPr>
    </w:p>
    <w:p>
      <w:pPr>
        <w:sectPr>
          <w:pgSz w:w="11900" w:h="16838" w:orient="portrait"/>
          <w:cols w:equalWidth="0" w:num="3">
            <w:col w:w="340" w:space="220"/>
            <w:col w:w="120" w:space="220"/>
            <w:col w:w="9680"/>
          </w:cols>
          <w:pgMar w:left="980" w:top="14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Valuation Period for such Spin-Off;</w:t>
      </w:r>
    </w:p>
    <w:p>
      <w:pPr>
        <w:sectPr>
          <w:pgSz w:w="11900" w:h="16838" w:orient="portrait"/>
          <w:cols w:equalWidth="0" w:num="1">
            <w:col w:w="10580"/>
          </w:cols>
          <w:pgMar w:left="980" w:top="1418" w:right="3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Close of Business on the last Trading Day of the Spin-Off</w:t>
      </w:r>
    </w:p>
    <w:p>
      <w:pPr>
        <w:spacing w:after="0" w:line="44" w:lineRule="exact"/>
        <w:rPr>
          <w:sz w:val="20"/>
          <w:szCs w:val="20"/>
          <w:color w:val="auto"/>
        </w:rPr>
      </w:pPr>
    </w:p>
    <w:p>
      <w:pPr>
        <w:sectPr>
          <w:pgSz w:w="11900" w:h="16838" w:orient="portrait"/>
          <w:cols w:equalWidth="0" w:num="3">
            <w:col w:w="340" w:space="240"/>
            <w:col w:w="120" w:space="260"/>
            <w:col w:w="9620"/>
          </w:cols>
          <w:pgMar w:left="980" w:top="14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Valuation Period;</w:t>
      </w:r>
    </w:p>
    <w:p>
      <w:pPr>
        <w:sectPr>
          <w:pgSz w:w="11900" w:h="16838" w:orient="portrait"/>
          <w:cols w:equalWidth="0" w:num="1">
            <w:col w:w="10580"/>
          </w:cols>
          <w:pgMar w:left="98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0580"/>
          </w:cols>
          <w:pgMar w:left="980" w:top="1418" w:right="339" w:bottom="1440" w:gutter="0" w:footer="0" w:header="0"/>
          <w:type w:val="continuous"/>
        </w:sectPr>
      </w:pPr>
    </w:p>
    <w:bookmarkStart w:id="129" w:name="page130"/>
    <w:bookmarkEnd w:id="129"/>
    <w:p>
      <w:pPr>
        <w:jc w:val="both"/>
        <w:ind w:left="680" w:hanging="1295"/>
        <w:spacing w:after="0" w:line="251" w:lineRule="auto"/>
        <w:tabs>
          <w:tab w:leader="none" w:pos="660" w:val="left"/>
        </w:tabs>
        <w:rPr>
          <w:sz w:val="20"/>
          <w:szCs w:val="20"/>
          <w:color w:val="auto"/>
        </w:rPr>
      </w:pPr>
      <w:r>
        <w:rPr>
          <w:rFonts w:ascii="Times New Roman" w:cs="Times New Roman" w:eastAsia="Times New Roman" w:hAnsi="Times New Roman"/>
          <w:sz w:val="22"/>
          <w:szCs w:val="22"/>
          <w:i w:val="1"/>
          <w:iCs w:val="1"/>
          <w:color w:val="auto"/>
        </w:rPr>
        <w:t>FMV</w:t>
      </w:r>
      <w:r>
        <w:rPr>
          <w:sz w:val="20"/>
          <w:szCs w:val="20"/>
          <w:color w:val="auto"/>
        </w:rPr>
        <w:tab/>
      </w:r>
      <w:r>
        <w:rPr>
          <w:rFonts w:ascii="Times New Roman" w:cs="Times New Roman" w:eastAsia="Times New Roman" w:hAnsi="Times New Roman"/>
          <w:sz w:val="22"/>
          <w:szCs w:val="22"/>
          <w:color w:val="auto"/>
        </w:rPr>
        <w:t>= 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Valuation Period</w:t>
      </w:r>
      <w:r>
        <w:rPr>
          <w:rFonts w:ascii="Times New Roman" w:cs="Times New Roman" w:eastAsia="Times New Roman" w:hAnsi="Times New Roman"/>
          <w:sz w:val="22"/>
          <w:szCs w:val="22"/>
          <w:color w:val="auto"/>
        </w:rPr>
        <w:t>”) beginning on, and including, the Ex-Dividend Date for such Spin-Off (such average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determined as if references to Common Stock in the definitions of Last Reported Sale Price, Trading Day and Market Disruption Event were instead references to such Capital Stock or equity interests); and</w:t>
      </w:r>
    </w:p>
    <w:p>
      <w:pPr>
        <w:spacing w:after="0" w:line="1" w:lineRule="exact"/>
        <w:rPr>
          <w:sz w:val="20"/>
          <w:szCs w:val="20"/>
          <w:color w:val="auto"/>
        </w:rPr>
      </w:pPr>
    </w:p>
    <w:p>
      <w:pPr>
        <w:ind w:left="1300" w:hanging="8"/>
        <w:spacing w:after="0" w:line="248" w:lineRule="auto"/>
        <w:tabs>
          <w:tab w:leader="none" w:pos="160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or units of such Capital Stock or equity interests distributed per share of Common Stock in such Spin-Off; and</w:t>
      </w:r>
    </w:p>
    <w:p>
      <w:pPr>
        <w:spacing w:after="0" w:line="178" w:lineRule="exact"/>
        <w:rPr>
          <w:sz w:val="20"/>
          <w:szCs w:val="20"/>
          <w:color w:val="auto"/>
        </w:rPr>
      </w:pPr>
    </w:p>
    <w:p>
      <w:pPr>
        <w:jc w:val="both"/>
        <w:ind w:left="480" w:hanging="1295"/>
        <w:spacing w:after="0" w:line="284" w:lineRule="auto"/>
        <w:tabs>
          <w:tab w:leader="none" w:pos="460" w:val="left"/>
        </w:tabs>
        <w:rPr>
          <w:sz w:val="20"/>
          <w:szCs w:val="20"/>
          <w:color w:val="auto"/>
        </w:rPr>
      </w:pPr>
      <w:r>
        <w:rPr>
          <w:rFonts w:ascii="Times New Roman" w:cs="Times New Roman" w:eastAsia="Times New Roman" w:hAnsi="Times New Roman"/>
          <w:sz w:val="22"/>
          <w:szCs w:val="22"/>
          <w:i w:val="1"/>
          <w:iCs w:val="1"/>
          <w:color w:val="auto"/>
        </w:rPr>
        <w:t>SP</w:t>
      </w:r>
      <w:r>
        <w:rPr>
          <w:sz w:val="20"/>
          <w:szCs w:val="20"/>
          <w:color w:val="auto"/>
        </w:rPr>
        <w:tab/>
      </w:r>
      <w:r>
        <w:rPr>
          <w:rFonts w:ascii="Times New Roman" w:cs="Times New Roman" w:eastAsia="Times New Roman" w:hAnsi="Times New Roman"/>
          <w:sz w:val="22"/>
          <w:szCs w:val="22"/>
          <w:color w:val="auto"/>
        </w:rPr>
        <w:t>= the average of the Last Reported Sale Prices per share of Common Stock for each Trading Day in the Spin-Off Valuation Period.</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To the extent any dividend or distribution of the type set forth in this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39" w:lineRule="exact"/>
        <w:rPr>
          <w:sz w:val="20"/>
          <w:szCs w:val="20"/>
          <w:color w:val="auto"/>
        </w:rPr>
      </w:pPr>
    </w:p>
    <w:p>
      <w:pPr>
        <w:ind w:firstLine="644"/>
        <w:spacing w:after="0" w:line="238" w:lineRule="auto"/>
        <w:tabs>
          <w:tab w:leader="none" w:pos="128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 or Distributions</w:t>
      </w:r>
      <w:r>
        <w:rPr>
          <w:rFonts w:ascii="Times New Roman" w:cs="Times New Roman" w:eastAsia="Times New Roman" w:hAnsi="Times New Roman"/>
          <w:sz w:val="22"/>
          <w:szCs w:val="22"/>
          <w:color w:val="auto"/>
        </w:rPr>
        <w:t>. If any cash dividend or distribution is made to all or substantially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of Common 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121285</wp:posOffset>
            </wp:positionV>
            <wp:extent cx="1131570" cy="360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315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0"/>
          </w:cols>
          <w:pgMar w:left="980" w:top="1418"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215"/>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 dividend or distribution;</w:t>
      </w:r>
    </w:p>
    <w:p>
      <w:pPr>
        <w:spacing w:after="0" w:line="154" w:lineRule="exact"/>
        <w:rPr>
          <w:sz w:val="20"/>
          <w:szCs w:val="20"/>
          <w:color w:val="auto"/>
        </w:rPr>
      </w:pPr>
    </w:p>
    <w:p>
      <w:pPr>
        <w:sectPr>
          <w:pgSz w:w="11900" w:h="16838" w:orient="portrait"/>
          <w:cols w:equalWidth="0" w:num="3">
            <w:col w:w="340" w:space="300"/>
            <w:col w:w="120" w:space="540"/>
            <w:col w:w="9280"/>
          </w:cols>
          <w:pgMar w:left="980" w:top="141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3">
            <w:col w:w="340" w:space="220"/>
            <w:col w:w="120" w:space="220"/>
            <w:col w:w="9680"/>
          </w:cols>
          <w:pgMar w:left="98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0580"/>
          </w:cols>
          <w:pgMar w:left="980" w:top="1418" w:right="339" w:bottom="1440" w:gutter="0" w:footer="0" w:header="0"/>
          <w:type w:val="continuous"/>
        </w:sectPr>
      </w:pPr>
    </w:p>
    <w:bookmarkStart w:id="130" w:name="page131"/>
    <w:bookmarkEnd w:id="130"/>
    <w:p>
      <w:pPr>
        <w:ind w:left="544" w:right="20" w:hanging="1295"/>
        <w:spacing w:after="0" w:line="271" w:lineRule="auto"/>
        <w:tabs>
          <w:tab w:leader="none" w:pos="524" w:val="left"/>
        </w:tabs>
        <w:rPr>
          <w:sz w:val="20"/>
          <w:szCs w:val="20"/>
          <w:color w:val="auto"/>
        </w:rPr>
      </w:pPr>
      <w:r>
        <w:rPr>
          <w:rFonts w:ascii="Times New Roman" w:cs="Times New Roman" w:eastAsia="Times New Roman" w:hAnsi="Times New Roman"/>
          <w:sz w:val="22"/>
          <w:szCs w:val="22"/>
          <w:i w:val="1"/>
          <w:iCs w:val="1"/>
          <w:color w:val="auto"/>
        </w:rPr>
        <w:t>SP</w:t>
      </w:r>
      <w:r>
        <w:rPr>
          <w:sz w:val="20"/>
          <w:szCs w:val="20"/>
          <w:color w:val="auto"/>
        </w:rPr>
        <w:tab/>
      </w:r>
      <w:r>
        <w:rPr>
          <w:rFonts w:ascii="Times New Roman" w:cs="Times New Roman" w:eastAsia="Times New Roman" w:hAnsi="Times New Roman"/>
          <w:sz w:val="22"/>
          <w:szCs w:val="22"/>
          <w:color w:val="auto"/>
        </w:rPr>
        <w:t>= the Last Reported Sale Price per share of Common Stock on the Trading Day immediately before such Ex-Dividend Date; and</w:t>
      </w:r>
    </w:p>
    <w:p>
      <w:pPr>
        <w:spacing w:after="0" w:line="162" w:lineRule="exact"/>
        <w:rPr>
          <w:sz w:val="20"/>
          <w:szCs w:val="20"/>
          <w:color w:val="auto"/>
        </w:rPr>
      </w:pPr>
    </w:p>
    <w:p>
      <w:pPr>
        <w:ind w:left="364" w:hanging="364"/>
        <w:spacing w:after="0"/>
        <w:tabs>
          <w:tab w:leader="none" w:pos="364" w:val="left"/>
        </w:tabs>
        <w:numPr>
          <w:ilvl w:val="0"/>
          <w:numId w:val="1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cash amount distributed per share of Common Stock in such dividend or distribution;</w:t>
      </w:r>
    </w:p>
    <w:p>
      <w:pPr>
        <w:spacing w:after="0" w:line="229"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w:t>
      </w:r>
      <w:r>
        <w:rPr>
          <w:rFonts w:ascii="Times New Roman" w:cs="Times New Roman" w:eastAsia="Times New Roman" w:hAnsi="Times New Roman"/>
          <w:sz w:val="22"/>
          <w:szCs w:val="22"/>
          <w:i w:val="1"/>
          <w:iCs w:val="1"/>
          <w:color w:val="auto"/>
        </w:rPr>
        <w:t xml:space="preserve"> D </w:t>
      </w:r>
      <w:r>
        <w:rPr>
          <w:rFonts w:ascii="Times New Roman" w:cs="Times New Roman" w:eastAsia="Times New Roman" w:hAnsi="Times New Roman"/>
          <w:sz w:val="22"/>
          <w:szCs w:val="22"/>
          <w:color w:val="auto"/>
        </w:rPr>
        <w:t>is equal to or greater than</w:t>
      </w:r>
      <w:r>
        <w:rPr>
          <w:rFonts w:ascii="Times New Roman" w:cs="Times New Roman" w:eastAsia="Times New Roman" w:hAnsi="Times New Roman"/>
          <w:sz w:val="22"/>
          <w:szCs w:val="22"/>
          <w:i w:val="1"/>
          <w:iCs w:val="1"/>
          <w:color w:val="auto"/>
        </w:rPr>
        <w:t xml:space="preserve"> SP</w:t>
      </w:r>
      <w:r>
        <w:rPr>
          <w:rFonts w:ascii="Times New Roman" w:cs="Times New Roman" w:eastAsia="Times New Roman" w:hAnsi="Times New Roman"/>
          <w:sz w:val="22"/>
          <w:szCs w:val="22"/>
          <w:color w:val="auto"/>
        </w:rPr>
        <w:t>, then, in lieu of the foregoing adjustment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spacing w:after="0" w:line="193"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42" w:lineRule="exact"/>
        <w:rPr>
          <w:sz w:val="20"/>
          <w:szCs w:val="20"/>
          <w:color w:val="auto"/>
        </w:rPr>
      </w:pPr>
    </w:p>
    <w:p>
      <w:pPr>
        <w:jc w:val="both"/>
        <w:ind w:left="4" w:firstLine="644"/>
        <w:spacing w:after="0" w:line="213" w:lineRule="auto"/>
        <w:tabs>
          <w:tab w:leader="none" w:pos="129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Tender Offers or Exchange Offers</w:t>
      </w:r>
      <w:r>
        <w:rPr>
          <w:rFonts w:ascii="Times New Roman" w:cs="Times New Roman" w:eastAsia="Times New Roman" w:hAnsi="Times New Roman"/>
          <w:sz w:val="22"/>
          <w:szCs w:val="22"/>
          <w:color w:val="auto"/>
        </w:rPr>
        <w:t>. If the Company or any of its Subsidiaries makes a payment in respect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tender offer or 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122555</wp:posOffset>
            </wp:positionV>
            <wp:extent cx="1602740" cy="394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6027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4"/>
          </w:cols>
          <w:pgMar w:left="976" w:top="1418" w:right="339" w:bottom="1440" w:gutter="0" w:footer="0" w:header="0"/>
        </w:sectPr>
      </w:pP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Conversion Rate in effect immediately before the Close of Business on the last Trading Day of the</w:t>
      </w:r>
    </w:p>
    <w:p>
      <w:pPr>
        <w:spacing w:after="0" w:line="32" w:lineRule="exact"/>
        <w:rPr>
          <w:sz w:val="20"/>
          <w:szCs w:val="20"/>
          <w:color w:val="auto"/>
        </w:rPr>
      </w:pPr>
    </w:p>
    <w:p>
      <w:pPr>
        <w:sectPr>
          <w:pgSz w:w="11900" w:h="16838" w:orient="portrait"/>
          <w:cols w:equalWidth="0" w:num="3">
            <w:col w:w="344" w:space="360"/>
            <w:col w:w="120" w:space="340"/>
            <w:col w:w="9420"/>
          </w:cols>
          <w:pgMar w:left="976" w:top="1418" w:right="3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21"/>
          <w:szCs w:val="21"/>
          <w:color w:val="auto"/>
        </w:rPr>
        <w:t>Tender/Exchange Offer Valuation Period for such tender or exchange offer;</w:t>
      </w:r>
    </w:p>
    <w:p>
      <w:pPr>
        <w:sectPr>
          <w:pgSz w:w="11900" w:h="16838" w:orient="portrait"/>
          <w:cols w:equalWidth="0" w:num="1">
            <w:col w:w="10584"/>
          </w:cols>
          <w:pgMar w:left="976" w:top="1418" w:right="339" w:bottom="1440" w:gutter="0" w:footer="0" w:header="0"/>
          <w:type w:val="continuous"/>
        </w:sectPr>
      </w:pP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Conversion Rate in effect immediately after the Close of Business on the last Trading Day of the</w:t>
      </w:r>
    </w:p>
    <w:p>
      <w:pPr>
        <w:spacing w:after="0" w:line="44" w:lineRule="exact"/>
        <w:rPr>
          <w:sz w:val="20"/>
          <w:szCs w:val="20"/>
          <w:color w:val="auto"/>
        </w:rPr>
      </w:pPr>
    </w:p>
    <w:p>
      <w:pPr>
        <w:sectPr>
          <w:pgSz w:w="11900" w:h="16838" w:orient="portrait"/>
          <w:cols w:equalWidth="0" w:num="3">
            <w:col w:w="344" w:space="380"/>
            <w:col w:w="120" w:space="380"/>
            <w:col w:w="9360"/>
          </w:cols>
          <w:pgMar w:left="976" w:top="1418" w:right="339" w:bottom="1440" w:gutter="0" w:footer="0" w:header="0"/>
          <w:type w:val="continuous"/>
        </w:sectPr>
      </w:pPr>
    </w:p>
    <w:p>
      <w:pPr>
        <w:ind w:left="1304"/>
        <w:spacing w:after="0"/>
        <w:rPr>
          <w:sz w:val="20"/>
          <w:szCs w:val="20"/>
          <w:color w:val="auto"/>
        </w:rPr>
      </w:pPr>
      <w:r>
        <w:rPr>
          <w:rFonts w:ascii="Times New Roman" w:cs="Times New Roman" w:eastAsia="Times New Roman" w:hAnsi="Times New Roman"/>
          <w:sz w:val="21"/>
          <w:szCs w:val="21"/>
          <w:color w:val="auto"/>
        </w:rPr>
        <w:t>Tender/Exchange Offer Valuation Period;</w:t>
      </w:r>
    </w:p>
    <w:p>
      <w:pPr>
        <w:sectPr>
          <w:pgSz w:w="11900" w:h="16838" w:orient="portrait"/>
          <w:cols w:equalWidth="0" w:num="1">
            <w:col w:w="10584"/>
          </w:cols>
          <w:pgMar w:left="976" w:top="1418" w:right="339" w:bottom="1440" w:gutter="0" w:footer="0" w:header="0"/>
          <w:type w:val="continuous"/>
        </w:sectPr>
      </w:pP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i w:val="1"/>
          <w:iCs w:val="1"/>
          <w:color w:val="auto"/>
        </w:rPr>
        <w:t>AC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aggregate value (determined as of the time (the “</w:t>
      </w:r>
      <w:r>
        <w:rPr>
          <w:rFonts w:ascii="Times New Roman" w:cs="Times New Roman" w:eastAsia="Times New Roman" w:hAnsi="Times New Roman"/>
          <w:sz w:val="21"/>
          <w:szCs w:val="21"/>
          <w:b w:val="1"/>
          <w:bCs w:val="1"/>
          <w:color w:val="auto"/>
        </w:rPr>
        <w:t>Expiration Time</w:t>
      </w:r>
      <w:r>
        <w:rPr>
          <w:rFonts w:ascii="Times New Roman" w:cs="Times New Roman" w:eastAsia="Times New Roman" w:hAnsi="Times New Roman"/>
          <w:sz w:val="21"/>
          <w:szCs w:val="21"/>
          <w:color w:val="auto"/>
        </w:rPr>
        <w:t>”) such tender or exchange offer expires</w:t>
      </w:r>
    </w:p>
    <w:p>
      <w:pPr>
        <w:spacing w:after="0" w:line="44" w:lineRule="exact"/>
        <w:rPr>
          <w:sz w:val="20"/>
          <w:szCs w:val="20"/>
          <w:color w:val="auto"/>
        </w:rPr>
      </w:pPr>
    </w:p>
    <w:p>
      <w:pPr>
        <w:sectPr>
          <w:pgSz w:w="11900" w:h="16838" w:orient="portrait"/>
          <w:cols w:equalWidth="0" w:num="3">
            <w:col w:w="284" w:space="240"/>
            <w:col w:w="120" w:space="260"/>
            <w:col w:w="9680"/>
          </w:cols>
          <w:pgMar w:left="976" w:top="1418" w:right="339" w:bottom="1440" w:gutter="0" w:footer="0" w:header="0"/>
          <w:type w:val="continuous"/>
        </w:sectPr>
      </w:pPr>
    </w:p>
    <w:p>
      <w:pPr>
        <w:ind w:left="1304"/>
        <w:spacing w:after="0" w:line="269" w:lineRule="auto"/>
        <w:rPr>
          <w:sz w:val="20"/>
          <w:szCs w:val="20"/>
          <w:color w:val="auto"/>
        </w:rPr>
      </w:pPr>
      <w:r>
        <w:rPr>
          <w:rFonts w:ascii="Times New Roman" w:cs="Times New Roman" w:eastAsia="Times New Roman" w:hAnsi="Times New Roman"/>
          <w:sz w:val="21"/>
          <w:szCs w:val="21"/>
          <w:color w:val="auto"/>
        </w:rPr>
        <w:t>by the Company in good faith and in a commercially reasonable manner) of all cash and other consideration paid for shares of Common Stock purchased or exchanged in such tender or exchange offer;</w:t>
      </w:r>
    </w:p>
    <w:p>
      <w:pPr>
        <w:sectPr>
          <w:pgSz w:w="11900" w:h="16838" w:orient="portrait"/>
          <w:cols w:equalWidth="0" w:num="1">
            <w:col w:w="10584"/>
          </w:cols>
          <w:pgMar w:left="976"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0584"/>
          </w:cols>
          <w:pgMar w:left="976" w:top="1418" w:right="339" w:bottom="1440" w:gutter="0" w:footer="0" w:header="0"/>
          <w:type w:val="continuous"/>
        </w:sectPr>
      </w:pPr>
    </w:p>
    <w:bookmarkStart w:id="131" w:name="page132"/>
    <w:bookmarkEnd w:id="131"/>
    <w:p>
      <w:pPr>
        <w:ind w:left="4"/>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ind w:hanging="664"/>
        <w:spacing w:after="0" w:line="271"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shares of Common Stock outstanding immediately before the Expiration Time (including all shares of Common Stock accepted for purchase or exchange in such tender or exchange offer);</w:t>
      </w:r>
    </w:p>
    <w:p>
      <w:pPr>
        <w:spacing w:after="0" w:line="154" w:lineRule="exact"/>
        <w:rPr>
          <w:sz w:val="20"/>
          <w:szCs w:val="20"/>
          <w:color w:val="auto"/>
        </w:rPr>
      </w:pPr>
    </w:p>
    <w:p>
      <w:pPr>
        <w:sectPr>
          <w:pgSz w:w="11900" w:h="16838" w:orient="portrait"/>
          <w:cols w:equalWidth="0" w:num="2">
            <w:col w:w="344" w:space="700"/>
            <w:col w:w="9540"/>
          </w:cols>
          <w:pgMar w:left="976" w:top="1418" w:right="339" w:bottom="1440" w:gutter="0" w:footer="0" w:header="0"/>
        </w:sectPr>
      </w:pPr>
    </w:p>
    <w:p>
      <w:pPr>
        <w:ind w:left="4"/>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hanging="201"/>
        <w:spacing w:after="0" w:line="284"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after the Expiration Time (excluding all shares of Common Stock accepted for purchase or exchange in such tender or exchange offer); and</w:t>
      </w:r>
    </w:p>
    <w:p>
      <w:pPr>
        <w:spacing w:after="0" w:line="140" w:lineRule="exact"/>
        <w:rPr>
          <w:sz w:val="20"/>
          <w:szCs w:val="20"/>
          <w:color w:val="auto"/>
        </w:rPr>
      </w:pPr>
    </w:p>
    <w:p>
      <w:pPr>
        <w:sectPr>
          <w:pgSz w:w="11900" w:h="16838" w:orient="portrait"/>
          <w:cols w:equalWidth="0" w:num="3">
            <w:col w:w="344" w:space="300"/>
            <w:col w:w="140" w:space="520"/>
            <w:col w:w="9280"/>
          </w:cols>
          <w:pgMar w:left="976" w:top="1418" w:right="3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jc w:val="both"/>
        <w:ind w:right="20" w:hanging="810"/>
        <w:spacing w:after="0" w:line="257"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average of the Last Reported Sale Prices per share of Common Stock over the ten (10) consecutive Trading Day period (the “</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beginning on, and including, the Trading Day immediately after the Expiration Date;</w:t>
      </w:r>
    </w:p>
    <w:p>
      <w:pPr>
        <w:spacing w:after="0" w:line="169" w:lineRule="exact"/>
        <w:rPr>
          <w:sz w:val="20"/>
          <w:szCs w:val="20"/>
          <w:color w:val="auto"/>
        </w:rPr>
      </w:pPr>
    </w:p>
    <w:p>
      <w:pPr>
        <w:sectPr>
          <w:pgSz w:w="11900" w:h="16838" w:orient="portrait"/>
          <w:cols w:equalWidth="0" w:num="2">
            <w:col w:w="244" w:space="600"/>
            <w:col w:w="9740"/>
          </w:cols>
          <w:pgMar w:left="976" w:top="1418" w:right="339" w:bottom="1440" w:gutter="0" w:footer="0" w:header="0"/>
          <w:type w:val="continuous"/>
        </w:sectPr>
      </w:pPr>
    </w:p>
    <w:p>
      <w:pPr>
        <w:jc w:val="both"/>
        <w:ind w:left="4"/>
        <w:spacing w:after="0" w:line="261"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the Conversion Rate will in no event be adjusted down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5.05(A)(v)</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except to the extent provided in the immediately following paragraph. Notwithstanding anything to the contrary in this </w:t>
      </w:r>
      <w:r>
        <w:rPr>
          <w:rFonts w:ascii="Times New Roman" w:cs="Times New Roman" w:eastAsia="Times New Roman" w:hAnsi="Times New Roman"/>
          <w:sz w:val="21"/>
          <w:szCs w:val="21"/>
          <w:b w:val="1"/>
          <w:bCs w:val="1"/>
          <w:color w:val="auto"/>
        </w:rPr>
        <w:t>Section 5.05(A)(v)</w:t>
      </w:r>
      <w:r>
        <w:rPr>
          <w:rFonts w:ascii="Times New Roman" w:cs="Times New Roman" w:eastAsia="Times New Roman" w:hAnsi="Times New Roman"/>
          <w:sz w:val="21"/>
          <w:szCs w:val="21"/>
          <w:color w:val="auto"/>
        </w:rPr>
        <w:t>, (i) if any VWAP Trading Day of the Observation Period for a Note whose conversion will be settled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87"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21"/>
          <w:szCs w:val="21"/>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48" w:lineRule="exact"/>
        <w:rPr>
          <w:sz w:val="20"/>
          <w:szCs w:val="20"/>
          <w:color w:val="auto"/>
        </w:rPr>
      </w:pPr>
    </w:p>
    <w:p>
      <w:pPr>
        <w:ind w:left="644" w:hanging="644"/>
        <w:spacing w:after="0"/>
        <w:tabs>
          <w:tab w:leader="none" w:pos="6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Adjustments in Certain Cases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88"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Where Holders Participate in the Transaction or Event Without Conversion</w:t>
      </w:r>
      <w:r>
        <w:rPr>
          <w:rFonts w:ascii="Times New Roman" w:cs="Times New Roman" w:eastAsia="Times New Roman" w:hAnsi="Times New Roman"/>
          <w:sz w:val="22"/>
          <w:szCs w:val="22"/>
          <w:color w:val="auto"/>
        </w:rPr>
        <w:t>. Notwithstanding anything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contrary in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the Company will not be obligated to adjust the Conversion Rate on account of a transaction or other event otherwise requiring an adjustment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(other than a stock split or combination of the type set forth in </w:t>
      </w:r>
      <w:r>
        <w:rPr>
          <w:rFonts w:ascii="Times New Roman" w:cs="Times New Roman" w:eastAsia="Times New Roman" w:hAnsi="Times New Roman"/>
          <w:sz w:val="22"/>
          <w:szCs w:val="22"/>
          <w:b w:val="1"/>
          <w:bCs w:val="1"/>
          <w:color w:val="auto"/>
        </w:rPr>
        <w:t>Section 5.05(A)(i)</w:t>
      </w:r>
      <w:r>
        <w:rPr>
          <w:rFonts w:ascii="Times New Roman" w:cs="Times New Roman" w:eastAsia="Times New Roman" w:hAnsi="Times New Roman"/>
          <w:sz w:val="22"/>
          <w:szCs w:val="22"/>
          <w:color w:val="auto"/>
        </w:rPr>
        <w:t xml:space="preserve"> or a tender or exchange offer of the type set forth in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if each Holder participates, at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0584"/>
          </w:cols>
          <w:pgMar w:left="976" w:top="1418" w:right="339" w:bottom="1440" w:gutter="0" w:footer="0" w:header="0"/>
          <w:type w:val="continuous"/>
        </w:sectPr>
      </w:pPr>
    </w:p>
    <w:bookmarkStart w:id="132" w:name="page133"/>
    <w:bookmarkEnd w:id="132"/>
    <w:p>
      <w:pPr>
        <w:jc w:val="both"/>
        <w:ind w:left="4"/>
        <w:spacing w:after="0" w:line="220" w:lineRule="auto"/>
        <w:rPr>
          <w:sz w:val="20"/>
          <w:szCs w:val="20"/>
          <w:color w:val="auto"/>
        </w:rPr>
      </w:pPr>
      <w:r>
        <w:rPr>
          <w:rFonts w:ascii="Times New Roman" w:cs="Times New Roman" w:eastAsia="Times New Roman" w:hAnsi="Times New Roman"/>
          <w:sz w:val="22"/>
          <w:szCs w:val="22"/>
          <w:color w:val="auto"/>
        </w:rPr>
        <w:t>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48" w:lineRule="exact"/>
        <w:rPr>
          <w:sz w:val="20"/>
          <w:szCs w:val="20"/>
          <w:color w:val="auto"/>
        </w:rPr>
      </w:pPr>
    </w:p>
    <w:p>
      <w:pPr>
        <w:jc w:val="both"/>
        <w:ind w:left="4" w:firstLine="644"/>
        <w:spacing w:after="0" w:line="227" w:lineRule="auto"/>
        <w:tabs>
          <w:tab w:leader="none" w:pos="129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 The Company will not be required to adjust the Conversion Rate 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5.05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5.07</w:t>
      </w:r>
      <w:r>
        <w:rPr>
          <w:rFonts w:ascii="Times New Roman" w:cs="Times New Roman" w:eastAsia="Times New Roman" w:hAnsi="Times New Roman"/>
          <w:sz w:val="22"/>
          <w:szCs w:val="22"/>
          <w:color w:val="auto"/>
        </w:rPr>
        <w:t>. Without limiting the foregoing, the Company will not be obligated to adjust the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Rate on account of:</w:t>
      </w:r>
    </w:p>
    <w:p>
      <w:pPr>
        <w:spacing w:after="0" w:line="146" w:lineRule="exact"/>
        <w:rPr>
          <w:rFonts w:ascii="Times New Roman" w:cs="Times New Roman" w:eastAsia="Times New Roman" w:hAnsi="Times New Roman"/>
          <w:sz w:val="22"/>
          <w:szCs w:val="22"/>
          <w:color w:val="auto"/>
        </w:rPr>
      </w:pPr>
    </w:p>
    <w:p>
      <w:pPr>
        <w:ind w:left="4" w:firstLine="1292"/>
        <w:spacing w:after="0" w:line="238" w:lineRule="auto"/>
        <w:tabs>
          <w:tab w:leader="none" w:pos="1943"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b w:val="1"/>
          <w:bCs w:val="1"/>
          <w:color w:val="auto"/>
        </w:rPr>
        <w:t>Section 5.05</w:t>
      </w:r>
      <w:r>
        <w:rPr>
          <w:rFonts w:ascii="Times New Roman" w:cs="Times New Roman" w:eastAsia="Times New Roman" w:hAnsi="Times New Roman"/>
          <w:sz w:val="22"/>
          <w:szCs w:val="22"/>
          <w:color w:val="auto"/>
        </w:rPr>
        <w:t>, the sale of shares of Common Stock for a purchase price that is less than the market price per share of Common Stock or less than the Conversion Price;</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52" w:lineRule="exact"/>
        <w:rPr>
          <w:rFonts w:ascii="Times New Roman" w:cs="Times New Roman" w:eastAsia="Times New Roman" w:hAnsi="Times New Roman"/>
          <w:sz w:val="22"/>
          <w:szCs w:val="22"/>
          <w:color w:val="auto"/>
        </w:rPr>
      </w:pPr>
    </w:p>
    <w:p>
      <w:pPr>
        <w:ind w:left="4" w:right="20" w:firstLine="1292"/>
        <w:spacing w:after="0" w:line="236" w:lineRule="auto"/>
        <w:tabs>
          <w:tab w:leader="none" w:pos="1943"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option, warrant, right or convertible or exchangeable security of the Company outstanding as of the Issue Date;</w:t>
      </w:r>
    </w:p>
    <w:p>
      <w:pPr>
        <w:spacing w:after="0" w:line="150"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 change in the par value of the Common Stock; or</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the Notes.</w:t>
      </w:r>
    </w:p>
    <w:p>
      <w:pPr>
        <w:spacing w:after="0" w:line="175"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Not Yet Effective</w:t>
      </w:r>
      <w:r>
        <w:rPr>
          <w:rFonts w:ascii="Times New Roman" w:cs="Times New Roman" w:eastAsia="Times New Roman" w:hAnsi="Times New Roman"/>
          <w:sz w:val="22"/>
          <w:szCs w:val="22"/>
          <w:color w:val="auto"/>
        </w:rPr>
        <w:t>. Notwithstanding anything to the contrary in this Indenture or the Notes, if:</w:t>
      </w:r>
    </w:p>
    <w:p>
      <w:pPr>
        <w:spacing w:after="0" w:line="183"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Note is to be converted and Physical Settlement or Combination Settlement applies to such conversion;</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29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3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0584"/>
          </w:cols>
          <w:pgMar w:left="976" w:top="1395" w:right="339" w:bottom="1440" w:gutter="0" w:footer="0" w:header="0"/>
        </w:sectPr>
      </w:pPr>
    </w:p>
    <w:bookmarkStart w:id="133" w:name="page134"/>
    <w:bookmarkEnd w:id="133"/>
    <w:p>
      <w:pPr>
        <w:ind w:left="660" w:firstLine="644"/>
        <w:spacing w:after="0" w:line="236"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are not entitled to participate in such event (because they were not held on the related record date or otherwise),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48" w:lineRule="exact"/>
        <w:rPr>
          <w:sz w:val="20"/>
          <w:szCs w:val="20"/>
          <w:color w:val="auto"/>
        </w:rPr>
      </w:pPr>
    </w:p>
    <w:p>
      <w:pPr>
        <w:ind w:firstLine="656"/>
        <w:spacing w:after="0" w:line="238" w:lineRule="auto"/>
        <w:tabs>
          <w:tab w:leader="none" w:pos="128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Rate Adjustments where Converting Holders Participate in the Relevant Transaction or Event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Notwithstanding anything to the contrary in this Indenture or the Notes, if:</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Conversion Rate adjustment for any dividend or distribution becomes effective on any Ex-Dividend Date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Note is to be converted pursuant to Physical Settlement or Combination Settlement;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shares would be entitled to participate in such dividend or distribution (including pursuant to </w:t>
      </w:r>
      <w:r>
        <w:rPr>
          <w:rFonts w:ascii="Times New Roman" w:cs="Times New Roman" w:eastAsia="Times New Roman" w:hAnsi="Times New Roman"/>
          <w:sz w:val="22"/>
          <w:szCs w:val="22"/>
          <w:b w:val="1"/>
          <w:bCs w:val="1"/>
          <w:color w:val="auto"/>
        </w:rPr>
        <w:t>Section 5.02(C)</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51" w:lineRule="exact"/>
        <w:rPr>
          <w:sz w:val="20"/>
          <w:szCs w:val="20"/>
          <w:color w:val="auto"/>
        </w:rPr>
      </w:pPr>
    </w:p>
    <w:p>
      <w:pPr>
        <w:jc w:val="both"/>
        <w:ind w:firstLine="656"/>
        <w:spacing w:after="0" w:line="238" w:lineRule="auto"/>
        <w:tabs>
          <w:tab w:leader="none" w:pos="129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Stockholder Rights Plans</w:t>
      </w:r>
      <w:r>
        <w:rPr>
          <w:rFonts w:ascii="Times New Roman" w:cs="Times New Roman" w:eastAsia="Times New Roman" w:hAnsi="Times New Roman"/>
          <w:sz w:val="21"/>
          <w:szCs w:val="21"/>
          <w:color w:val="auto"/>
        </w:rPr>
        <w:t>. If any shares of Common Stock are to be issued upon conversion of any Note and, 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of such conversion, the Company has in effect any stockholder rights plan, then the Holder of such Note will be entitled to receive, in addition to, and concurrently with the delivery of, the Conversion Consideration otherwise payable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4" w:right="339" w:bottom="1440" w:gutter="0" w:footer="0" w:header="0"/>
        </w:sectPr>
      </w:pPr>
    </w:p>
    <w:bookmarkStart w:id="134" w:name="page135"/>
    <w:bookmarkEnd w:id="13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22"/>
          <w:szCs w:val="22"/>
          <w:b w:val="1"/>
          <w:bCs w:val="1"/>
          <w:color w:val="auto"/>
        </w:rPr>
        <w:t xml:space="preserve">Section 5.05(A)(iii)(1) </w:t>
      </w:r>
      <w:r>
        <w:rPr>
          <w:rFonts w:ascii="Times New Roman" w:cs="Times New Roman" w:eastAsia="Times New Roman" w:hAnsi="Times New Roman"/>
          <w:sz w:val="22"/>
          <w:szCs w:val="22"/>
          <w:color w:val="auto"/>
        </w:rPr>
        <w:t>on account of such separation as if, at the time of such separation, the Company had made a distribution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type referred to in such Section to all holders of the Common Stock, subject to potential readjustment in accordance with the last paragraph of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right="20" w:firstLine="656"/>
        <w:spacing w:after="0" w:line="221" w:lineRule="auto"/>
        <w:tabs>
          <w:tab w:leader="none" w:pos="128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Effecting Transactions Resulting in Certain Adjustments</w:t>
      </w:r>
      <w:r>
        <w:rPr>
          <w:rFonts w:ascii="Times New Roman" w:cs="Times New Roman" w:eastAsia="Times New Roman" w:hAnsi="Times New Roman"/>
          <w:sz w:val="22"/>
          <w:szCs w:val="22"/>
          <w:color w:val="auto"/>
        </w:rPr>
        <w:t>. The Company will not engage in or be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to any transaction or event that would require the Conversion Rate to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 xml:space="preserve">Section 5.07 </w:t>
      </w:r>
      <w:r>
        <w:rPr>
          <w:rFonts w:ascii="Times New Roman" w:cs="Times New Roman" w:eastAsia="Times New Roman" w:hAnsi="Times New Roman"/>
          <w:sz w:val="22"/>
          <w:szCs w:val="22"/>
          <w:color w:val="auto"/>
        </w:rPr>
        <w:t>to an amount that would result in the Conversion Price per share of Common Stock being less than the par value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of Common Stock.</w:t>
      </w:r>
    </w:p>
    <w:p>
      <w:pPr>
        <w:spacing w:after="0" w:line="148"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Equitable Adjustments to Prices</w:t>
      </w:r>
      <w:r>
        <w:rPr>
          <w:rFonts w:ascii="Times New Roman" w:cs="Times New Roman" w:eastAsia="Times New Roman" w:hAnsi="Times New Roman"/>
          <w:sz w:val="22"/>
          <w:szCs w:val="22"/>
          <w:color w:val="auto"/>
        </w:rPr>
        <w:t>. Whenever any provision of this Indenture requires the Company to calculate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average of the Last Reported Sale Prices, or any function thereof, over a period of multiple days (including to calculate the Stock Price or an adjustment to the Conversion Rate), or to calculate Daily VWAPs, Daily Conversion Values, Daily Cash Amounts or Daily Share Amounts over an Observation Period, the Company will, if appropriate, make proportionate adjustments to such calculations to account for any adjustment to the Conversion Rate that becomes effective, or any event requiring such an adjustment to the Conversion Rate where the Ex-Dividend Date, effective date or Expiration Date, as applicable, of such event occurs, at any time during such period or Observation Period, as applicable.</w:t>
      </w:r>
    </w:p>
    <w:p>
      <w:pPr>
        <w:spacing w:after="0" w:line="14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 of Number of Outstanding Shares of Common Stock</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the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Calculations</w:t>
      </w:r>
      <w:r>
        <w:rPr>
          <w:rFonts w:ascii="Times New Roman" w:cs="Times New Roman" w:eastAsia="Times New Roman" w:hAnsi="Times New Roman"/>
          <w:sz w:val="22"/>
          <w:szCs w:val="22"/>
          <w:color w:val="auto"/>
        </w:rPr>
        <w:t>. All calculations with respect to the Conversion Rate and adjustments thereto will be made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nearest 1/10,000th of a share of Common Stock (with 5/100,000ths rounded upward).</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Conversion Rate Adjustments</w:t>
      </w:r>
      <w:r>
        <w:rPr>
          <w:rFonts w:ascii="Times New Roman" w:cs="Times New Roman" w:eastAsia="Times New Roman" w:hAnsi="Times New Roman"/>
          <w:sz w:val="22"/>
          <w:szCs w:val="22"/>
          <w:color w:val="auto"/>
        </w:rPr>
        <w:t>. Upon the effectiveness of any adjustment to the Conversion Rate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Voluntary Adjustments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6" w:lineRule="auto"/>
        <w:tabs>
          <w:tab w:leader="none" w:pos="128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the extent permitted by law and applicable stock exchange rules, the Company,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Voluntary Increases</w:t>
      </w:r>
      <w:r>
        <w:rPr>
          <w:rFonts w:ascii="Times New Roman" w:cs="Times New Roman" w:eastAsia="Times New Roman" w:hAnsi="Times New Roman"/>
          <w:sz w:val="22"/>
          <w:szCs w:val="22"/>
          <w:color w:val="auto"/>
        </w:rPr>
        <w:t>. If the Board of Directors determines to increase the Conversion Rate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5.06(A)</w:t>
      </w:r>
      <w:r>
        <w:rPr>
          <w:rFonts w:ascii="Times New Roman" w:cs="Times New Roman" w:eastAsia="Times New Roman" w:hAnsi="Times New Roman"/>
          <w:sz w:val="22"/>
          <w:szCs w:val="22"/>
          <w:color w:val="auto"/>
        </w:rPr>
        <w:t>, then, no later than the first Business Day of the related twenty (20) Business Day period referred to in</w:t>
      </w:r>
      <w:r>
        <w:rPr>
          <w:rFonts w:ascii="Times New Roman" w:cs="Times New Roman" w:eastAsia="Times New Roman" w:hAnsi="Times New Roman"/>
          <w:sz w:val="22"/>
          <w:szCs w:val="22"/>
          <w:b w:val="1"/>
          <w:bCs w:val="1"/>
          <w:color w:val="auto"/>
        </w:rPr>
        <w:t xml:space="preserve"> Section 5.06(A)</w:t>
      </w:r>
      <w:r>
        <w:rPr>
          <w:rFonts w:ascii="Times New Roman" w:cs="Times New Roman" w:eastAsia="Times New Roman" w:hAnsi="Times New Roman"/>
          <w:sz w:val="22"/>
          <w:szCs w:val="22"/>
          <w:color w:val="auto"/>
        </w:rPr>
        <w:t>, the Company will send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4" w:right="339" w:bottom="1440" w:gutter="0" w:footer="0" w:header="0"/>
        </w:sectPr>
      </w:pPr>
    </w:p>
    <w:bookmarkStart w:id="135" w:name="page136"/>
    <w:bookmarkEnd w:id="135"/>
    <w:p>
      <w:pPr>
        <w:spacing w:after="0" w:line="236" w:lineRule="auto"/>
        <w:rPr>
          <w:sz w:val="20"/>
          <w:szCs w:val="20"/>
          <w:color w:val="auto"/>
        </w:rPr>
      </w:pPr>
      <w:r>
        <w:rPr>
          <w:rFonts w:ascii="Times New Roman" w:cs="Times New Roman" w:eastAsia="Times New Roman" w:hAnsi="Times New Roman"/>
          <w:sz w:val="22"/>
          <w:szCs w:val="22"/>
          <w:color w:val="auto"/>
        </w:rPr>
        <w:t>notice to each Holder, the Trustee and the Conversion Agent of such increase, the amount thereof and the period during which such increase will be in effect.</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Adjustments to the Conversion Rate in Connection with a Make-Whole Fundamental Change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8" w:lineRule="auto"/>
        <w:tabs>
          <w:tab w:leader="none" w:pos="128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a Make-Whole Fundamental Change occurs and the Conversion Date for the conversion of a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occurs during the related Make-Whole Fundamental Change Conversion Period, then, subject to this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the Conversion Rate applicable to such conversion will be increased by a number of shares (the “</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Stock Price</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Make-Whole Fundamental</w:t>
            </w: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$1.6560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$2.0000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$2.8600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$3.0000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$3.5000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$4.0000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$4.5000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$6.0000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$7.0000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$8.0000</w:t>
            </w:r>
          </w:p>
        </w:tc>
        <w:tc>
          <w:tcPr>
            <w:tcW w:w="0" w:type="dxa"/>
            <w:vAlign w:val="bottom"/>
          </w:tcPr>
          <w:p>
            <w:pPr>
              <w:spacing w:after="0"/>
              <w:rPr>
                <w:sz w:val="1"/>
                <w:szCs w:val="1"/>
                <w:color w:val="auto"/>
              </w:rPr>
            </w:pPr>
          </w:p>
        </w:tc>
      </w:tr>
      <w:tr>
        <w:trPr>
          <w:trHeight w:val="155"/>
        </w:trPr>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Change Effective Date</w:t>
            </w:r>
          </w:p>
        </w:tc>
        <w:tc>
          <w:tcPr>
            <w:tcW w:w="9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May 27, 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254.2144</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176.3150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78.0734</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68.8900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44.3229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28.4475</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17.9133</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10.8220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2.9000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0.0786</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November 15, 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254.2144</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174.6550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75.3042</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66.1500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41.8743</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26.4175</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16.3156</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9.6200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2.3300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0.0100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November 15 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254.2144</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167.1100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65.7413</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56.8233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33.8771</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20.0200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11.4356</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6.0560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0.7917</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November 15, 2027</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254.2144</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155.5250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49.1399</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40.7133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20.7029</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10.2600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4.6711</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1.6620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November 15, 2028</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254.2144</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150.3500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such Make-Whole Fundamental Change Effective Date or Stock Price is not set forth in the table above, then:</w:t>
      </w:r>
    </w:p>
    <w:p>
      <w:pPr>
        <w:spacing w:after="0" w:line="193" w:lineRule="exact"/>
        <w:rPr>
          <w:sz w:val="20"/>
          <w:szCs w:val="20"/>
          <w:color w:val="auto"/>
        </w:rPr>
      </w:pPr>
    </w:p>
    <w:p>
      <w:pPr>
        <w:jc w:val="both"/>
        <w:ind w:left="660" w:firstLine="644"/>
        <w:spacing w:after="0" w:line="231" w:lineRule="auto"/>
        <w:tabs>
          <w:tab w:leader="none" w:pos="194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Stock Price is greater than $8.0000 (subject to adjustment in the same manner as the Stock Prices set forth in the column headings of the table above are adjusted pursuant to </w:t>
      </w:r>
      <w:r>
        <w:rPr>
          <w:rFonts w:ascii="Times New Roman" w:cs="Times New Roman" w:eastAsia="Times New Roman" w:hAnsi="Times New Roman"/>
          <w:sz w:val="22"/>
          <w:szCs w:val="22"/>
          <w:b w:val="1"/>
          <w:bCs w:val="1"/>
          <w:color w:val="auto"/>
        </w:rPr>
        <w:t>Section 5.07(B)</w:t>
      </w:r>
      <w:r>
        <w:rPr>
          <w:rFonts w:ascii="Times New Roman" w:cs="Times New Roman" w:eastAsia="Times New Roman" w:hAnsi="Times New Roman"/>
          <w:sz w:val="22"/>
          <w:szCs w:val="22"/>
          <w:color w:val="auto"/>
        </w:rPr>
        <w:t>), or less than $1.6560 (subject to adjustment in the same manner), per share, then no Additional Shares will be added to the Conversion Rate.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or the Notes, in no event will the Conversion Rate be increased to an amount that exceeds 603.8647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For the avoidance of doubt, but subject to </w:t>
      </w:r>
      <w:r>
        <w:rPr>
          <w:rFonts w:ascii="Times New Roman" w:cs="Times New Roman" w:eastAsia="Times New Roman" w:hAnsi="Times New Roman"/>
          <w:sz w:val="22"/>
          <w:szCs w:val="22"/>
          <w:b w:val="1"/>
          <w:bCs w:val="1"/>
          <w:color w:val="auto"/>
        </w:rPr>
        <w:t>Section 4.03(I)</w:t>
      </w:r>
      <w:r>
        <w:rPr>
          <w:rFonts w:ascii="Times New Roman" w:cs="Times New Roman" w:eastAsia="Times New Roman" w:hAnsi="Times New Roman"/>
          <w:sz w:val="22"/>
          <w:szCs w:val="22"/>
          <w:color w:val="auto"/>
        </w:rPr>
        <w:t xml:space="preserve">,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xml:space="preserve"> on account of such Redemption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4" w:right="339" w:bottom="1440" w:gutter="0" w:footer="0" w:header="0"/>
        </w:sectPr>
      </w:pPr>
    </w:p>
    <w:bookmarkStart w:id="136" w:name="page137"/>
    <w:bookmarkEnd w:id="136"/>
    <w:p>
      <w:pPr>
        <w:jc w:val="both"/>
        <w:ind w:firstLine="656"/>
        <w:spacing w:after="0" w:line="218" w:lineRule="auto"/>
        <w:tabs>
          <w:tab w:leader="none" w:pos="128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Stock Prices and Number of Additional Shares</w:t>
      </w:r>
      <w:r>
        <w:rPr>
          <w:rFonts w:ascii="Times New Roman" w:cs="Times New Roman" w:eastAsia="Times New Roman" w:hAnsi="Times New Roman"/>
          <w:sz w:val="22"/>
          <w:szCs w:val="22"/>
          <w:color w:val="auto"/>
        </w:rPr>
        <w:t>. The Stock Prices in the first row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column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headers) of the table set forth in </w:t>
      </w:r>
      <w:r>
        <w:rPr>
          <w:rFonts w:ascii="Times New Roman" w:cs="Times New Roman" w:eastAsia="Times New Roman" w:hAnsi="Times New Roman"/>
          <w:sz w:val="22"/>
          <w:szCs w:val="22"/>
          <w:b w:val="1"/>
          <w:bCs w:val="1"/>
          <w:color w:val="auto"/>
        </w:rPr>
        <w:t>Section 5.07(A)</w:t>
      </w:r>
      <w:r>
        <w:rPr>
          <w:rFonts w:ascii="Times New Roman" w:cs="Times New Roman" w:eastAsia="Times New Roman" w:hAnsi="Times New Roman"/>
          <w:sz w:val="22"/>
          <w:szCs w:val="22"/>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The numbers of Additional Shares in the table set forth in </w:t>
      </w:r>
      <w:r>
        <w:rPr>
          <w:rFonts w:ascii="Times New Roman" w:cs="Times New Roman" w:eastAsia="Times New Roman" w:hAnsi="Times New Roman"/>
          <w:sz w:val="22"/>
          <w:szCs w:val="22"/>
          <w:b w:val="1"/>
          <w:bCs w:val="1"/>
          <w:color w:val="auto"/>
        </w:rPr>
        <w:t>Section 5.07(A)</w:t>
      </w:r>
      <w:r>
        <w:rPr>
          <w:rFonts w:ascii="Times New Roman" w:cs="Times New Roman" w:eastAsia="Times New Roman" w:hAnsi="Times New Roman"/>
          <w:sz w:val="22"/>
          <w:szCs w:val="22"/>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the Occurrence of a Make-Whole Fundamental Change</w:t>
      </w:r>
      <w:r>
        <w:rPr>
          <w:rFonts w:ascii="Times New Roman" w:cs="Times New Roman" w:eastAsia="Times New Roman" w:hAnsi="Times New Roman"/>
          <w:sz w:val="22"/>
          <w:szCs w:val="22"/>
          <w:color w:val="auto"/>
        </w:rPr>
        <w:t>. The Company will notify the 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Trustee and the Conversion Agent of each Make-Whole Fundamental Change (i) occurring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in accordance with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 xml:space="preserve">; and (ii) occurring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in accordance with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1"/>
          <w:szCs w:val="21"/>
          <w:b w:val="1"/>
          <w:bCs w:val="1"/>
          <w:color w:val="auto"/>
        </w:rPr>
        <w:t>Exchange in Lieu of Conversion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and subject to the terms of this </w:t>
      </w:r>
      <w:r>
        <w:rPr>
          <w:rFonts w:ascii="Times New Roman" w:cs="Times New Roman" w:eastAsia="Times New Roman" w:hAnsi="Times New Roman"/>
          <w:sz w:val="22"/>
          <w:szCs w:val="22"/>
          <w:b w:val="1"/>
          <w:bCs w:val="1"/>
          <w:color w:val="auto"/>
        </w:rPr>
        <w:t>Section 5.08</w:t>
      </w:r>
      <w:r>
        <w:rPr>
          <w:rFonts w:ascii="Times New Roman" w:cs="Times New Roman" w:eastAsia="Times New Roman" w:hAnsi="Times New Roman"/>
          <w:sz w:val="22"/>
          <w:szCs w:val="22"/>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50" w:lineRule="exact"/>
        <w:rPr>
          <w:sz w:val="20"/>
          <w:szCs w:val="20"/>
          <w:color w:val="auto"/>
        </w:rPr>
      </w:pPr>
    </w:p>
    <w:p>
      <w:pPr>
        <w:jc w:val="both"/>
        <w:ind w:firstLine="656"/>
        <w:spacing w:after="0" w:line="217" w:lineRule="auto"/>
        <w:tabs>
          <w:tab w:leader="none" w:pos="128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will not cease to be outstanding by reason of such exchange in lieu of conversion;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financial institution does not accept such Note or fails to timely deliver such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Consideration, then the Company will be responsible for delivering such Conversion Consideration in the manner and at the time provided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as if the Company had not elected to make an exchange in lieu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0" w:right="339" w:bottom="1440" w:gutter="0" w:footer="0" w:header="0"/>
        </w:sectPr>
      </w:pPr>
    </w:p>
    <w:bookmarkStart w:id="137" w:name="page138"/>
    <w:bookmarkEnd w:id="137"/>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Effect of Common Stock Change Event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there occurs any:</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consolidation, merger, combination or binding or statutory share exchange involving the Company;</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lease or other transfer of all or substantially all of the assets of the Company and its Subsidiaries, taken as a whole, to any Person;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event,</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and such other securities, cash or property, the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Unit</w:t>
      </w:r>
      <w:r>
        <w:rPr>
          <w:rFonts w:ascii="Times New Roman" w:cs="Times New Roman" w:eastAsia="Times New Roman" w:hAnsi="Times New Roman"/>
          <w:sz w:val="22"/>
          <w:szCs w:val="22"/>
          <w:color w:val="auto"/>
        </w:rPr>
        <w:t>”), then, notwithstanding anything to the contrary in this Indenture or the Notes,</w:t>
      </w:r>
    </w:p>
    <w:p>
      <w:pPr>
        <w:spacing w:after="0" w:line="154" w:lineRule="exact"/>
        <w:rPr>
          <w:sz w:val="20"/>
          <w:szCs w:val="20"/>
          <w:color w:val="auto"/>
        </w:rPr>
      </w:pPr>
    </w:p>
    <w:p>
      <w:pPr>
        <w:jc w:val="both"/>
        <w:ind w:left="660" w:firstLine="1292"/>
        <w:spacing w:after="0" w:line="211" w:lineRule="auto"/>
        <w:tabs>
          <w:tab w:leader="none" w:pos="259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spacing w:after="0" w:line="158"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if applicable); and (y) the amount of cash constituting such Reference Property Unit; and (II) the Company will settle each such conversion no later than the tenth (10th) Business Day after the relevant Conversion Date; and</w:t>
      </w:r>
    </w:p>
    <w:p>
      <w:pPr>
        <w:spacing w:after="0" w:line="156"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these purposes, (I) the Daily VWAP of any Reference Property Unit or portion thereof that consists of a class of common equity securities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390" w:right="339" w:bottom="1440" w:gutter="0" w:footer="0" w:header="0"/>
        </w:sectPr>
      </w:pPr>
    </w:p>
    <w:bookmarkStart w:id="138" w:name="page139"/>
    <w:bookmarkEnd w:id="138"/>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 xml:space="preserve">”) will execute and deliver to the Trustee a supplemental indenture pursuant to </w:t>
      </w:r>
      <w:r>
        <w:rPr>
          <w:rFonts w:ascii="Times New Roman" w:cs="Times New Roman" w:eastAsia="Times New Roman" w:hAnsi="Times New Roman"/>
          <w:sz w:val="22"/>
          <w:szCs w:val="22"/>
          <w:b w:val="1"/>
          <w:bCs w:val="1"/>
          <w:color w:val="auto"/>
        </w:rPr>
        <w:t>Section 8.01(F)</w:t>
      </w:r>
      <w:r>
        <w:rPr>
          <w:rFonts w:ascii="Times New Roman" w:cs="Times New Roman" w:eastAsia="Times New Roman" w:hAnsi="Times New Roman"/>
          <w:sz w:val="22"/>
          <w:szCs w:val="22"/>
          <w:color w:val="auto"/>
        </w:rPr>
        <w:t xml:space="preserve">, which supplemental indenture will (x) provide for subsequent conversions of Notes in the manner set forth in this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(y) provide for subsequent adjustments to the Conversion Rate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in a manner consistent with this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22"/>
          <w:szCs w:val="22"/>
          <w:b w:val="1"/>
          <w:bCs w:val="1"/>
          <w:color w:val="auto"/>
        </w:rPr>
        <w:t>Section 5.09(A)</w:t>
      </w:r>
      <w:r>
        <w:rPr>
          <w:rFonts w:ascii="Times New Roman" w:cs="Times New Roman" w:eastAsia="Times New Roman" w:hAnsi="Times New Roman"/>
          <w:sz w:val="22"/>
          <w:szCs w:val="22"/>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52" w:lineRule="exact"/>
        <w:rPr>
          <w:sz w:val="20"/>
          <w:szCs w:val="20"/>
          <w:color w:val="auto"/>
        </w:rPr>
      </w:pPr>
    </w:p>
    <w:p>
      <w:pPr>
        <w:jc w:val="both"/>
        <w:ind w:firstLine="656"/>
        <w:spacing w:after="0" w:line="227" w:lineRule="auto"/>
        <w:tabs>
          <w:tab w:leader="none" w:pos="128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Common Stock Change Events</w:t>
      </w:r>
      <w:r>
        <w:rPr>
          <w:rFonts w:ascii="Times New Roman" w:cs="Times New Roman" w:eastAsia="Times New Roman" w:hAnsi="Times New Roman"/>
          <w:sz w:val="22"/>
          <w:szCs w:val="22"/>
          <w:color w:val="auto"/>
        </w:rPr>
        <w:t>. The Company will provide notice of each Common Stock Change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Holders, the Trustee and the Conversion Agent no later than the Business Day after the effective date of such Common Stock Change Event.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Covenant</w:t>
      </w:r>
      <w:r>
        <w:rPr>
          <w:rFonts w:ascii="Times New Roman" w:cs="Times New Roman" w:eastAsia="Times New Roman" w:hAnsi="Times New Roman"/>
          <w:sz w:val="22"/>
          <w:szCs w:val="22"/>
          <w:color w:val="auto"/>
        </w:rPr>
        <w:t>. The Company will not become a party to any Common Stock Change Event unless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are consistent with this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1"/>
          <w:szCs w:val="21"/>
          <w:b w:val="1"/>
          <w:bCs w:val="1"/>
          <w:color w:val="auto"/>
        </w:rPr>
        <w:t>Specified Holders’ Conversion Limitations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12" w:lineRule="auto"/>
        <w:tabs>
          <w:tab w:leader="none" w:pos="128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and subject to </w:t>
      </w:r>
      <w:r>
        <w:rPr>
          <w:rFonts w:ascii="Times New Roman" w:cs="Times New Roman" w:eastAsia="Times New Roman" w:hAnsi="Times New Roman"/>
          <w:sz w:val="22"/>
          <w:szCs w:val="22"/>
          <w:b w:val="1"/>
          <w:bCs w:val="1"/>
          <w:color w:val="auto"/>
        </w:rPr>
        <w:t>Section 5.10(B)</w:t>
      </w:r>
      <w:r>
        <w:rPr>
          <w:rFonts w:ascii="Times New Roman" w:cs="Times New Roman" w:eastAsia="Times New Roman" w:hAnsi="Times New Roman"/>
          <w:sz w:val="22"/>
          <w:szCs w:val="22"/>
          <w:color w:val="auto"/>
        </w:rPr>
        <w:t xml:space="preserve">, the Company shall not issue to any Specified Holder (which for purposes of this </w:t>
      </w:r>
      <w:r>
        <w:rPr>
          <w:rFonts w:ascii="Times New Roman" w:cs="Times New Roman" w:eastAsia="Times New Roman" w:hAnsi="Times New Roman"/>
          <w:sz w:val="22"/>
          <w:szCs w:val="22"/>
          <w:b w:val="1"/>
          <w:bCs w:val="1"/>
          <w:color w:val="auto"/>
        </w:rPr>
        <w:t>Section 5.10</w:t>
      </w:r>
      <w:r>
        <w:rPr>
          <w:rFonts w:ascii="Times New Roman" w:cs="Times New Roman" w:eastAsia="Times New Roman" w:hAnsi="Times New Roman"/>
          <w:sz w:val="22"/>
          <w:szCs w:val="22"/>
          <w:color w:val="auto"/>
        </w:rPr>
        <w:t xml:space="preserve"> in the case of a Global Note shall mean a holder of a beneficial interest herein), and no Specified Holder may acquire, a number of shares of Common Stock upon any conversion of a Note or otherwise acquire any shares of Common Stock pursuant hereto or any Note to the extent that, upon such conversion, the number of shares of Common Stock then beneficially owned by such Specified Holder and its Affiliates and any other persons or entities whose beneficial ownership of Common Stock would be aggregated with such Specified Holder’s for purposes of Section 13(d) of the Exchange Act (including shares held by any “group” of which such Specified Holder is a member, but excluding shares beneficially owned by virtue of the ownership of securities or rights to acquire securities that have limitations on the right to convert,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4" w:right="339" w:bottom="1440" w:gutter="0" w:footer="0" w:header="0"/>
        </w:sectPr>
      </w:pPr>
    </w:p>
    <w:bookmarkStart w:id="139" w:name="page140"/>
    <w:bookmarkEnd w:id="139"/>
    <w:p>
      <w:pPr>
        <w:jc w:val="both"/>
        <w:spacing w:after="0" w:line="208" w:lineRule="auto"/>
        <w:rPr>
          <w:sz w:val="20"/>
          <w:szCs w:val="20"/>
          <w:color w:val="auto"/>
        </w:rPr>
      </w:pPr>
      <w:r>
        <w:rPr>
          <w:rFonts w:ascii="Times New Roman" w:cs="Times New Roman" w:eastAsia="Times New Roman" w:hAnsi="Times New Roman"/>
          <w:sz w:val="22"/>
          <w:szCs w:val="22"/>
          <w:color w:val="auto"/>
        </w:rPr>
        <w:t>exercise or purchase similar to the limitation set forth hereinafter) would exceed 4.95% of the total number of shares of Common Stock then issued and outstanding (the “</w:t>
      </w:r>
      <w:r>
        <w:rPr>
          <w:rFonts w:ascii="Times New Roman" w:cs="Times New Roman" w:eastAsia="Times New Roman" w:hAnsi="Times New Roman"/>
          <w:sz w:val="22"/>
          <w:szCs w:val="22"/>
          <w:b w:val="1"/>
          <w:bCs w:val="1"/>
          <w:color w:val="auto"/>
        </w:rPr>
        <w:t>Beneficial Ownership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Beneficial Ownership Cap shall not apply to the extent that the Common Stock is not deemed to constitute an “equity security” pursuant to Rule 13d-1(i) under the Exchange Act. Each delivery of a Conversion Notice by a Specified Holder will constitute a representation by such Specified Holder that it has evaluated the limitation set forth in this </w:t>
      </w:r>
      <w:r>
        <w:rPr>
          <w:rFonts w:ascii="Times New Roman" w:cs="Times New Roman" w:eastAsia="Times New Roman" w:hAnsi="Times New Roman"/>
          <w:sz w:val="22"/>
          <w:szCs w:val="22"/>
          <w:b w:val="1"/>
          <w:bCs w:val="1"/>
          <w:color w:val="auto"/>
        </w:rPr>
        <w:t>Section 5.10</w:t>
      </w:r>
      <w:r>
        <w:rPr>
          <w:rFonts w:ascii="Times New Roman" w:cs="Times New Roman" w:eastAsia="Times New Roman" w:hAnsi="Times New Roman"/>
          <w:sz w:val="22"/>
          <w:szCs w:val="22"/>
          <w:color w:val="auto"/>
        </w:rPr>
        <w:t xml:space="preserve"> and determined that the issuance of the number of shares of Common Stock requested in such Conversion Notice is permitted under this section. For purposes hereof, “group” has the meaning set forth in Section 13(d) of the Exchange Act and applicable regulations of the SEC, and the percentage beneficially owned by such Specified Holder shall be determined in a manner consistent with the provisions of Section 13(d) of the Exchange Act. For purposes hereof, each Specified Holder may rely on the number of outstanding shares of Common Stock as set forth in the Company’s most recent annual report filed with the SEC, or any interim report filed by the Company with the SEC subsequent thereto, in each case, unless the Company has confirmed to such Specified Holder the number of shares of Common Stock outstanding as provided in the next sentence (in which case such Specified Holder may rely upon such confirmation). Upon the written request of a Specified Holder, the Company shall, within two (2) Trading Days, confirm orally and in writing to such Specified Holder the number of shares of Common Stock then outstanding. Neither the Trustee nor the Conversion Agent shall have any obligation to make any determination in connection with the foregoing. For the avoidance of doubt, the Beneficial Ownership Cap shall not apply to any Holder that is not a Specified Holder.</w:t>
      </w:r>
    </w:p>
    <w:p>
      <w:pPr>
        <w:spacing w:after="0" w:line="160" w:lineRule="exact"/>
        <w:rPr>
          <w:sz w:val="20"/>
          <w:szCs w:val="20"/>
          <w:color w:val="auto"/>
        </w:rPr>
      </w:pPr>
    </w:p>
    <w:p>
      <w:pPr>
        <w:jc w:val="both"/>
        <w:ind w:firstLine="656"/>
        <w:spacing w:after="0" w:line="228" w:lineRule="auto"/>
        <w:tabs>
          <w:tab w:leader="none" w:pos="128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b w:val="1"/>
          <w:bCs w:val="1"/>
          <w:color w:val="auto"/>
        </w:rPr>
        <w:t>Section 5.10(A)</w:t>
      </w:r>
      <w:r>
        <w:rPr>
          <w:rFonts w:ascii="Times New Roman" w:cs="Times New Roman" w:eastAsia="Times New Roman" w:hAnsi="Times New Roman"/>
          <w:sz w:val="21"/>
          <w:szCs w:val="21"/>
          <w:color w:val="auto"/>
        </w:rPr>
        <w:t xml:space="preserve">, the Beneficial Ownership Cap shall be disregarded (i) for purposes of determining the stock reserve under </w:t>
      </w:r>
      <w:r>
        <w:rPr>
          <w:rFonts w:ascii="Times New Roman" w:cs="Times New Roman" w:eastAsia="Times New Roman" w:hAnsi="Times New Roman"/>
          <w:sz w:val="21"/>
          <w:szCs w:val="21"/>
          <w:b w:val="1"/>
          <w:bCs w:val="1"/>
          <w:color w:val="auto"/>
        </w:rPr>
        <w:t>Section 5.04</w:t>
      </w:r>
      <w:r>
        <w:rPr>
          <w:rFonts w:ascii="Times New Roman" w:cs="Times New Roman" w:eastAsia="Times New Roman" w:hAnsi="Times New Roman"/>
          <w:sz w:val="21"/>
          <w:szCs w:val="21"/>
          <w:color w:val="auto"/>
        </w:rPr>
        <w:t xml:space="preserve"> and (ii) in determining the number, kind and amount of securities, cash or other property that a Specified Holder would be entitled to receive in respect of shares of Common Stock or Reference Property as a result of any Fundamental Change, Make-Whole Fundamental Change, or subdivision or combination of the Common Stock for purposes of the adjustment or operation required under </w:t>
      </w:r>
      <w:r>
        <w:rPr>
          <w:rFonts w:ascii="Times New Roman" w:cs="Times New Roman" w:eastAsia="Times New Roman" w:hAnsi="Times New Roman"/>
          <w:sz w:val="21"/>
          <w:szCs w:val="21"/>
          <w:b w:val="1"/>
          <w:bCs w:val="1"/>
          <w:color w:val="auto"/>
        </w:rPr>
        <w:t>Section 5.05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Section 5.06</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b w:val="1"/>
          <w:bCs w:val="1"/>
          <w:color w:val="auto"/>
        </w:rPr>
        <w:t>5.07, Section 5.08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6.</w:t>
      </w:r>
    </w:p>
    <w:p>
      <w:pPr>
        <w:spacing w:after="0" w:line="1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SUCCESSORS</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When the Company May Merge, Etc.</w:t>
      </w:r>
    </w:p>
    <w:p>
      <w:pPr>
        <w:spacing w:after="0" w:line="179" w:lineRule="exact"/>
        <w:rPr>
          <w:sz w:val="20"/>
          <w:szCs w:val="20"/>
          <w:color w:val="auto"/>
        </w:rPr>
      </w:pPr>
    </w:p>
    <w:p>
      <w:pPr>
        <w:jc w:val="both"/>
        <w:ind w:firstLine="656"/>
        <w:spacing w:after="0" w:line="238" w:lineRule="auto"/>
        <w:tabs>
          <w:tab w:leader="none" w:pos="128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The Company will not consolidate with or merge with or into, or (directly, or indirectly through one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more of its Subsidiaries) 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21"/>
          <w:szCs w:val="21"/>
          <w:b w:val="1"/>
          <w:bCs w:val="1"/>
          <w:color w:val="auto"/>
        </w:rPr>
        <w:t>Business Combination Event</w:t>
      </w:r>
      <w:r>
        <w:rPr>
          <w:rFonts w:ascii="Times New Roman" w:cs="Times New Roman" w:eastAsia="Times New Roman" w:hAnsi="Times New Roman"/>
          <w:sz w:val="21"/>
          <w:szCs w:val="21"/>
          <w:color w:val="auto"/>
        </w:rPr>
        <w:t>”), unless:</w:t>
      </w:r>
    </w:p>
    <w:p>
      <w:pPr>
        <w:spacing w:after="0" w:line="149" w:lineRule="exact"/>
        <w:rPr>
          <w:rFonts w:ascii="Times New Roman" w:cs="Times New Roman" w:eastAsia="Times New Roman" w:hAnsi="Times New Roman"/>
          <w:sz w:val="21"/>
          <w:szCs w:val="21"/>
          <w:color w:val="auto"/>
        </w:rPr>
      </w:pPr>
    </w:p>
    <w:p>
      <w:pPr>
        <w:jc w:val="both"/>
        <w:ind w:left="660" w:firstLine="644"/>
        <w:spacing w:after="0" w:line="213" w:lineRule="auto"/>
        <w:tabs>
          <w:tab w:leader="none" w:pos="194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either (x) is the Company or (y) if not the Company, is a corporation (or, if such Business Combination Event is an Exempted Fundamental Change, is a corporation, limited liability company, limited partnership or other similar entity) (the “</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xml:space="preserve">”) duly organized and existing under the laws of the United States of America, any State thereof or the District of Columbia that expressly assumes (by executing and delivering to the Trustee and the Collateral Agent, at or before the effective time of such Business Combination Event, a supplemental indenture pursuant to </w:t>
      </w:r>
      <w:r>
        <w:rPr>
          <w:rFonts w:ascii="Times New Roman" w:cs="Times New Roman" w:eastAsia="Times New Roman" w:hAnsi="Times New Roman"/>
          <w:sz w:val="22"/>
          <w:szCs w:val="22"/>
          <w:b w:val="1"/>
          <w:bCs w:val="1"/>
          <w:color w:val="auto"/>
        </w:rPr>
        <w:t>Section 8.01(E)</w:t>
      </w:r>
      <w:r>
        <w:rPr>
          <w:rFonts w:ascii="Times New Roman" w:cs="Times New Roman" w:eastAsia="Times New Roman" w:hAnsi="Times New Roman"/>
          <w:sz w:val="22"/>
          <w:szCs w:val="22"/>
          <w:color w:val="auto"/>
        </w:rPr>
        <w:t xml:space="preserve"> or other amendments or supplements) all of the Company’s obligations under this Indenture, the Notes and Collateral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4" w:right="339" w:bottom="1440" w:gutter="0" w:footer="0" w:header="0"/>
        </w:sectPr>
      </w:pPr>
    </w:p>
    <w:bookmarkStart w:id="140" w:name="page141"/>
    <w:bookmarkEnd w:id="140"/>
    <w:p>
      <w:pPr>
        <w:ind w:left="660" w:right="20" w:firstLine="644"/>
        <w:spacing w:after="0" w:line="236" w:lineRule="auto"/>
        <w:tabs>
          <w:tab w:leader="none" w:pos="195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Business Combination Event, no Default or Event of Default will have occurred and be continuing.</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Officer’s Certificate and Opinion of Counsel to the Trustee and Collateral Agent</w:t>
      </w:r>
      <w:r>
        <w:rPr>
          <w:rFonts w:ascii="Times New Roman" w:cs="Times New Roman" w:eastAsia="Times New Roman" w:hAnsi="Times New Roman"/>
          <w:sz w:val="22"/>
          <w:szCs w:val="22"/>
          <w:color w:val="auto"/>
        </w:rPr>
        <w:t>. Before the effective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time of any Business Combination Event, the Company will deliver to the Trustee and Collateral Agent an Officer’s Certificate and Opinion of Counsel to the Trustee and Collateral Agent, each stating that (i) such Business Combination Event (and, if applicable, the related supplemental indenture) comply with </w:t>
      </w:r>
      <w:r>
        <w:rPr>
          <w:rFonts w:ascii="Times New Roman" w:cs="Times New Roman" w:eastAsia="Times New Roman" w:hAnsi="Times New Roman"/>
          <w:sz w:val="22"/>
          <w:szCs w:val="22"/>
          <w:b w:val="1"/>
          <w:bCs w:val="1"/>
          <w:color w:val="auto"/>
        </w:rPr>
        <w:t>Section 6.01(A)</w:t>
      </w:r>
      <w:r>
        <w:rPr>
          <w:rFonts w:ascii="Times New Roman" w:cs="Times New Roman" w:eastAsia="Times New Roman" w:hAnsi="Times New Roman"/>
          <w:sz w:val="22"/>
          <w:szCs w:val="22"/>
          <w:color w:val="auto"/>
        </w:rPr>
        <w:t>; and (ii) all conditions precedent to such Business Combination Event provided in this Indenture have been satisfied.</w:t>
      </w:r>
    </w:p>
    <w:p>
      <w:pPr>
        <w:spacing w:after="0" w:line="14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Successor Entity Substituted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At the effective time of any Business Combination Event that complies with </w:t>
      </w:r>
      <w:r>
        <w:rPr>
          <w:rFonts w:ascii="Times New Roman" w:cs="Times New Roman" w:eastAsia="Times New Roman" w:hAnsi="Times New Roman"/>
          <w:sz w:val="22"/>
          <w:szCs w:val="22"/>
          <w:b w:val="1"/>
          <w:bCs w:val="1"/>
          <w:color w:val="auto"/>
        </w:rPr>
        <w:t>Section 6.01</w:t>
      </w:r>
      <w:r>
        <w:rPr>
          <w:rFonts w:ascii="Times New Roman" w:cs="Times New Roman" w:eastAsia="Times New Roman" w:hAnsi="Times New Roman"/>
          <w:sz w:val="22"/>
          <w:szCs w:val="22"/>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7.</w:t>
      </w:r>
    </w:p>
    <w:p>
      <w:pPr>
        <w:spacing w:after="0" w:line="17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DEFAULTS AND REMEDIES</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Events of Default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Events of Default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means the occurrence of any of the following:</w:t>
      </w:r>
    </w:p>
    <w:p>
      <w:pPr>
        <w:spacing w:after="0" w:line="183"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in the payment when due (whether at maturity, upon Repurchase Upon Fundamental Change or otherwise) of the principal of, or Fundamental Change Repurchase Price for, any Note;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for five (5) Business Days in the payment when due of interest on any Note;</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deliver, when required by this Indenture, a Fundamental Change Notice, if such failure is not cured within three (3) Business Days after its occurrence;</w:t>
      </w:r>
    </w:p>
    <w:p>
      <w:pPr>
        <w:spacing w:after="0" w:line="146" w:lineRule="exact"/>
        <w:rPr>
          <w:rFonts w:ascii="Times New Roman" w:cs="Times New Roman" w:eastAsia="Times New Roman" w:hAnsi="Times New Roman"/>
          <w:sz w:val="22"/>
          <w:szCs w:val="22"/>
          <w:color w:val="auto"/>
        </w:rPr>
      </w:pPr>
    </w:p>
    <w:p>
      <w:pPr>
        <w:ind w:left="660" w:right="20" w:firstLine="644"/>
        <w:spacing w:after="0" w:line="259" w:lineRule="auto"/>
        <w:tabs>
          <w:tab w:leader="none" w:pos="1944"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default in the Company’s obligation to convert a Note in accordance with </w:t>
      </w:r>
      <w:r>
        <w:rPr>
          <w:rFonts w:ascii="Times New Roman" w:cs="Times New Roman" w:eastAsia="Times New Roman" w:hAnsi="Times New Roman"/>
          <w:sz w:val="21"/>
          <w:szCs w:val="21"/>
          <w:b w:val="1"/>
          <w:bCs w:val="1"/>
          <w:color w:val="auto"/>
        </w:rPr>
        <w:t>Article 5</w:t>
      </w:r>
      <w:r>
        <w:rPr>
          <w:rFonts w:ascii="Times New Roman" w:cs="Times New Roman" w:eastAsia="Times New Roman" w:hAnsi="Times New Roman"/>
          <w:sz w:val="21"/>
          <w:szCs w:val="21"/>
          <w:color w:val="auto"/>
        </w:rPr>
        <w:t xml:space="preserve"> upon the exercise of the conversion right with respect thereto, if such default is not cured within three (3) Business Days after its occurrence;</w:t>
      </w:r>
    </w:p>
    <w:p>
      <w:pPr>
        <w:spacing w:after="0" w:line="126" w:lineRule="exact"/>
        <w:rPr>
          <w:rFonts w:ascii="Times New Roman" w:cs="Times New Roman" w:eastAsia="Times New Roman" w:hAnsi="Times New Roman"/>
          <w:sz w:val="21"/>
          <w:szCs w:val="21"/>
          <w:color w:val="auto"/>
        </w:rPr>
      </w:pPr>
    </w:p>
    <w:p>
      <w:pPr>
        <w:ind w:left="660" w:firstLine="644"/>
        <w:spacing w:after="0" w:line="238" w:lineRule="auto"/>
        <w:tabs>
          <w:tab w:leader="none" w:pos="195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in the Company’s obligations under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Sections 3.08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3.16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3.17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3.18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3.20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3.24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3.25</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3.33</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in any of the Company and its Subsidiaries’ obligations or agreements under this Indenture or the Notes (other than a default set forth in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where such default is not cured or waived within thirty (30) days after notice to the Company by the Trustee, or to the Company and the Trustee by Holders of at least twenty five percent (25%) of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4" w:right="339" w:bottom="1440" w:gutter="0" w:footer="0" w:header="0"/>
        </w:sectPr>
      </w:pPr>
    </w:p>
    <w:bookmarkStart w:id="141" w:name="page142"/>
    <w:bookmarkEnd w:id="141"/>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principal amount of Notes then outstanding, which notice must specify such default, demand that it be remedied and state that such notice is a “Notice of Default”;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no such cure period in this </w:t>
      </w:r>
      <w:r>
        <w:rPr>
          <w:rFonts w:ascii="Times New Roman" w:cs="Times New Roman" w:eastAsia="Times New Roman" w:hAnsi="Times New Roman"/>
          <w:sz w:val="22"/>
          <w:szCs w:val="22"/>
          <w:b w:val="1"/>
          <w:bCs w:val="1"/>
          <w:color w:val="auto"/>
        </w:rPr>
        <w:t>Section 7.01(A)(vi)</w:t>
      </w:r>
      <w:r>
        <w:rPr>
          <w:rFonts w:ascii="Times New Roman" w:cs="Times New Roman" w:eastAsia="Times New Roman" w:hAnsi="Times New Roman"/>
          <w:sz w:val="22"/>
          <w:szCs w:val="22"/>
          <w:color w:val="auto"/>
        </w:rPr>
        <w:t xml:space="preserve"> shall apply with respect to any provision or covenant that by its inherent nature cannot be cured upon being violated or breached;</w:t>
      </w:r>
    </w:p>
    <w:p>
      <w:pPr>
        <w:spacing w:after="0" w:line="153" w:lineRule="exact"/>
        <w:rPr>
          <w:sz w:val="20"/>
          <w:szCs w:val="20"/>
          <w:color w:val="auto"/>
        </w:rPr>
      </w:pPr>
    </w:p>
    <w:p>
      <w:pPr>
        <w:jc w:val="both"/>
        <w:ind w:firstLine="644"/>
        <w:spacing w:after="0" w:line="217" w:lineRule="auto"/>
        <w:tabs>
          <w:tab w:leader="none" w:pos="129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the Company or any of the Company’s Subsidiaries with respect to any one or more mortgages, agreements or other instruments under which there is outstanding, or by which there is secured or evidenced, any indebtedness for money borrowed of at least fifteen million dollars ($15,000,000) (or its foreign currency equivalent) in the aggregate of the Company or any of the Company’s Subsidiaries, whether such indebtedness exists as of the Issue Date or is thereafter created, where such default:</w:t>
      </w:r>
    </w:p>
    <w:p>
      <w:pPr>
        <w:spacing w:after="0" w:line="152" w:lineRule="exact"/>
        <w:rPr>
          <w:rFonts w:ascii="Times New Roman" w:cs="Times New Roman" w:eastAsia="Times New Roman" w:hAnsi="Times New Roman"/>
          <w:sz w:val="22"/>
          <w:szCs w:val="22"/>
          <w:color w:val="auto"/>
        </w:rPr>
      </w:pPr>
    </w:p>
    <w:p>
      <w:pPr>
        <w:jc w:val="both"/>
        <w:ind w:firstLine="1292"/>
        <w:spacing w:after="0" w:line="225" w:lineRule="auto"/>
        <w:tabs>
          <w:tab w:leader="none" w:pos="193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results in such indebtedness becoming or being declared due and payable before its stated maturity,</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59" w:lineRule="exact"/>
        <w:rPr>
          <w:sz w:val="20"/>
          <w:szCs w:val="20"/>
          <w:color w:val="auto"/>
        </w:rPr>
      </w:pPr>
    </w:p>
    <w:p>
      <w:pPr>
        <w:jc w:val="both"/>
        <w:ind w:firstLine="644"/>
        <w:spacing w:after="0" w:line="217" w:lineRule="auto"/>
        <w:tabs>
          <w:tab w:leader="none" w:pos="129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final judgments being rendered against the Company, any other Note Party or any of the Company’s Significant Subsidiary for the payment of at least fifteen million dollars ($15,000,000) (or its foreign currency equivalent) in the aggregate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spacing w:after="0" w:line="13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of its Significant Subsidiaries, pursuant to or within the meaning of any Bankruptcy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 either:</w:t>
      </w:r>
    </w:p>
    <w:p>
      <w:pPr>
        <w:spacing w:after="0" w:line="155"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 proceeding;</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 proceeding;</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any substantial part of its property;</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takes any comparable action under any foreign Bankruptcy Law; or</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is not paying its debts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0580"/>
          </w:cols>
          <w:pgMar w:left="980" w:top="1394" w:right="339" w:bottom="1440" w:gutter="0" w:footer="0" w:header="0"/>
        </w:sectPr>
      </w:pPr>
    </w:p>
    <w:bookmarkStart w:id="142" w:name="page143"/>
    <w:bookmarkEnd w:id="142"/>
    <w:p>
      <w:pPr>
        <w:ind w:left="1940" w:hanging="636"/>
        <w:spacing w:after="0"/>
        <w:tabs>
          <w:tab w:leader="none" w:pos="19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 either:</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Company or any other Note Party or any Significant Subsidiary (or group of Subsidiaries that would constitute a Significant Subsidiary) in an involuntary case or proceeding;</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Company or any other Note Party or any Significant Subsidiary (or group of Subsidiaries that would constitute a Significant Subsidiary), or for any substantial part of the property of the Company or any other Note Party or any Significant Subsidiary (or group of Subsidiaries that would constitute a Significant Subsidiary);</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winding up or liquidation of the Company or any other Note Party or any Significant Subsidiary (or group of Subsidiaries that would constitute a Significant Subsidiary); or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grants any similar relief under any foreign Bankruptcy Law;</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and, in each case under this </w:t>
      </w:r>
      <w:r>
        <w:rPr>
          <w:rFonts w:ascii="Times New Roman" w:cs="Times New Roman" w:eastAsia="Times New Roman" w:hAnsi="Times New Roman"/>
          <w:sz w:val="22"/>
          <w:szCs w:val="22"/>
          <w:b w:val="1"/>
          <w:bCs w:val="1"/>
          <w:color w:val="auto"/>
        </w:rPr>
        <w:t>Section 7.01(A)(x)</w:t>
      </w:r>
      <w:r>
        <w:rPr>
          <w:rFonts w:ascii="Times New Roman" w:cs="Times New Roman" w:eastAsia="Times New Roman" w:hAnsi="Times New Roman"/>
          <w:sz w:val="22"/>
          <w:szCs w:val="22"/>
          <w:color w:val="auto"/>
        </w:rPr>
        <w:t>, such order or decree remains unstayed and in effect for at least sixty</w:t>
      </w:r>
    </w:p>
    <w:p>
      <w:pPr>
        <w:spacing w:after="0" w:line="32" w:lineRule="exact"/>
        <w:rPr>
          <w:sz w:val="20"/>
          <w:szCs w:val="20"/>
          <w:color w:val="auto"/>
        </w:rPr>
      </w:pPr>
    </w:p>
    <w:p>
      <w:pPr>
        <w:ind w:left="1060" w:hanging="404"/>
        <w:spacing w:after="0"/>
        <w:tabs>
          <w:tab w:leader="none" w:pos="10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w:t>
      </w:r>
    </w:p>
    <w:p>
      <w:pPr>
        <w:spacing w:after="0" w:line="168"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44"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Collateral Document, after delivery thereof pursuant hereto, shall for any reason fail or cease to create, or should be asserted by the Company or any Guarantor not to create, a valid and perfected and, except to the extent expressly permitted by the terms hereof or thereof, first priority lien in favor of the Collateral Agent for the benefit of the Secured Parties on any Collateral purported to be covered thereby other than (x) to the extent resulting from the failure of the Collateral Agent or any of its agents or bailees to maintain possession of Collateral, or (y) as to Collateral consisting of real property to the extent that (1) such losses are covered by a title insurance policy for the benefit of the Collateral Agent or (2) a deficiency arose through no fault of the Company or any Guarantor, in the case of each of clause</w:t>
      </w:r>
    </w:p>
    <w:p>
      <w:pPr>
        <w:jc w:val="both"/>
        <w:ind w:left="660"/>
        <w:spacing w:after="0" w:line="22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and (y), to the extent such deficiencies are (1) corrected with reasonable diligence upon obtaining knowledge thereof and (2) do not materially adversely affect the security interest of the Holders in the Collateral or (B) any Guarantee of any of the Obligations (including that contained in Article XI) shall for whatever reason cease to be in full force and effect.</w:t>
      </w:r>
    </w:p>
    <w:p>
      <w:pPr>
        <w:spacing w:after="0" w:line="148" w:lineRule="exact"/>
        <w:rPr>
          <w:sz w:val="20"/>
          <w:szCs w:val="20"/>
          <w:color w:val="auto"/>
        </w:rPr>
      </w:pPr>
    </w:p>
    <w:p>
      <w:pPr>
        <w:jc w:val="both"/>
        <w:ind w:firstLine="656"/>
        <w:spacing w:after="0" w:line="227" w:lineRule="auto"/>
        <w:tabs>
          <w:tab w:leader="none" w:pos="128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Cause Irrelevant</w:t>
      </w:r>
      <w:r>
        <w:rPr>
          <w:rFonts w:ascii="Times New Roman" w:cs="Times New Roman" w:eastAsia="Times New Roman" w:hAnsi="Times New Roman"/>
          <w:sz w:val="22"/>
          <w:szCs w:val="22"/>
          <w:color w:val="auto"/>
        </w:rPr>
        <w:t>. Each of the events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constitute an Event of Default regardless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cause thereof or whether voluntary or involuntary or effected by operation of law or pursuant to any judgment, decree or order of any court or any order, rule or regulation of any administrative or governmental body.</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Acceleration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1" w:lineRule="auto"/>
        <w:tabs>
          <w:tab w:leader="none" w:pos="128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Acceleration in Certain Circumstances</w:t>
      </w:r>
      <w:r>
        <w:rPr>
          <w:rFonts w:ascii="Times New Roman" w:cs="Times New Roman" w:eastAsia="Times New Roman" w:hAnsi="Times New Roman"/>
          <w:sz w:val="22"/>
          <w:szCs w:val="22"/>
          <w:color w:val="auto"/>
        </w:rPr>
        <w:t>. If an Event of Default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7.01(A)(ix)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7.01(A)(x) </w:t>
      </w:r>
      <w:r>
        <w:rPr>
          <w:rFonts w:ascii="Times New Roman" w:cs="Times New Roman" w:eastAsia="Times New Roman" w:hAnsi="Times New Roman"/>
          <w:sz w:val="22"/>
          <w:szCs w:val="22"/>
          <w:color w:val="auto"/>
        </w:rPr>
        <w:t>occurs with respect to the Company (and not solely with respect to a Significant Subsidiary of the Company), then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amount of, and all accrued and unpaid interest on, all of the Notes then outstanding will immediately become due and payable without any further action or notice by any Person.</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Acceleration</w:t>
      </w:r>
      <w:r>
        <w:rPr>
          <w:rFonts w:ascii="Times New Roman" w:cs="Times New Roman" w:eastAsia="Times New Roman" w:hAnsi="Times New Roman"/>
          <w:sz w:val="22"/>
          <w:szCs w:val="22"/>
          <w:color w:val="auto"/>
        </w:rPr>
        <w:t>. If an Event of Default (other than an Event of Default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7.01(A)(ix)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7.01(A)(x) </w:t>
      </w:r>
      <w:r>
        <w:rPr>
          <w:rFonts w:ascii="Times New Roman" w:cs="Times New Roman" w:eastAsia="Times New Roman" w:hAnsi="Times New Roman"/>
          <w:sz w:val="22"/>
          <w:szCs w:val="22"/>
          <w:color w:val="auto"/>
        </w:rPr>
        <w:t>with respect to the Company and not solely with respect to a Significant Subsidiary of the Company) occurs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continuing, then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4" w:right="339" w:bottom="1440" w:gutter="0" w:footer="0" w:header="0"/>
        </w:sectPr>
      </w:pPr>
    </w:p>
    <w:bookmarkStart w:id="143" w:name="page144"/>
    <w:bookmarkEnd w:id="143"/>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48" w:lineRule="exact"/>
        <w:rPr>
          <w:sz w:val="20"/>
          <w:szCs w:val="20"/>
          <w:color w:val="auto"/>
        </w:rPr>
      </w:pPr>
    </w:p>
    <w:p>
      <w:pPr>
        <w:jc w:val="both"/>
        <w:ind w:firstLine="656"/>
        <w:spacing w:after="0" w:line="216" w:lineRule="auto"/>
        <w:tabs>
          <w:tab w:leader="none" w:pos="128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Rescission of Acceleration</w:t>
      </w:r>
      <w:r>
        <w:rPr>
          <w:rFonts w:ascii="Times New Roman" w:cs="Times New Roman" w:eastAsia="Times New Roman" w:hAnsi="Times New Roman"/>
          <w:sz w:val="22"/>
          <w:szCs w:val="22"/>
          <w:color w:val="auto"/>
        </w:rPr>
        <w:t>. Notwithstanding anything to the contrary in this Indenture or the Notes,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ectPr>
          <w:pgSz w:w="11900" w:h="16838" w:orient="portrait"/>
          <w:cols w:equalWidth="0" w:num="1">
            <w:col w:w="11240"/>
          </w:cols>
          <w:pgMar w:left="320" w:top="1394" w:right="33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Section 1.03.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[Reserved.]</w:t>
      </w:r>
    </w:p>
    <w:p>
      <w:pPr>
        <w:spacing w:after="0" w:line="200" w:lineRule="exact"/>
        <w:rPr>
          <w:sz w:val="20"/>
          <w:szCs w:val="20"/>
          <w:color w:val="auto"/>
        </w:rPr>
      </w:pPr>
    </w:p>
    <w:p>
      <w:pPr>
        <w:sectPr>
          <w:pgSz w:w="11900" w:h="16838" w:orient="portrait"/>
          <w:cols w:equalWidth="0" w:num="2">
            <w:col w:w="1820" w:space="460"/>
            <w:col w:w="8960"/>
          </w:cols>
          <w:pgMar w:left="320" w:top="1394"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t>
      </w:r>
    </w:p>
    <w:p>
      <w:pPr>
        <w:sectPr>
          <w:pgSz w:w="11900" w:h="16838" w:orient="portrait"/>
          <w:cols w:equalWidth="0" w:num="1">
            <w:col w:w="11240"/>
          </w:cols>
          <w:pgMar w:left="320" w:top="1394" w:right="339" w:bottom="1440" w:gutter="0" w:footer="0" w:header="0"/>
          <w:type w:val="continuous"/>
        </w:sectPr>
      </w:pP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Section 1.04.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Remedies</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sectPr>
          <w:pgSz w:w="11900" w:h="16838" w:orient="portrait"/>
          <w:cols w:equalWidth="0" w:num="2">
            <w:col w:w="1820" w:space="460"/>
            <w:col w:w="8960"/>
          </w:cols>
          <w:pgMar w:left="320" w:top="1394" w:right="339" w:bottom="1440" w:gutter="0" w:footer="0" w:header="0"/>
          <w:type w:val="continuous"/>
        </w:sectPr>
      </w:pPr>
    </w:p>
    <w:p>
      <w:pPr>
        <w:jc w:val="both"/>
        <w:ind w:firstLine="656"/>
        <w:spacing w:after="0" w:line="227" w:lineRule="auto"/>
        <w:tabs>
          <w:tab w:leader="none" w:pos="128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May Pursue All Remedies</w:t>
      </w:r>
      <w:r>
        <w:rPr>
          <w:rFonts w:ascii="Times New Roman" w:cs="Times New Roman" w:eastAsia="Times New Roman" w:hAnsi="Times New Roman"/>
          <w:sz w:val="22"/>
          <w:szCs w:val="22"/>
          <w:color w:val="auto"/>
        </w:rPr>
        <w:t>. If an Event of Default occurs and is continuing, then the Trustee may pursue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available remedy to collect the payment of any amounts due with respect to the Notes or to enforce the performance of any provision of this Indenture or the Notes.</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Procedural Matters</w:t>
      </w:r>
      <w:r>
        <w:rPr>
          <w:rFonts w:ascii="Times New Roman" w:cs="Times New Roman" w:eastAsia="Times New Roman" w:hAnsi="Times New Roman"/>
          <w:sz w:val="22"/>
          <w:szCs w:val="22"/>
          <w:color w:val="auto"/>
        </w:rPr>
        <w:t>. The Trustee may maintain a proceeding even if it does not possess any of the Notes or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Waiver of Past Defaults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An Event of Default pursuant to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b w:val="1"/>
          <w:bCs w:val="1"/>
          <w:color w:val="auto"/>
        </w:rPr>
        <w:t>clause (vi)</w:t>
      </w:r>
      <w:r>
        <w:rPr>
          <w:rFonts w:ascii="Times New Roman" w:cs="Times New Roman" w:eastAsia="Times New Roman" w:hAnsi="Times New Roman"/>
          <w:sz w:val="22"/>
          <w:szCs w:val="22"/>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Required Holders.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6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Control by Required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Required Holders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22"/>
          <w:szCs w:val="22"/>
          <w:b w:val="1"/>
          <w:bCs w:val="1"/>
          <w:color w:val="auto"/>
        </w:rPr>
        <w:t>Section 10.01</w:t>
      </w:r>
      <w:r>
        <w:rPr>
          <w:rFonts w:ascii="Times New Roman" w:cs="Times New Roman" w:eastAsia="Times New Roman" w:hAnsi="Times New Roman"/>
          <w:sz w:val="22"/>
          <w:szCs w:val="22"/>
          <w:color w:val="auto"/>
        </w:rPr>
        <w:t>, the Trustee determines may be unduly prejudicial to the rights of other Holders or may involve the Trustee in liability, unless the Trustee is offered (and, if requested, provided with) security and indemnity satisfactory to the Trustee against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4"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loss, liability or expense to the Trustee that may result from the Trustee’s following such direction.</w:t>
      </w:r>
    </w:p>
    <w:p>
      <w:pPr>
        <w:spacing w:after="0" w:line="18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Limitation on Suits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No Holder may pursue any remedy with respect to this Indenture or the Notes (except to enforce (x) its rights to receive the principal of, or the Fundamental Change Repurchase Price for, or interest on, any Notes; or (y) the Company’s obligations to convert any Notes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unless:</w:t>
      </w:r>
    </w:p>
    <w:p>
      <w:pPr>
        <w:spacing w:after="0" w:line="140"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delivered to the Trustee notice that an Event of Default is continuing;</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twenty five percent (25%) in aggregate principal amount of the Notes then outstanding deliver a request to the Trustee to pursue such remedy;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such request within sixty (60) calendar days after its receipt of such request and such offer of security or indemnity; and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sixty (60) calendar day period, Required Holders do not deliver to the Trustee a direction that is inconsistent with such request.</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spacing w:after="0" w:line="142" w:lineRule="exact"/>
        <w:rPr>
          <w:sz w:val="20"/>
          <w:szCs w:val="20"/>
          <w:color w:val="auto"/>
        </w:rPr>
      </w:pPr>
    </w:p>
    <w:p>
      <w:pPr>
        <w:ind w:left="2280" w:right="20" w:hanging="1619"/>
        <w:spacing w:after="0" w:line="238" w:lineRule="auto"/>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2"/>
          <w:szCs w:val="22"/>
          <w:b w:val="1"/>
          <w:bCs w:val="1"/>
          <w:color w:val="auto"/>
        </w:rPr>
        <w:t>Absolute Right of Holders to Institute Suit for the Enforcement of the Right to Receive Payment and Conversion Consideration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or the Notes (but without limiting </w:t>
      </w:r>
      <w:r>
        <w:rPr>
          <w:rFonts w:ascii="Times New Roman" w:cs="Times New Roman" w:eastAsia="Times New Roman" w:hAnsi="Times New Roman"/>
          <w:sz w:val="22"/>
          <w:szCs w:val="22"/>
          <w:b w:val="1"/>
          <w:bCs w:val="1"/>
          <w:color w:val="auto"/>
        </w:rPr>
        <w:t>Section 8.01</w:t>
      </w:r>
      <w:r>
        <w:rPr>
          <w:rFonts w:ascii="Times New Roman" w:cs="Times New Roman" w:eastAsia="Times New Roman" w:hAnsi="Times New Roman"/>
          <w:sz w:val="22"/>
          <w:szCs w:val="22"/>
          <w:color w:val="auto"/>
        </w:rPr>
        <w:t xml:space="preserve">), the right of each Holder of a Note to bring suit for the enforcement of any payment or delivery, as applicable, of the principal of, or the Fundamental Change Repurchase Price for, or any interest on, or the Conversion Consideration due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conversion of, such Note on or after the respective due dates therefor provided in this Indenture and the Notes, will not be impaired or affected without the consent of such Holder.</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Collection Suit by Trustee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The Trustee will have the right, upon the occurrence and continuance of an Event of Default pursuant to </w:t>
      </w:r>
      <w:r>
        <w:rPr>
          <w:rFonts w:ascii="Times New Roman" w:cs="Times New Roman" w:eastAsia="Times New Roman" w:hAnsi="Times New Roman"/>
          <w:sz w:val="21"/>
          <w:szCs w:val="21"/>
          <w:b w:val="1"/>
          <w:bCs w:val="1"/>
          <w:color w:val="auto"/>
        </w:rPr>
        <w:t>clause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xml:space="preserve"> or</w:t>
      </w:r>
    </w:p>
    <w:p>
      <w:pPr>
        <w:spacing w:after="0" w:line="43" w:lineRule="exact"/>
        <w:rPr>
          <w:sz w:val="20"/>
          <w:szCs w:val="20"/>
          <w:color w:val="auto"/>
        </w:rPr>
      </w:pPr>
    </w:p>
    <w:p>
      <w:pPr>
        <w:jc w:val="both"/>
        <w:ind w:firstLine="8"/>
        <w:spacing w:after="0" w:line="249" w:lineRule="auto"/>
        <w:tabs>
          <w:tab w:leader="none" w:pos="366"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to recover judgment in its own name and as trustee of an express trust against the Company for the total unpaid or undelivered principal of, or Fundamental Change Repurchase Price for, or interest on, or Conversion Consideration due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conversion of, the Notes, as applicable, and, to the extent lawful, any Default Interest on any Defaulted Amounts, and such further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 xml:space="preserve">sufficient to cover the costs and expenses of collection, including compensation provided for in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1"/>
          <w:szCs w:val="21"/>
          <w:b w:val="1"/>
          <w:bCs w:val="1"/>
          <w:color w:val="auto"/>
        </w:rPr>
        <w:t>Trustee May File Proofs of Claim</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7"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1.11.</w:t>
      </w:r>
      <w:r>
        <w:rPr>
          <w:sz w:val="20"/>
          <w:szCs w:val="20"/>
          <w:color w:val="auto"/>
        </w:rPr>
        <w:tab/>
      </w:r>
      <w:r>
        <w:rPr>
          <w:rFonts w:ascii="Times New Roman" w:cs="Times New Roman" w:eastAsia="Times New Roman" w:hAnsi="Times New Roman"/>
          <w:sz w:val="21"/>
          <w:szCs w:val="21"/>
          <w:b w:val="1"/>
          <w:bCs w:val="1"/>
          <w:color w:val="auto"/>
        </w:rPr>
        <w:t>Priorities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Trustee will pay or deliver in the following order any money or other property that it collects pursuant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7</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left="660" w:firstLine="644"/>
        <w:spacing w:after="0" w:line="220" w:lineRule="auto"/>
        <w:tabs>
          <w:tab w:leader="none" w:pos="1947" w:val="left"/>
        </w:tabs>
        <w:numPr>
          <w:ilvl w:val="0"/>
          <w:numId w:val="1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xml:space="preserve">to the Trustee and the Collateral Agent and their agents and attorneys for amounts due under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including payment of all fees, compensation, expenses and liabilities incurred, and all advances made,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Trustee and Collateral Agent (in each of their capacities under this Indenture, including as Note Agent) and the costs and expenses of collection;</w:t>
      </w:r>
    </w:p>
    <w:p>
      <w:pPr>
        <w:spacing w:after="0" w:line="152" w:lineRule="exact"/>
        <w:rPr>
          <w:rFonts w:ascii="Times New Roman" w:cs="Times New Roman" w:eastAsia="Times New Roman" w:hAnsi="Times New Roman"/>
          <w:sz w:val="22"/>
          <w:szCs w:val="22"/>
          <w:i w:val="1"/>
          <w:iCs w:val="1"/>
          <w:color w:val="auto"/>
        </w:rPr>
      </w:pPr>
    </w:p>
    <w:p>
      <w:pPr>
        <w:jc w:val="both"/>
        <w:ind w:left="660" w:firstLine="644"/>
        <w:spacing w:after="0" w:line="220" w:lineRule="auto"/>
        <w:tabs>
          <w:tab w:leader="none" w:pos="1947" w:val="left"/>
        </w:tabs>
        <w:numPr>
          <w:ilvl w:val="0"/>
          <w:numId w:val="1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Holders for unpaid amounts or other property due on the Notes, including the principal of, or the 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52" w:lineRule="exact"/>
        <w:rPr>
          <w:rFonts w:ascii="Times New Roman" w:cs="Times New Roman" w:eastAsia="Times New Roman" w:hAnsi="Times New Roman"/>
          <w:sz w:val="22"/>
          <w:szCs w:val="22"/>
          <w:i w:val="1"/>
          <w:iCs w:val="1"/>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the Company or such other Person as a court of competent jurisdiction directs.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Trustee may fix a record date and payment date for any payment or delivery to the Holders pursuant to this </w:t>
      </w:r>
      <w:r>
        <w:rPr>
          <w:rFonts w:ascii="Times New Roman" w:cs="Times New Roman" w:eastAsia="Times New Roman" w:hAnsi="Times New Roman"/>
          <w:sz w:val="22"/>
          <w:szCs w:val="22"/>
          <w:b w:val="1"/>
          <w:bCs w:val="1"/>
          <w:color w:val="auto"/>
        </w:rPr>
        <w:t>Section 7.11</w:t>
      </w:r>
      <w:r>
        <w:rPr>
          <w:rFonts w:ascii="Times New Roman" w:cs="Times New Roman" w:eastAsia="Times New Roman" w:hAnsi="Times New Roman"/>
          <w:sz w:val="22"/>
          <w:szCs w:val="22"/>
          <w:color w:val="auto"/>
        </w:rPr>
        <w:t>, in which case the Trustee will instruct the Company to, and the Company will, deliver, at least fifteen (15) calendar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before such record date,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17" w:right="339" w:bottom="1440" w:gutter="0" w:footer="0" w:header="0"/>
        </w:sectPr>
      </w:pPr>
    </w:p>
    <w:bookmarkStart w:id="146" w:name="page147"/>
    <w:bookmarkEnd w:id="146"/>
    <w:p>
      <w:pPr>
        <w:jc w:val="both"/>
        <w:spacing w:after="0" w:line="271" w:lineRule="auto"/>
        <w:rPr>
          <w:sz w:val="20"/>
          <w:szCs w:val="20"/>
          <w:color w:val="auto"/>
        </w:rPr>
      </w:pPr>
      <w:r>
        <w:rPr>
          <w:rFonts w:ascii="Times New Roman" w:cs="Times New Roman" w:eastAsia="Times New Roman" w:hAnsi="Times New Roman"/>
          <w:sz w:val="22"/>
          <w:szCs w:val="22"/>
          <w:color w:val="auto"/>
        </w:rPr>
        <w:t>Holder and the Trustee a notice stating such record date, such payment date and the amount of such payment or nature of such delivery, as applicable.</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b w:val="1"/>
          <w:bCs w:val="1"/>
          <w:color w:val="auto"/>
        </w:rPr>
        <w:t>Undertaking for Costs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b w:val="1"/>
          <w:bCs w:val="1"/>
          <w:color w:val="auto"/>
        </w:rPr>
        <w:t>Section 7.12</w:t>
      </w:r>
      <w:r>
        <w:rPr>
          <w:rFonts w:ascii="Times New Roman" w:cs="Times New Roman" w:eastAsia="Times New Roman" w:hAnsi="Times New Roman"/>
          <w:sz w:val="22"/>
          <w:szCs w:val="22"/>
          <w:color w:val="auto"/>
        </w:rPr>
        <w:t xml:space="preserve"> does not apply to any suit by the Trustee, any suit by a Holder pursuant to </w:t>
      </w:r>
      <w:r>
        <w:rPr>
          <w:rFonts w:ascii="Times New Roman" w:cs="Times New Roman" w:eastAsia="Times New Roman" w:hAnsi="Times New Roman"/>
          <w:sz w:val="22"/>
          <w:szCs w:val="22"/>
          <w:b w:val="1"/>
          <w:bCs w:val="1"/>
          <w:color w:val="auto"/>
        </w:rPr>
        <w:t xml:space="preserve">Section 7.08 </w:t>
      </w:r>
      <w:r>
        <w:rPr>
          <w:rFonts w:ascii="Times New Roman" w:cs="Times New Roman" w:eastAsia="Times New Roman" w:hAnsi="Times New Roman"/>
          <w:sz w:val="22"/>
          <w:szCs w:val="22"/>
          <w:color w:val="auto"/>
        </w:rPr>
        <w:t>or any suit by one or more Holders of more than ten percent (10%) in aggregate principal amount of the Notes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w:t>
      </w:r>
    </w:p>
    <w:p>
      <w:pPr>
        <w:spacing w:after="0" w:line="1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8.</w:t>
      </w:r>
    </w:p>
    <w:p>
      <w:pPr>
        <w:spacing w:after="0" w:line="17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AMENDMENTS, SUPPLEMENTS AND WAIVERS</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Without the Consent of Holders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8.02</w:t>
      </w:r>
      <w:r>
        <w:rPr>
          <w:rFonts w:ascii="Times New Roman" w:cs="Times New Roman" w:eastAsia="Times New Roman" w:hAnsi="Times New Roman"/>
          <w:sz w:val="22"/>
          <w:szCs w:val="22"/>
          <w:color w:val="auto"/>
        </w:rPr>
        <w:t>, the Company, the Trustee and Collateral Agent, as applicable, may amend or supplement this Indenture, the Notes or any Collateral Document without the consent of any Holder (other than, in the case of clause (A) below, Deerfield Holders prior to the Disposition Date) to:</w:t>
      </w:r>
    </w:p>
    <w:p>
      <w:pPr>
        <w:spacing w:after="0" w:line="142"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cure any ambiguity or correct any omission, defect or inconsistency in this Indenture, the Collateral Documents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Notes;</w:t>
      </w:r>
    </w:p>
    <w:p>
      <w:pPr>
        <w:spacing w:after="0" w:line="15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a Guarantor with respect to the Notes or to add additional assets as Collateral;</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to the Company’s covenants or Events of Default for the benefit of the Holders or surrender any right or power conferred on the Company;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for the assumption of the Company’s obligations under this Indenture, the Collateral Documents and the Notes pursuant to, and in compliance with,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supplemental indentures pursuant to, and in accordance with,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in connection with a Common Stock Change Event;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or provide for the acceptance of the appointment, under this Indenture, of a successor Trustee or successor Collateral Agent;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for or confirm the issuance of Additional Notes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xml:space="preserve"> to the extent such issuance is permitted by </w:t>
      </w:r>
      <w:r>
        <w:rPr>
          <w:rFonts w:ascii="Times New Roman" w:cs="Times New Roman" w:eastAsia="Times New Roman" w:hAnsi="Times New Roman"/>
          <w:sz w:val="22"/>
          <w:szCs w:val="22"/>
          <w:b w:val="1"/>
          <w:bCs w:val="1"/>
          <w:color w:val="auto"/>
        </w:rPr>
        <w:t>Section 3.08(R)</w:t>
      </w:r>
      <w:r>
        <w:rPr>
          <w:rFonts w:ascii="Times New Roman" w:cs="Times New Roman" w:eastAsia="Times New Roman" w:hAnsi="Times New Roman"/>
          <w:sz w:val="22"/>
          <w:szCs w:val="22"/>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1" w:right="339" w:bottom="1440" w:gutter="0" w:footer="0" w:header="0"/>
        </w:sectPr>
      </w:pPr>
    </w:p>
    <w:bookmarkStart w:id="147" w:name="page148"/>
    <w:bookmarkEnd w:id="147"/>
    <w:p>
      <w:pPr>
        <w:ind w:right="20" w:firstLine="656"/>
        <w:spacing w:after="0" w:line="236" w:lineRule="auto"/>
        <w:tabs>
          <w:tab w:leader="none" w:pos="129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any requirement of the SEC in connection with any qualification of this Indenture or any supplemental indenture under the Trust Indenture Act, as then in effect.</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With the Consent of Holders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8" w:lineRule="auto"/>
        <w:tabs>
          <w:tab w:leader="none" w:pos="128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Sections 8.01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7.05</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7.08</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the immediately following sentence, the Company,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Trustee and the Collateral Agent, as applicable, may, with the consent of Required Holders, amend or supplement this Indenture or the Notes or waive compliance with any provision of this Indenture, the Notes or any Collateral Document. Notwithstanding anything to the contrary in the foregoing sentence, but subject to </w:t>
      </w:r>
      <w:r>
        <w:rPr>
          <w:rFonts w:ascii="Times New Roman" w:cs="Times New Roman" w:eastAsia="Times New Roman" w:hAnsi="Times New Roman"/>
          <w:sz w:val="21"/>
          <w:szCs w:val="21"/>
          <w:b w:val="1"/>
          <w:bCs w:val="1"/>
          <w:color w:val="auto"/>
        </w:rPr>
        <w:t>Section 8.01</w:t>
      </w:r>
      <w:r>
        <w:rPr>
          <w:rFonts w:ascii="Times New Roman" w:cs="Times New Roman" w:eastAsia="Times New Roman" w:hAnsi="Times New Roman"/>
          <w:sz w:val="21"/>
          <w:szCs w:val="21"/>
          <w:color w:val="auto"/>
        </w:rPr>
        <w:t>, without the consent of each affected Holder, no amendment or supplement to this Indenture or the Notes, or waiver of any provision of this Indenture or the Notes, may:</w:t>
      </w:r>
    </w:p>
    <w:p>
      <w:pPr>
        <w:spacing w:after="0" w:line="152"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or change the stated maturity, of any Note;</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Redemption Price or Fundamental Change Repurchase Price for any Note or change the times at which, or the circumstances under which, the Notes may or will be redeemed or repurchased by the Company;</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or extend the time for the payment, of interest on any Note;</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explicitly set forth in </w:t>
      </w:r>
      <w:r>
        <w:rPr>
          <w:rFonts w:ascii="Times New Roman" w:cs="Times New Roman" w:eastAsia="Times New Roman" w:hAnsi="Times New Roman"/>
          <w:sz w:val="22"/>
          <w:szCs w:val="22"/>
          <w:b w:val="1"/>
          <w:bCs w:val="1"/>
          <w:color w:val="auto"/>
        </w:rPr>
        <w:t>Section 5.05</w:t>
      </w:r>
      <w:r>
        <w:rPr>
          <w:rFonts w:ascii="Times New Roman" w:cs="Times New Roman" w:eastAsia="Times New Roman" w:hAnsi="Times New Roman"/>
          <w:sz w:val="22"/>
          <w:szCs w:val="22"/>
          <w:color w:val="auto"/>
        </w:rPr>
        <w:t>, reduce the Conversion Rate;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impair the rights of any Holder set forth in </w:t>
      </w:r>
      <w:r>
        <w:rPr>
          <w:rFonts w:ascii="Times New Roman" w:cs="Times New Roman" w:eastAsia="Times New Roman" w:hAnsi="Times New Roman"/>
          <w:sz w:val="22"/>
          <w:szCs w:val="22"/>
          <w:b w:val="1"/>
          <w:bCs w:val="1"/>
          <w:color w:val="auto"/>
        </w:rPr>
        <w:t>Section 7.08</w:t>
      </w:r>
      <w:r>
        <w:rPr>
          <w:rFonts w:ascii="Times New Roman" w:cs="Times New Roman" w:eastAsia="Times New Roman" w:hAnsi="Times New Roman"/>
          <w:sz w:val="22"/>
          <w:szCs w:val="22"/>
          <w:color w:val="auto"/>
        </w:rPr>
        <w:t xml:space="preserve"> (as such section is in effect on the Issue Date);</w:t>
      </w:r>
    </w:p>
    <w:p>
      <w:pPr>
        <w:spacing w:after="0" w:line="18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ranking of the Notes;</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Note payable in money, or at a place of payment, other than that stated in this Indenture or the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w:t>
      </w:r>
    </w:p>
    <w:p>
      <w:pPr>
        <w:spacing w:after="0" w:line="14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of Notes whose Holders must consent to any amendment, supplement, waiver or other</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w:t>
      </w:r>
    </w:p>
    <w:p>
      <w:pPr>
        <w:spacing w:after="0" w:line="155"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direct or indirect change to any amendment, supplement, waiver or modification provision of this Indenture, the Collateral Documents or the Notes that requires the consent of each affected Holder;</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of the Collateral or release all or substantially all of the Guarantees, in each case, except as provided in Section 13.02(A)(i)(4) of this Indenture;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or have the effect of permitting the concept of “unrestricted subsidiaries” (which shall, for the avoidance of doubt, include any subsidiaries that are exempt from covenants or representations and warranties in the Note Documents, whether or not labelled as “unrestricted subsidiaries”);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definitions of “Material Asset” or “Material Intellectual Property” or Section 3.20;</w:t>
      </w:r>
    </w:p>
    <w:p>
      <w:pPr>
        <w:spacing w:after="0" w:line="17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modify the definition of “Liability Management Transaction” or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4" w:right="339" w:bottom="1440" w:gutter="0" w:footer="0" w:header="0"/>
        </w:sectPr>
      </w:pPr>
    </w:p>
    <w:bookmarkStart w:id="148" w:name="page149"/>
    <w:bookmarkEnd w:id="148"/>
    <w:p>
      <w:pPr>
        <w:ind w:left="1940" w:hanging="636"/>
        <w:spacing w:after="0"/>
        <w:tabs>
          <w:tab w:leader="none" w:pos="194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or modify </w:t>
      </w:r>
      <w:r>
        <w:rPr>
          <w:rFonts w:ascii="Times New Roman" w:cs="Times New Roman" w:eastAsia="Times New Roman" w:hAnsi="Times New Roman"/>
          <w:sz w:val="22"/>
          <w:szCs w:val="22"/>
          <w:b w:val="1"/>
          <w:bCs w:val="1"/>
          <w:color w:val="auto"/>
        </w:rPr>
        <w:t>Section 11.06(D)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or modification that would authorize the incurrence of additional Indebtedness (including Additional Notes) that would be issued under this Indenture in contemplation of or for the purpose of influencing any voting threshold;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2" w:lineRule="auto"/>
        <w:tabs>
          <w:tab w:leader="none" w:pos="1944"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subordinate, or have the direct or indirect effect of subordinating the Obligations hereunder to any other Indebtedness or (y) subordinate, or have the direct or indirect effect of subordinating the Liens on all or substantially all of the Collateral to the Liens securing any other Indebtedness; provided that the foregoing clauses (x) and (y) shall not apply</w:t>
      </w:r>
    </w:p>
    <w:p>
      <w:pPr>
        <w:spacing w:after="0" w:line="1" w:lineRule="exact"/>
        <w:rPr>
          <w:rFonts w:ascii="Times New Roman" w:cs="Times New Roman" w:eastAsia="Times New Roman" w:hAnsi="Times New Roman"/>
          <w:sz w:val="21"/>
          <w:szCs w:val="21"/>
          <w:color w:val="auto"/>
        </w:rPr>
      </w:pPr>
    </w:p>
    <w:p>
      <w:pPr>
        <w:jc w:val="both"/>
        <w:ind w:left="660" w:hanging="4"/>
        <w:spacing w:after="0" w:line="209" w:lineRule="auto"/>
        <w:tabs>
          <w:tab w:leader="none" w:pos="96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expressly permitted pursuant to the Note Documents as in effect on the Issue Date and (2) to any “debtor-in-possession” financing or similar financing; provided that the contemplated “debtor-in-possession” financing or similar financing (x) may not include a “roll-up” or refinancing, in whole or in part, of any Notes unless each Holder holding at least 15% of the outstanding principal amount of the Notes then outstanding on the date such determination is made by the Company has been given an opportunity to participate in such “roll-up” or refinancing on the same economic terms (other than bona fide backstop fees (which may be in the form of original issue discount)) and on a pro rata basis (which pro rata basis shall be determined as a percentage of all Notes) for a period of at least five (5) Business Days from the date of written notice in accordance with Section 12.01.</w:t>
      </w:r>
    </w:p>
    <w:p>
      <w:pPr>
        <w:spacing w:after="0" w:line="18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Without the consent of the holders of at least 66.67% in an aggregate principal amount of the Notes then outstanding, no amendment or supplement to this Indenture or the Notes, or waiver of any provision of this Indenture or the Notes, may:</w:t>
      </w:r>
    </w:p>
    <w:p>
      <w:pPr>
        <w:spacing w:after="0" w:line="131" w:lineRule="exact"/>
        <w:rPr>
          <w:sz w:val="20"/>
          <w:szCs w:val="20"/>
          <w:color w:val="auto"/>
        </w:rPr>
      </w:pPr>
    </w:p>
    <w:p>
      <w:pPr>
        <w:jc w:val="both"/>
        <w:ind w:left="660" w:firstLine="644"/>
        <w:spacing w:after="0" w:line="213" w:lineRule="auto"/>
        <w:tabs>
          <w:tab w:leader="none" w:pos="202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otherwise modify any Note Document if the amendment or modification would, or have the effect of, permitting additional Investments to be made to a Subsidiary which is not a Note Party, additional assets to be disposed or otherwise transferred to a Subsidiary which is not a Note Party or additional Indebtedness to be incurred by a Subsidiary which is not a Note Party, in each case, in excess of $40,000,000 of such amounts permitted under the Note Documents on the Issue Date; provided that, to the extent that any such amendment, modification or waiver is made in connection with a Liability Management Transaction, such amendment, modification or waiver shall require the written consent of each affected Holder; and</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waiver, amendment or modification, to permit the incurrence of (i) Additional Notes and (ii) any Indebtedness that is secured by the Collateral on a pari passu basis with the Notes, in each case, except pursuant to (x) </w:t>
      </w:r>
      <w:r>
        <w:rPr>
          <w:rFonts w:ascii="Times New Roman" w:cs="Times New Roman" w:eastAsia="Times New Roman" w:hAnsi="Times New Roman"/>
          <w:sz w:val="22"/>
          <w:szCs w:val="22"/>
          <w:b w:val="1"/>
          <w:bCs w:val="1"/>
          <w:color w:val="auto"/>
        </w:rPr>
        <w:t xml:space="preserve">Section 3.08(S) </w:t>
      </w:r>
      <w:r>
        <w:rPr>
          <w:rFonts w:ascii="Times New Roman" w:cs="Times New Roman" w:eastAsia="Times New Roman" w:hAnsi="Times New Roman"/>
          <w:sz w:val="22"/>
          <w:szCs w:val="22"/>
          <w:color w:val="auto"/>
        </w:rPr>
        <w:t>of the Indenture as in effect on the Issue Date, (y) a transaction in which participation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Indebtedness is offered, on the same economic terms (other than bona fide backstop fees (which may be in the form of original issue discount)) offered to all other providers (or their Affiliates) of such Indebtedness, to the holders of the Notes on a pro rata basis (determined based on the aggregate outstanding principal amount of Notes and the aggregate outstanding principal amount of any other Indebtedness (or commitments in respect thereof) that requires an offer to be made in connection therewith) or (z) a transaction permitted pursuant to Section 8.02(A)(xvi).</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 xml:space="preserve">For the avoidance of doubt, pursuant to </w:t>
      </w:r>
      <w:r>
        <w:rPr>
          <w:rFonts w:ascii="Times New Roman" w:cs="Times New Roman" w:eastAsia="Times New Roman" w:hAnsi="Times New Roman"/>
          <w:sz w:val="21"/>
          <w:szCs w:val="21"/>
          <w:b w:val="1"/>
          <w:bCs w:val="1"/>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(iv)</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b w:val="1"/>
          <w:bCs w:val="1"/>
          <w:color w:val="auto"/>
        </w:rPr>
        <w:t>Section 8.02(A)</w:t>
      </w:r>
      <w:r>
        <w:rPr>
          <w:rFonts w:ascii="Times New Roman" w:cs="Times New Roman" w:eastAsia="Times New Roman" w:hAnsi="Times New Roman"/>
          <w:sz w:val="21"/>
          <w:szCs w:val="21"/>
          <w:color w:val="auto"/>
        </w:rPr>
        <w:t>, no amendment or supplement to this Indenture, the Collateral Documents or the Notes, or waiver of any provision of this Indenture, the Collateral Documents or the Notes, may change the amount or type of consideration due on any Note (whether on an Interest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0" w:right="339" w:bottom="1440" w:gutter="0" w:footer="0" w:header="0"/>
        </w:sectPr>
      </w:pPr>
    </w:p>
    <w:bookmarkStart w:id="149" w:name="page150"/>
    <w:bookmarkEnd w:id="149"/>
    <w:p>
      <w:pPr>
        <w:ind w:right="20"/>
        <w:spacing w:after="0" w:line="271" w:lineRule="auto"/>
        <w:rPr>
          <w:sz w:val="20"/>
          <w:szCs w:val="20"/>
          <w:color w:val="auto"/>
        </w:rPr>
      </w:pPr>
      <w:r>
        <w:rPr>
          <w:rFonts w:ascii="Times New Roman" w:cs="Times New Roman" w:eastAsia="Times New Roman" w:hAnsi="Times New Roman"/>
          <w:sz w:val="22"/>
          <w:szCs w:val="22"/>
          <w:color w:val="auto"/>
        </w:rPr>
        <w:t>Date, Redemption Date, Fundamental Change Repurchase Date or the Maturity Date or upon conversion, or otherwise), or the date(s) or time(s) such consideration is payable or deliverable, as applicable, without the consent of each affected Holder.</w:t>
      </w:r>
    </w:p>
    <w:p>
      <w:pPr>
        <w:spacing w:after="0" w:line="127" w:lineRule="exact"/>
        <w:rPr>
          <w:sz w:val="20"/>
          <w:szCs w:val="20"/>
          <w:color w:val="auto"/>
        </w:rPr>
      </w:pPr>
    </w:p>
    <w:p>
      <w:pPr>
        <w:jc w:val="both"/>
        <w:ind w:firstLine="656"/>
        <w:spacing w:after="0" w:line="218" w:lineRule="auto"/>
        <w:tabs>
          <w:tab w:leader="none" w:pos="1287"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Required Holder Determination</w:t>
      </w:r>
      <w:r>
        <w:rPr>
          <w:rFonts w:ascii="Times New Roman" w:cs="Times New Roman" w:eastAsia="Times New Roman" w:hAnsi="Times New Roman"/>
          <w:sz w:val="21"/>
          <w:szCs w:val="21"/>
          <w:color w:val="auto"/>
        </w:rPr>
        <w:t>. Notwithstanding anything to the contrary herein, it is agreed and understood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parties hereto, and by all Holders of the Notes, that (i) any determination or direction required to be made by Required Holders in this Indenture or any other Note Document, (ii) any matter under the Note Documents with respect to an extension of time (other than with respect to a Default or Event of Default), (iii) any document required to be in form and/or substance satisfactory to the Trustee and/or Collateral Agent (at the direction of the Required Holders)) and (iv) any amendment to or waiver of </w:t>
      </w:r>
      <w:r>
        <w:rPr>
          <w:rFonts w:ascii="Times New Roman" w:cs="Times New Roman" w:eastAsia="Times New Roman" w:hAnsi="Times New Roman"/>
          <w:sz w:val="21"/>
          <w:szCs w:val="21"/>
          <w:b w:val="1"/>
          <w:bCs w:val="1"/>
          <w:color w:val="auto"/>
        </w:rPr>
        <w:t>Sections 3.08</w:t>
      </w:r>
      <w:r>
        <w:rPr>
          <w:rFonts w:ascii="Times New Roman" w:cs="Times New Roman" w:eastAsia="Times New Roman" w:hAnsi="Times New Roman"/>
          <w:sz w:val="21"/>
          <w:szCs w:val="21"/>
          <w:color w:val="auto"/>
        </w:rPr>
        <w:t xml:space="preserve"> (other than with respect to any amendment or waiver that would permit the incurrence of (x) Additional Notes, (y) additional Indebtedness that is permitted to be secured on a pari passu basis to the Notes or (z) additional Indebtedness that is permitted to be incurred by a Subsidiary that is not a Note Party), </w:t>
      </w:r>
      <w:r>
        <w:rPr>
          <w:rFonts w:ascii="Times New Roman" w:cs="Times New Roman" w:eastAsia="Times New Roman" w:hAnsi="Times New Roman"/>
          <w:sz w:val="21"/>
          <w:szCs w:val="21"/>
          <w:b w:val="1"/>
          <w:bCs w:val="1"/>
          <w:color w:val="auto"/>
        </w:rPr>
        <w:t>3.09</w:t>
      </w:r>
      <w:r>
        <w:rPr>
          <w:rFonts w:ascii="Times New Roman" w:cs="Times New Roman" w:eastAsia="Times New Roman" w:hAnsi="Times New Roman"/>
          <w:sz w:val="21"/>
          <w:szCs w:val="21"/>
          <w:color w:val="auto"/>
        </w:rPr>
        <w:t xml:space="preserve"> (other than with respect to any amendment or waiver that would permit the incurrence of Liens that secure Indebtedness on a pari passu basis to the Notes), </w:t>
      </w:r>
      <w:r>
        <w:rPr>
          <w:rFonts w:ascii="Times New Roman" w:cs="Times New Roman" w:eastAsia="Times New Roman" w:hAnsi="Times New Roman"/>
          <w:sz w:val="21"/>
          <w:szCs w:val="21"/>
          <w:b w:val="1"/>
          <w:bCs w:val="1"/>
          <w:color w:val="auto"/>
        </w:rPr>
        <w:t>3.11</w:t>
      </w:r>
      <w:r>
        <w:rPr>
          <w:rFonts w:ascii="Times New Roman" w:cs="Times New Roman" w:eastAsia="Times New Roman" w:hAnsi="Times New Roman"/>
          <w:sz w:val="21"/>
          <w:szCs w:val="21"/>
          <w:color w:val="auto"/>
        </w:rPr>
        <w:t xml:space="preserve"> (except as described in </w:t>
      </w:r>
      <w:r>
        <w:rPr>
          <w:rFonts w:ascii="Times New Roman" w:cs="Times New Roman" w:eastAsia="Times New Roman" w:hAnsi="Times New Roman"/>
          <w:sz w:val="21"/>
          <w:szCs w:val="21"/>
          <w:b w:val="1"/>
          <w:bCs w:val="1"/>
          <w:color w:val="auto"/>
        </w:rPr>
        <w:t>Section 8.02(A)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3.12</w:t>
      </w:r>
      <w:r>
        <w:rPr>
          <w:rFonts w:ascii="Times New Roman" w:cs="Times New Roman" w:eastAsia="Times New Roman" w:hAnsi="Times New Roman"/>
          <w:sz w:val="21"/>
          <w:szCs w:val="21"/>
          <w:color w:val="auto"/>
        </w:rPr>
        <w:t xml:space="preserve"> (except as described in </w:t>
      </w:r>
      <w:r>
        <w:rPr>
          <w:rFonts w:ascii="Times New Roman" w:cs="Times New Roman" w:eastAsia="Times New Roman" w:hAnsi="Times New Roman"/>
          <w:sz w:val="21"/>
          <w:szCs w:val="21"/>
          <w:b w:val="1"/>
          <w:bCs w:val="1"/>
          <w:color w:val="auto"/>
        </w:rPr>
        <w:t>Section 8.02(A)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3.15, 3.16, 3.17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3.33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3.34</w:t>
      </w:r>
      <w:r>
        <w:rPr>
          <w:rFonts w:ascii="Times New Roman" w:cs="Times New Roman" w:eastAsia="Times New Roman" w:hAnsi="Times New Roman"/>
          <w:sz w:val="21"/>
          <w:szCs w:val="21"/>
          <w:color w:val="auto"/>
        </w:rPr>
        <w:t xml:space="preserve"> can be made by the Administrative Determination Holder on behalf of the Required Holders, regardless of whether the Administrative Determination Holder constitutes the Required Holders at such time, and such determination or direction shall be binding on all of the Holders. The Trustee and the Collateral Agent may conclusively rely on any such determination or direction by the Administrative Determination Holders. By their acceptance of the Notes, each Holder of the Notes is deemed to agree that the Administrative Determination Holder is not an agent or fiduciary of any other Holder and may act solely in its own interest. The Administrative Determination Holder may make determinations or take actions that are disproportionately or solely to the benefit of the Administrative Determination Holder without any liability to any other Holder.</w:t>
      </w:r>
    </w:p>
    <w:p>
      <w:pPr>
        <w:spacing w:after="0" w:line="159" w:lineRule="exact"/>
        <w:rPr>
          <w:rFonts w:ascii="Times New Roman" w:cs="Times New Roman" w:eastAsia="Times New Roman" w:hAnsi="Times New Roman"/>
          <w:sz w:val="21"/>
          <w:szCs w:val="21"/>
          <w:color w:val="auto"/>
        </w:rPr>
      </w:pPr>
    </w:p>
    <w:p>
      <w:pPr>
        <w:jc w:val="both"/>
        <w:ind w:firstLine="656"/>
        <w:spacing w:after="0" w:line="227" w:lineRule="auto"/>
        <w:tabs>
          <w:tab w:leader="none" w:pos="128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Holders Need Not Approve the Particular Form of any Amendment</w:t>
      </w:r>
      <w:r>
        <w:rPr>
          <w:rFonts w:ascii="Times New Roman" w:cs="Times New Roman" w:eastAsia="Times New Roman" w:hAnsi="Times New Roman"/>
          <w:sz w:val="22"/>
          <w:szCs w:val="22"/>
          <w:color w:val="auto"/>
        </w:rPr>
        <w:t>. A consent of any Holder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8.02 </w:t>
      </w:r>
      <w:r>
        <w:rPr>
          <w:rFonts w:ascii="Times New Roman" w:cs="Times New Roman" w:eastAsia="Times New Roman" w:hAnsi="Times New Roman"/>
          <w:sz w:val="22"/>
          <w:szCs w:val="22"/>
          <w:color w:val="auto"/>
        </w:rPr>
        <w:t>need approve only the substance, and not necessarily the particular form, of the proposed amendment, 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waiver.</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Notice of Amendments, Supplements and Waivers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As soon as reasonably practicable after any amendment, supplement or waiver pursuant to </w:t>
      </w:r>
      <w:r>
        <w:rPr>
          <w:rFonts w:ascii="Times New Roman" w:cs="Times New Roman" w:eastAsia="Times New Roman" w:hAnsi="Times New Roman"/>
          <w:sz w:val="21"/>
          <w:szCs w:val="21"/>
          <w:b w:val="1"/>
          <w:bCs w:val="1"/>
          <w:color w:val="auto"/>
        </w:rPr>
        <w:t>Section 8.01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8.02</w:t>
      </w:r>
      <w:r>
        <w:rPr>
          <w:rFonts w:ascii="Times New Roman" w:cs="Times New Roman" w:eastAsia="Times New Roman" w:hAnsi="Times New Roman"/>
          <w:sz w:val="21"/>
          <w:szCs w:val="21"/>
          <w:color w:val="auto"/>
        </w:rPr>
        <w:t xml:space="preserve"> becomes effective, the Company will send to the Holders, the Trustee and the Collateral Agent notice that (A) describes the substance of such amendment, supplement or waiver in reasonable detail and (B) states the effective date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4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Revocation, Effect and Solicitation of Consents; Special Record Dates; Etc.</w:t>
      </w:r>
    </w:p>
    <w:p>
      <w:pPr>
        <w:spacing w:after="0" w:line="179" w:lineRule="exact"/>
        <w:rPr>
          <w:sz w:val="20"/>
          <w:szCs w:val="20"/>
          <w:color w:val="auto"/>
        </w:rPr>
      </w:pPr>
    </w:p>
    <w:p>
      <w:pPr>
        <w:jc w:val="both"/>
        <w:ind w:firstLine="656"/>
        <w:spacing w:after="0" w:line="221" w:lineRule="auto"/>
        <w:tabs>
          <w:tab w:leader="none" w:pos="128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Revocation and Effect of Consents</w:t>
      </w:r>
      <w:r>
        <w:rPr>
          <w:rFonts w:ascii="Times New Roman" w:cs="Times New Roman" w:eastAsia="Times New Roman" w:hAnsi="Times New Roman"/>
          <w:sz w:val="22"/>
          <w:szCs w:val="22"/>
          <w:color w:val="auto"/>
        </w:rPr>
        <w:t>. The consent of a Holder of a Note to an amendment, supplement or waiver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22"/>
          <w:szCs w:val="22"/>
          <w:b w:val="1"/>
          <w:bCs w:val="1"/>
          <w:color w:val="auto"/>
        </w:rPr>
        <w:t>Section 8.04(B)</w:t>
      </w:r>
      <w:r>
        <w:rPr>
          <w:rFonts w:ascii="Times New Roman" w:cs="Times New Roman" w:eastAsia="Times New Roman" w:hAnsi="Times New Roman"/>
          <w:sz w:val="22"/>
          <w:szCs w:val="22"/>
          <w:color w:val="auto"/>
        </w:rPr>
        <w:t>) any such consent with respect to such Note by delivering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notice of revocation to the Trustee before the time such amendment, supplement or waiver becomes effective.</w:t>
      </w:r>
    </w:p>
    <w:p>
      <w:pPr>
        <w:spacing w:after="0" w:line="175" w:lineRule="exact"/>
        <w:rPr>
          <w:sz w:val="20"/>
          <w:szCs w:val="20"/>
          <w:color w:val="auto"/>
        </w:rPr>
      </w:pPr>
    </w:p>
    <w:p>
      <w:pPr>
        <w:jc w:val="both"/>
        <w:ind w:firstLine="656"/>
        <w:spacing w:after="0" w:line="214" w:lineRule="auto"/>
        <w:tabs>
          <w:tab w:leader="none" w:pos="128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Record Dates</w:t>
      </w:r>
      <w:r>
        <w:rPr>
          <w:rFonts w:ascii="Times New Roman" w:cs="Times New Roman" w:eastAsia="Times New Roman" w:hAnsi="Times New Roman"/>
          <w:sz w:val="22"/>
          <w:szCs w:val="22"/>
          <w:color w:val="auto"/>
        </w:rPr>
        <w:t>. The Company may, but is not required to, fix a record date for the purpose of determining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Holders entitled to consent or take any other action in connection with any amendment, supplement or waiver pursuant to this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If a record date is fixed, then, notwithstanding anything to the contrary in</w:t>
      </w:r>
      <w:r>
        <w:rPr>
          <w:rFonts w:ascii="Times New Roman" w:cs="Times New Roman" w:eastAsia="Times New Roman" w:hAnsi="Times New Roman"/>
          <w:sz w:val="22"/>
          <w:szCs w:val="22"/>
          <w:b w:val="1"/>
          <w:bCs w:val="1"/>
          <w:color w:val="auto"/>
        </w:rPr>
        <w:t xml:space="preserve"> Section 8.04(A)</w:t>
      </w:r>
      <w:r>
        <w:rPr>
          <w:rFonts w:ascii="Times New Roman" w:cs="Times New Roman" w:eastAsia="Times New Roman" w:hAnsi="Times New Roman"/>
          <w:sz w:val="22"/>
          <w:szCs w:val="22"/>
          <w:color w:val="auto"/>
        </w:rPr>
        <w:t>, only Persons who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consent will be valid or effective for more than one hundred and twenty (120) calendar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record date.</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Solicitation of Consents</w:t>
      </w:r>
      <w:r>
        <w:rPr>
          <w:rFonts w:ascii="Times New Roman" w:cs="Times New Roman" w:eastAsia="Times New Roman" w:hAnsi="Times New Roman"/>
          <w:sz w:val="22"/>
          <w:szCs w:val="22"/>
          <w:color w:val="auto"/>
        </w:rPr>
        <w:t>. For the avoidance of doubt, each reference in this Indenture or the Notes to the consent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Holder will be deemed to include any such consent obtained in connection with a repurchase of, or tender or exchange offer for, any Notes.</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and Binding Effect</w:t>
      </w:r>
      <w:r>
        <w:rPr>
          <w:rFonts w:ascii="Times New Roman" w:cs="Times New Roman" w:eastAsia="Times New Roman" w:hAnsi="Times New Roman"/>
          <w:sz w:val="22"/>
          <w:szCs w:val="22"/>
          <w:color w:val="auto"/>
        </w:rPr>
        <w:t>. Each amendment, supplement or waiver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in accordance with its terms and, when it becomes effective with respect to any Note (or any portion thereof), will thereafter bind every Holder of such Note (or such portion).</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Notations and Exchanges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22"/>
          <w:szCs w:val="22"/>
          <w:b w:val="1"/>
          <w:bCs w:val="1"/>
          <w:color w:val="auto"/>
        </w:rPr>
        <w:t>Section 8.05</w:t>
      </w:r>
      <w:r>
        <w:rPr>
          <w:rFonts w:ascii="Times New Roman" w:cs="Times New Roman" w:eastAsia="Times New Roman" w:hAnsi="Times New Roman"/>
          <w:sz w:val="22"/>
          <w:szCs w:val="22"/>
          <w:color w:val="auto"/>
        </w:rPr>
        <w:t xml:space="preserve"> will not impair or affect the validity of such amendment, supplement or waiver.</w:t>
      </w:r>
    </w:p>
    <w:p>
      <w:pPr>
        <w:spacing w:after="0" w:line="15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Trustee And Collateral Agent to Execute Supplemental Indentures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Trustee and Collateral Agent will execute and deliver any amendment or supplemental indenture authorized pursuant to this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Trustee and Collateral Agent need not (but may, in its sole and absolute discretion) execute or deliver any such amendment or supplemental indenture that the Trustee and/or Collateral Agent concludes adversely affects the Trustee’s and/or the Collateral Agent’s rights, duties, liabilities or immunities. In executing any amendment or supplemental indenture, the Trustee and Collateral Agent will be entitled to receive, and (subject to </w:t>
      </w:r>
      <w:r>
        <w:rPr>
          <w:rFonts w:ascii="Times New Roman" w:cs="Times New Roman" w:eastAsia="Times New Roman" w:hAnsi="Times New Roman"/>
          <w:sz w:val="22"/>
          <w:szCs w:val="22"/>
          <w:b w:val="1"/>
          <w:bCs w:val="1"/>
          <w:color w:val="auto"/>
        </w:rPr>
        <w:t>Sections 10.01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10.02</w:t>
      </w:r>
      <w:r>
        <w:rPr>
          <w:rFonts w:ascii="Times New Roman" w:cs="Times New Roman" w:eastAsia="Times New Roman" w:hAnsi="Times New Roman"/>
          <w:sz w:val="22"/>
          <w:szCs w:val="22"/>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4" w:right="339" w:bottom="1440" w:gutter="0" w:footer="0" w:header="0"/>
        </w:sectPr>
      </w:pPr>
    </w:p>
    <w:bookmarkStart w:id="151" w:name="page152"/>
    <w:bookmarkEnd w:id="151"/>
    <w:p>
      <w:pPr>
        <w:ind w:left="5620"/>
        <w:spacing w:after="0"/>
        <w:rPr>
          <w:sz w:val="20"/>
          <w:szCs w:val="20"/>
          <w:color w:val="auto"/>
        </w:rPr>
      </w:pPr>
      <w:r>
        <w:rPr>
          <w:rFonts w:ascii="Times New Roman" w:cs="Times New Roman" w:eastAsia="Times New Roman" w:hAnsi="Times New Roman"/>
          <w:sz w:val="22"/>
          <w:szCs w:val="22"/>
          <w:b w:val="1"/>
          <w:bCs w:val="1"/>
          <w:color w:val="auto"/>
        </w:rPr>
        <w:t>9.</w:t>
      </w:r>
    </w:p>
    <w:p>
      <w:pPr>
        <w:spacing w:after="0" w:line="17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SATISFACTION AND DISCHARGE</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Termination of Company’s Obligations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color w:val="auto"/>
        </w:rPr>
        <w:t>This Indenture (including, for the avoidance of doubt, the covenants contained in this Indenture), the Guarantees and the Collateral Documents will be discharged, and will cease to be of further effect as to all Notes issued under this Indenture and then</w:t>
      </w:r>
    </w:p>
    <w:p>
      <w:pPr>
        <w:spacing w:after="0" w:line="2" w:lineRule="exact"/>
        <w:rPr>
          <w:sz w:val="20"/>
          <w:szCs w:val="20"/>
          <w:color w:val="auto"/>
        </w:rPr>
      </w:pPr>
    </w:p>
    <w:p>
      <w:pPr>
        <w:ind w:right="20" w:firstLine="8"/>
        <w:spacing w:after="0" w:line="261" w:lineRule="auto"/>
        <w:tabs>
          <w:tab w:leader="none" w:pos="3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liens on the Collateral will be automatically released with respect to the Notes and the Guarantees pursuant to </w:t>
      </w:r>
      <w:r>
        <w:rPr>
          <w:rFonts w:ascii="Times New Roman" w:cs="Times New Roman" w:eastAsia="Times New Roman" w:hAnsi="Times New Roman"/>
          <w:sz w:val="22"/>
          <w:szCs w:val="22"/>
          <w:b w:val="1"/>
          <w:bCs w:val="1"/>
          <w:color w:val="auto"/>
        </w:rPr>
        <w:t>Section 13.02</w:t>
      </w:r>
      <w:r>
        <w:rPr>
          <w:rFonts w:ascii="Times New Roman" w:cs="Times New Roman" w:eastAsia="Times New Roman" w:hAnsi="Times New Roman"/>
          <w:sz w:val="22"/>
          <w:szCs w:val="22"/>
          <w:color w:val="auto"/>
        </w:rPr>
        <w:t>, and (ii) the covenants contained in</w:t>
      </w:r>
      <w:r>
        <w:rPr>
          <w:rFonts w:ascii="Times New Roman" w:cs="Times New Roman" w:eastAsia="Times New Roman" w:hAnsi="Times New Roman"/>
          <w:sz w:val="22"/>
          <w:szCs w:val="22"/>
          <w:b w:val="1"/>
          <w:bCs w:val="1"/>
          <w:color w:val="auto"/>
        </w:rPr>
        <w:t xml:space="preserve"> Section 3 </w:t>
      </w:r>
      <w:r>
        <w:rPr>
          <w:rFonts w:ascii="Times New Roman" w:cs="Times New Roman" w:eastAsia="Times New Roman" w:hAnsi="Times New Roman"/>
          <w:sz w:val="22"/>
          <w:szCs w:val="22"/>
          <w:color w:val="auto"/>
        </w:rPr>
        <w:t>shall cease to be of further effect, when:</w:t>
      </w:r>
    </w:p>
    <w:p>
      <w:pPr>
        <w:spacing w:after="0" w:line="13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Notes then outstanding (other than Notes replaced pursuant to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have (i) been delivered to the Trustee for cancellation; or (ii) become due and payable (whether on a Redemption Date, a Fundamental Change Repurchase Date, the Maturity Date, upon conversion or otherwise, or otherwise will become due and payable within one year) for an amount of cash or Conversion Consideration, as applicable, that has been fixed;</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287"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21"/>
          <w:szCs w:val="21"/>
          <w:b w:val="1"/>
          <w:bCs w:val="1"/>
          <w:color w:val="auto"/>
        </w:rPr>
        <w:t>Section 2.12</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other amounts payable by it under this Indenture;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the Trustee or Collateral Agent, as applicable an Officer’s Certificate and an Opinion of Counsel, each stating that the conditions precedent to the discharge of this Indenture have been satisfied;</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2.10(E)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12.01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survive such discharge and, until no Notes remain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outstanding, </w:t>
      </w:r>
      <w:r>
        <w:rPr>
          <w:rFonts w:ascii="Times New Roman" w:cs="Times New Roman" w:eastAsia="Times New Roman" w:hAnsi="Times New Roman"/>
          <w:sz w:val="22"/>
          <w:szCs w:val="22"/>
          <w:b w:val="1"/>
          <w:bCs w:val="1"/>
          <w:color w:val="auto"/>
        </w:rPr>
        <w:t>Section 2.14</w:t>
      </w:r>
      <w:r>
        <w:rPr>
          <w:rFonts w:ascii="Times New Roman" w:cs="Times New Roman" w:eastAsia="Times New Roman" w:hAnsi="Times New Roman"/>
          <w:sz w:val="22"/>
          <w:szCs w:val="22"/>
          <w:color w:val="auto"/>
        </w:rPr>
        <w:t xml:space="preserve"> and the obligations of the Trustee, the Paying Agent and the Conversion Agent with respect to money or other property deposited with them will survive such discharge.</w:t>
      </w:r>
    </w:p>
    <w:p>
      <w:pPr>
        <w:spacing w:after="0" w:line="1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At the Company’s request, the Trustee and the Collateral Agent, as applicable, will acknowledge the satisfaction and discharge of this Indenture and, at the expense of the Company, shall execute instruments reasonably requested by the Company acknowledging satisfaction and discharge of this Indenture and the Notes and to evidence termination of the Liens on the Collateral.</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Repayment to Company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Subject to applicable unclaimed property law, the Trustee, the Collateral Agent,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0" w:right="339" w:bottom="1440" w:gutter="0" w:footer="0" w:header="0"/>
        </w:sectPr>
      </w:pPr>
    </w:p>
    <w:bookmarkStart w:id="152" w:name="page153"/>
    <w:bookmarkEnd w:id="152"/>
    <w:p>
      <w:pPr>
        <w:jc w:val="both"/>
        <w:spacing w:after="0" w:line="256" w:lineRule="auto"/>
        <w:rPr>
          <w:sz w:val="20"/>
          <w:szCs w:val="20"/>
          <w:color w:val="auto"/>
        </w:rPr>
      </w:pPr>
      <w:r>
        <w:rPr>
          <w:rFonts w:ascii="Times New Roman" w:cs="Times New Roman" w:eastAsia="Times New Roman" w:hAnsi="Times New Roman"/>
          <w:sz w:val="22"/>
          <w:szCs w:val="22"/>
          <w:color w:val="auto"/>
        </w:rPr>
        <w:t>such delivery to the Company, the Trustee, the Collateral Agent,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Reinstatement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the Trustee, the Collateral Agent, the Paying Agent or the Conversion Agent is unable to apply any cash or other property deposited with it pursuant to </w:t>
      </w:r>
      <w:r>
        <w:rPr>
          <w:rFonts w:ascii="Times New Roman" w:cs="Times New Roman" w:eastAsia="Times New Roman" w:hAnsi="Times New Roman"/>
          <w:sz w:val="22"/>
          <w:szCs w:val="22"/>
          <w:b w:val="1"/>
          <w:bCs w:val="1"/>
          <w:color w:val="auto"/>
        </w:rPr>
        <w:t>Section 9.01</w:t>
      </w:r>
      <w:r>
        <w:rPr>
          <w:rFonts w:ascii="Times New Roman" w:cs="Times New Roman" w:eastAsia="Times New Roman" w:hAnsi="Times New Roman"/>
          <w:sz w:val="22"/>
          <w:szCs w:val="22"/>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22"/>
          <w:szCs w:val="22"/>
          <w:b w:val="1"/>
          <w:bCs w:val="1"/>
          <w:color w:val="auto"/>
        </w:rPr>
        <w:t>Section 9.01</w:t>
      </w:r>
      <w:r>
        <w:rPr>
          <w:rFonts w:ascii="Times New Roman" w:cs="Times New Roman" w:eastAsia="Times New Roman" w:hAnsi="Times New Roman"/>
          <w:sz w:val="22"/>
          <w:szCs w:val="22"/>
          <w:color w:val="auto"/>
        </w:rPr>
        <w:t xml:space="preserve"> will be rescinded;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Collateral Agent, the Paying Agent or the Conversion Agent, as applicable.</w:t>
      </w:r>
    </w:p>
    <w:p>
      <w:pPr>
        <w:spacing w:after="0" w:line="1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10.</w:t>
      </w:r>
    </w:p>
    <w:p>
      <w:pPr>
        <w:spacing w:after="0" w:line="17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TRUSTEE AND COLLATERAL AGENT</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Duties of the Trustee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22" w:lineRule="auto"/>
        <w:tabs>
          <w:tab w:leader="none" w:pos="128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Event of Default has occurred and is continuing and a Responsible Officer of the Trustee has written notice or actual knowledge of the same, the Trustee will exercise such of the rights and powers vested in it by this Indenture solely at the discretion of the Administrative Determination Holder(s) (who shall be presumed to act for the Required Holders unless and until the Trustee receives written notice from the Required Holders that they object to an action proposed to be taken by the Administrative Determination Holder(s)) or the Required Holders;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spacing w:after="0" w:line="15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153" w:name="page154"/>
    <w:bookmarkEnd w:id="153"/>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negligence or willful misconduct, except that:</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paragraph will not limit the effect of </w:t>
      </w:r>
      <w:r>
        <w:rPr>
          <w:rFonts w:ascii="Times New Roman" w:cs="Times New Roman" w:eastAsia="Times New Roman" w:hAnsi="Times New Roman"/>
          <w:sz w:val="22"/>
          <w:szCs w:val="22"/>
          <w:b w:val="1"/>
          <w:bCs w:val="1"/>
          <w:color w:val="auto"/>
        </w:rPr>
        <w:t>Section 10.01(B)</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any error of judgment made in good faith by a Responsible Officer, unless it is proved that the Trustee was negligent in ascertaining the pertinent facts; and</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2"/>
          <w:szCs w:val="22"/>
          <w:b w:val="1"/>
          <w:bCs w:val="1"/>
          <w:color w:val="auto"/>
        </w:rPr>
        <w:t>Section 7.06</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8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provision of this Indenture that in any way relates to the Trustee is subject to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10.01</w:t>
      </w:r>
      <w:r>
        <w:rPr>
          <w:rFonts w:ascii="Times New Roman" w:cs="Times New Roman" w:eastAsia="Times New Roman" w:hAnsi="Times New Roman"/>
          <w:sz w:val="22"/>
          <w:szCs w:val="22"/>
          <w:color w:val="auto"/>
        </w:rPr>
        <w:t>, regardless of whether such provision so expressly provides.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will require the Trustee to expend or risk its own funds or incur any liability.</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Responsible Officer of the Trustee has received notice from the Company that Additional Interest is owing on the Notes, the Trustee may assume no Additional Interest is payable.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its right to be indemnified, are extended to, and will be enforceable by, the Trustee in each of its capacities under this Indenture, including as Collateral Agent or Note Agent.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charged with knowledge of any document or agreement other than this Indenture and the Notes, including, without limitation, the Exchange Agreements.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Every provision of this Indenture that in any way relates to the Trustee or the Collateral Agent (including any provision that affects the liability of, or affords protection to, the Trustee) is subject to this </w:t>
      </w:r>
      <w:r>
        <w:rPr>
          <w:rFonts w:ascii="Times New Roman" w:cs="Times New Roman" w:eastAsia="Times New Roman" w:hAnsi="Times New Roman"/>
          <w:sz w:val="22"/>
          <w:szCs w:val="22"/>
          <w:b w:val="1"/>
          <w:bCs w:val="1"/>
          <w:color w:val="auto"/>
        </w:rPr>
        <w:t>Section 10.01</w:t>
      </w:r>
      <w:r>
        <w:rPr>
          <w:rFonts w:ascii="Times New Roman" w:cs="Times New Roman" w:eastAsia="Times New Roman" w:hAnsi="Times New Roman"/>
          <w:sz w:val="22"/>
          <w:szCs w:val="22"/>
          <w:color w:val="auto"/>
        </w:rPr>
        <w:t>, regardless of whether such provision so expressly provides.</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Rights of the Trustee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656"/>
        <w:spacing w:after="0" w:line="236" w:lineRule="auto"/>
        <w:tabs>
          <w:tab w:leader="none" w:pos="128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on any document that it believes to be genuine and signed or presented by the proper Person, and the Trustee need not investigate any fact or matter stated in such document.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and agents and will not be responsible for the misconduct or negligence of any such agent appointed with due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395" w:right="339" w:bottom="1440" w:gutter="0" w:footer="0" w:header="0"/>
        </w:sectPr>
      </w:pPr>
    </w:p>
    <w:bookmarkStart w:id="154" w:name="page155"/>
    <w:bookmarkEnd w:id="154"/>
    <w:p>
      <w:pPr>
        <w:ind w:firstLine="656"/>
        <w:spacing w:after="0" w:line="236" w:lineRule="auto"/>
        <w:tabs>
          <w:tab w:leader="none" w:pos="128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any action it takes or omits to take in good faith and that it believes to be authorized or within the rights or powers vested in it by this Indenture.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Company will be sufficient if signed by an Officer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rights of the Trustee set forth in this Indenture will not be construed as duties imposed on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required to give any bond or surety in respect of the execution or performance of this Indenture or otherwise.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Responsible Officer of the Trustee has received notice from the Company that Additional Interest is owing or accruing, on the Notes, the Trustee may assume that no Additional Interest is payable or accruing.</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charged with knowledge of any document or agreement other than this Indenture and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55"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Individual Rights of the Trustee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22"/>
          <w:szCs w:val="22"/>
          <w:b w:val="1"/>
          <w:bCs w:val="1"/>
          <w:color w:val="auto"/>
        </w:rPr>
        <w:t>Section 10.03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Trustee’s Disclaimer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395" w:right="339" w:bottom="1440" w:gutter="0" w:footer="0" w:header="0"/>
          <w:type w:val="continuous"/>
        </w:sectPr>
      </w:pPr>
    </w:p>
    <w:bookmarkStart w:id="155" w:name="page156"/>
    <w:bookmarkEnd w:id="155"/>
    <w:p>
      <w:pPr>
        <w:jc w:val="both"/>
        <w:spacing w:after="0" w:line="257" w:lineRule="auto"/>
        <w:rPr>
          <w:sz w:val="20"/>
          <w:szCs w:val="20"/>
          <w:color w:val="auto"/>
        </w:rPr>
      </w:pPr>
      <w:r>
        <w:rPr>
          <w:rFonts w:ascii="Times New Roman" w:cs="Times New Roman" w:eastAsia="Times New Roman" w:hAnsi="Times New Roman"/>
          <w:sz w:val="22"/>
          <w:szCs w:val="22"/>
          <w:color w:val="auto"/>
        </w:rPr>
        <w:t>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Notice of Defaults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If a Default or Event of Default occurs and is continuing and is actually known to a Responsible Officer of the Trustee, then the Trustee will send Holders a notice of such Default or Event of Default within ninety (90) days after it occurs or, if it is not known to the Trustee at such time, promptly (and in any event within ten (10) Business Days) after it becomes actually known to a Responsible Officer;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except in the case of a Default or Event of Default in the payment of the principal of, or interest on, any Note,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spacing w:after="0" w:line="15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Compensation and Indemnity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09" w:lineRule="auto"/>
        <w:tabs>
          <w:tab w:leader="none" w:pos="128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from time to time, pay the Trustee and Collateral Agent, as applicable, reasonable compensation for its acceptance of this Indenture, as separately agreed by the Company, the Trustee and the Collateral Agent and services under this Indenture and Collateral Documents. The Trustee’s and Collateral Agent’s compensation will not be limited by any law on compensation of a trustee or collateral agent of an express trust. In addition to the compensation for the Trustee’s or Collateral Agent’s services, the Company will reimburse the Trustee, the Collateral Agent and the Deerfield Holders, as applicable, promptly upon request for all reasonable and documented disbursements, advances and out-of-pocket expenses incurred or made by them under this Indenture or Note Documents (including, for the avoidance of doubt (i) all reasonable and documented expenses incurred in connection with the protection, sale or collection of, or other realization upon, any of the Collateral, including all reasonable and documented out of pocket expenses of taking, collecting, holding, sorting, handling, preparing for sale, selling, or the like, and other such expenses of sales and collections of Collateral, and (ii) all reasonable and documented out-of-pocket title, appraisal, survey, audit, environmental inspection, consulting, search, recording, filing and similar costs, fees and expenses incurred or sustained by the Collateral Agent or any of its Affiliates in connection with the Security Agreement or the Collateral), including the reasonable compensation, disbursements and expenses of their agents and counsel.</w:t>
      </w:r>
    </w:p>
    <w:p>
      <w:pPr>
        <w:spacing w:after="0" w:line="15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indemnify the Trustee and Collateral Agent (in each of its capacities)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to its negligence or willful misconduct, as determined by a final decision of a court of competent jurisdiction. The Trustee or Collateral Agent, as applicable, will promptly notify the Company of any claim for which it may seek indemnity, but the Trustee’s or Collateral Agent’s failure to so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Company will not relieve the Company of its obligations under this </w:t>
      </w:r>
      <w:r>
        <w:rPr>
          <w:rFonts w:ascii="Times New Roman" w:cs="Times New Roman" w:eastAsia="Times New Roman" w:hAnsi="Times New Roman"/>
          <w:sz w:val="22"/>
          <w:szCs w:val="22"/>
          <w:b w:val="1"/>
          <w:bCs w:val="1"/>
          <w:color w:val="auto"/>
        </w:rPr>
        <w:t>Section 10.06(B)</w:t>
      </w:r>
      <w:r>
        <w:rPr>
          <w:rFonts w:ascii="Times New Roman" w:cs="Times New Roman" w:eastAsia="Times New Roman" w:hAnsi="Times New Roman"/>
          <w:sz w:val="22"/>
          <w:szCs w:val="22"/>
          <w:color w:val="auto"/>
        </w:rPr>
        <w:t>, except to the extent the Company is materially prejudiced by such failure. The Company will defend such claim, and the Trustee and Collateral Agent will cooperate in such defense, as applicable. If the Trustee or Collateral Agent is advised by counsel that it may have defenses available to it that are in conflict with the defenses available to the Company, or that there is an actual or potential conflict of interest, then the Trustee and/or Collateral Agent may retain separate counsel, and the Company will pay the reasonable fees and expenses of such counsel (including the reasonable fees and expenses of counsel to the Trustee and/or Collateral Agent incurred in evaluating whether such a conflict exists). The Company need not pay for any settlement of any such claim made without its consent, which consent will not be unreasonably withheld.</w:t>
      </w:r>
    </w:p>
    <w:p>
      <w:pPr>
        <w:spacing w:after="0" w:line="148" w:lineRule="exact"/>
        <w:rPr>
          <w:sz w:val="20"/>
          <w:szCs w:val="20"/>
          <w:color w:val="auto"/>
        </w:rPr>
      </w:pPr>
    </w:p>
    <w:p>
      <w:pPr>
        <w:ind w:firstLine="656"/>
        <w:spacing w:after="0" w:line="238" w:lineRule="auto"/>
        <w:tabs>
          <w:tab w:leader="none" w:pos="128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Company under this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xml:space="preserve"> will survive the resignation or removal of the Trustee and the discharge of this Indenture.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the Company’s payment obligations in this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the Trustee and Collateral Agent will have a lien prior to the Notes on all money or property held or collected by the Trustee or Collateral Agent, as applicable, except that held in trust to pay principal of, or interest on, particular Notes, which lien will survive the discharge of this Indenture.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or Collateral Agent incurs expenses or renders services after an Event of Default pursuant to </w:t>
      </w:r>
      <w:r>
        <w:rPr>
          <w:rFonts w:ascii="Times New Roman" w:cs="Times New Roman" w:eastAsia="Times New Roman" w:hAnsi="Times New Roman"/>
          <w:sz w:val="22"/>
          <w:szCs w:val="22"/>
          <w:b w:val="1"/>
          <w:bCs w:val="1"/>
          <w:color w:val="auto"/>
        </w:rPr>
        <w:t xml:space="preserve">clause (ix)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(x) </w:t>
      </w:r>
      <w:r>
        <w:rPr>
          <w:rFonts w:ascii="Times New Roman" w:cs="Times New Roman" w:eastAsia="Times New Roman" w:hAnsi="Times New Roman"/>
          <w:sz w:val="22"/>
          <w:szCs w:val="22"/>
          <w:color w:val="auto"/>
        </w:rPr>
        <w:t>of</w:t>
      </w:r>
      <w:r>
        <w:rPr>
          <w:rFonts w:ascii="Times New Roman" w:cs="Times New Roman" w:eastAsia="Times New Roman" w:hAnsi="Times New Roman"/>
          <w:sz w:val="22"/>
          <w:szCs w:val="22"/>
          <w:b w:val="1"/>
          <w:bCs w:val="1"/>
          <w:color w:val="auto"/>
        </w:rPr>
        <w:t xml:space="preserve"> Section 7.01(A) </w:t>
      </w:r>
      <w:r>
        <w:rPr>
          <w:rFonts w:ascii="Times New Roman" w:cs="Times New Roman" w:eastAsia="Times New Roman" w:hAnsi="Times New Roman"/>
          <w:sz w:val="22"/>
          <w:szCs w:val="22"/>
          <w:color w:val="auto"/>
        </w:rPr>
        <w:t>occurs, then such expenses and the compensation for such services (including the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of its agents and counsel) are intended to constitute expenses of administration under any Bankruptcy Law.</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Replacement of the Trustee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7" w:lineRule="auto"/>
        <w:tabs>
          <w:tab w:leader="none" w:pos="128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10.07</w:t>
      </w:r>
      <w:r>
        <w:rPr>
          <w:rFonts w:ascii="Times New Roman" w:cs="Times New Roman" w:eastAsia="Times New Roman" w:hAnsi="Times New Roman"/>
          <w:sz w:val="22"/>
          <w:szCs w:val="22"/>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22"/>
          <w:szCs w:val="22"/>
          <w:b w:val="1"/>
          <w:bCs w:val="1"/>
          <w:color w:val="auto"/>
        </w:rPr>
        <w:t>Section 10.07</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resign at any time and be discharged from the trust created by this Indenture by so notifying the Company. Required Holders may remove the Trustee by so notifying the Trustee and the Company in writing. The Company may remove the Trustee if:</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fails to comply with </w:t>
      </w:r>
      <w:r>
        <w:rPr>
          <w:rFonts w:ascii="Times New Roman" w:cs="Times New Roman" w:eastAsia="Times New Roman" w:hAnsi="Times New Roman"/>
          <w:sz w:val="22"/>
          <w:szCs w:val="22"/>
          <w:b w:val="1"/>
          <w:bCs w:val="1"/>
          <w:color w:val="auto"/>
        </w:rPr>
        <w:t>Section 10.09</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to be bankrupt or insolvent or an order for relief is entered with respect to the Trustee under any Bankruptcy Law;</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resigns or is removed, or if a vacancy exists in the office of the Trustee for any reason, then (i) the Company will promptly appoint a successor Trustee; and (ii) at any time within one (1) year after the successor Trustee takes office, Required Holders may appoint a successor Trustee to replace such successor Trustee appointed by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1" w:right="339" w:bottom="1440" w:gutter="0" w:footer="0" w:header="0"/>
        </w:sectPr>
      </w:pPr>
    </w:p>
    <w:bookmarkStart w:id="157" w:name="page158"/>
    <w:bookmarkEnd w:id="157"/>
    <w:p>
      <w:pPr>
        <w:jc w:val="both"/>
        <w:ind w:firstLine="656"/>
        <w:spacing w:after="0" w:line="227" w:lineRule="auto"/>
        <w:tabs>
          <w:tab w:leader="none" w:pos="128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after written request by a Holder of at least six (6) months, fails to comply with </w:t>
      </w:r>
      <w:r>
        <w:rPr>
          <w:rFonts w:ascii="Times New Roman" w:cs="Times New Roman" w:eastAsia="Times New Roman" w:hAnsi="Times New Roman"/>
          <w:sz w:val="22"/>
          <w:szCs w:val="22"/>
          <w:b w:val="1"/>
          <w:bCs w:val="1"/>
          <w:color w:val="auto"/>
        </w:rPr>
        <w:t>Section 10.09</w:t>
      </w:r>
      <w:r>
        <w:rPr>
          <w:rFonts w:ascii="Times New Roman" w:cs="Times New Roman" w:eastAsia="Times New Roman" w:hAnsi="Times New Roman"/>
          <w:sz w:val="22"/>
          <w:szCs w:val="22"/>
          <w:color w:val="auto"/>
        </w:rPr>
        <w:t>, then such Holder may petition any court of competent jurisdiction for the removal of the Trustee and the appointment of a successor Trustee.</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22"/>
          <w:szCs w:val="22"/>
          <w:b w:val="1"/>
          <w:bCs w:val="1"/>
          <w:color w:val="auto"/>
        </w:rPr>
        <w:t>Section 10.06(D)</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1"/>
          <w:szCs w:val="21"/>
          <w:b w:val="1"/>
          <w:bCs w:val="1"/>
          <w:color w:val="auto"/>
        </w:rPr>
        <w:t>Successor Trustee by Merger, Etc.</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the Trustee consolidates, merges or converts into, or transfers all or substantially all of its corporate trust business to, another entity, then such entity will become the successor Trustee without any further act.</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Eligibility; Disqualification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1"/>
          <w:szCs w:val="21"/>
          <w:b w:val="1"/>
          <w:bCs w:val="1"/>
          <w:color w:val="auto"/>
        </w:rPr>
        <w:t>Collateral Agent; Collateral Documents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25" w:lineRule="auto"/>
        <w:tabs>
          <w:tab w:leader="none" w:pos="128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Bank Trust Company, National Association, is hereby designated and appointed as the Collateral Agent under this Indenture and the other Collateral Documents and U.S. Bank Trust Company, National Association, hereby accepts such designation and appointment.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date of this Indenture. It is hereby expressly acknowledged and agreed that, in doing so, the Trustee and the Collateral Agent are (a) expressly authorized to make the representations attributed to the Holders in any such agreements and (b) not responsible for the terms or contents of such agreements, or for the validity or enforceability thereof, or the sufficiency thereof for any purpose; provided that nothing in this sentence shall be construed to relieve the Trustee or the Collateral Agent from liability for its own grossly negligent action, its own grossly negligent failure to act or its own willful misconduct. Whether or not so expressly stated therein, in entering into, or taking (or forbearing from) any action under, any Collateral Documents, the Trustee and the Collateral Agent each shall have all of the rights, immunities, indemnities and other protections granted to it under this Indenture (in addition to those that may be granted to it under the terms of such other agreement or agreements). The Collateral Agent shall have all rights, privileges and immunities as are granted to the Trustee under this Indenture.</w:t>
      </w:r>
    </w:p>
    <w:p>
      <w:pPr>
        <w:spacing w:after="0" w:line="14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1.11.</w:t>
      </w:r>
      <w:r>
        <w:rPr>
          <w:sz w:val="20"/>
          <w:szCs w:val="20"/>
          <w:color w:val="auto"/>
        </w:rPr>
        <w:tab/>
      </w:r>
      <w:r>
        <w:rPr>
          <w:rFonts w:ascii="Times New Roman" w:cs="Times New Roman" w:eastAsia="Times New Roman" w:hAnsi="Times New Roman"/>
          <w:sz w:val="21"/>
          <w:szCs w:val="21"/>
          <w:b w:val="1"/>
          <w:bCs w:val="1"/>
          <w:color w:val="auto"/>
        </w:rPr>
        <w:t>Replacement of Collateral Agent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391" w:right="339" w:bottom="1440" w:gutter="0" w:footer="0" w:header="0"/>
        </w:sectPr>
      </w:pPr>
    </w:p>
    <w:bookmarkStart w:id="158" w:name="page159"/>
    <w:bookmarkEnd w:id="158"/>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Collateral Agent may resign, be removed and be replaced in accordance with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 xml:space="preserve"> as though references to the Trustee therein were references to the Collateral Agent. Any successor collateral agent appointed as provided in this section shall execute, acknowledge and deliver to the Company and to its predecessor collateral agent an instrument accepting such appointment hereunder, and thereupon the resignation or removal of the predecessor collateral agent shall become effective and such successor collateral agent, without any further act, deed or conveyance, shall become vested with all the rights, powers, duties and obligations of its predecessor hereunder, with like effect as if originally named as Collateral Agent herein; but, nevertheless, on the written request of the Company or of the successor collateral agent, the collateral agent ceasing to act shall, at the expense of the Company and subject to payment of any amounts then due pursuant to the provisions of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xml:space="preserve">, execute and deliver an instrument transferring to such successor collateral agent all the rights and powers of the trustee so ceasing to act. Upon request of any such collateral agent, the Company shall execute any and all instruments in writing for more fully and certainly vesting in and confirming to such successor collateral agent all such rights and powers. Any collateral agent ceasing to act shall, nevertheless, retain a senior lien to which the Notes are hereby made subordinate on all money or property held or collected by such collateral agent as such, except for funds held in trust for the benefit of Holders of particular Notes, to secure any amounts then due it pursuant to the provisions of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xml:space="preserve">. No successor collateral agent shall accept appointment unless at the time of such acceptance, such successor collateral agent shall be eligible under the provisions of </w:t>
      </w:r>
      <w:r>
        <w:rPr>
          <w:rFonts w:ascii="Times New Roman" w:cs="Times New Roman" w:eastAsia="Times New Roman" w:hAnsi="Times New Roman"/>
          <w:sz w:val="22"/>
          <w:szCs w:val="22"/>
          <w:b w:val="1"/>
          <w:bCs w:val="1"/>
          <w:color w:val="auto"/>
        </w:rPr>
        <w:t>Section 10.09</w:t>
      </w:r>
      <w:r>
        <w:rPr>
          <w:rFonts w:ascii="Times New Roman" w:cs="Times New Roman" w:eastAsia="Times New Roman" w:hAnsi="Times New Roman"/>
          <w:sz w:val="22"/>
          <w:szCs w:val="22"/>
          <w:color w:val="auto"/>
        </w:rPr>
        <w:t xml:space="preserve">. Upon acceptance of appointment by a successor collateral agent, each of the Company and the successor collateral agent, at the written direction and at the expense of the Company, shall give or cause to be given notice of the succession of such collateral agent hereunder to the Holders in accordance with </w:t>
      </w:r>
      <w:r>
        <w:rPr>
          <w:rFonts w:ascii="Times New Roman" w:cs="Times New Roman" w:eastAsia="Times New Roman" w:hAnsi="Times New Roman"/>
          <w:sz w:val="22"/>
          <w:szCs w:val="22"/>
          <w:b w:val="1"/>
          <w:bCs w:val="1"/>
          <w:color w:val="auto"/>
        </w:rPr>
        <w:t>Section 12.01</w:t>
      </w:r>
      <w:r>
        <w:rPr>
          <w:rFonts w:ascii="Times New Roman" w:cs="Times New Roman" w:eastAsia="Times New Roman" w:hAnsi="Times New Roman"/>
          <w:sz w:val="22"/>
          <w:szCs w:val="22"/>
          <w:color w:val="auto"/>
        </w:rPr>
        <w:t>. If the Company fails to give such notice within ten days after acceptance of appointment by the successor collateral agent, the successor collateral agent shall cause such notice to be given at the expense of the Company.</w:t>
      </w:r>
    </w:p>
    <w:p>
      <w:pPr>
        <w:spacing w:after="0" w:line="16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b w:val="1"/>
          <w:bCs w:val="1"/>
          <w:color w:val="auto"/>
        </w:rPr>
        <w:t>Suits to Protect the Collateral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8" w:lineRule="auto"/>
        <w:tabs>
          <w:tab w:leader="none" w:pos="128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b w:val="1"/>
          <w:bCs w:val="1"/>
          <w:color w:val="auto"/>
        </w:rPr>
        <w:t>Article 10</w:t>
      </w:r>
      <w:r>
        <w:rPr>
          <w:rFonts w:ascii="Times New Roman" w:cs="Times New Roman" w:eastAsia="Times New Roman" w:hAnsi="Times New Roman"/>
          <w:sz w:val="22"/>
          <w:szCs w:val="22"/>
          <w:color w:val="auto"/>
        </w:rPr>
        <w:t xml:space="preserve"> hereof and the Collateral Documents, the Trustee, without the consent of the Holders, on behalf of the Holders, may or may direct the Collateral Agent to take all actions it determines in order to:</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any of the terms of the Collateral Documents;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 and receive any and all amounts payable in respect of the obligations under the Notes.</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the Collateral Documents, the Collateral Agent shall have power to institute and to maintain such suits and proceedings as the Collateral Agent may determine to prevent any impairment of the Collateral by any acts which may be unlawful or in violation of any of the Collateral Documents or this Indenture, and such suits and proceedings as the Collateral Agent may determine to preserve or protect its interests and the interests of the Holders in the Collateral. Nothing in this </w:t>
      </w:r>
      <w:r>
        <w:rPr>
          <w:rFonts w:ascii="Times New Roman" w:cs="Times New Roman" w:eastAsia="Times New Roman" w:hAnsi="Times New Roman"/>
          <w:sz w:val="22"/>
          <w:szCs w:val="22"/>
          <w:b w:val="1"/>
          <w:bCs w:val="1"/>
          <w:color w:val="auto"/>
        </w:rPr>
        <w:t>Section 10.12</w:t>
      </w:r>
      <w:r>
        <w:rPr>
          <w:rFonts w:ascii="Times New Roman" w:cs="Times New Roman" w:eastAsia="Times New Roman" w:hAnsi="Times New Roman"/>
          <w:sz w:val="22"/>
          <w:szCs w:val="22"/>
          <w:color w:val="auto"/>
        </w:rPr>
        <w:t xml:space="preserve"> shall be considered to impose any such duty or obligation to act on the part of the Collateral Agent and neither the Trustee nor the Collateral Agent shall be liable for any such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18" w:right="339" w:bottom="1440" w:gutter="0" w:footer="0" w:header="0"/>
        </w:sectPr>
      </w:pPr>
    </w:p>
    <w:bookmarkStart w:id="159" w:name="page160"/>
    <w:bookmarkEnd w:id="159"/>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1.13.</w:t>
      </w:r>
      <w:r>
        <w:rPr>
          <w:sz w:val="20"/>
          <w:szCs w:val="20"/>
          <w:color w:val="auto"/>
        </w:rPr>
        <w:tab/>
      </w:r>
      <w:r>
        <w:rPr>
          <w:rFonts w:ascii="Times New Roman" w:cs="Times New Roman" w:eastAsia="Times New Roman" w:hAnsi="Times New Roman"/>
          <w:sz w:val="21"/>
          <w:szCs w:val="21"/>
          <w:b w:val="1"/>
          <w:bCs w:val="1"/>
          <w:color w:val="auto"/>
        </w:rPr>
        <w:t>Collateral Agent; Authorization of Action to be Taken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5" w:lineRule="auto"/>
        <w:tabs>
          <w:tab w:leader="none" w:pos="128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Agent agrees that it will hold the security interests in the Collateral created under the Collateral Documents to which it is a party as contemplated by this Indenture, and any and all proceeds thereof, for the benefit of, the Secured Parties, without limiting the Collateral Agent’s rights, including under this </w:t>
      </w:r>
      <w:r>
        <w:rPr>
          <w:rFonts w:ascii="Times New Roman" w:cs="Times New Roman" w:eastAsia="Times New Roman" w:hAnsi="Times New Roman"/>
          <w:sz w:val="22"/>
          <w:szCs w:val="22"/>
          <w:b w:val="1"/>
          <w:bCs w:val="1"/>
          <w:color w:val="auto"/>
        </w:rPr>
        <w:t>Section 10.13</w:t>
      </w:r>
      <w:r>
        <w:rPr>
          <w:rFonts w:ascii="Times New Roman" w:cs="Times New Roman" w:eastAsia="Times New Roman" w:hAnsi="Times New Roman"/>
          <w:sz w:val="22"/>
          <w:szCs w:val="22"/>
          <w:color w:val="auto"/>
        </w:rPr>
        <w:t xml:space="preserve">, to act in preservation of the security interest in the Collateral. The Collateral Agent is authorized and empowered to appoint one or more co-collateral agents as it deems necessary or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collateral agent hereunder shall be personally liable by reason of any act or omission of any other collateral agent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the Collateral Agent nor any of their respective officers, directors, employees, attorneys or agents will be responsible or liable for the existence, genuineness, value or protection of any Collateral, for the legality, enforceability, effectiveness, or sufficiency of the Collateral Documents, for the creation, perfection, priority, sufficiency or protection of any Lien, including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Collateral Documents or any delay in doing so. Neither the Trustee nor the Collateral Agent nor any of their respective officers, directors, employees, attorneys or agents will be responsible or liable for making any filings or recordings to perfect or maintain the perfection of the Collateral Agent’s Lien in the Collateral, including the filing of any UCC financing statements, continuation statements, Mortgages or any filings with respect to the U.S. Patent and Trademark Office or U.S. Copyright Office.</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Collateral Agent shall not have any duties or obligations except those expressly set forth in this Indenture and the Collateral Documents to which it is a party, and its duties hereunder shall be administrative in nature. Without limiting the generality of the foregoing, (1) the Collateral Agent shall not be subject to any fiduciary or other implied duties, regardless of whether a Default or Event of Default has occurred and is continuing and, without limiting the generality of the foregoing, the use of the term “agent” herein and in the Collateral Documents with reference to the Collateral Agent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 (2) the Collateral Agent shall not have any duty to take any discretionary action or exercise any discretionary powers; </w:t>
      </w:r>
      <w:r>
        <w:rPr>
          <w:rFonts w:ascii="Times New Roman" w:cs="Times New Roman" w:eastAsia="Times New Roman" w:hAnsi="Times New Roman"/>
          <w:sz w:val="21"/>
          <w:szCs w:val="21"/>
          <w:i w:val="1"/>
          <w:iCs w:val="1"/>
          <w:color w:val="auto"/>
        </w:rPr>
        <w:t>and, further,</w:t>
      </w:r>
      <w:r>
        <w:rPr>
          <w:rFonts w:ascii="Times New Roman" w:cs="Times New Roman" w:eastAsia="Times New Roman" w:hAnsi="Times New Roman"/>
          <w:sz w:val="21"/>
          <w:szCs w:val="21"/>
          <w:color w:val="auto"/>
        </w:rPr>
        <w:t xml:space="preserve"> the Collateral Agent shall not be required to take any action that, in its opinion or the opinion of its counsel, may expose the Collateral Agent to liability or that is contrary to this Indenture, the Collateral Documents or applicable laws, and (3) except as expressly set forth in the documents to which it is a party, the Collateral Agent shall not have any duty to disclose, and shall not be liable for the failure to disclose, any information relating to any the Company or any Guarantor that is communicated to or obtained by the Person serving as Collateral Agent in any capacity. The Collateral Agent shall not be liable for any action taken or not taken by it with the consent or at the request of Required Holders (or such other number or percentage of the Holders as shall be necessary, or as the Collateral Agent shall believe in good faith shall be necessary, under the circumstances) or in the absence of its own gross negligence or willful misconduct as determined by the final and non-appealable judgment of a court of competent jurisdiction, in connection with its duties expressly set forth herein. The Collateral Agent shall be deemed not to have knowledge of any Default or Event of Default unless and until written notice thereof (stating that it is a “notice of default” and describing such Default or Event of Default) is given to a Responsible Officer of the Collateral Agent by the Company or any Holder. Except as directed by Holders of not less than </w:t>
      </w:r>
      <w:r>
        <w:rPr>
          <w:rFonts w:ascii="Times New Roman" w:cs="Times New Roman" w:eastAsia="Times New Roman" w:hAnsi="Times New Roman"/>
          <w:sz w:val="21"/>
          <w:szCs w:val="21"/>
          <w:color w:val="auto"/>
          <w:highlight w:val="yellow"/>
        </w:rPr>
        <w:t>25.0</w:t>
      </w:r>
      <w:r>
        <w:rPr>
          <w:rFonts w:ascii="Times New Roman" w:cs="Times New Roman" w:eastAsia="Times New Roman" w:hAnsi="Times New Roman"/>
          <w:sz w:val="21"/>
          <w:szCs w:val="21"/>
          <w:color w:val="auto"/>
        </w:rPr>
        <w:t>% of the outstanding principal amount of the Notes, and only if indemnified to its satisfaction, the Collateral Agent will not be obligated: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391" w:right="339" w:bottom="1440" w:gutter="0" w:footer="0" w:header="0"/>
        </w:sectPr>
      </w:pPr>
    </w:p>
    <w:bookmarkStart w:id="160" w:name="page161"/>
    <w:bookmarkEnd w:id="160"/>
    <w:p>
      <w:pPr>
        <w:ind w:left="1940" w:hanging="636"/>
        <w:spacing w:after="0"/>
        <w:tabs>
          <w:tab w:leader="none" w:pos="194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act upon directions purported to be delivered to it by any Person;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foreclose upon or otherwise enforce any lien created under the Collateral Documents; or</w:t>
      </w:r>
    </w:p>
    <w:p>
      <w:pPr>
        <w:spacing w:after="0" w:line="175" w:lineRule="exact"/>
        <w:rPr>
          <w:rFonts w:ascii="Times New Roman" w:cs="Times New Roman" w:eastAsia="Times New Roman" w:hAnsi="Times New Roman"/>
          <w:sz w:val="22"/>
          <w:szCs w:val="22"/>
          <w:color w:val="auto"/>
        </w:rPr>
      </w:pPr>
    </w:p>
    <w:p>
      <w:pPr>
        <w:ind w:left="660" w:firstLine="644"/>
        <w:spacing w:after="0" w:line="238" w:lineRule="auto"/>
        <w:tabs>
          <w:tab w:leader="none" w:pos="1956"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in </w:t>
      </w:r>
      <w:r>
        <w:rPr>
          <w:rFonts w:ascii="Times New Roman" w:cs="Times New Roman" w:eastAsia="Times New Roman" w:hAnsi="Times New Roman"/>
          <w:sz w:val="22"/>
          <w:szCs w:val="22"/>
          <w:b w:val="1"/>
          <w:bCs w:val="1"/>
          <w:color w:val="auto"/>
        </w:rPr>
        <w:t>Section 13.02</w:t>
      </w:r>
      <w:r>
        <w:rPr>
          <w:rFonts w:ascii="Times New Roman" w:cs="Times New Roman" w:eastAsia="Times New Roman" w:hAnsi="Times New Roman"/>
          <w:sz w:val="22"/>
          <w:szCs w:val="22"/>
          <w:color w:val="auto"/>
        </w:rPr>
        <w:t>, to take any other action whatsoever with regard to any or all of the Collateral Documents or Collateral.</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acting as Collateral Agent hereunder and under the Collateral Documents, the Collateral Agent shall be entitled to conclusively rely upon and enforce each and all of the rights, privileges, immunities, indemnities and benefits of the Trustee under Article 10;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references in such Article 10 to “Trustee” shall be references to “Collateral Agent”.</w:t>
      </w:r>
    </w:p>
    <w:p>
      <w:pPr>
        <w:spacing w:after="0" w:line="152"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this Indenture or the Collateral Documents for being the signatory, sender or authenticator thereof). The Collateral Agent also may rely upon any statement made to it orally or by telephone and believed by it to have been made by the proper Person (whether or not such Person in fact meets the requirements set forth in this Indenture and the Collateral Documents for being the maker thereof), and may act upon any such statement prior to receipt of written confirmation thereof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w:t>
      </w:r>
    </w:p>
    <w:p>
      <w:pPr>
        <w:spacing w:after="0" w:line="152"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when the Trustee is not itself the Collateral Agent, the Company will deliver to the Trustee, which shall deliver to the Holders of Notes, copies of all Collateral Documents delivered to the Collateral Agent and copies of all documents delivered to the Collateral Agent pursuant to the Collateral Documents.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Each Holder of Notes consents and agrees to the terms of each Collateral Document, as originally in effect and as amended, restated, amended and restated, supplemented or otherwise modified or replaced from time to time in accordance with its terms or the terms of this Indenture, authorizes and directs the Trustee and the Collateral Agent to enter into the Collateral Documents to which it is a party, authorizes and empowers the Trustee and the Collateral Agent to bind the Holders of Notes as set forth in the Collateral Documents to which it is party and to perform its obligations and exercise its rights and powers thereunder. Any request, demand, authorization, direction, notice, consent, waiver, approval, exercise of judgment or discretion, designation or other action provided or permitted by this Indenture to be given, taken or exercised by the Collateral Agent, shall be given, taken or exercised by the Collateral Agent or the Required Holders unless such action is otherwise permitted pursuant to this Indenture or the Collateral Documents (including, upon reliance of an Officer’s Certificate and/or Opinion of Counsel).</w:t>
      </w:r>
    </w:p>
    <w:p>
      <w:pPr>
        <w:spacing w:after="0" w:line="13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1.14.</w:t>
      </w:r>
      <w:r>
        <w:rPr>
          <w:sz w:val="20"/>
          <w:szCs w:val="20"/>
          <w:color w:val="auto"/>
        </w:rPr>
        <w:tab/>
      </w:r>
      <w:r>
        <w:rPr>
          <w:rFonts w:ascii="Times New Roman" w:cs="Times New Roman" w:eastAsia="Times New Roman" w:hAnsi="Times New Roman"/>
          <w:sz w:val="21"/>
          <w:szCs w:val="21"/>
          <w:b w:val="1"/>
          <w:bCs w:val="1"/>
          <w:color w:val="auto"/>
        </w:rPr>
        <w:t>Authorization of Receipt of Funds by the Trustee Under the Collateral Documents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395" w:right="339" w:bottom="1440" w:gutter="0" w:footer="0" w:header="0"/>
        </w:sectPr>
      </w:pPr>
    </w:p>
    <w:bookmarkStart w:id="161" w:name="page162"/>
    <w:bookmarkEnd w:id="16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Collateral Agent is authorized to receive any funds for the benefit of the Holders distributed under the Collateral Documents and distribute the same to the Trustee who may make further distributions of such funds to the Holders according to the provisions of this Indenture.</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color w:val="auto"/>
        </w:rPr>
        <w:t>Administrative Determination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Neither the Deerfield Holders (in their capacity as Administrative Determination Holder(s) or otherwise) nor any of their respective directors, officers, employees, attorneys, advisors, representatives or agents shall (i) be liable to any Holder for any action taken or omitted to be taken, or any determination or direction made, by any of them under or in connection with this Indenture or any other Note Document or the transactions contemplated hereby or thereby, or (ii) be responsible in any manner to any Holder for any recital, statement, representation or warranty made by any Note Party or Affiliate of any Note Party, or any officer thereof, contained in this Indenture or in any other Note Document, or in any certificate, report, statement or other document referred to or provided for in, or received by the Deerfield Holders (in their capacity as Administrative Determination Holder(s) or otherwise) under or in connection with, this Indenture or any other Note Document, or the validity, effectiveness, genuineness, enforceability or sufficiency of this Indenture or any other Note Document (or the creation, perfection or priority of any Lien or security interest therein), or for any failure of any Note Party or any other party to any Note Document to perform its obligations (including the Obligations) hereunder or thereunder. The Deerfield Holders (in their capacity as Administrative Determination Holder(s) or otherwise) shall not be under any obligation to any Holder to ascertain or to inquire as to the observance or performance of any of the agreements contained in, or conditions of, this Indenture or any other Note Document, or to inspect the properties, books or records of any Note Party or any Note Party’s Affiliates.</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11.</w:t>
      </w:r>
    </w:p>
    <w:p>
      <w:pPr>
        <w:spacing w:after="0" w:line="1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GUARANTEE</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jc w:val="both"/>
        <w:ind w:firstLine="656"/>
        <w:spacing w:after="0" w:line="248" w:lineRule="auto"/>
        <w:tabs>
          <w:tab w:leader="none" w:pos="101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Article 11, each of the Guarantors hereby, jointly and severally, irrevocably and unconditionally, as a primary obligor and not merely as a surety, guarantees to each Holder of Notes, the Trustee, the Collateral Agent and each other Secured Party and their successors and assigns, the performance and punctual payment, when due, whether at maturity, by acceleration or otherwise, of all Obligations under the Indenture, the Notes and the other Note Documents, including principal (including the Fundamental Change Repurchase Price, if applicable), premium, if any, interest (including interest on overdue amounts), consideration due upon conversion of the Notes and all other Note Obligations (including for fees and reimbursement of expenses, indemnity or otherwise) of the Company or any Guarantor, all in accordance with the terms hereof and thereof (all of the foregoing, collectively, the “</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 In furtherance of the foregoing and not in limitation of any other right which any Holder of the Notes or the Trustee or the Collateral Agent has at law or in equity against any Guarantor by virtue of this Article 11, failing payment when due (at maturity, by acceleration or otherwise) of any amount so guaranteed or any performance so guaranteed for whatever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2" w:right="339" w:bottom="1440" w:gutter="0" w:footer="0" w:header="0"/>
        </w:sectPr>
      </w:pPr>
    </w:p>
    <w:bookmarkStart w:id="162" w:name="page163"/>
    <w:bookmarkEnd w:id="162"/>
    <w:p>
      <w:pPr>
        <w:jc w:val="both"/>
        <w:spacing w:after="0" w:line="263" w:lineRule="auto"/>
        <w:rPr>
          <w:sz w:val="20"/>
          <w:szCs w:val="20"/>
          <w:color w:val="auto"/>
        </w:rPr>
      </w:pPr>
      <w:r>
        <w:rPr>
          <w:rFonts w:ascii="Times New Roman" w:cs="Times New Roman" w:eastAsia="Times New Roman" w:hAnsi="Times New Roman"/>
          <w:sz w:val="21"/>
          <w:szCs w:val="21"/>
          <w:color w:val="auto"/>
        </w:rPr>
        <w:t>the Guarantors will be jointly and severally obligated to pay and, if applicable, perform the Guaranteed Obligations immediately. Each Guarantor further agrees that the Guaranteed Obligations may be extended or renewed, in whole or in part, without notice or further assent from any Guarantor, and that each Guarantor shall remain bound under this Article 11 notwithstanding any extension or renewal of any Guaranteed Obligation. Each Guarantor agrees that this is a guarantee of payment and performance when due (and not a guarantee of collection) and waives any right to require that any resort be had by any Holder of the Notes or the Trustee or Collateral Agent to any security held for payment of the Guaranteed Obligations. The Guarantees shall not be convertible and shall automatically terminate with respect to a given Note when such Note is converted.</w:t>
      </w:r>
    </w:p>
    <w:p>
      <w:pPr>
        <w:spacing w:after="0" w:line="146" w:lineRule="exact"/>
        <w:rPr>
          <w:sz w:val="20"/>
          <w:szCs w:val="20"/>
          <w:color w:val="auto"/>
        </w:rPr>
      </w:pPr>
    </w:p>
    <w:p>
      <w:pPr>
        <w:jc w:val="both"/>
        <w:ind w:firstLine="656"/>
        <w:spacing w:after="0" w:line="216" w:lineRule="auto"/>
        <w:tabs>
          <w:tab w:leader="none" w:pos="1285"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Guarantors hereby agree that their obligations hereunder are unconditional and absolute, irrespective of (i) the validity, regularity or enforceability of the Notes, this Indenture or any other Note Document, (ii) the absence of any action to enforce the same or to exercise any right or remedy against any Guarantor, (iii) any extension or renewal of this Indenture, the Notes or any other Note Document, (iv) any rescission, settlement, compromise, waiver, modification, amendment, consent or release in respect of this Indenture, the Notes or any other Note Document or any of the Guaranteed Obligations, (v) any change in the corporate existence, structure or ownership of the Company, any Guarantor or any of their respective Subsidiaries, (vi) any insolvency, bankruptcy, reorganization or other similar proceeding affecting the Company, any Guarantor, any of their respective Subsidiaries or any of their respective assets or any resulting release or discharge of any obligation of the Company, any Guarantor or any of their respective Subsidiaries contained in this Indenture, the Notes or any other Note Document, (vii) the existence of any claim, set-off or other rights which any Guarantor may have at any time against the Company, the Trustee, the Collateral Agent or any other Secured Party, whether in connection with this Indenture, the Notes, any other Note Document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herein prevents the assertion of any such claim by separate suit or compulsory counterclaim), (viii) any invalidity or unenforceability relating to or against the Company for any reason of this Indenture, the Notes or any of the other Note Documents, (ix) any provision of applicable law or regulation purporting to prohibit the payment by the Company or any of the Guarantors of the principal of or interest on the Notes or any other amount payable and/or deliverable by the Company under this Indenture, the Notes or any other Note Document, (x) the recovery of any judgment against the Company or any Guarantor, any action to enforce the same or any other circumstance which might otherwise constitute a legal or equitable discharge or defense of a Guarantor, or (xi) any other act or omission to act or delay of any kind by the Company, the Trustee, the Collateral Agent or any other Secured Party or any other circumstance whatsoever which might, but for the provisions of this paragraph, constitute a legal or equitable discharge of or defense to such Guarantor’s obligations hereunder, except in the case of clause (x) and (xi), defense of payment in full of the Note Obligations. Each Guarantor hereby waives diligence, presentment, demand of payment and protest to the Company, filing of claims with a court in the event of insolvency or bankruptcy of the Company, any right to require a proceeding first against the Company, protest, notice and all demands whatsoever and covenant that this Guarantee will not be discharged except by complete payment of the obligations contained in the Notes and this Indenture. Each Guarantor hereby waives any right to which it may be entitled to have its Guarantee hereunder divided among the Guarantors, such that such Guarantor’s Guarantee would be less than the full amount claimed. Each Guarantor hereby waives any right to which it may be entitled to have the assets of the Company first be used and depleted as payment of the Company’s obligations under this Indenture, the Notes and the other Note Documents and such Guarantor’s Guarantee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2" w:right="339" w:bottom="1440" w:gutter="0" w:footer="0" w:header="0"/>
        </w:sectPr>
      </w:pPr>
    </w:p>
    <w:bookmarkStart w:id="163" w:name="page164"/>
    <w:bookmarkEnd w:id="163"/>
    <w:p>
      <w:pPr>
        <w:jc w:val="both"/>
        <w:ind w:firstLine="656"/>
        <w:spacing w:after="0" w:line="211" w:lineRule="auto"/>
        <w:tabs>
          <w:tab w:leader="none" w:pos="1287"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w:t>
      </w:r>
      <w:r>
        <w:rPr>
          <w:rFonts w:ascii="Times New Roman" w:cs="Times New Roman" w:eastAsia="Times New Roman" w:hAnsi="Times New Roman"/>
          <w:sz w:val="22"/>
          <w:szCs w:val="22"/>
          <w:b w:val="1"/>
          <w:bCs w:val="1"/>
          <w:color w:val="auto"/>
        </w:rPr>
        <w:t>Section 11.02</w:t>
      </w:r>
      <w:r>
        <w:rPr>
          <w:rFonts w:ascii="Times New Roman" w:cs="Times New Roman" w:eastAsia="Times New Roman" w:hAnsi="Times New Roman"/>
          <w:sz w:val="22"/>
          <w:szCs w:val="22"/>
          <w:color w:val="auto"/>
        </w:rPr>
        <w:t>, the Guarantee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 of each Guarantor herein shall not be discharged or impaired or otherwise affected by the failure of any Holder or the Trustee or Collateral Agent to assert any claim or demand or to enforce any remedy under this Indenture, the Notes or any other Note Document, by any waiver or modification of any thereof, by any default, failure or delay, willful or otherwise, in the performance of the Guaranteed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151"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7"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each Guarantor agrees that its Guarantee shall remain in full force and effect until payment, performance and delivery in full of all the Guaranteed Obligations of such Guarantor.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of the Notes or the Trustee or Collateral Agent upon the bankruptcy or reorganization of Company or any Guarantor or otherwise.</w:t>
      </w:r>
    </w:p>
    <w:p>
      <w:pPr>
        <w:spacing w:after="0" w:line="14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agrees that it will not be entitled to any right of subrogation in relation to the Holders in respect of any obligations guaranteed hereby until payment and performance in full of all Guaranteed Obligations. The Guarantors will have the right to seek contribution from any non-paying Guarantor so long as the exercise of such right does not impair the rights of the Holders under the Guarantee.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agreed and understood that if the Company opts to provide New York law governed Guarantee and local law governed Collateral Documents from any Subsidiary that the Company determines pursuant to the second proviso in the definition of “Excluded Subsidiary”, then the Administrative Determination Holder and the Company shall negotiate in good faith to agree to the agreed security principles with respect to such Subsidiary Guarantor consistent with market conventions.</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Limitation on Guarantor Liability</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Guarantor, the Trustee and the Collateral Agent,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Collateral Agent,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and, if applicable, deliveries made by or on behalf of any other Guarantor in respect of the obligations of such other Guarantor under this Article 11, result in the obligations of such Guarantor under its Guarantee not constituting a fraudulent transfer or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391" w:right="339" w:bottom="1440" w:gutter="0" w:footer="0" w:header="0"/>
        </w:sectPr>
      </w:pPr>
    </w:p>
    <w:bookmarkStart w:id="164" w:name="page165"/>
    <w:bookmarkEnd w:id="164"/>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Guarantors May Consolidate, etc., on Certain Terms</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jc w:val="both"/>
        <w:ind w:firstLine="656"/>
        <w:spacing w:after="0" w:line="257" w:lineRule="auto"/>
        <w:tabs>
          <w:tab w:leader="none" w:pos="100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 transaction made in compliance with Section 6 or this Section 11.03, no Guarantor may consolidate with or merge into any other Person other than the Company or another Guarantor, or convey, transfer or lease its properties and assets substantially as an entirety to any Person, other than to the Company or another Guarantor, unless, in each case:</w:t>
      </w:r>
    </w:p>
    <w:p>
      <w:pPr>
        <w:spacing w:after="0" w:line="15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in the case of a consolidation or merger, the Guarantor is the surviving entity, or (b) the Person formed by or surviving such consolidation or merger (if other than the Guarantor) or the Person to which such sale, assignment, transfer, conveyance, lease or other disposition has been made (such Person, the “</w:t>
      </w:r>
      <w:r>
        <w:rPr>
          <w:rFonts w:ascii="Times New Roman" w:cs="Times New Roman" w:eastAsia="Times New Roman" w:hAnsi="Times New Roman"/>
          <w:sz w:val="22"/>
          <w:szCs w:val="22"/>
          <w:b w:val="1"/>
          <w:bCs w:val="1"/>
          <w:color w:val="auto"/>
        </w:rPr>
        <w:t>Successor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shall expressly assume by supplemental indenture, or other amendment or supplement, all of the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Guarantor under the Note Documents;</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Guarantor, if any, is an entity organized and existing under the laws of the United States of America, any state thereof or the District of Columbia;</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transactions, no Default or Event of Default shall have occurred and be continuing;</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 has delivered to the Trustee and Collateral Agent an Officer’s Certificate and an Opinion of Counsel, each stating that such transaction complies with this Article and that all conditions precedent provided for in this Indenture and the other Note Documents relating to such transaction have been complied with.</w:t>
      </w:r>
    </w:p>
    <w:p>
      <w:pPr>
        <w:spacing w:after="0" w:line="153" w:lineRule="exact"/>
        <w:rPr>
          <w:sz w:val="20"/>
          <w:szCs w:val="20"/>
          <w:color w:val="auto"/>
        </w:rPr>
      </w:pPr>
    </w:p>
    <w:p>
      <w:pPr>
        <w:jc w:val="both"/>
        <w:ind w:firstLine="656"/>
        <w:spacing w:after="0" w:line="222" w:lineRule="auto"/>
        <w:tabs>
          <w:tab w:leader="none" w:pos="128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such consolidation, merger, sale or conveyance and upon the assumption by the Successor Guarantor, by supplemental indenture or other amendment or supplement, as applicable, executed and delivered to the Trustee and the Collateral Agent, of the Guarantee and the due and punctual performance of all of the obligations under this Indenture, the Collateral Documents and the other Note Documents to be performed by the Guarantor, such successor Person shall succeed to and be substituted for the Guarantor with the same effect as if it had been named herein as a Guarantor. Such Successor Guarantor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on the date of the execution hereof.</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Stay of Acceleration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acceleration of the time for payment of any amount payable by the Company under this Indenture or the Notes is stayed upon the insolvency, bankruptcy or reorganization of the Company, all such amounts otherwise subject to acceleration under the terms of this Indenture are nonetheless payable by the Guarantors hereunder forthwith on demand by the Trustee, the Collateral Agent or the Holders.</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Execution and Delivery of Guarantee</w:t>
      </w:r>
      <w:r>
        <w:rPr>
          <w:rFonts w:ascii="Times New Roman" w:cs="Times New Roman" w:eastAsia="Times New Roman" w:hAnsi="Times New Roman"/>
          <w:sz w:val="21"/>
          <w:szCs w:val="2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391" w:right="339" w:bottom="1440" w:gutter="0" w:footer="0" w:header="0"/>
        </w:sectPr>
      </w:pPr>
    </w:p>
    <w:bookmarkStart w:id="165" w:name="page166"/>
    <w:bookmarkEnd w:id="16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execution by each future Guarantor of a supplemental indenture evidences the Guarantee of such Guarantor. The delivery of Notes by the Trustee after authentication constitutes due delivery of the Guarantee set forth in this Indenture on behalf of each Guarantor.</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Releases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656"/>
        <w:spacing w:after="0" w:line="236" w:lineRule="auto"/>
        <w:tabs>
          <w:tab w:leader="none" w:pos="128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Guarantor’s Guarantee with respect to the Notes will be unconditionally, automatically and immediately released and discharged (without the necessity of any action by the Trustee or the Collateral Agent or any Holder) upon: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sale or other disposition of all or substantially all of the properties or assets of that Guarantor, by way of merger, consolidation, amalgamation, dividend distribution or otherwise, to a Person that is not (either before or after giving effect to such transaction) the Company or a Subsidiary of the Company, to the extent such sale or other disposition is permitted by this Indenture;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any sale, exchange, transfer or other disposition of the Capital Stock of that Guarantor (by way of merger, consolidation, amalgamation, dividend distribution or otherwise) to a Person that is not (either before or after giving effect to such transaction) the Company or a Subsidiary of the Company, to the extent such sale or other disposition is permitted by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Guarantor ceases to be a Subsidiary of the Company as a result of the sale or other disposition;</w:t>
      </w:r>
    </w:p>
    <w:p>
      <w:pPr>
        <w:spacing w:after="0" w:line="148" w:lineRule="exact"/>
        <w:rPr>
          <w:rFonts w:ascii="Times New Roman" w:cs="Times New Roman" w:eastAsia="Times New Roman" w:hAnsi="Times New Roman"/>
          <w:sz w:val="22"/>
          <w:szCs w:val="22"/>
          <w:color w:val="auto"/>
        </w:rPr>
      </w:pPr>
    </w:p>
    <w:p>
      <w:pPr>
        <w:ind w:left="660" w:firstLine="644"/>
        <w:spacing w:after="0" w:line="238" w:lineRule="auto"/>
        <w:tabs>
          <w:tab w:leader="none" w:pos="1956"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liquidation or dissolution of such Guarantor;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no Default or Event of Default occurs as a result thereof or has occurred or is continuing;</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Guarantor consolidating with, amalgamating with, merging into or transferring all of its properties or assets to the Company or another Guarantor, and as a result of, or in connection with, such transaction such Guarantor dissolves or otherwise ceases to exist, to the extent such transaction is permitted by this Indenture;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(D) below, in the event such Guarantor becomes an Excluded Subsidiary;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and discharge of this Indenture in respect of the Notes as provided in Article 9 hereof;</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of all outstanding Notes into equity; or</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exercising its Legal Defeasance or Covenant Defeasance options as provided for under Section 14.02 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delivery by the Company to the Trustee and the Collateral Agent of an Officer’s Certificate and Opinion of Counsel to the effect that the action or event giving rise to a release has occurred as specified above, the Trustee or the Collateral Agent, as applicable, shall, upon receipt by it of the documents described in </w:t>
      </w:r>
      <w:r>
        <w:rPr>
          <w:rFonts w:ascii="Times New Roman" w:cs="Times New Roman" w:eastAsia="Times New Roman" w:hAnsi="Times New Roman"/>
          <w:sz w:val="22"/>
          <w:szCs w:val="22"/>
          <w:b w:val="1"/>
          <w:bCs w:val="1"/>
          <w:color w:val="auto"/>
        </w:rPr>
        <w:t>Section 12.02</w:t>
      </w:r>
      <w:r>
        <w:rPr>
          <w:rFonts w:ascii="Times New Roman" w:cs="Times New Roman" w:eastAsia="Times New Roman" w:hAnsi="Times New Roman"/>
          <w:sz w:val="22"/>
          <w:szCs w:val="22"/>
          <w:color w:val="auto"/>
        </w:rPr>
        <w:t>, execute any documents reasonably requested by the Company or the Trustee in order to evidence the release of any Guarantor from its obligations under its Guarantee.</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Guarantor not released from its obligations under its Guarantee as provided in this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xml:space="preserve"> will remain liable for the full amount of principal of and interest on the Notes and for the other Note Obligations of the Company and any Guarantor under this Indenture as provided in this Article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2" w:right="339" w:bottom="1440" w:gutter="0" w:footer="0" w:header="0"/>
        </w:sectPr>
      </w:pPr>
    </w:p>
    <w:bookmarkStart w:id="166" w:name="page167"/>
    <w:bookmarkEnd w:id="166"/>
    <w:p>
      <w:pPr>
        <w:jc w:val="both"/>
        <w:ind w:firstLine="656"/>
        <w:spacing w:after="0" w:line="223" w:lineRule="auto"/>
        <w:tabs>
          <w:tab w:leader="none" w:pos="1285"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b w:val="1"/>
          <w:bCs w:val="1"/>
          <w:color w:val="auto"/>
        </w:rPr>
        <w:t>Section 11.06</w:t>
      </w:r>
      <w:r>
        <w:rPr>
          <w:rFonts w:ascii="Times New Roman" w:cs="Times New Roman" w:eastAsia="Times New Roman" w:hAnsi="Times New Roman"/>
          <w:sz w:val="21"/>
          <w:szCs w:val="21"/>
          <w:color w:val="auto"/>
        </w:rPr>
        <w:t>, the release of a Guarantee by a Guarantor and the release of a Lien on assets of a Guarantor securing the Obligations, in each case, solely as a result of such Guarantor becoming an Excluded Subsidiary shall only be permitted if at such time (1) no Event of Default shall have occurred and be outstanding,</w:t>
      </w:r>
    </w:p>
    <w:p>
      <w:pPr>
        <w:spacing w:after="0" w:line="2" w:lineRule="exact"/>
        <w:rPr>
          <w:rFonts w:ascii="Times New Roman" w:cs="Times New Roman" w:eastAsia="Times New Roman" w:hAnsi="Times New Roman"/>
          <w:sz w:val="21"/>
          <w:szCs w:val="21"/>
          <w:color w:val="auto"/>
        </w:rPr>
      </w:pPr>
    </w:p>
    <w:p>
      <w:pPr>
        <w:jc w:val="both"/>
        <w:ind w:firstLine="8"/>
        <w:spacing w:after="0" w:line="225" w:lineRule="auto"/>
        <w:tabs>
          <w:tab w:leader="none" w:pos="342"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pro forma effect to such release and the consummation of the transaction that causes such Person to be an Excluded Subsidiary, the Company is deemed to have made a new Investment in such Person (as if such Person were then newly acquired) and such Investment is permitted at such time and (3) such transaction shall have been permitted hereunder and made to or with a bona fide unaffiliated third party for bona fide business purposes (as determined by the Company in good faith).</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12.</w:t>
      </w:r>
    </w:p>
    <w:p>
      <w:pPr>
        <w:spacing w:after="0" w:line="17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notice or communication by the Company, the Trustee or the Collateral Agent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2165 Spring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Long Beach, CA 90806</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10250 Constellation Blvd., Suite 1100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Brent T. Epstein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Brent.Epstein@lw.com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 or Collateral Agent: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635 West 5th Street, 24th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Bradley E. Scarbrough</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bradley.scarbrough@usbank.com</w:t>
      </w:r>
    </w:p>
    <w:p>
      <w:pPr>
        <w:spacing w:after="0" w:line="19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in the preceding paragraph, notices to the Trustee, Collateral Agent or any Note Agent must be in writing and will be deemed to have been given upon actual receipt by the Trustee, Collateral Agent or such Note Agent,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391" w:right="339" w:bottom="1440" w:gutter="0" w:footer="0" w:header="0"/>
        </w:sectPr>
      </w:pPr>
    </w:p>
    <w:bookmarkStart w:id="167" w:name="page168"/>
    <w:bookmarkEnd w:id="16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the Trustee or the Collateral Agent, by notice to the other, may designate additional or different addresses (including facsimile numbers and electronic addresses) for subsequent notices or communications.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Each other party assumes all risks arising out of the use of electronic signatures and electronic methods to send communications to the Trustee, including without limitation the risk of the Trustee acting on an unauthorized communication, and the risk of interception or misuse by third parties. Notwithstanding the foregoing, the Trustee may in any instance and in its sole discretion require that an original document bearing a manual signature be delivered to the Trustee in lieu of, or in addition to, any such electronic communication.</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If a notice or communication is mailed or sent in the manner provided above within the time prescribed, it will be deemed to have been duly given, whether or not the addressee receives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22" w:right="339" w:bottom="1440" w:gutter="0" w:footer="0" w:header="0"/>
        </w:sectPr>
      </w:pPr>
    </w:p>
    <w:bookmarkStart w:id="168" w:name="page169"/>
    <w:bookmarkEnd w:id="168"/>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Delivery of Officer’s Certificate and Opinion of Counsel as to Conditions Precedent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Upon any request or application by the Company to the Trustee or Collateral Agent to take any action under this Indenture or Collateral Documents (other than the initial authentication of Notes under this Indenture), the Company will furnish to the Trustee or Collateral Agent, as applicable:</w:t>
      </w:r>
    </w:p>
    <w:p>
      <w:pPr>
        <w:spacing w:after="0" w:line="155" w:lineRule="exact"/>
        <w:rPr>
          <w:sz w:val="20"/>
          <w:szCs w:val="20"/>
          <w:color w:val="auto"/>
        </w:rPr>
      </w:pPr>
    </w:p>
    <w:p>
      <w:pPr>
        <w:ind w:firstLine="656"/>
        <w:spacing w:after="0" w:line="238" w:lineRule="auto"/>
        <w:tabs>
          <w:tab w:leader="none" w:pos="1285"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that complies with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 xml:space="preserve"> and states that, in the opinion of the signatory thereto, all conditions precedent and covenants, if any, provided for in this Indenture relating to such action have been satisfied; and</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Opinion of Counsel that complies with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 xml:space="preserve"> and states that, in the opinion of such counsel, all such conditions precedent and covenants, if any, have been satisfied.</w:t>
      </w:r>
    </w:p>
    <w:p>
      <w:pPr>
        <w:spacing w:after="0" w:line="14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Statements Required in Officer’s Certificate and Opinion of Counsel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Each Officer’s Certificate (other than an Officer’s Certificate pursuant to </w:t>
      </w:r>
      <w:r>
        <w:rPr>
          <w:rFonts w:ascii="Times New Roman" w:cs="Times New Roman" w:eastAsia="Times New Roman" w:hAnsi="Times New Roman"/>
          <w:sz w:val="22"/>
          <w:szCs w:val="22"/>
          <w:b w:val="1"/>
          <w:bCs w:val="1"/>
          <w:color w:val="auto"/>
        </w:rPr>
        <w:t>Section 3.05</w:t>
      </w:r>
      <w:r>
        <w:rPr>
          <w:rFonts w:ascii="Times New Roman" w:cs="Times New Roman" w:eastAsia="Times New Roman" w:hAnsi="Times New Roman"/>
          <w:sz w:val="22"/>
          <w:szCs w:val="22"/>
          <w:color w:val="auto"/>
        </w:rPr>
        <w:t>) or Opinion of Counsel with respect to compliance with a covenant or condition provided for in this Indenture will include:</w:t>
      </w:r>
    </w:p>
    <w:p>
      <w:pPr>
        <w:spacing w:after="0" w:line="126"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signatory thereto has read such covenant or condition;</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therein are based;</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in the opinion of such signatory, such covenant or condition has been satisfied.</w:t>
      </w:r>
    </w:p>
    <w:p>
      <w:pPr>
        <w:spacing w:after="0" w:line="175" w:lineRule="exact"/>
        <w:rPr>
          <w:sz w:val="20"/>
          <w:szCs w:val="20"/>
          <w:color w:val="auto"/>
        </w:rPr>
      </w:pPr>
    </w:p>
    <w:p>
      <w:pPr>
        <w:ind w:left="2280" w:hanging="1619"/>
        <w:spacing w:after="0" w:line="238" w:lineRule="auto"/>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2"/>
          <w:szCs w:val="22"/>
          <w:b w:val="1"/>
          <w:bCs w:val="1"/>
          <w:color w:val="auto"/>
        </w:rPr>
        <w:t>Rules by the Trustee, The Collateral Agent, the Registrar, the Paying Agent and the Conversion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The Trustee and Collateral Agent may each make reasonable rules for action by or at a meeting of Holders. The Registrar, Paying Agent and Conversion Agent each may make reasonable rules and set reasonable requirements for its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22" w:right="339" w:bottom="1440" w:gutter="0" w:footer="0" w:header="0"/>
        </w:sectPr>
      </w:pPr>
    </w:p>
    <w:bookmarkStart w:id="169" w:name="page170"/>
    <w:bookmarkEnd w:id="169"/>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No Personal Liability of Directors, Officers, Employees and Stockholders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Governing Law; Waiver of Jury Trial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5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Submission to Jurisdiction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22"/>
          <w:szCs w:val="22"/>
          <w:b w:val="1"/>
          <w:bCs w:val="1"/>
          <w:color w:val="auto"/>
        </w:rPr>
        <w:t>Section 12.01</w:t>
      </w:r>
      <w:r>
        <w:rPr>
          <w:rFonts w:ascii="Times New Roman" w:cs="Times New Roman" w:eastAsia="Times New Roman" w:hAnsi="Times New Roman"/>
          <w:sz w:val="22"/>
          <w:szCs w:val="22"/>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5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1"/>
          <w:szCs w:val="21"/>
          <w:b w:val="1"/>
          <w:bCs w:val="1"/>
          <w:color w:val="auto"/>
        </w:rPr>
        <w:t>No Adverse Interpretation of Other Agreements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4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Successors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All agreements of the Company in this Indenture and the Notes will bind its successors. All agreements of the Trustee and the Collateral Agent in this Indenture will bind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391" w:right="339" w:bottom="1440" w:gutter="0" w:footer="0" w:header="0"/>
        </w:sectPr>
      </w:pPr>
    </w:p>
    <w:bookmarkStart w:id="170" w:name="page171"/>
    <w:bookmarkEnd w:id="170"/>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48"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1.11.</w:t>
      </w:r>
      <w:r>
        <w:rPr>
          <w:sz w:val="20"/>
          <w:szCs w:val="20"/>
          <w:color w:val="auto"/>
        </w:rPr>
        <w:tab/>
      </w:r>
      <w:r>
        <w:rPr>
          <w:rFonts w:ascii="Times New Roman" w:cs="Times New Roman" w:eastAsia="Times New Roman" w:hAnsi="Times New Roman"/>
          <w:sz w:val="21"/>
          <w:szCs w:val="21"/>
          <w:b w:val="1"/>
          <w:bCs w:val="1"/>
          <w:color w:val="auto"/>
        </w:rPr>
        <w:t>U.S.A. PATRIOT Act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b w:val="1"/>
          <w:bCs w:val="1"/>
          <w:color w:val="auto"/>
        </w:rPr>
        <w:t>Calculations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accrued interest on the Notes including any Additional Interest, the Redemption Price, the Fundamental Change Repurchase Price and the Conversion Rate.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The Trustee will not be responsible for verifying such calculations.</w:t>
      </w:r>
    </w:p>
    <w:p>
      <w:pPr>
        <w:spacing w:after="0" w:line="16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1.13.</w:t>
      </w:r>
      <w:r>
        <w:rPr>
          <w:sz w:val="20"/>
          <w:szCs w:val="20"/>
          <w:color w:val="auto"/>
        </w:rPr>
        <w:tab/>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1.14.</w:t>
      </w:r>
      <w:r>
        <w:rPr>
          <w:sz w:val="20"/>
          <w:szCs w:val="20"/>
          <w:color w:val="auto"/>
        </w:rPr>
        <w:tab/>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391" w:right="339" w:bottom="1440" w:gutter="0" w:footer="0" w:header="0"/>
        </w:sectPr>
      </w:pPr>
    </w:p>
    <w:bookmarkStart w:id="171" w:name="page172"/>
    <w:bookmarkEnd w:id="171"/>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color w:val="auto"/>
        </w:rPr>
        <w:t>Table of Contents, Headings, Etc.</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1.16.</w:t>
      </w:r>
      <w:r>
        <w:rPr>
          <w:sz w:val="20"/>
          <w:szCs w:val="20"/>
          <w:color w:val="auto"/>
        </w:rPr>
        <w:tab/>
      </w: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ind w:left="5620"/>
        <w:spacing w:after="0" w:line="204" w:lineRule="auto"/>
        <w:rPr>
          <w:sz w:val="20"/>
          <w:szCs w:val="20"/>
          <w:color w:val="auto"/>
        </w:rPr>
      </w:pPr>
      <w:r>
        <w:rPr>
          <w:rFonts w:ascii="Times New Roman" w:cs="Times New Roman" w:eastAsia="Times New Roman" w:hAnsi="Times New Roman"/>
          <w:sz w:val="22"/>
          <w:szCs w:val="22"/>
          <w:b w:val="1"/>
          <w:bCs w:val="1"/>
          <w:color w:val="auto"/>
        </w:rPr>
        <w:t>13.</w:t>
      </w:r>
    </w:p>
    <w:p>
      <w:pPr>
        <w:spacing w:after="0" w:line="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SECURITY AND COLLATERAL</w:t>
      </w:r>
    </w:p>
    <w:p>
      <w:pPr>
        <w:spacing w:after="0" w:line="151" w:lineRule="exact"/>
        <w:rPr>
          <w:sz w:val="20"/>
          <w:szCs w:val="20"/>
          <w:color w:val="auto"/>
        </w:rPr>
      </w:pPr>
    </w:p>
    <w:p>
      <w:pPr>
        <w:ind w:left="90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Collateral Documents</w:t>
      </w:r>
      <w:r>
        <w:rPr>
          <w:rFonts w:ascii="Times New Roman" w:cs="Times New Roman" w:eastAsia="Times New Roman" w:hAnsi="Times New Roman"/>
          <w:sz w:val="21"/>
          <w:szCs w:val="21"/>
          <w:i w:val="1"/>
          <w:iCs w:val="1"/>
          <w:color w:val="auto"/>
        </w:rPr>
        <w:t>.</w:t>
      </w:r>
    </w:p>
    <w:p>
      <w:pPr>
        <w:spacing w:after="0" w:line="21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The due and punctual payment of the principal of, and cash interest (if any) on the Notes when and as the same shall be due and payable, whether on an Interest Payment Date, at maturity, by repurchase or otherwise, and performance of all other obligations of the Company and the Guarantors under this Indenture, shall be secured as provided in the Collateral Documents, which define the terms of the liens that secure such obligations. The Trustee, the Guarantors and the Company hereby acknowledge and agree that the Collateral Agent’s security interest in the Collateral is for the benefit of the Holders, the Trustee and the Collateral Agent and pursuant to the terms of the Collateral Documents. Each Holder, by accepting a Note, consents and agrees to the terms of the Collateral Documents (including the provisions providing for the possession, use, release and foreclosure of Collateral), as the same may be in effect or may be amended from time to time in accordance with their terms and this Indenture, and irrevocably authorizes and directs the Collateral Agent (i) to enter into the Collateral Documents, binding the Holders to the terms thereof, (ii) to execute each document in connection with any Collateral Document expressed to be executed by Collateral Agent on its behalf and (iii) perform the duties and exercise the rights, powers, and discretions that are specifically given to it under the Collateral Documents or other documents to which the Collateral Agent is a party, together with any other incidental rights, power and discretions. Neither the Trustee nor the Collateral Agent nor any of their respective officers, directors, employees, attorneys or agents will be responsible or liable for the existence, genuineness, value or protection of any Collateral, for the legality, enforceability, effectiveness, or sufficiency of the Collateral Documents, for the creation, perfection, priority, sufficiency or protection of any lien, including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Collateral Documents or any delay in doing so. The Company shall deliver to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391" w:right="339" w:bottom="1440" w:gutter="0" w:footer="0" w:header="0"/>
        </w:sectPr>
      </w:pPr>
    </w:p>
    <w:bookmarkStart w:id="172" w:name="page173"/>
    <w:bookmarkEnd w:id="17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Agent and the Trustee copies of all documents required to be filed pursuant to the Collateral Documents, and will do or cause to be done all such acts and things as may be required by the next sentence of this </w:t>
      </w:r>
      <w:r>
        <w:rPr>
          <w:rFonts w:ascii="Times New Roman" w:cs="Times New Roman" w:eastAsia="Times New Roman" w:hAnsi="Times New Roman"/>
          <w:sz w:val="22"/>
          <w:szCs w:val="22"/>
          <w:b w:val="1"/>
          <w:bCs w:val="1"/>
          <w:color w:val="auto"/>
        </w:rPr>
        <w:t>Section 13.01</w:t>
      </w:r>
      <w:r>
        <w:rPr>
          <w:rFonts w:ascii="Times New Roman" w:cs="Times New Roman" w:eastAsia="Times New Roman" w:hAnsi="Times New Roman"/>
          <w:sz w:val="22"/>
          <w:szCs w:val="22"/>
          <w:color w:val="auto"/>
        </w:rPr>
        <w:t>, to assure and confirm to the Collateral Agent for the benefit of the Holders the security interest in the Collateral contemplated hereby, by the Collateral Documents or any part thereof, as from time to time constituted, so as to render the same available for the security and benefit of this Indenture and of the Notes secured hereby, according to the intent and purposes herein expressed. The Company and the Guarantors shall take any and all actions and make all filings (including the filing of UCC financing statements, continuation statements and amendments thereto) required to cause the Collateral Documents to create and maintain, as security for its obligations in favor of the Collateral Agent for the benefit of the Holders and the Trustee, a valid and enforceable perfected lien and security interest in and on all of the Collateral, in each case to the extent such perfection actions are required under and subject to the terms and conditions of the Collateral Documents. Neither the Trustee nor the Collateral Agent shall have any responsibility or liability in connection with such actions and filings; provided that nothing in this sentence shall be construed to relieve the Trustee or the Collateral Agent from liability for its own grossly negligent action, its own grossly negligent failure to act or its own willful misconduct.</w:t>
      </w:r>
    </w:p>
    <w:p>
      <w:pPr>
        <w:spacing w:after="0" w:line="162" w:lineRule="exact"/>
        <w:rPr>
          <w:sz w:val="20"/>
          <w:szCs w:val="20"/>
          <w:color w:val="auto"/>
        </w:rPr>
      </w:pPr>
    </w:p>
    <w:p>
      <w:pPr>
        <w:ind w:left="90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Release of Collateral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85"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(B) and (C) below, the liens on the Collateral will be automatically released with respect to the Notes and the Guarantees without further action by the Collateral Agent, the Trustee, or the Required Holders or any other Holder, and the Trustee and/or the Collateral Agent (subject to its receipt of an Officer’s Certificate and Opinion of Counsel) shall execute documents evidencing such release reasonably requested by the Company, at the Company’s sole cost and expense, under one or more of the following circumstances: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whole upon:</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2"/>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in full of the principal of, together with accrued and unpaid interest on, the Notes and all other Note Obligations (other than contingent indemnities and cost and reimbursement obligations, in each case, to the extent no claim has been made);</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2"/>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and discharge of this Indenture or following the completion of a discharge, in each case, as set forth under Article 9 hereof;</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in full of all outstanding Notes into equity; or</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2"/>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exercising its Legal Defeasance or Covenant Defeasance options as provided for under Section 14.02 hereof;</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 as to any property that (a) is sold, transferred or otherwise disposed of by the Company or a Guarantor (other than to the Company or a Guarantor) in a transaction permitted under Section 3.12 or otherwise permitted by this Indenture and the other Note Documents or (b) is owned or at any time acquired by a Guarantor that has been released from its Guarantee in accordance with the terms of this Indenture, concurrently with the release of such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2" w:right="339" w:bottom="1440" w:gutter="0" w:footer="0" w:header="0"/>
        </w:sectPr>
      </w:pPr>
    </w:p>
    <w:bookmarkStart w:id="173" w:name="page174"/>
    <w:bookmarkEnd w:id="173"/>
    <w:p>
      <w:pPr>
        <w:jc w:val="both"/>
        <w:ind w:left="660" w:firstLine="644"/>
        <w:spacing w:after="0" w:line="225" w:lineRule="auto"/>
        <w:tabs>
          <w:tab w:leader="none" w:pos="1956"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 with the consent of Required Holders and each affected holder, as applicable and in accordance with Section 8.02 of this Indenture, including consents obtained in connection with a tender offer or exchange offer for, or purchase of, the Notes;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 as to property that becomes Excluded Assets (as defined in the Security Agreement); and</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 that is otherwise released in accordance with the applicable provisions of the Collateral Documents, but subject to any restrictions thereon set forth in this Indenture.</w:t>
      </w:r>
    </w:p>
    <w:p>
      <w:pPr>
        <w:spacing w:after="0" w:line="150" w:lineRule="exact"/>
        <w:rPr>
          <w:rFonts w:ascii="Times New Roman" w:cs="Times New Roman" w:eastAsia="Times New Roman" w:hAnsi="Times New Roman"/>
          <w:sz w:val="22"/>
          <w:szCs w:val="22"/>
          <w:color w:val="auto"/>
        </w:rPr>
      </w:pPr>
    </w:p>
    <w:p>
      <w:pPr>
        <w:jc w:val="both"/>
        <w:ind w:firstLine="656"/>
        <w:spacing w:after="0" w:line="210" w:lineRule="auto"/>
        <w:tabs>
          <w:tab w:leader="none" w:pos="128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release of Collateral, upon receipt of an Officer’s Certificate and Opinion of Counsel each stating that all conditions precedent under this Indenture and the Collateral Documents, if any, to such release have been complied with and that it is proper for the Trustee or the Collateral Agent, as applicable, to execute and deliver the documents requested by the Company and the Guarantors in connection with such release, and any instruments of termination, satisfaction or release prepared by the Company, the Trustee or the Collateral Agent, as applicable, shall execute, deliver or acknowledge (at the Company’s sole expense) such instruments or releases to evidence the release of any Collateral permitted to be released pursuant to this Indenture or the Collateral Documents, without recourse, representation or warranty by the Trustee or the Collateral Agent. Neither the Trustee nor the Collateral Agent shall be liable for any such release undertaken in reliance upon any such Officer’s Certificate and Opinion of Counsel, and notwithstanding any term hereof or in any Collateral Document to the contrary, the Trustee and Collateral Agent shall not be under any obligation to release any such Lien and security interest, or execute and deliver any such instrument of release, satisfaction or termination, unless and until it receives such Officer’s Certificate and Opinion of Counsel.</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when a Default or Event of Default has occurred and is continuing and the maturity of the Notes has been accelerated (whether by declaration or otherwise), no release of Collateral pursuant to the provisions of this Indenture or the Collateral Documents shall be effective as against the Holders, except as otherwise provided in the Collateral Documents.</w:t>
      </w:r>
    </w:p>
    <w:p>
      <w:pPr>
        <w:spacing w:after="0" w:line="1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14.</w:t>
      </w:r>
    </w:p>
    <w:p>
      <w:pPr>
        <w:jc w:val="center"/>
        <w:spacing w:after="0"/>
        <w:rPr>
          <w:sz w:val="20"/>
          <w:szCs w:val="20"/>
          <w:color w:val="auto"/>
        </w:rPr>
      </w:pPr>
      <w:r>
        <w:rPr>
          <w:rFonts w:ascii="Times New Roman" w:cs="Times New Roman" w:eastAsia="Times New Roman" w:hAnsi="Times New Roman"/>
          <w:sz w:val="22"/>
          <w:szCs w:val="22"/>
          <w:b w:val="1"/>
          <w:bCs w:val="1"/>
          <w:color w:val="auto"/>
        </w:rPr>
        <w:t>LEGAL DEFEASANCE AND COVENANT DEFEASANCE</w:t>
      </w:r>
    </w:p>
    <w:p>
      <w:pPr>
        <w:spacing w:after="0" w:line="151"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Option to Effect Legal Defeasance or Covenant Defeasance.</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may at any time, at the option of its Board of Directors evidenced by a resolution set forth in an Officer’s Certificate, elect to have either Section 14.02 or 14.03 hereof be applied to all outstanding Notes upon compliance with the conditions set forth below in this Article 14.</w:t>
      </w:r>
    </w:p>
    <w:p>
      <w:pPr>
        <w:spacing w:after="0" w:line="15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Legal Defeasance and Discharge.</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the Company’s exercise under Section 14.01 hereof of the option applicable to this Section 14.02, the Company and each of the Guarantors will, subject to the satisfaction of the conditions set forth in Section 14.04 hereof, be deemed to have been discharged from their obligations with respect to all outstanding Notes (including the Note Guarantees) on the date the conditions set forth below are satisfied (hereinafter, “</w:t>
      </w:r>
      <w:r>
        <w:rPr>
          <w:rFonts w:ascii="Times New Roman" w:cs="Times New Roman" w:eastAsia="Times New Roman" w:hAnsi="Times New Roman"/>
          <w:sz w:val="22"/>
          <w:szCs w:val="22"/>
          <w:b w:val="1"/>
          <w:bCs w:val="1"/>
          <w:color w:val="auto"/>
        </w:rPr>
        <w:t>Legal Defeasance</w:t>
      </w:r>
      <w:r>
        <w:rPr>
          <w:rFonts w:ascii="Times New Roman" w:cs="Times New Roman" w:eastAsia="Times New Roman" w:hAnsi="Times New Roman"/>
          <w:sz w:val="22"/>
          <w:szCs w:val="22"/>
          <w:color w:val="auto"/>
        </w:rPr>
        <w:t>”). For this purpose, Legal Defeasance means that the Company and the Guarantors will be deemed to have paid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395" w:right="339" w:bottom="1440" w:gutter="0" w:footer="0" w:header="0"/>
        </w:sectPr>
      </w:pPr>
    </w:p>
    <w:bookmarkStart w:id="174" w:name="page175"/>
    <w:bookmarkEnd w:id="174"/>
    <w:p>
      <w:pPr>
        <w:jc w:val="both"/>
        <w:spacing w:after="0" w:line="253" w:lineRule="auto"/>
        <w:rPr>
          <w:sz w:val="20"/>
          <w:szCs w:val="20"/>
          <w:color w:val="auto"/>
        </w:rPr>
      </w:pPr>
      <w:r>
        <w:rPr>
          <w:rFonts w:ascii="Times New Roman" w:cs="Times New Roman" w:eastAsia="Times New Roman" w:hAnsi="Times New Roman"/>
          <w:sz w:val="22"/>
          <w:szCs w:val="22"/>
          <w:color w:val="auto"/>
        </w:rPr>
        <w:t>discharged the entire Indebtedness represented by the outstanding Notes (including the Note Guarantees), which will thereafter be deemed to be “outstanding” only for the purposes of Section 14.05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52" w:lineRule="exact"/>
        <w:rPr>
          <w:sz w:val="20"/>
          <w:szCs w:val="20"/>
          <w:color w:val="auto"/>
        </w:rPr>
      </w:pPr>
    </w:p>
    <w:p>
      <w:pPr>
        <w:ind w:left="660" w:firstLine="644"/>
        <w:spacing w:after="0" w:line="236"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Holders of outstanding Notes to receive payments in respect of the principal of, premium on, if any, or interest, if any, on such Notes when such payments are due from the trust referred to in Section 14.04 hereof;</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with respect to such Notes under Article 2 hereof;</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trusts, duties and immunities of the Trustee and the Collateral Agent hereunder and the Company’s and the Guarantors’ obligations in connection therewith;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Article 14.</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Subject to compliance with this Article 14, the Company may exercise its option under this Section 14.02 notwithstanding the prior exercise of its option under Section 14.03 hereof.</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Covenant Defeasance.</w:t>
      </w:r>
    </w:p>
    <w:p>
      <w:pPr>
        <w:spacing w:after="0" w:line="21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Upon the Company’s exercise under Section 14.01 hereof of the option applicable to this Section 14.03, the Company and each of the Guarantors will, subject to the satisfaction of the conditions set forth in Section 14.04 hereof, be released from each of their obligations under the covenants contained in Sections 3.08, 3.09, 3.11, 3.12, 3.13, 3.15, 3.16 and 3.26 hereof with respect to the outstanding Notes on and after the date the conditions set forth in Section 14.04 hereof are satisfied (hereinafter, “</w:t>
      </w:r>
      <w:r>
        <w:rPr>
          <w:rFonts w:ascii="Times New Roman" w:cs="Times New Roman" w:eastAsia="Times New Roman" w:hAnsi="Times New Roman"/>
          <w:sz w:val="21"/>
          <w:szCs w:val="21"/>
          <w:b w:val="1"/>
          <w:bCs w:val="1"/>
          <w:color w:val="auto"/>
        </w:rPr>
        <w:t>Covenant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Defeasance</w:t>
      </w:r>
      <w:r>
        <w:rPr>
          <w:rFonts w:ascii="Times New Roman" w:cs="Times New Roman" w:eastAsia="Times New Roman" w:hAnsi="Times New Roman"/>
          <w:sz w:val="21"/>
          <w:szCs w:val="21"/>
          <w:color w:val="auto"/>
        </w:rPr>
        <w:t>”), and the Notes will thereafter be deemed not “outstanding” for the purposes of any direction, waiver, consent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7.01 hereof, but, except as specified above, the remainder of this Indenture and such Notes and Note Guarantees will be unaffected thereby. In addition, upon the Company’s exercise under Section 14.01 hereof of the option applicable to this Section 14.03, subject to the satisfaction of the conditions set forth in Section 14.04 hereof, Sections 7.01(A)(v), (vi), (vii), and (viii) hereof will not constitute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2" w:right="339" w:bottom="1440" w:gutter="0" w:footer="0" w:header="0"/>
        </w:sectPr>
      </w:pPr>
    </w:p>
    <w:bookmarkStart w:id="175" w:name="page176"/>
    <w:bookmarkEnd w:id="175"/>
    <w:p>
      <w:pPr>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Conditions to Legal or Covenant Defeasance.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order to exercise either Legal Defeasance or Covenant Defeasance under either Section 14.02 or 14.03 hereof:</w:t>
      </w:r>
    </w:p>
    <w:p>
      <w:pPr>
        <w:spacing w:after="0" w:line="193" w:lineRule="exact"/>
        <w:rPr>
          <w:sz w:val="20"/>
          <w:szCs w:val="20"/>
          <w:color w:val="auto"/>
        </w:rPr>
      </w:pPr>
    </w:p>
    <w:p>
      <w:pPr>
        <w:jc w:val="both"/>
        <w:ind w:firstLine="644"/>
        <w:spacing w:after="0" w:line="215" w:lineRule="auto"/>
        <w:tabs>
          <w:tab w:leader="none" w:pos="128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on and interest,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9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election under Section 14.02 hereof, the Company must deliver to the Trustee an Opinion of Counsel reasonably acceptable to the Trustee confirming that:</w:t>
      </w:r>
    </w:p>
    <w:p>
      <w:pPr>
        <w:spacing w:after="0" w:line="148"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received from, or there has been published by, the internal revenue service</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ruling; or</w:t>
      </w:r>
    </w:p>
    <w:p>
      <w:pPr>
        <w:spacing w:after="0" w:line="155" w:lineRule="exact"/>
        <w:rPr>
          <w:rFonts w:ascii="Times New Roman" w:cs="Times New Roman" w:eastAsia="Times New Roman" w:hAnsi="Times New Roman"/>
          <w:sz w:val="21"/>
          <w:szCs w:val="21"/>
          <w:color w:val="auto"/>
        </w:rPr>
      </w:pPr>
    </w:p>
    <w:p>
      <w:pPr>
        <w:ind w:left="1300" w:firstLine="640"/>
        <w:spacing w:after="0" w:line="236" w:lineRule="auto"/>
        <w:tabs>
          <w:tab w:leader="none" w:pos="259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Indenture, there has been a change in the applicable U.S. federal income tax law,</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either case to the effect that, and based thereon such Opinion of Counsel shall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49" w:lineRule="exact"/>
        <w:rPr>
          <w:sz w:val="20"/>
          <w:szCs w:val="20"/>
          <w:color w:val="auto"/>
        </w:rPr>
      </w:pPr>
    </w:p>
    <w:p>
      <w:pPr>
        <w:jc w:val="both"/>
        <w:ind w:firstLine="644"/>
        <w:spacing w:after="0" w:line="217" w:lineRule="auto"/>
        <w:tabs>
          <w:tab w:leader="none" w:pos="129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election under Section 14.03 hereof, the Company must deliver to the Trustee an Opinion of Counsel reasonably acceptable to the Trustee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8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the Guarantors is a party or by which the Company or any of the Guarantors is bound;</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8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deliver to the Trustee an Officer’s Certificate stating that the deposit was not made by the Company with the intent of preferring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0580"/>
          </w:cols>
          <w:pgMar w:left="980" w:top="1391" w:right="339" w:bottom="1440" w:gutter="0" w:footer="0" w:header="0"/>
        </w:sectPr>
      </w:pPr>
    </w:p>
    <w:bookmarkStart w:id="176" w:name="page177"/>
    <w:bookmarkEnd w:id="176"/>
    <w:p>
      <w:pPr>
        <w:ind w:left="660"/>
        <w:spacing w:after="0" w:line="236" w:lineRule="auto"/>
        <w:rPr>
          <w:sz w:val="20"/>
          <w:szCs w:val="20"/>
          <w:color w:val="auto"/>
        </w:rPr>
      </w:pPr>
      <w:r>
        <w:rPr>
          <w:rFonts w:ascii="Times New Roman" w:cs="Times New Roman" w:eastAsia="Times New Roman" w:hAnsi="Times New Roman"/>
          <w:sz w:val="22"/>
          <w:szCs w:val="22"/>
          <w:color w:val="auto"/>
        </w:rPr>
        <w:t>of Notes over the other creditors of the Company with the intent of defeating, hindering, delaying or defrauding any creditors of the Company or others; and</w:t>
      </w:r>
    </w:p>
    <w:p>
      <w:pPr>
        <w:spacing w:after="0" w:line="150" w:lineRule="exact"/>
        <w:rPr>
          <w:sz w:val="20"/>
          <w:szCs w:val="20"/>
          <w:color w:val="auto"/>
        </w:rPr>
      </w:pPr>
    </w:p>
    <w:p>
      <w:pPr>
        <w:ind w:left="660" w:firstLine="644"/>
        <w:spacing w:after="0" w:line="236" w:lineRule="auto"/>
        <w:tabs>
          <w:tab w:leader="none" w:pos="195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46" w:lineRule="exact"/>
        <w:rPr>
          <w:sz w:val="20"/>
          <w:szCs w:val="20"/>
          <w:color w:val="auto"/>
        </w:rPr>
      </w:pPr>
    </w:p>
    <w:p>
      <w:pPr>
        <w:ind w:left="2280" w:hanging="1619"/>
        <w:spacing w:after="0" w:line="238" w:lineRule="auto"/>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2"/>
          <w:szCs w:val="22"/>
          <w:b w:val="1"/>
          <w:bCs w:val="1"/>
          <w:color w:val="auto"/>
        </w:rPr>
        <w:t>Deposited Money and Government Securities to be Held in Trust; Other Miscellaneous Provisions.</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Section 14.06 hereof, all money and non-callable government securities (including the proceeds thereof) deposited with the Trustee (or other qualifying trustee, collectively for purposes of this Section 14.05,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pursuant to Section 14.04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if any, but such money need not be segregated from other funds except to the extent required by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will pay and indemnify the Trustee against any tax, fee or other charge imposed on or assessed against the cash or non-callable government securities deposited pursuant to Section 14.04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Notwithstanding anything in this Article 14 to the contrary, the Trustee will deliver or pay to the Company from time to time upon the request of the Company any money or non-callable government securities held by it as provided in Section 14.04 hereof which, in the opinion of a nationally recognized firm of independent public accountants expressed in a written certification thereof delivered to the Trustee (which may be the opinion delivered under Section 14.04(i) hereof), are in excess of the amount thereof that would then be required to be deposited to effect an equivalent Legal Defeasance or Covenant Defeasance.</w:t>
      </w:r>
    </w:p>
    <w:p>
      <w:pPr>
        <w:spacing w:after="0" w:line="133"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Repayment to Company.</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Any money deposited with the Trustee or any Paying Agent, or then held by the Company, in trust for the payment of the principal of, premium on, if any, or interest, if any, on any Note and remaining unclaimed for two years after such principal, premium, if any, interest, if any,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395" w:right="339" w:bottom="1440" w:gutter="0" w:footer="0" w:header="0"/>
        </w:sectPr>
      </w:pPr>
    </w:p>
    <w:bookmarkStart w:id="177" w:name="page178"/>
    <w:bookmarkEnd w:id="17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than 30 days from the date of such notification or publication, any unclaimed balance of such money then remaining will be repaid to the Company.</w:t>
      </w:r>
    </w:p>
    <w:p>
      <w:pPr>
        <w:spacing w:after="0" w:line="12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Reinstatement.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the Trustee or Paying Agent is unable to apply any U.S. dollars or non-callable government securities in accordance with Section 14.02 or 14.03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14.02 or 14.03 hereof until such time as the Trustee or Paying Agent is permitted to apply all such money in accordance with Section 14.02 or 14.03 hereof, as the case may be;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Company makes any payment of principal of, premium on, if any, interest, if any, on, any Note following the reinstatement of its obligations, the Company will be subrogated to the rights of the Holders of such Notes to receive such payment from the money held by the Trustee or Paying Agent.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2" w:right="339" w:bottom="1440" w:gutter="0" w:footer="0" w:header="0"/>
        </w:sectPr>
      </w:pPr>
    </w:p>
    <w:bookmarkStart w:id="178" w:name="page179"/>
    <w:bookmarkEnd w:id="178"/>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to this Indenture have caused this Indenture to be duly executed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written above.</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030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8" w:lineRule="exact"/>
        <w:rPr>
          <w:sz w:val="20"/>
          <w:szCs w:val="20"/>
          <w:color w:val="auto"/>
        </w:rPr>
      </w:pPr>
    </w:p>
    <w:p>
      <w:pPr>
        <w:ind w:left="4300"/>
        <w:spacing w:after="0"/>
        <w:tabs>
          <w:tab w:leader="none" w:pos="50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Monahan</w:t>
      </w:r>
    </w:p>
    <w:p>
      <w:pPr>
        <w:spacing w:after="0" w:line="4"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Edge Systems Holdings Corporation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Edge Systems Intermediate, LLC</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Esthetic Medical Inc.</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HydraFacial LLC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LCP Edge Intermediate, LLC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HydraFacial Company Mexico Holdings, LLC</w:t>
      </w:r>
    </w:p>
    <w:p>
      <w:pPr>
        <w:spacing w:after="0" w:line="19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030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8" w:lineRule="exact"/>
        <w:rPr>
          <w:sz w:val="20"/>
          <w:szCs w:val="20"/>
          <w:color w:val="auto"/>
        </w:rPr>
      </w:pPr>
    </w:p>
    <w:p>
      <w:pPr>
        <w:ind w:left="4300"/>
        <w:spacing w:after="0"/>
        <w:tabs>
          <w:tab w:leader="none" w:pos="50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Monahan</w:t>
      </w:r>
    </w:p>
    <w:p>
      <w:pPr>
        <w:spacing w:after="0" w:line="5"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 Association, as Trustee and Collateral Agent</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Bradley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014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spacing w:after="0" w:line="8" w:lineRule="exact"/>
        <w:rPr>
          <w:sz w:val="20"/>
          <w:szCs w:val="20"/>
          <w:color w:val="auto"/>
        </w:rPr>
      </w:pPr>
    </w:p>
    <w:p>
      <w:pPr>
        <w:ind w:left="4300"/>
        <w:spacing w:after="0"/>
        <w:tabs>
          <w:tab w:leader="none" w:pos="50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Bradley Scarbrough</w:t>
      </w:r>
    </w:p>
    <w:p>
      <w:pPr>
        <w:spacing w:after="0" w:line="4" w:lineRule="exact"/>
        <w:rPr>
          <w:sz w:val="20"/>
          <w:szCs w:val="20"/>
          <w:color w:val="auto"/>
        </w:rPr>
      </w:pPr>
    </w:p>
    <w:p>
      <w:pPr>
        <w:ind w:left="4300"/>
        <w:spacing w:after="0"/>
        <w:tabs>
          <w:tab w:leader="none" w:pos="49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Indenture]</w:t>
      </w:r>
    </w:p>
    <w:p>
      <w:pPr>
        <w:sectPr>
          <w:pgSz w:w="11900" w:h="16838" w:orient="portrait"/>
          <w:cols w:equalWidth="0" w:num="1">
            <w:col w:w="11220"/>
          </w:cols>
          <w:pgMar w:left="320" w:top="1418"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0"/>
          <w:szCs w:val="20"/>
          <w:b w:val="1"/>
          <w:bCs w:val="1"/>
          <w:color w:val="auto"/>
        </w:rPr>
        <w:t>Schedule 3.08(B)</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Existing Indebtedness</w:t>
      </w:r>
    </w:p>
    <w:p>
      <w:pPr>
        <w:spacing w:after="0" w:line="227" w:lineRule="exact"/>
        <w:rPr>
          <w:sz w:val="20"/>
          <w:szCs w:val="20"/>
          <w:color w:val="auto"/>
        </w:rPr>
      </w:pPr>
    </w:p>
    <w:p>
      <w:pPr>
        <w:jc w:val="both"/>
        <w:ind w:left="328" w:hanging="328"/>
        <w:spacing w:after="0" w:line="258" w:lineRule="auto"/>
        <w:tabs>
          <w:tab w:leader="none" w:pos="32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 dated as of September 14, 2021, between The Beauty Health Company and U.S. Bank Trust Company, National Association (as successor in interest to U.S. Bank National Association), in its capacity as trustee, under which The Beauty Health Company issued 1.25% Convertible Senior Notes due 2026; provided that such notes shall not exceed $144,455,000 in the aggregate principal amount outstanding on and after the date hereof</w:t>
      </w:r>
      <w:r>
        <w:rPr>
          <w:rFonts w:ascii="Times New Roman" w:cs="Times New Roman" w:eastAsia="Times New Roman" w:hAnsi="Times New Roman"/>
          <w:sz w:val="20"/>
          <w:szCs w:val="20"/>
          <w:b w:val="1"/>
          <w:bCs w:val="1"/>
          <w:color w:val="auto"/>
        </w:rPr>
        <w:t>.</w:t>
      </w:r>
    </w:p>
    <w:p>
      <w:pPr>
        <w:spacing w:after="0" w:line="185" w:lineRule="exact"/>
        <w:rPr>
          <w:rFonts w:ascii="Times New Roman" w:cs="Times New Roman" w:eastAsia="Times New Roman" w:hAnsi="Times New Roman"/>
          <w:sz w:val="20"/>
          <w:szCs w:val="20"/>
          <w:color w:val="auto"/>
        </w:rPr>
      </w:pPr>
    </w:p>
    <w:p>
      <w:pPr>
        <w:ind w:left="328" w:hanging="328"/>
        <w:spacing w:after="0" w:line="269" w:lineRule="auto"/>
        <w:tabs>
          <w:tab w:leader="none" w:pos="32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Card Services Agreement, dated February 1, 2024, by and between Bank of America National Association and The Beauty Health Company with respect to $2,000,000 cash being held as collateral under this credit card program.</w:t>
      </w:r>
    </w:p>
    <w:p>
      <w:pPr>
        <w:spacing w:after="0" w:line="172" w:lineRule="exact"/>
        <w:rPr>
          <w:rFonts w:ascii="Times New Roman" w:cs="Times New Roman" w:eastAsia="Times New Roman" w:hAnsi="Times New Roman"/>
          <w:sz w:val="20"/>
          <w:szCs w:val="20"/>
          <w:color w:val="auto"/>
        </w:rPr>
      </w:pPr>
    </w:p>
    <w:p>
      <w:pPr>
        <w:jc w:val="both"/>
        <w:ind w:left="328" w:right="200" w:hanging="328"/>
        <w:spacing w:after="0" w:line="261" w:lineRule="auto"/>
        <w:tabs>
          <w:tab w:leader="none" w:pos="32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Guaranty by and between 2300 Redondo Holdings LLC (“Burnett Landlord”) and The Beauty Health Company whereby the Company is the Guarantor under that certain Lease Agreement by and between the Burnett Landlord and HydraFacial LLC for the office space located at 3600 E. Burnett St., Long Beach, CA 90815.</w:t>
      </w:r>
    </w:p>
    <w:p>
      <w:pPr>
        <w:spacing w:after="0" w:line="181" w:lineRule="exact"/>
        <w:rPr>
          <w:rFonts w:ascii="Times New Roman" w:cs="Times New Roman" w:eastAsia="Times New Roman" w:hAnsi="Times New Roman"/>
          <w:sz w:val="20"/>
          <w:szCs w:val="20"/>
          <w:color w:val="auto"/>
        </w:rPr>
      </w:pPr>
    </w:p>
    <w:p>
      <w:pPr>
        <w:ind w:left="328" w:right="60" w:hanging="328"/>
        <w:spacing w:after="0" w:line="261" w:lineRule="auto"/>
        <w:tabs>
          <w:tab w:leader="none" w:pos="32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Joint Guarantee (“Caution Solidaire”) of The Beauty Health Company by and between SCI Consortium TILSITT (the “Paris Landlord”) and the Company whereby the Company is the Guarantor under that certain commercial lease agreement by and between the Paris Landlord and HydraFacial France for the office space located at 5 rue de Tilsitt 75008 Paris, France.</w:t>
      </w:r>
    </w:p>
    <w:p>
      <w:pPr>
        <w:spacing w:after="0" w:line="167" w:lineRule="exact"/>
        <w:rPr>
          <w:rFonts w:ascii="Times New Roman" w:cs="Times New Roman" w:eastAsia="Times New Roman" w:hAnsi="Times New Roman"/>
          <w:sz w:val="20"/>
          <w:szCs w:val="20"/>
          <w:color w:val="auto"/>
        </w:rPr>
      </w:pPr>
    </w:p>
    <w:p>
      <w:pPr>
        <w:ind w:left="328" w:right="200" w:hanging="328"/>
        <w:spacing w:after="0" w:line="268" w:lineRule="auto"/>
        <w:tabs>
          <w:tab w:leader="none" w:pos="32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Intended Lease Guaranty of HydraFacial LLC whereby HydraFacial LLC intends to be a guarantor under that certain contemplated Lease Agreement to be entered into by and between Hydrafacial UK Limited and Multi Industrial Stag 1 Limited for the lease of that warehouse, distribution, repair and office space located at 6 Dryden Street, London, WC2E 9NH.</w:t>
      </w:r>
    </w:p>
    <w:p>
      <w:pPr>
        <w:spacing w:after="0" w:line="161" w:lineRule="exact"/>
        <w:rPr>
          <w:rFonts w:ascii="Times New Roman" w:cs="Times New Roman" w:eastAsia="Times New Roman" w:hAnsi="Times New Roman"/>
          <w:sz w:val="20"/>
          <w:szCs w:val="20"/>
          <w:color w:val="auto"/>
        </w:rPr>
      </w:pPr>
    </w:p>
    <w:p>
      <w:pPr>
        <w:ind w:left="328" w:right="340" w:hanging="328"/>
        <w:spacing w:after="0" w:line="253" w:lineRule="auto"/>
        <w:tabs>
          <w:tab w:leader="none" w:pos="32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Purchase Agreement, dated February 27, 2023, by and among Dr. Lawrence Groop, Kristin Groop, and Esthetic Education, LLC on the one hand (collectively, the “Groops”), and Edge Systems Intermediate, LLC on the other hand, with respect to the Company paying the Groops a royalty of $2.00 per cartridge for the first 950,000 cartridges sold by the Company (for a total of $1,900,000 in royalty payments). As of May 13, 2025, the Company has a remaining balance of $1,669,364 worth of royalty payments owed to the Groops.</w:t>
      </w:r>
    </w:p>
    <w:p>
      <w:pPr>
        <w:sectPr>
          <w:pgSz w:w="11900" w:h="16838" w:orient="portrait"/>
          <w:cols w:equalWidth="0" w:num="1">
            <w:col w:w="10908"/>
          </w:cols>
          <w:pgMar w:left="652" w:top="1409" w:right="339" w:bottom="1440" w:gutter="0" w:footer="0" w:header="0"/>
        </w:sectPr>
      </w:pPr>
    </w:p>
    <w:bookmarkStart w:id="180" w:name="page181"/>
    <w:bookmarkEnd w:id="180"/>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Schedule 3.09(C)</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Existing Liens</w:t>
      </w:r>
    </w:p>
    <w:p>
      <w:pPr>
        <w:spacing w:after="0" w:line="200" w:lineRule="exact"/>
        <w:rPr>
          <w:sz w:val="20"/>
          <w:szCs w:val="20"/>
          <w:color w:val="auto"/>
        </w:rPr>
      </w:pPr>
    </w:p>
    <w:p>
      <w:pPr>
        <w:spacing w:after="0" w:line="243" w:lineRule="exact"/>
        <w:rPr>
          <w:sz w:val="20"/>
          <w:szCs w:val="20"/>
          <w:color w:val="auto"/>
        </w:rPr>
      </w:pPr>
    </w:p>
    <w:p>
      <w:pPr>
        <w:ind w:left="328" w:hanging="328"/>
        <w:spacing w:after="0" w:line="283" w:lineRule="auto"/>
        <w:tabs>
          <w:tab w:leader="none" w:pos="32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UCC-1 Financing Statement #U240052776220, dated as of June 28, 2024, with HydraFacial LLC as Debtor and Verdant Commercial Capital, LLC as Secured Party.</w:t>
      </w:r>
    </w:p>
    <w:p>
      <w:pPr>
        <w:spacing w:after="0" w:line="146" w:lineRule="exact"/>
        <w:rPr>
          <w:rFonts w:ascii="Times New Roman" w:cs="Times New Roman" w:eastAsia="Times New Roman" w:hAnsi="Times New Roman"/>
          <w:sz w:val="20"/>
          <w:szCs w:val="20"/>
          <w:color w:val="auto"/>
        </w:rPr>
      </w:pPr>
    </w:p>
    <w:p>
      <w:pPr>
        <w:ind w:left="328" w:hanging="328"/>
        <w:spacing w:after="0" w:line="283" w:lineRule="auto"/>
        <w:tabs>
          <w:tab w:leader="none" w:pos="32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Card Services Agreement, dated February 1, 2024, by and between Bank of America National Association and The Beauty Health Company with respect to $2,000,000 cash being held as collateral under this credit card program.</w:t>
      </w:r>
    </w:p>
    <w:p>
      <w:pPr>
        <w:spacing w:after="0" w:line="159" w:lineRule="exact"/>
        <w:rPr>
          <w:rFonts w:ascii="Times New Roman" w:cs="Times New Roman" w:eastAsia="Times New Roman" w:hAnsi="Times New Roman"/>
          <w:sz w:val="20"/>
          <w:szCs w:val="20"/>
          <w:color w:val="auto"/>
        </w:rPr>
      </w:pPr>
    </w:p>
    <w:p>
      <w:pPr>
        <w:ind w:left="328" w:right="360" w:hanging="328"/>
        <w:spacing w:after="0" w:line="261" w:lineRule="auto"/>
        <w:tabs>
          <w:tab w:leader="none" w:pos="32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UCC-1 Financing Statement #17-7597795936, dated as of July 25, 2017, with HydraFacial LLC (f.k.a. Edge Systems LLC) as Debtor, and Wells Fargo Financial Leasing, Inc. as Secured Party, as continued by UCC-3 Financing Statement U220197405329, dated May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[Signature Page to Indenture]</w:t>
      </w:r>
    </w:p>
    <w:p>
      <w:pPr>
        <w:sectPr>
          <w:pgSz w:w="11900" w:h="16838" w:orient="portrait"/>
          <w:cols w:equalWidth="0" w:num="1">
            <w:col w:w="10908"/>
          </w:cols>
          <w:pgMar w:left="652" w:top="1440" w:right="339" w:bottom="1440" w:gutter="0" w:footer="0" w:header="0"/>
        </w:sectPr>
      </w:pPr>
    </w:p>
    <w:bookmarkStart w:id="181" w:name="page182"/>
    <w:bookmarkEnd w:id="181"/>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Schedule 3.11(B)</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Existing Investments</w:t>
      </w:r>
    </w:p>
    <w:p>
      <w:pPr>
        <w:spacing w:after="0" w:line="200" w:lineRule="exact"/>
        <w:rPr>
          <w:sz w:val="20"/>
          <w:szCs w:val="20"/>
          <w:color w:val="auto"/>
        </w:rPr>
      </w:pPr>
    </w:p>
    <w:p>
      <w:pPr>
        <w:spacing w:after="0" w:line="239" w:lineRule="exact"/>
        <w:rPr>
          <w:sz w:val="20"/>
          <w:szCs w:val="20"/>
          <w:color w:val="auto"/>
        </w:rPr>
      </w:pPr>
    </w:p>
    <w:p>
      <w:pPr>
        <w:ind w:left="480" w:hanging="473"/>
        <w:spacing w:after="0"/>
        <w:tabs>
          <w:tab w:leader="none" w:pos="480"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Existing Investments</w:t>
      </w:r>
    </w:p>
    <w:p>
      <w:pPr>
        <w:spacing w:after="0" w:line="233" w:lineRule="exact"/>
        <w:rPr>
          <w:rFonts w:ascii="Times New Roman" w:cs="Times New Roman" w:eastAsia="Times New Roman" w:hAnsi="Times New Roman"/>
          <w:sz w:val="20"/>
          <w:szCs w:val="20"/>
          <w:b w:val="1"/>
          <w:bCs w:val="1"/>
          <w:color w:val="auto"/>
        </w:rPr>
      </w:pPr>
    </w:p>
    <w:p>
      <w:pPr>
        <w:ind w:left="740" w:right="260" w:hanging="328"/>
        <w:spacing w:after="0" w:line="269" w:lineRule="auto"/>
        <w:tabs>
          <w:tab w:leader="none" w:pos="74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 between Hydrafacial Australia and New Zealand Pty Ltd and High Tech Medical Pty Ltd. in an amount not to exceed $700,000 AUD.</w:t>
      </w:r>
    </w:p>
    <w:p>
      <w:pPr>
        <w:spacing w:after="0" w:line="172" w:lineRule="exact"/>
        <w:rPr>
          <w:rFonts w:ascii="Times New Roman" w:cs="Times New Roman" w:eastAsia="Times New Roman" w:hAnsi="Times New Roman"/>
          <w:sz w:val="20"/>
          <w:szCs w:val="20"/>
          <w:color w:val="auto"/>
        </w:rPr>
      </w:pPr>
    </w:p>
    <w:p>
      <w:pPr>
        <w:ind w:left="740" w:right="80" w:hanging="328"/>
        <w:spacing w:after="0" w:line="283" w:lineRule="auto"/>
        <w:tabs>
          <w:tab w:leader="none" w:pos="74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Agreement, dated December 16, 2022, by and between SAIA Aesthetics Limited (“SAIA”) and Hydrafacial UK Limited (“HF UK”), with respect to HF UK loaning a total of $1,000,000 USD to SAIA.</w:t>
      </w:r>
    </w:p>
    <w:p>
      <w:pPr>
        <w:spacing w:after="0" w:line="155" w:lineRule="exact"/>
        <w:rPr>
          <w:rFonts w:ascii="Times New Roman" w:cs="Times New Roman" w:eastAsia="Times New Roman" w:hAnsi="Times New Roman"/>
          <w:sz w:val="20"/>
          <w:szCs w:val="20"/>
          <w:color w:val="auto"/>
        </w:rPr>
      </w:pPr>
    </w:p>
    <w:p>
      <w:pPr>
        <w:ind w:left="740" w:hanging="328"/>
        <w:spacing w:after="0" w:line="253" w:lineRule="auto"/>
        <w:tabs>
          <w:tab w:leader="none" w:pos="74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capped call confirmations (the “Base Capped Call Confirmations”), dated September 9, 2021, between the Company and each of Deutsche Bank AG, Lond Branch, Goldman Sachs &amp; Co. LLC, JPMorgan Chase Bank, National Association, Credit Suisse Capital LLC, Mizuho Markets Americas LLC, Wells Fargo Bank, National Association, and Bank of Montreal (collectively, the “Capped Call Counterparties”), entered into in connection with the Company’s issuance of $650,000,000 principal amount of the Company’s 1.25% Convertible Senior Notes due 2026.</w:t>
      </w:r>
    </w:p>
    <w:p>
      <w:pPr>
        <w:spacing w:after="0" w:line="205" w:lineRule="exact"/>
        <w:rPr>
          <w:rFonts w:ascii="Times New Roman" w:cs="Times New Roman" w:eastAsia="Times New Roman" w:hAnsi="Times New Roman"/>
          <w:sz w:val="22"/>
          <w:szCs w:val="22"/>
          <w:color w:val="auto"/>
        </w:rPr>
      </w:pPr>
    </w:p>
    <w:p>
      <w:pPr>
        <w:ind w:left="740" w:right="520" w:hanging="328"/>
        <w:spacing w:after="0" w:line="275" w:lineRule="auto"/>
        <w:tabs>
          <w:tab w:leader="none" w:pos="740"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additional capped call confirmations (the “Additional Capped Call Confirmations”), dated September 10, 2021, between the Company and each of the Capped Call Counterparties, entered into in connection with the Company’s issuance of $100,000,000 aggregate principal amount of the Company’s 1.25% Convertible Senior Note due 2026.</w:t>
      </w:r>
    </w:p>
    <w:p>
      <w:pPr>
        <w:spacing w:after="0" w:line="210" w:lineRule="exact"/>
        <w:rPr>
          <w:sz w:val="20"/>
          <w:szCs w:val="20"/>
          <w:color w:val="auto"/>
        </w:rPr>
      </w:pPr>
    </w:p>
    <w:p>
      <w:pPr>
        <w:ind w:left="500" w:right="280" w:hanging="493"/>
        <w:spacing w:after="0" w:line="287" w:lineRule="auto"/>
        <w:tabs>
          <w:tab w:leader="none" w:pos="487" w:val="left"/>
        </w:tabs>
        <w:numPr>
          <w:ilvl w:val="0"/>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Existing Equity Investments In The Below Subsidiaries (but not including any future equity investments in such subsidiaries, whether required or not on the date hereof):</w:t>
      </w:r>
    </w:p>
    <w:p>
      <w:pPr>
        <w:spacing w:after="0" w:line="155" w:lineRule="exact"/>
        <w:rPr>
          <w:rFonts w:ascii="Times New Roman" w:cs="Times New Roman" w:eastAsia="Times New Roman" w:hAnsi="Times New Roman"/>
          <w:sz w:val="20"/>
          <w:szCs w:val="20"/>
          <w:b w:val="1"/>
          <w:bCs w:val="1"/>
          <w:color w:val="auto"/>
        </w:rPr>
      </w:pPr>
    </w:p>
    <w:p>
      <w:pPr>
        <w:ind w:left="740" w:hanging="328"/>
        <w:spacing w:after="0"/>
        <w:tabs>
          <w:tab w:leader="none" w:pos="7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LCP Edge Intermediate, LLC</w:t>
      </w:r>
    </w:p>
    <w:p>
      <w:pPr>
        <w:spacing w:after="0" w:line="215" w:lineRule="exact"/>
        <w:rPr>
          <w:rFonts w:ascii="Times New Roman" w:cs="Times New Roman" w:eastAsia="Times New Roman" w:hAnsi="Times New Roman"/>
          <w:sz w:val="20"/>
          <w:szCs w:val="20"/>
          <w:color w:val="auto"/>
        </w:rPr>
      </w:pPr>
    </w:p>
    <w:p>
      <w:pPr>
        <w:ind w:left="740" w:hanging="328"/>
        <w:spacing w:after="0"/>
        <w:tabs>
          <w:tab w:leader="none" w:pos="7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Edge Systems Holdings Corporation</w:t>
      </w:r>
    </w:p>
    <w:p>
      <w:pPr>
        <w:spacing w:after="0" w:line="229" w:lineRule="exact"/>
        <w:rPr>
          <w:rFonts w:ascii="Times New Roman" w:cs="Times New Roman" w:eastAsia="Times New Roman" w:hAnsi="Times New Roman"/>
          <w:sz w:val="20"/>
          <w:szCs w:val="20"/>
          <w:color w:val="auto"/>
        </w:rPr>
      </w:pPr>
    </w:p>
    <w:p>
      <w:pPr>
        <w:ind w:left="740" w:hanging="328"/>
        <w:spacing w:after="0"/>
        <w:tabs>
          <w:tab w:leader="none" w:pos="7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Edge Systems Intermediate, LLC</w:t>
      </w:r>
    </w:p>
    <w:p>
      <w:pPr>
        <w:spacing w:after="0" w:line="215" w:lineRule="exact"/>
        <w:rPr>
          <w:rFonts w:ascii="Times New Roman" w:cs="Times New Roman" w:eastAsia="Times New Roman" w:hAnsi="Times New Roman"/>
          <w:sz w:val="20"/>
          <w:szCs w:val="20"/>
          <w:color w:val="auto"/>
        </w:rPr>
      </w:pPr>
    </w:p>
    <w:p>
      <w:pPr>
        <w:ind w:left="740" w:hanging="328"/>
        <w:spacing w:after="0"/>
        <w:tabs>
          <w:tab w:leader="none" w:pos="7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Esthetic Medical Inc</w:t>
      </w:r>
    </w:p>
    <w:p>
      <w:pPr>
        <w:spacing w:after="0" w:line="229" w:lineRule="exact"/>
        <w:rPr>
          <w:rFonts w:ascii="Times New Roman" w:cs="Times New Roman" w:eastAsia="Times New Roman" w:hAnsi="Times New Roman"/>
          <w:sz w:val="20"/>
          <w:szCs w:val="20"/>
          <w:color w:val="auto"/>
        </w:rPr>
      </w:pPr>
    </w:p>
    <w:p>
      <w:pPr>
        <w:ind w:left="740" w:hanging="328"/>
        <w:spacing w:after="0"/>
        <w:tabs>
          <w:tab w:leader="none" w:pos="7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HydraFacial LLC</w:t>
      </w:r>
    </w:p>
    <w:p>
      <w:pPr>
        <w:spacing w:after="0" w:line="224" w:lineRule="exact"/>
        <w:rPr>
          <w:rFonts w:ascii="Times New Roman" w:cs="Times New Roman" w:eastAsia="Times New Roman" w:hAnsi="Times New Roman"/>
          <w:sz w:val="20"/>
          <w:szCs w:val="20"/>
          <w:color w:val="auto"/>
        </w:rPr>
      </w:pPr>
    </w:p>
    <w:p>
      <w:pPr>
        <w:ind w:left="740" w:hanging="328"/>
        <w:spacing w:after="0"/>
        <w:tabs>
          <w:tab w:leader="none" w:pos="74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HydraFacial Company Mexico Holdings, LLC</w:t>
      </w:r>
    </w:p>
    <w:p>
      <w:pPr>
        <w:spacing w:after="0" w:line="287" w:lineRule="exact"/>
        <w:rPr>
          <w:rFonts w:ascii="Times New Roman" w:cs="Times New Roman" w:eastAsia="Times New Roman" w:hAnsi="Times New Roman"/>
          <w:sz w:val="22"/>
          <w:szCs w:val="22"/>
          <w:color w:val="auto"/>
        </w:rPr>
      </w:pPr>
    </w:p>
    <w:p>
      <w:pPr>
        <w:ind w:left="740" w:hanging="328"/>
        <w:spacing w:after="0"/>
        <w:tabs>
          <w:tab w:leader="none" w:pos="74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Hydrafacial Company MX, S. de R.L. de C.V.</w:t>
      </w:r>
    </w:p>
    <w:p>
      <w:pPr>
        <w:spacing w:after="0" w:line="260" w:lineRule="exact"/>
        <w:rPr>
          <w:rFonts w:ascii="Times New Roman" w:cs="Times New Roman" w:eastAsia="Times New Roman" w:hAnsi="Times New Roman"/>
          <w:sz w:val="22"/>
          <w:szCs w:val="22"/>
          <w:color w:val="auto"/>
        </w:rPr>
      </w:pPr>
    </w:p>
    <w:p>
      <w:pPr>
        <w:ind w:left="740" w:hanging="328"/>
        <w:spacing w:after="0"/>
        <w:tabs>
          <w:tab w:leader="none" w:pos="74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Hydrafacial Australia and New Zealand Pty Ltd</w:t>
      </w:r>
    </w:p>
    <w:p>
      <w:pPr>
        <w:spacing w:after="0" w:line="246" w:lineRule="exact"/>
        <w:rPr>
          <w:rFonts w:ascii="Times New Roman" w:cs="Times New Roman" w:eastAsia="Times New Roman" w:hAnsi="Times New Roman"/>
          <w:sz w:val="22"/>
          <w:szCs w:val="22"/>
          <w:color w:val="auto"/>
        </w:rPr>
      </w:pPr>
    </w:p>
    <w:p>
      <w:pPr>
        <w:ind w:left="740" w:hanging="328"/>
        <w:spacing w:after="0"/>
        <w:tabs>
          <w:tab w:leader="none" w:pos="74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HydraFacial France</w:t>
      </w:r>
    </w:p>
    <w:p>
      <w:pPr>
        <w:sectPr>
          <w:pgSz w:w="11900" w:h="16838" w:orient="portrait"/>
          <w:cols w:equalWidth="0" w:num="1">
            <w:col w:w="11280"/>
          </w:cols>
          <w:pgMar w:left="240" w:top="1409" w:right="379" w:bottom="1440" w:gutter="0" w:footer="0" w:header="0"/>
        </w:sectPr>
      </w:pPr>
    </w:p>
    <w:bookmarkStart w:id="182" w:name="page183"/>
    <w:bookmarkEnd w:id="182"/>
    <w:p>
      <w:pPr>
        <w:ind w:left="328" w:hanging="328"/>
        <w:spacing w:after="0"/>
        <w:tabs>
          <w:tab w:leader="none" w:pos="32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HydraFacial Company Iberia, S.L.U.</w:t>
      </w:r>
    </w:p>
    <w:p>
      <w:pPr>
        <w:spacing w:after="0" w:line="246"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Hydrafacial Trading (Shanghai) Co., Ltd.</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Hydrafacial Canada Esthetic Products Inc.</w:t>
      </w:r>
    </w:p>
    <w:p>
      <w:pPr>
        <w:spacing w:after="0" w:line="271" w:lineRule="exact"/>
        <w:rPr>
          <w:rFonts w:ascii="Times New Roman" w:cs="Times New Roman" w:eastAsia="Times New Roman" w:hAnsi="Times New Roman"/>
          <w:sz w:val="21"/>
          <w:szCs w:val="21"/>
          <w:color w:val="auto"/>
        </w:rPr>
      </w:pPr>
    </w:p>
    <w:p>
      <w:pPr>
        <w:ind w:left="328" w:hanging="328"/>
        <w:spacing w:after="0"/>
        <w:tabs>
          <w:tab w:leader="none" w:pos="32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HydraFacial Germany GmbH</w:t>
      </w:r>
    </w:p>
    <w:p>
      <w:pPr>
        <w:spacing w:after="0" w:line="246"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Hydrafacial UK Limited</w:t>
      </w:r>
    </w:p>
    <w:p>
      <w:pPr>
        <w:sectPr>
          <w:pgSz w:w="11900" w:h="16838" w:orient="portrait"/>
          <w:cols w:equalWidth="0" w:num="1">
            <w:col w:w="9807"/>
          </w:cols>
          <w:pgMar w:left="652" w:top="1422" w:right="1440" w:bottom="1440" w:gutter="0" w:footer="0" w:header="0"/>
        </w:sectPr>
      </w:pPr>
    </w:p>
    <w:bookmarkStart w:id="183" w:name="page184"/>
    <w:bookmarkEnd w:id="183"/>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Schedule 3.17</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Existing Restrictive Agreements</w:t>
      </w:r>
    </w:p>
    <w:p>
      <w:pPr>
        <w:spacing w:after="0" w:line="223" w:lineRule="exact"/>
        <w:rPr>
          <w:sz w:val="20"/>
          <w:szCs w:val="20"/>
          <w:color w:val="auto"/>
        </w:rPr>
      </w:pPr>
    </w:p>
    <w:p>
      <w:pPr>
        <w:ind w:left="328" w:right="20" w:hanging="328"/>
        <w:spacing w:after="0" w:line="263" w:lineRule="auto"/>
        <w:tabs>
          <w:tab w:leader="none" w:pos="32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Guarantee (“Caution Solidaire”) of The Beauty Health Company whereby the Company is a guarantor under that certain Bail Commercial by and between SCI Consortium Tilsitt and Hydrafacial France for the lease of that certain office space located at 5 rue de Tilsitt 75008 Paris, France.</w:t>
      </w:r>
    </w:p>
    <w:p>
      <w:pPr>
        <w:spacing w:after="0" w:line="194" w:lineRule="exact"/>
        <w:rPr>
          <w:rFonts w:ascii="Times New Roman" w:cs="Times New Roman" w:eastAsia="Times New Roman" w:hAnsi="Times New Roman"/>
          <w:sz w:val="22"/>
          <w:szCs w:val="22"/>
          <w:color w:val="auto"/>
        </w:rPr>
      </w:pPr>
    </w:p>
    <w:p>
      <w:pPr>
        <w:ind w:left="328" w:right="40" w:hanging="328"/>
        <w:spacing w:after="0" w:line="257" w:lineRule="auto"/>
        <w:tabs>
          <w:tab w:leader="none" w:pos="32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Guaranty of The Beauty Health Company whereby the Company is a guarantor under that certain Lease Agreement by and between 2300 Redondo Holdings LLC and HydraFacial LLC for the lease of that certain office space located at 3600 E. Burnett St., Long Beach, CA 90815.</w:t>
      </w:r>
    </w:p>
    <w:p>
      <w:pPr>
        <w:spacing w:after="0" w:line="204" w:lineRule="exact"/>
        <w:rPr>
          <w:rFonts w:ascii="Times New Roman" w:cs="Times New Roman" w:eastAsia="Times New Roman" w:hAnsi="Times New Roman"/>
          <w:sz w:val="22"/>
          <w:szCs w:val="22"/>
          <w:color w:val="auto"/>
        </w:rPr>
      </w:pPr>
    </w:p>
    <w:p>
      <w:pPr>
        <w:ind w:left="328" w:right="200" w:hanging="328"/>
        <w:spacing w:after="0" w:line="261" w:lineRule="auto"/>
        <w:tabs>
          <w:tab w:leader="none" w:pos="32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Intended Lease Guaranty of HydraFacial LLC whereby HydraFacial LLC intends to be a guarantor under that certain contemplated Lease Agreement to be entered into by and between Hydrafacial UK Limited and Multi Industrial Stag 1 Limited for the lease of that warehouse, distribution, repair and office space located at 6 Dryden Street, London, WC2E 9NH.</w:t>
      </w:r>
    </w:p>
    <w:p>
      <w:pPr>
        <w:sectPr>
          <w:pgSz w:w="11900" w:h="16838" w:orient="portrait"/>
          <w:cols w:equalWidth="0" w:num="1">
            <w:col w:w="10908"/>
          </w:cols>
          <w:pgMar w:left="652" w:top="144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b w:val="1"/>
          <w:bCs w:val="1"/>
          <w:color w:val="auto"/>
        </w:rPr>
        <w:t>Schedule 3.36</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Post-Closing Covenants</w:t>
      </w:r>
    </w:p>
    <w:p>
      <w:pPr>
        <w:spacing w:after="0" w:line="227" w:lineRule="exact"/>
        <w:rPr>
          <w:sz w:val="20"/>
          <w:szCs w:val="20"/>
          <w:color w:val="auto"/>
        </w:rPr>
      </w:pPr>
    </w:p>
    <w:p>
      <w:pPr>
        <w:ind w:left="324" w:right="280" w:hanging="324"/>
        <w:spacing w:after="0" w:line="261" w:lineRule="auto"/>
        <w:tabs>
          <w:tab w:leader="none" w:pos="32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75 Business Days, including local jurisdiction business days, after the Issue Date, the Company shall cause certain Foreign Subsidiaries to become Note Parties such that no Foreign Subsidiary that is not a Note Party would be required to be designated a Material Foreign Subsidiary pursuant to the proviso to the definition of Material Foreign Subsidiary.</w:t>
      </w:r>
    </w:p>
    <w:p>
      <w:pPr>
        <w:sectPr>
          <w:pgSz w:w="11900" w:h="16838" w:orient="portrait"/>
          <w:cols w:equalWidth="0" w:num="1">
            <w:col w:w="10484"/>
          </w:cols>
          <w:pgMar w:left="976" w:top="1409" w:right="439" w:bottom="1440" w:gutter="0" w:footer="0" w:header="0"/>
        </w:sectPr>
      </w:pPr>
    </w:p>
    <w:bookmarkStart w:id="185" w:name="page186"/>
    <w:bookmarkEnd w:id="185"/>
    <w:tbl>
      <w:tblPr>
        <w:tblLayout w:type="fixed"/>
        <w:tblInd w:w="20" w:type="dxa"/>
        <w:tblCellMar>
          <w:top w:w="0" w:type="dxa"/>
          <w:left w:w="0" w:type="dxa"/>
          <w:bottom w:w="0" w:type="dxa"/>
          <w:right w:w="0" w:type="dxa"/>
        </w:tblCellMar>
      </w:tblPr>
      <w:tr>
        <w:trPr>
          <w:trHeight w:val="286"/>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40" w:type="dxa"/>
            <w:vAlign w:val="bottom"/>
          </w:tcPr>
          <w:p>
            <w:pPr>
              <w:ind w:left="3720"/>
              <w:spacing w:after="0"/>
              <w:rPr>
                <w:sz w:val="20"/>
                <w:szCs w:val="20"/>
                <w:color w:val="auto"/>
              </w:rPr>
            </w:pPr>
            <w:r>
              <w:rPr>
                <w:rFonts w:ascii="Times New Roman" w:cs="Times New Roman" w:eastAsia="Times New Roman" w:hAnsi="Times New Roman"/>
                <w:sz w:val="22"/>
                <w:szCs w:val="22"/>
                <w:b w:val="1"/>
                <w:bCs w:val="1"/>
                <w:color w:val="auto"/>
                <w:w w:val="95"/>
              </w:rPr>
              <w:t>EXHIBIT A</w:t>
            </w:r>
          </w:p>
        </w:tc>
      </w:tr>
      <w:tr>
        <w:trPr>
          <w:trHeight w:val="420"/>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0" w:type="dxa"/>
            <w:vAlign w:val="bottom"/>
            <w:gridSpan w:val="2"/>
          </w:tcPr>
          <w:p>
            <w:pPr>
              <w:jc w:val="center"/>
              <w:ind w:right="4732"/>
              <w:spacing w:after="0"/>
              <w:rPr>
                <w:sz w:val="20"/>
                <w:szCs w:val="20"/>
                <w:color w:val="auto"/>
              </w:rPr>
            </w:pPr>
            <w:r>
              <w:rPr>
                <w:rFonts w:ascii="Times New Roman" w:cs="Times New Roman" w:eastAsia="Times New Roman" w:hAnsi="Times New Roman"/>
                <w:sz w:val="22"/>
                <w:szCs w:val="22"/>
                <w:color w:val="auto"/>
                <w:w w:val="97"/>
              </w:rPr>
              <w:t>FORM OF NOTE</w:t>
            </w:r>
          </w:p>
        </w:tc>
      </w:tr>
      <w:tr>
        <w:trPr>
          <w:trHeight w:val="20"/>
        </w:trPr>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505"/>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80" w:type="dxa"/>
            <w:vAlign w:val="bottom"/>
            <w:gridSpan w:val="3"/>
          </w:tcPr>
          <w:p>
            <w:pPr>
              <w:jc w:val="center"/>
              <w:ind w:right="2452"/>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i w:val="1"/>
                <w:iCs w:val="1"/>
                <w:color w:val="auto"/>
                <w:w w:val="97"/>
              </w:rPr>
              <w:t>Insert Global Note Legend, if applicable</w:t>
            </w:r>
            <w:r>
              <w:rPr>
                <w:rFonts w:ascii="Times New Roman" w:cs="Times New Roman" w:eastAsia="Times New Roman" w:hAnsi="Times New Roman"/>
                <w:sz w:val="22"/>
                <w:szCs w:val="22"/>
                <w:color w:val="auto"/>
                <w:w w:val="97"/>
              </w:rPr>
              <w:t>]</w:t>
            </w:r>
          </w:p>
        </w:tc>
      </w:tr>
      <w:tr>
        <w:trPr>
          <w:trHeight w:val="486"/>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80" w:type="dxa"/>
            <w:vAlign w:val="bottom"/>
            <w:gridSpan w:val="3"/>
          </w:tcPr>
          <w:p>
            <w:pPr>
              <w:jc w:val="center"/>
              <w:ind w:right="2452"/>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Insert Restricted Note Legend, if applicable</w:t>
            </w:r>
            <w:r>
              <w:rPr>
                <w:rFonts w:ascii="Times New Roman" w:cs="Times New Roman" w:eastAsia="Times New Roman" w:hAnsi="Times New Roman"/>
                <w:sz w:val="22"/>
                <w:szCs w:val="22"/>
                <w:color w:val="auto"/>
                <w:w w:val="98"/>
              </w:rPr>
              <w:t>]</w:t>
            </w:r>
          </w:p>
        </w:tc>
      </w:tr>
      <w:tr>
        <w:trPr>
          <w:trHeight w:val="473"/>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80" w:type="dxa"/>
            <w:vAlign w:val="bottom"/>
            <w:gridSpan w:val="3"/>
          </w:tcPr>
          <w:p>
            <w:pPr>
              <w:jc w:val="center"/>
              <w:ind w:right="2452"/>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Insert Non-Affiliate Legend</w:t>
            </w:r>
            <w:r>
              <w:rPr>
                <w:rFonts w:ascii="Times New Roman" w:cs="Times New Roman" w:eastAsia="Times New Roman" w:hAnsi="Times New Roman"/>
                <w:sz w:val="22"/>
                <w:szCs w:val="22"/>
                <w:color w:val="auto"/>
                <w:w w:val="98"/>
              </w:rPr>
              <w:t>]</w:t>
            </w:r>
          </w:p>
        </w:tc>
      </w:tr>
      <w:tr>
        <w:trPr>
          <w:trHeight w:val="473"/>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80" w:type="dxa"/>
            <w:vAlign w:val="bottom"/>
            <w:gridSpan w:val="3"/>
          </w:tcPr>
          <w:p>
            <w:pPr>
              <w:jc w:val="center"/>
              <w:ind w:right="2432"/>
              <w:spacing w:after="0"/>
              <w:rPr>
                <w:sz w:val="20"/>
                <w:szCs w:val="20"/>
                <w:color w:val="auto"/>
              </w:rPr>
            </w:pPr>
            <w:r>
              <w:rPr>
                <w:rFonts w:ascii="Times New Roman" w:cs="Times New Roman" w:eastAsia="Times New Roman" w:hAnsi="Times New Roman"/>
                <w:sz w:val="22"/>
                <w:szCs w:val="22"/>
                <w:b w:val="1"/>
                <w:bCs w:val="1"/>
                <w:color w:val="auto"/>
                <w:w w:val="97"/>
              </w:rPr>
              <w:t>THE BEAUTY HEALTH COMPANY</w:t>
            </w:r>
          </w:p>
        </w:tc>
      </w:tr>
      <w:tr>
        <w:trPr>
          <w:trHeight w:val="473"/>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80" w:type="dxa"/>
            <w:vAlign w:val="bottom"/>
            <w:gridSpan w:val="3"/>
          </w:tcPr>
          <w:p>
            <w:pPr>
              <w:jc w:val="center"/>
              <w:ind w:right="2452"/>
              <w:spacing w:after="0"/>
              <w:rPr>
                <w:sz w:val="20"/>
                <w:szCs w:val="20"/>
                <w:color w:val="auto"/>
              </w:rPr>
            </w:pPr>
            <w:r>
              <w:rPr>
                <w:rFonts w:ascii="Times New Roman" w:cs="Times New Roman" w:eastAsia="Times New Roman" w:hAnsi="Times New Roman"/>
                <w:sz w:val="22"/>
                <w:szCs w:val="22"/>
                <w:b w:val="1"/>
                <w:bCs w:val="1"/>
                <w:color w:val="auto"/>
                <w:w w:val="98"/>
              </w:rPr>
              <w:t>7.95% Convertible Senior Secured Note due 2028</w:t>
            </w:r>
          </w:p>
        </w:tc>
      </w:tr>
      <w:tr>
        <w:trPr>
          <w:trHeight w:val="48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w w:val="97"/>
              </w:rPr>
              <w:t>CUSIP No.:</w:t>
            </w: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[___]</w:t>
            </w: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40" w:type="dxa"/>
            <w:vAlign w:val="bottom"/>
          </w:tcPr>
          <w:p>
            <w:pPr>
              <w:ind w:left="2960"/>
              <w:spacing w:after="0"/>
              <w:rPr>
                <w:sz w:val="20"/>
                <w:szCs w:val="20"/>
                <w:color w:val="auto"/>
              </w:rPr>
            </w:pPr>
            <w:r>
              <w:rPr>
                <w:rFonts w:ascii="Times New Roman" w:cs="Times New Roman" w:eastAsia="Times New Roman" w:hAnsi="Times New Roman"/>
                <w:sz w:val="22"/>
                <w:szCs w:val="22"/>
                <w:color w:val="auto"/>
              </w:rPr>
              <w:t>Certificate No. [___]</w:t>
            </w: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ISIN No.:</w:t>
            </w:r>
          </w:p>
        </w:tc>
        <w:tc>
          <w:tcPr>
            <w:tcW w:w="14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w w:val="96"/>
              </w:rPr>
              <w:t>[___]</w:t>
            </w:r>
          </w:p>
        </w:tc>
        <w:tc>
          <w:tcPr>
            <w:tcW w:w="2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pacing w:after="0" w:line="32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Beauty Health Company, a Delaware corporation, for value received, promises to pay to Cede &amp; Co., or its registered assigns, the principal sum of dollars ($ ) (as revised by the attached Schedule of Exchanges of Interests in the Global Note)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on November 15, 2028 and to pay interest thereon, as provided in the Indenture referred to below, until the principal and all accrued and unpaid interest are paid or duly provided for.</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309"/>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Interest Payment Dates:</w:t>
            </w:r>
          </w:p>
        </w:tc>
        <w:tc>
          <w:tcPr>
            <w:tcW w:w="62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May 15 and November 15 of each year, commencing on [</w:t>
            </w:r>
            <w:r>
              <w:rPr>
                <w:rFonts w:ascii="Times New Roman" w:cs="Times New Roman" w:eastAsia="Times New Roman" w:hAnsi="Times New Roman"/>
                <w:sz w:val="22"/>
                <w:szCs w:val="22"/>
                <w:i w:val="1"/>
                <w:iCs w:val="1"/>
                <w:color w:val="auto"/>
                <w:w w:val="97"/>
              </w:rPr>
              <w:t>date</w:t>
            </w:r>
            <w:r>
              <w:rPr>
                <w:rFonts w:ascii="Times New Roman" w:cs="Times New Roman" w:eastAsia="Times New Roman" w:hAnsi="Times New Roman"/>
                <w:sz w:val="22"/>
                <w:szCs w:val="22"/>
                <w:color w:val="auto"/>
                <w:w w:val="97"/>
              </w:rPr>
              <w:t>].</w:t>
            </w:r>
          </w:p>
        </w:tc>
      </w:tr>
      <w:tr>
        <w:trPr>
          <w:trHeight w:val="554"/>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Regular Record Dates:</w:t>
            </w:r>
          </w:p>
        </w:tc>
        <w:tc>
          <w:tcPr>
            <w:tcW w:w="62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May 1 and November 1.</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Additional provisions of this Note are set forth on the other side of this Note.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1645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hanging="232"/>
        <w:spacing w:after="0"/>
        <w:tabs>
          <w:tab w:leader="none" w:pos="240"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bracketed language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186" w:name="page187"/>
    <w:bookmarkEnd w:id="186"/>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Beauty Health Company has caused this instrument to be duly executed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below.</w:t>
      </w:r>
    </w:p>
    <w:p>
      <w:pPr>
        <w:spacing w:after="0" w:line="207" w:lineRule="exact"/>
        <w:rPr>
          <w:sz w:val="20"/>
          <w:szCs w:val="20"/>
          <w:color w:val="auto"/>
        </w:rPr>
      </w:pPr>
    </w:p>
    <w:p>
      <w:pPr>
        <w:ind w:left="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The Beauty Health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-13970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-13970</wp:posOffset>
            </wp:positionV>
            <wp:extent cx="274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18"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as Trustee, certifies that this is one of the Notes referred to in the within-mentioned Indenture.</w:t>
      </w:r>
    </w:p>
    <w:p>
      <w:pPr>
        <w:spacing w:after="0" w:line="225" w:lineRule="exact"/>
        <w:rPr>
          <w:sz w:val="20"/>
          <w:szCs w:val="20"/>
          <w:color w:val="auto"/>
        </w:rPr>
      </w:pPr>
    </w:p>
    <w:p>
      <w:pPr>
        <w:ind w:left="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-13970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-13970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color w:val="auto"/>
        </w:rPr>
        <w:t>THE BEAUTY HEALTH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7.95% Convertible Senior Secured Note due 2028</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Note is one of a duly authorized issue of notes of The Beauty Health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designated as its 7.95% Convertible Senior Secured Notes due 2028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all issued or to be issued pursuant to an indenture, dated as of May 27, 2025 (as the same may be amended from time to time,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between the Company and U.S. Bank Trust Company, National Association, as trustee and collateral agent. Capitalized terms used in this Note without definition have the respective meanings ascribed to them in the Indenture.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Indenture sets forth the rights and obligations of the Company, the Trustee, the Collateral Agent and the Holders and the terms of the Notes. Notwithstanding anything to the contrary in this Note, to the extent that any provision of this Note conflicts with the provisions of the Indenture, the provisions of the Indenture will control.</w:t>
      </w:r>
    </w:p>
    <w:p>
      <w:pPr>
        <w:spacing w:after="0" w:line="136" w:lineRule="exact"/>
        <w:rPr>
          <w:sz w:val="20"/>
          <w:szCs w:val="20"/>
          <w:color w:val="auto"/>
        </w:rPr>
      </w:pPr>
    </w:p>
    <w:p>
      <w:pPr>
        <w:ind w:firstLine="656"/>
        <w:spacing w:after="0" w:line="238"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This Note will accrue interest at a rate and in the manner set forth in Section 2.05 of the Indenture.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on this Note will begin to accrue from, and including,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Maturity</w:t>
      </w:r>
      <w:r>
        <w:rPr>
          <w:rFonts w:ascii="Times New Roman" w:cs="Times New Roman" w:eastAsia="Times New Roman" w:hAnsi="Times New Roman"/>
          <w:sz w:val="22"/>
          <w:szCs w:val="22"/>
          <w:color w:val="auto"/>
        </w:rPr>
        <w:t>. This Note will mature on November 15, 2028, unless earlier repurchased, redeemed or converted.</w:t>
      </w:r>
    </w:p>
    <w:p>
      <w:pPr>
        <w:spacing w:after="0" w:line="17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Cash amounts due on this Note will be paid in the manner set forth in Section 2.04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22"/>
          <w:szCs w:val="22"/>
          <w:color w:val="auto"/>
        </w:rPr>
        <w:t>. The Holder of this Note will be treated as the owner of this Note for all purposes.</w:t>
      </w:r>
    </w:p>
    <w:p>
      <w:pPr>
        <w:spacing w:after="0" w:line="179"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Denominations; Transfers and Exchanges</w:t>
      </w:r>
      <w:r>
        <w:rPr>
          <w:rFonts w:ascii="Times New Roman" w:cs="Times New Roman" w:eastAsia="Times New Roman" w:hAnsi="Times New Roman"/>
          <w:sz w:val="22"/>
          <w:szCs w:val="22"/>
          <w:color w:val="auto"/>
        </w:rPr>
        <w:t>. All Notes will be in registered form, without coupons, in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equal to any Authorized Denominations. Subject to the terms of the Indenture, the Holder of this Note may transfer or exchange this Note by presenting it to the Registrar and delivering any required documentation or other materials.</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Holders to Require the Company to Repurchase Notes Upon a Fundamental Change</w:t>
      </w:r>
      <w:r>
        <w:rPr>
          <w:rFonts w:ascii="Times New Roman" w:cs="Times New Roman" w:eastAsia="Times New Roman" w:hAnsi="Times New Roman"/>
          <w:sz w:val="22"/>
          <w:szCs w:val="22"/>
          <w:color w:val="auto"/>
        </w:rPr>
        <w:t>. If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the Company to Redeem the Notes</w:t>
      </w:r>
      <w:r>
        <w:rPr>
          <w:rFonts w:ascii="Times New Roman" w:cs="Times New Roman" w:eastAsia="Times New Roman" w:hAnsi="Times New Roman"/>
          <w:sz w:val="22"/>
          <w:szCs w:val="22"/>
          <w:color w:val="auto"/>
        </w:rPr>
        <w:t>. The Company will have the right to redeem the Notes for cash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manner, and subject to the terms, set forth in Section 4.03 of the Indenture.</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The Holder of this Note may convert this Note into Conversion Consideration in the manner,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set forth in Article 5 of the Indenture.</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When the Company May Merge, Etc</w:t>
      </w:r>
      <w:r>
        <w:rPr>
          <w:rFonts w:ascii="Times New Roman" w:cs="Times New Roman" w:eastAsia="Times New Roman" w:hAnsi="Times New Roman"/>
          <w:sz w:val="22"/>
          <w:szCs w:val="22"/>
          <w:color w:val="auto"/>
        </w:rPr>
        <w:t>. Article 6 of the Indenture places limited restrictions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ability to be a party to a Business Combination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18" w:right="339" w:bottom="1440" w:gutter="0" w:footer="0" w:header="0"/>
        </w:sectPr>
      </w:pPr>
    </w:p>
    <w:bookmarkStart w:id="189" w:name="page190"/>
    <w:bookmarkEnd w:id="189"/>
    <w:p>
      <w:pPr>
        <w:jc w:val="both"/>
        <w:ind w:firstLine="656"/>
        <w:spacing w:after="0" w:line="227"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Defaults and Remedies</w:t>
      </w:r>
      <w:r>
        <w:rPr>
          <w:rFonts w:ascii="Times New Roman" w:cs="Times New Roman" w:eastAsia="Times New Roman" w:hAnsi="Times New Roman"/>
          <w:sz w:val="22"/>
          <w:szCs w:val="22"/>
          <w:color w:val="auto"/>
        </w:rPr>
        <w:t>. If an Event of Default occurs, then the principal amount of, and all accrued and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on, all of the Notes then outstanding may (and, in certain circumstances, will automatically) become due and payable in the manner, and subject to the terms, set forth in Article 7 of the Indenture.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Supplements and Waivers</w:t>
      </w:r>
      <w:r>
        <w:rPr>
          <w:rFonts w:ascii="Times New Roman" w:cs="Times New Roman" w:eastAsia="Times New Roman" w:hAnsi="Times New Roman"/>
          <w:sz w:val="22"/>
          <w:szCs w:val="22"/>
          <w:color w:val="auto"/>
        </w:rPr>
        <w:t>. The Company and the Trustee may amend or supplement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Indenture or the Notes or waive compliance with any provision of the Indenture or the Notes in the manner, and subject to the terms, set forth in Section 7.05 and Article 8 of the Indenture.</w:t>
      </w:r>
    </w:p>
    <w:p>
      <w:pPr>
        <w:spacing w:after="0" w:line="146"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Personal Liability of Directors, Officers, Employees and Stockholders</w:t>
      </w:r>
      <w:r>
        <w:rPr>
          <w:rFonts w:ascii="Times New Roman" w:cs="Times New Roman" w:eastAsia="Times New Roman" w:hAnsi="Times New Roman"/>
          <w:sz w:val="22"/>
          <w:szCs w:val="22"/>
          <w:color w:val="auto"/>
        </w:rPr>
        <w:t>. No past, present or future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Authentication</w:t>
      </w:r>
      <w:r>
        <w:rPr>
          <w:rFonts w:ascii="Times New Roman" w:cs="Times New Roman" w:eastAsia="Times New Roman" w:hAnsi="Times New Roman"/>
          <w:sz w:val="22"/>
          <w:szCs w:val="22"/>
          <w:color w:val="auto"/>
        </w:rPr>
        <w:t>. No Note will be valid until it is authenticated by the Trustee. A Note will be deemed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authenticated only when an authorized signatory of the Trustee (or a duly appointed authenticating agent) manually signs the certificate of authentication of such Note.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Abbreviations</w:t>
      </w:r>
      <w:r>
        <w:rPr>
          <w:rFonts w:ascii="Times New Roman" w:cs="Times New Roman" w:eastAsia="Times New Roman" w:hAnsi="Times New Roman"/>
          <w:sz w:val="22"/>
          <w:szCs w:val="22"/>
          <w:color w:val="auto"/>
        </w:rPr>
        <w:t>. Customary abbreviations may be used in the name of a Holder or its assignee, such as TEN 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in common), TEN ENT (tenants by the entireties), JT TEN (joint tenants with right of survivorship and not as tenants in common), CUST (custodian), and U/G/M/A (Uniform Gift to Minors Act).</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NOTE, AND ANY CLAIM, CONTROVERSY OR DISPUTE ARISING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THIS NOTE, WILL BE GOVERNED BY AND CONSTRUED IN ACCORDANCE WITH THE LAWS OF THE STATE OF NEW YORK.</w:t>
      </w:r>
    </w:p>
    <w:p>
      <w:pPr>
        <w:spacing w:after="0" w:line="177"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request a copy of the Indenture, which the Company will provide to any Holder at no charge, please send a written request to the following address: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2165 Spring Street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Long Beach, CA 90806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391" w:right="339" w:bottom="1440" w:gutter="0" w:footer="0" w:header="0"/>
        </w:sectPr>
      </w:pPr>
    </w:p>
    <w:bookmarkStart w:id="190" w:name="page191"/>
    <w:bookmarkEnd w:id="190"/>
    <w:p>
      <w:pPr>
        <w:ind w:left="2080"/>
        <w:spacing w:after="0"/>
        <w:rPr>
          <w:sz w:val="20"/>
          <w:szCs w:val="20"/>
          <w:color w:val="auto"/>
        </w:rPr>
      </w:pPr>
      <w:r>
        <w:rPr>
          <w:rFonts w:ascii="Times New Roman" w:cs="Times New Roman" w:eastAsia="Times New Roman" w:hAnsi="Times New Roman"/>
          <w:sz w:val="22"/>
          <w:szCs w:val="22"/>
          <w:b w:val="1"/>
          <w:bCs w:val="1"/>
          <w:color w:val="auto"/>
        </w:rPr>
        <w:t>SCHEDULE OF EXCHANGES OF INTERESTS IN THE GLOBAL NOTE</w:t>
      </w:r>
      <w:r>
        <w:rPr>
          <w:rFonts w:ascii="Times New Roman" w:cs="Times New Roman" w:eastAsia="Times New Roman" w:hAnsi="Times New Roman"/>
          <w:sz w:val="28"/>
          <w:szCs w:val="28"/>
          <w:b w:val="1"/>
          <w:bCs w:val="1"/>
          <w:color w:val="auto"/>
          <w:vertAlign w:val="superscript"/>
        </w:rPr>
        <w:t>1</w:t>
      </w:r>
    </w:p>
    <w:p>
      <w:pPr>
        <w:spacing w:after="0" w:line="15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INITIAL PRINCIPAL AMOUNT OF THIS GLOBAL NOTE: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exchanges, transfers or cancellations of this Global Note have been made: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spacing w:after="0"/>
              <w:rPr>
                <w:sz w:val="22"/>
                <w:szCs w:val="22"/>
                <w:color w:val="auto"/>
              </w:rPr>
            </w:pPr>
          </w:p>
        </w:tc>
        <w:tc>
          <w:tcPr>
            <w:tcW w:w="3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 Increase</w:t>
            </w:r>
          </w:p>
        </w:tc>
        <w:tc>
          <w:tcPr>
            <w:tcW w:w="2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Principal Amount of this</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Signature of Authorized</w:t>
            </w:r>
          </w:p>
        </w:tc>
        <w:tc>
          <w:tcPr>
            <w:tcW w:w="0" w:type="dxa"/>
            <w:vAlign w:val="bottom"/>
          </w:tcPr>
          <w:p>
            <w:pPr>
              <w:spacing w:after="0"/>
              <w:rPr>
                <w:sz w:val="1"/>
                <w:szCs w:val="1"/>
                <w:color w:val="auto"/>
              </w:rPr>
            </w:pPr>
          </w:p>
        </w:tc>
      </w:tr>
      <w:tr>
        <w:trPr>
          <w:trHeight w:val="216"/>
        </w:trPr>
        <w:tc>
          <w:tcPr>
            <w:tcW w:w="260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3060" w:type="dxa"/>
            <w:vAlign w:val="bottom"/>
          </w:tcPr>
          <w:p>
            <w:pPr>
              <w:jc w:val="center"/>
              <w:ind w:left="12"/>
              <w:spacing w:after="0" w:line="216" w:lineRule="exact"/>
              <w:rPr>
                <w:sz w:val="20"/>
                <w:szCs w:val="20"/>
                <w:color w:val="auto"/>
              </w:rPr>
            </w:pPr>
            <w:r>
              <w:rPr>
                <w:rFonts w:ascii="Times New Roman" w:cs="Times New Roman" w:eastAsia="Times New Roman" w:hAnsi="Times New Roman"/>
                <w:sz w:val="22"/>
                <w:szCs w:val="22"/>
                <w:b w:val="1"/>
                <w:bCs w:val="1"/>
                <w:color w:val="auto"/>
                <w:w w:val="97"/>
              </w:rPr>
              <w:t>(Decrease) in Principal</w:t>
            </w:r>
          </w:p>
        </w:tc>
        <w:tc>
          <w:tcPr>
            <w:tcW w:w="27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Global Note After Such</w:t>
            </w: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00" w:type="dxa"/>
            <w:vAlign w:val="bottom"/>
            <w:tcBorders>
              <w:bottom w:val="single" w:sz="8" w:color="auto"/>
            </w:tcBorders>
            <w:vMerge w:val="continue"/>
          </w:tcPr>
          <w:p>
            <w:pPr>
              <w:spacing w:after="0"/>
              <w:rPr>
                <w:sz w:val="24"/>
                <w:szCs w:val="24"/>
                <w:color w:val="auto"/>
              </w:rPr>
            </w:pPr>
          </w:p>
        </w:tc>
        <w:tc>
          <w:tcPr>
            <w:tcW w:w="30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Amount of this Global Note</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Increase (Decrease)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Signatory of Trustee</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6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40" w:hanging="232"/>
        <w:spacing w:after="0"/>
        <w:tabs>
          <w:tab w:leader="none" w:pos="240" w:val="left"/>
        </w:tabs>
        <w:numPr>
          <w:ilvl w:val="0"/>
          <w:numId w:val="2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14"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7.95% Convertible Senior Secured Notes due 2028</w:t>
      </w:r>
    </w:p>
    <w:p>
      <w:pPr>
        <w:spacing w:after="0" w:line="2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Subject to the terms of the Indenture, by executing and delivering this Conversion Notice, the undersigned Holder of the Note identified below directs the Company to convert (check one):</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20" w:lineRule="exact"/>
        <w:rPr>
          <w:sz w:val="20"/>
          <w:szCs w:val="20"/>
          <w:color w:val="auto"/>
        </w:rPr>
      </w:pPr>
    </w:p>
    <w:p>
      <w:pPr>
        <w:ind w:left="1460" w:hanging="1236"/>
        <w:spacing w:after="0"/>
        <w:tabs>
          <w:tab w:leader="none" w:pos="14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-57785</wp:posOffset>
            </wp:positionV>
            <wp:extent cx="7200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1" w:lineRule="exact"/>
        <w:rPr>
          <w:sz w:val="20"/>
          <w:szCs w:val="20"/>
          <w:color w:val="auto"/>
        </w:rPr>
      </w:pPr>
    </w:p>
    <w:p>
      <w:pPr>
        <w:spacing w:after="0"/>
        <w:tabs>
          <w:tab w:leader="none" w:pos="4160" w:val="left"/>
          <w:tab w:leader="none" w:pos="7000" w:val="left"/>
        </w:tabs>
        <w:rPr>
          <w:sz w:val="20"/>
          <w:szCs w:val="20"/>
          <w:color w:val="auto"/>
        </w:rPr>
      </w:pPr>
      <w:r>
        <w:rPr>
          <w:rFonts w:ascii="Times New Roman" w:cs="Times New Roman" w:eastAsia="Times New Roman" w:hAnsi="Times New Roman"/>
          <w:sz w:val="22"/>
          <w:szCs w:val="22"/>
          <w:color w:val="auto"/>
        </w:rPr>
        <w:t>the Note identified by CUSIP No.</w:t>
      </w:r>
      <w:r>
        <w:rPr>
          <w:sz w:val="20"/>
          <w:szCs w:val="20"/>
          <w:color w:val="auto"/>
        </w:rPr>
        <w:tab/>
      </w:r>
      <w:r>
        <w:rPr>
          <w:rFonts w:ascii="Times New Roman" w:cs="Times New Roman" w:eastAsia="Times New Roman" w:hAnsi="Times New Roman"/>
          <w:sz w:val="22"/>
          <w:szCs w:val="22"/>
          <w:color w:val="auto"/>
        </w:rPr>
        <w:t>and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-13970</wp:posOffset>
            </wp:positionV>
            <wp:extent cx="7200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-13970</wp:posOffset>
            </wp:positionV>
            <wp:extent cx="7200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undersigned represents that it is not an “affiliate” (within the meaning of Rule 144 under the Securities Act of 1933, as amended) (and was not an “affiliate” at any time during the three months prior to the date hereof).</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-13970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-13970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3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-13970</wp:posOffset>
            </wp:positionV>
            <wp:extent cx="274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1645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hanging="232"/>
        <w:spacing w:after="0"/>
        <w:tabs>
          <w:tab w:leader="none" w:pos="240" w:val="left"/>
        </w:tabs>
        <w:numPr>
          <w:ilvl w:val="0"/>
          <w:numId w:val="20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418"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FUNDAMENTAL CHANGE REPURCHASE NOTICE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7.95% Convertible Senior Secured Notes due 2028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Indenture, by executing and delivering this Fundamental Change Repurchase Notice, the undersigned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 of the Note identified below is exercising its Fundamental Change Repurchase Right with respect to (check one):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20" w:lineRule="exact"/>
        <w:rPr>
          <w:sz w:val="20"/>
          <w:szCs w:val="20"/>
          <w:color w:val="auto"/>
        </w:rPr>
      </w:pPr>
    </w:p>
    <w:p>
      <w:pPr>
        <w:ind w:left="1460" w:hanging="1236"/>
        <w:spacing w:after="0"/>
        <w:tabs>
          <w:tab w:leader="none" w:pos="14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-57785</wp:posOffset>
            </wp:positionV>
            <wp:extent cx="7200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1" w:lineRule="exact"/>
        <w:rPr>
          <w:sz w:val="20"/>
          <w:szCs w:val="20"/>
          <w:color w:val="auto"/>
        </w:rPr>
      </w:pPr>
    </w:p>
    <w:p>
      <w:pPr>
        <w:spacing w:after="0"/>
        <w:tabs>
          <w:tab w:leader="none" w:pos="4160" w:val="left"/>
          <w:tab w:leader="none" w:pos="7000" w:val="left"/>
        </w:tabs>
        <w:rPr>
          <w:sz w:val="20"/>
          <w:szCs w:val="20"/>
          <w:color w:val="auto"/>
        </w:rPr>
      </w:pPr>
      <w:r>
        <w:rPr>
          <w:rFonts w:ascii="Times New Roman" w:cs="Times New Roman" w:eastAsia="Times New Roman" w:hAnsi="Times New Roman"/>
          <w:sz w:val="22"/>
          <w:szCs w:val="22"/>
          <w:color w:val="auto"/>
        </w:rPr>
        <w:t>the Note identified by CUSIP No.</w:t>
      </w:r>
      <w:r>
        <w:rPr>
          <w:sz w:val="20"/>
          <w:szCs w:val="20"/>
          <w:color w:val="auto"/>
        </w:rPr>
        <w:tab/>
      </w:r>
      <w:r>
        <w:rPr>
          <w:rFonts w:ascii="Times New Roman" w:cs="Times New Roman" w:eastAsia="Times New Roman" w:hAnsi="Times New Roman"/>
          <w:sz w:val="22"/>
          <w:szCs w:val="22"/>
          <w:color w:val="auto"/>
        </w:rPr>
        <w:t>and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-13970</wp:posOffset>
            </wp:positionV>
            <wp:extent cx="7200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-13970</wp:posOffset>
            </wp:positionV>
            <wp:extent cx="7200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undersigned acknowledges that this Note, duly endorsed for transfer, must be delivered to the Paying Agent before the Fundamental Change Repurchase Price will be paid.</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-13970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-13970</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3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-13970</wp:posOffset>
            </wp:positionV>
            <wp:extent cx="274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16459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hanging="232"/>
        <w:spacing w:after="0"/>
        <w:tabs>
          <w:tab w:leader="none" w:pos="240" w:val="left"/>
        </w:tabs>
        <w:numPr>
          <w:ilvl w:val="0"/>
          <w:numId w:val="2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18" w:right="339" w:bottom="1440" w:gutter="0" w:footer="0" w:header="0"/>
        </w:sectPr>
      </w:pPr>
    </w:p>
    <w:bookmarkStart w:id="193" w:name="page194"/>
    <w:bookmarkEnd w:id="193"/>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2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2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2"/>
          <w:szCs w:val="22"/>
          <w:color w:val="auto"/>
        </w:rPr>
        <w:t>7.95% Convertible Senior Secured Notes due 2028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the terms of the Indenture, the undersigned Holder of the Notes identified below assigns (check one):</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14" w:lineRule="exact"/>
        <w:rPr>
          <w:sz w:val="20"/>
          <w:szCs w:val="20"/>
          <w:color w:val="auto"/>
        </w:rPr>
      </w:pPr>
    </w:p>
    <w:p>
      <w:pPr>
        <w:ind w:left="1460" w:hanging="1236"/>
        <w:spacing w:after="0"/>
        <w:tabs>
          <w:tab w:leader="none" w:pos="146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-53975</wp:posOffset>
            </wp:positionV>
            <wp:extent cx="7200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6" w:lineRule="exact"/>
        <w:rPr>
          <w:sz w:val="20"/>
          <w:szCs w:val="20"/>
          <w:color w:val="auto"/>
        </w:rPr>
      </w:pPr>
    </w:p>
    <w:p>
      <w:pPr>
        <w:spacing w:after="0"/>
        <w:tabs>
          <w:tab w:leader="none" w:pos="4240" w:val="left"/>
          <w:tab w:leader="none" w:pos="7080" w:val="left"/>
        </w:tabs>
        <w:rPr>
          <w:sz w:val="20"/>
          <w:szCs w:val="20"/>
          <w:color w:val="auto"/>
        </w:rPr>
      </w:pPr>
      <w:r>
        <w:rPr>
          <w:rFonts w:ascii="Times New Roman" w:cs="Times New Roman" w:eastAsia="Times New Roman" w:hAnsi="Times New Roman"/>
          <w:sz w:val="22"/>
          <w:szCs w:val="22"/>
          <w:color w:val="auto"/>
        </w:rPr>
        <w:t>the Notes identified by CUSIP No.</w:t>
      </w:r>
      <w:r>
        <w:rPr>
          <w:sz w:val="20"/>
          <w:szCs w:val="20"/>
          <w:color w:val="auto"/>
        </w:rPr>
        <w:tab/>
      </w:r>
      <w:r>
        <w:rPr>
          <w:rFonts w:ascii="Times New Roman" w:cs="Times New Roman" w:eastAsia="Times New Roman" w:hAnsi="Times New Roman"/>
          <w:sz w:val="22"/>
          <w:szCs w:val="22"/>
          <w:color w:val="auto"/>
        </w:rPr>
        <w:t>and Certificate No.</w:t>
      </w:r>
      <w:r>
        <w:rPr>
          <w:sz w:val="20"/>
          <w:szCs w:val="20"/>
          <w:color w:val="auto"/>
        </w:rPr>
        <w:tab/>
      </w:r>
      <w:r>
        <w:rPr>
          <w:rFonts w:ascii="Times New Roman" w:cs="Times New Roman" w:eastAsia="Times New Roman" w:hAnsi="Times New Roman"/>
          <w:sz w:val="21"/>
          <w:szCs w:val="21"/>
          <w:color w:val="auto"/>
        </w:rPr>
        <w:t>, and all rights thereunder,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-13970</wp:posOffset>
            </wp:positionV>
            <wp:extent cx="7200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-13970</wp:posOffset>
            </wp:positionV>
            <wp:extent cx="7200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-13970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-21590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-21590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-21590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agent to transfer the within Note on the books of the Company. The agent may substitute another to act for him/her.</w:t>
      </w:r>
    </w:p>
    <w:p>
      <w:pPr>
        <w:spacing w:after="0" w:line="2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-13970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-13970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3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-13970</wp:posOffset>
            </wp:positionV>
            <wp:extent cx="274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1645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0" w:hanging="232"/>
        <w:spacing w:after="0"/>
        <w:tabs>
          <w:tab w:leader="none" w:pos="240" w:val="left"/>
        </w:tabs>
        <w:numPr>
          <w:ilvl w:val="0"/>
          <w:numId w:val="2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0200"/>
          </w:cols>
          <w:pgMar w:left="320" w:top="1418" w:right="1379" w:bottom="1440" w:gutter="0" w:footer="0" w:header="0"/>
        </w:sectPr>
      </w:pPr>
    </w:p>
    <w:bookmarkStart w:id="194" w:name="page195"/>
    <w:bookmarkEnd w:id="194"/>
    <w:p>
      <w:pPr>
        <w:ind w:left="3820"/>
        <w:spacing w:after="0"/>
        <w:rPr>
          <w:sz w:val="20"/>
          <w:szCs w:val="20"/>
          <w:color w:val="auto"/>
        </w:rPr>
      </w:pPr>
      <w:r>
        <w:rPr>
          <w:rFonts w:ascii="Times New Roman" w:cs="Times New Roman" w:eastAsia="Times New Roman" w:hAnsi="Times New Roman"/>
          <w:sz w:val="22"/>
          <w:szCs w:val="22"/>
          <w:color w:val="auto"/>
        </w:rPr>
        <w:t>TRANSFEROR ACKNOWLEDGMENT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within Note bears a Restricted Note Legend, the undersigned further certifies that (check one):</w:t>
      </w:r>
    </w:p>
    <w:p>
      <w:pPr>
        <w:spacing w:after="0" w:line="247" w:lineRule="exact"/>
        <w:rPr>
          <w:sz w:val="20"/>
          <w:szCs w:val="20"/>
          <w:color w:val="auto"/>
        </w:rPr>
      </w:pPr>
    </w:p>
    <w:p>
      <w:pPr>
        <w:ind w:left="1000" w:hanging="974"/>
        <w:spacing w:after="0"/>
        <w:tabs>
          <w:tab w:leader="none" w:pos="10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to the Company or a Subsidiary of the Company.</w:t>
      </w:r>
    </w:p>
    <w:p>
      <w:pPr>
        <w:spacing w:after="0" w:line="29" w:lineRule="exact"/>
        <w:rPr>
          <w:sz w:val="20"/>
          <w:szCs w:val="20"/>
          <w:color w:val="auto"/>
        </w:rPr>
      </w:pPr>
    </w:p>
    <w:p>
      <w:pPr>
        <w:ind w:left="1000" w:hanging="974"/>
        <w:spacing w:after="0" w:line="230" w:lineRule="auto"/>
        <w:tabs>
          <w:tab w:leader="none" w:pos="10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pursuant to, and in accordance with, a registration statement that is effective under the Securities Act at the time of the Transfer.</w:t>
      </w:r>
    </w:p>
    <w:p>
      <w:pPr>
        <w:spacing w:after="0" w:line="16" w:lineRule="exact"/>
        <w:rPr>
          <w:sz w:val="20"/>
          <w:szCs w:val="20"/>
          <w:color w:val="auto"/>
        </w:rPr>
      </w:pPr>
    </w:p>
    <w:p>
      <w:pPr>
        <w:jc w:val="both"/>
        <w:ind w:left="1040" w:hanging="1014"/>
        <w:spacing w:after="0" w:line="250" w:lineRule="auto"/>
        <w:tabs>
          <w:tab w:leader="none" w:pos="10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Times New Roman" w:cs="Times New Roman" w:eastAsia="Times New Roman" w:hAnsi="Times New Roman"/>
          <w:sz w:val="22"/>
          <w:szCs w:val="22"/>
          <w:b w:val="1"/>
          <w:bCs w:val="1"/>
          <w:color w:val="auto"/>
        </w:rPr>
        <w:t>If this item is checked, then the transferee must complete and execute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acknowledgment contained on the next page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both"/>
        <w:ind w:left="1000" w:right="20" w:hanging="974"/>
        <w:spacing w:after="0" w:line="221" w:lineRule="auto"/>
        <w:tabs>
          <w:tab w:leader="none" w:pos="10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pursuant to, and in accordance with, any other available exemption from the registration requirements of the Securities Act (including, if available, the exemption provided by Rule 144 under the Securities Act).</w:t>
      </w: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-13970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-13970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3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-13970</wp:posOffset>
            </wp:positionV>
            <wp:extent cx="274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180"/>
          </w:cols>
          <w:pgMar w:left="320" w:top="1422" w:right="39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22"/>
          <w:szCs w:val="22"/>
          <w:color w:val="auto"/>
        </w:rPr>
        <w:t>TRANSFEREE ACKNOWLEDGMENT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-13970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-13970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2"/>
          <w:szCs w:val="22"/>
          <w:color w:val="auto"/>
        </w:rPr>
        <w:t>(Name of Transferee)</w:t>
      </w:r>
    </w:p>
    <w:p>
      <w:pPr>
        <w:spacing w:after="0" w:line="3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-13970</wp:posOffset>
            </wp:positionV>
            <wp:extent cx="274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240"/>
          </w:cols>
          <w:pgMar w:left="320" w:top="1422"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RESTRICTED NOTE LEGEND</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79" w:lineRule="exact"/>
        <w:rPr>
          <w:sz w:val="20"/>
          <w:szCs w:val="20"/>
          <w:color w:val="auto"/>
        </w:rPr>
      </w:pPr>
    </w:p>
    <w:p>
      <w:pPr>
        <w:ind w:left="660" w:hanging="652"/>
        <w:spacing w:after="0" w:line="263" w:lineRule="auto"/>
        <w:tabs>
          <w:tab w:leader="none" w:pos="552"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67" w:lineRule="exact"/>
        <w:rPr>
          <w:rFonts w:ascii="Times New Roman" w:cs="Times New Roman" w:eastAsia="Times New Roman" w:hAnsi="Times New Roman"/>
          <w:sz w:val="22"/>
          <w:szCs w:val="22"/>
          <w:color w:val="auto"/>
        </w:rPr>
      </w:pPr>
    </w:p>
    <w:p>
      <w:pPr>
        <w:ind w:left="660" w:hanging="652"/>
        <w:spacing w:after="0" w:line="271" w:lineRule="auto"/>
        <w:tabs>
          <w:tab w:leader="none" w:pos="47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THE COMPANY THAT IT WILL NOT OFFER, SELL OR OTHERWISE TRANSFER THIS NOTE OR ANY BENEFICIAL INTEREST HEREIN, EXCEPT ONLY:</w:t>
      </w:r>
    </w:p>
    <w:p>
      <w:pPr>
        <w:spacing w:after="0" w:line="157"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IS EFFECTIVE UNDER THE SECURITIES ACT;</w:t>
      </w:r>
    </w:p>
    <w:p>
      <w:pPr>
        <w:spacing w:after="0" w:line="233"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447"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QUALIFIED INSTITUTIONAL BUYER IN COMPLIANCE WITH RULE 144A UNDER THE SECURITIES ACT;</w:t>
      </w:r>
    </w:p>
    <w:p>
      <w:pPr>
        <w:spacing w:after="0" w:line="15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144 UNDER THE SECURITIES ACT; OR</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71"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ANY OTHER EXEMPTION FROM, OR IN A TRANSACTION NOT SUBJECT TO, THE REGISTRATION REQUIREMENTS OF THE SECURITIES ACT.</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BEFORE THE REGISTRATION OF ANY SALE OR TRANSFER IN ACCORDANCE WITH (2)(C), (D)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ectPr>
          <w:pgSz w:w="11900" w:h="16838" w:orient="portrait"/>
          <w:cols w:equalWidth="0" w:num="1">
            <w:col w:w="11240"/>
          </w:cols>
          <w:pgMar w:left="320" w:top="1418"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GLOBAL NOTE LEGEND</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B-2-1</w:t>
      </w:r>
    </w:p>
    <w:p>
      <w:pPr>
        <w:sectPr>
          <w:pgSz w:w="11900" w:h="16838" w:orient="portrait"/>
          <w:cols w:equalWidth="0" w:num="1">
            <w:col w:w="11240"/>
          </w:cols>
          <w:pgMar w:left="320" w:top="1418"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2"/>
          <w:szCs w:val="22"/>
          <w:b w:val="1"/>
          <w:bCs w:val="1"/>
          <w:color w:val="auto"/>
        </w:rPr>
        <w:t>EXHIBIT B-3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NON-AFFILIATE LEGEND</w:t>
      </w:r>
    </w:p>
    <w:p>
      <w:pPr>
        <w:spacing w:after="0" w:line="2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NO AFFILIATE (AS DEFINED IN RULE 144 UNDER THE SECURITIES ACT OF 1933, AS AMENDED) OF THE COMPANY MAY PURCHASE OR OTHERWISE ACQUIRE THIS NOTE OR ANY BENEFICIAL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B-3-1</w:t>
      </w:r>
    </w:p>
    <w:p>
      <w:pPr>
        <w:sectPr>
          <w:pgSz w:w="11900" w:h="16838" w:orient="portrait"/>
          <w:cols w:equalWidth="0" w:num="1">
            <w:col w:w="11240"/>
          </w:cols>
          <w:pgMar w:left="320" w:top="1418" w:right="339" w:bottom="1440" w:gutter="0" w:footer="0" w:header="0"/>
        </w:sectPr>
      </w:pPr>
    </w:p>
    <w:bookmarkStart w:id="199" w:name="page200"/>
    <w:bookmarkEnd w:id="199"/>
    <w:p>
      <w:pPr>
        <w:ind w:left="10100"/>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SUPPLEMENTAL INDENTURE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DELIVERED BY SUBSEQUENT GUARANTORS]</w:t>
      </w:r>
    </w:p>
    <w:p>
      <w:pPr>
        <w:spacing w:after="0" w:line="209" w:lineRule="exact"/>
        <w:rPr>
          <w:sz w:val="20"/>
          <w:szCs w:val="20"/>
          <w:color w:val="auto"/>
        </w:rPr>
      </w:pPr>
    </w:p>
    <w:p>
      <w:pPr>
        <w:ind w:left="660"/>
        <w:spacing w:after="0"/>
        <w:tabs>
          <w:tab w:leader="none" w:pos="1200" w:val="left"/>
          <w:tab w:leader="none" w:pos="93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SUPPLEMENTAL INDENTURE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w:t>
      </w:r>
      <w:r>
        <w:rPr>
          <w:sz w:val="20"/>
          <w:szCs w:val="20"/>
          <w:color w:val="auto"/>
        </w:rPr>
        <w:tab/>
      </w:r>
      <w:r>
        <w:rPr>
          <w:rFonts w:ascii="Times New Roman" w:cs="Times New Roman" w:eastAsia="Times New Roman" w:hAnsi="Times New Roman"/>
          <w:sz w:val="22"/>
          <w:szCs w:val="22"/>
          <w:color w:val="auto"/>
        </w:rPr>
        <w:t>], by and among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-13970</wp:posOffset>
            </wp:positionV>
            <wp:extent cx="3168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signatories hereto, as Guarantor[s] ([each a] [the]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U.S. Bank Trust Company, National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collateral agent (in such capacity,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Beauty Health Company,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Trustee and the Collateral Agent have heretofore executed and delivered an indenture dated as of [•], 2025 (as amended, supplemented, waived or otherwise modified,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an aggregate principal amount of $[•],000,000 of 7.95% Convertible Senior Secured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Indenture provides that [the] [each] Guaranteeing Subsidiary shall execute and deliver to the Trustee a supplemental indenture pursuant to which [each] such Guaranteeing Subsidiary shall unconditionally guarantee, on a joint and several basis with the other Guarantors, all of the Company’s Note Obligations on the terms and conditions set forth herein and under the Indenture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Trustee and the Collateral Agent are authorized to execute and deliver this Supplemental Indenture to amend or supplement the Indenture without the consent of any Holder.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40" w:lineRule="exact"/>
        <w:rPr>
          <w:sz w:val="20"/>
          <w:szCs w:val="20"/>
          <w:color w:val="auto"/>
        </w:rPr>
      </w:pPr>
    </w:p>
    <w:p>
      <w:pPr>
        <w:ind w:firstLine="656"/>
        <w:spacing w:after="0" w:line="236" w:lineRule="auto"/>
        <w:tabs>
          <w:tab w:leader="none" w:pos="129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such terms in the Indenture.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[Each] [The] Guaranteeing Subsidiary hereby agrees to be a Guarantor, and hereby becomes a Guarantor, under the Indenture and to be bound by the terms of the Indenture applicable to a Guarantor, including Article 11 thereof.</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[The] Guaranteeing Subsidiary agrees that the Guarantee shall remain in full force and effect notwithstanding the absence of the endorsement of any notation of such Guarantee on the Notes.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WILL BE GOVERNED BY AND CONSTRUED IN ACCORDANCE WITH THE LAWS OF THE STATE OF NEW YORK.</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18" w:right="339" w:bottom="1440" w:gutter="0" w:footer="0" w:header="0"/>
        </w:sectPr>
      </w:pPr>
    </w:p>
    <w:bookmarkStart w:id="200" w:name="page201"/>
    <w:bookmarkEnd w:id="200"/>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agreement. The exchange of copies of this Supplemental Indenture and of signature pages by facsimile, PDF or other electronic transmission shall constitute effective execution and delivery of this Supplemental Indenture as to the parties hereto and may be used in lieu of the Supplemental Indenture for all purposes. Signatures of the parties hereto transmitted by facsimile, PDF or other electronic transmission shall be deemed to be their original signatures for all purposes. The words “execution,” “signed,” “signature,” “delivery,” and words of like import in or relating to this Supplemental Indenture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neither the Trustee nor the Collateral Agent is under any obligation to agree to accept electronic signatures in any form or in any format unless expressly agreed to by the Trustee or the Collateral Agent pursuant to reasonable procedures approved by the Trustee or the Collateral Agent, as applicable. As used herein, “Electronic Signature” means an electronic sound, symbol, or process attached to, or associated with, a contract or other record and adopted by a Person with the intent to sign, authenticate or accept such contract or other record.</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w:t>
      </w: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55" w:lineRule="exact"/>
        <w:rPr>
          <w:sz w:val="20"/>
          <w:szCs w:val="20"/>
          <w:color w:val="auto"/>
        </w:rPr>
      </w:pPr>
    </w:p>
    <w:p>
      <w:pPr>
        <w:jc w:val="both"/>
        <w:ind w:firstLine="656"/>
        <w:spacing w:after="0" w:line="225" w:lineRule="auto"/>
        <w:tabs>
          <w:tab w:leader="none" w:pos="129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and the Collateral Agent shall not be responsible in any manner whatsoever for or in respect of the validity, sufficiency or adequacy of this Supplemental Indenture or for or in respect of the statements or recitals contained herein, all of which recitals are made solely by [each] [the] Guaranteeing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ectPr>
          <w:pgSz w:w="11900" w:h="16838" w:orient="portrait"/>
          <w:cols w:equalWidth="0" w:num="1">
            <w:col w:w="11240"/>
          </w:cols>
          <w:pgMar w:left="320" w:top="1395" w:right="339" w:bottom="1440" w:gutter="0" w:footer="0" w:header="0"/>
        </w:sectPr>
      </w:pPr>
    </w:p>
    <w:bookmarkStart w:id="201" w:name="page202"/>
    <w:bookmarkEnd w:id="20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[GUARANTEEING SUBSIDIARY]</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right="300"/>
        <w:spacing w:after="0" w:line="358" w:lineRule="auto"/>
        <w:rPr>
          <w:sz w:val="20"/>
          <w:szCs w:val="20"/>
          <w:color w:val="auto"/>
        </w:rPr>
      </w:pPr>
      <w:r>
        <w:rPr>
          <w:rFonts w:ascii="Times New Roman" w:cs="Times New Roman" w:eastAsia="Times New Roman" w:hAnsi="Times New Roman"/>
          <w:sz w:val="22"/>
          <w:szCs w:val="22"/>
          <w:color w:val="auto"/>
        </w:rPr>
        <w:t>U.S. Bank Trust Company, National Association, as Trustee and Collateral Agent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-32385</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C-3</w:t>
      </w:r>
    </w:p>
    <w:p>
      <w:pPr>
        <w:sectPr>
          <w:pgSz w:w="11900" w:h="16838" w:orient="portrait"/>
          <w:cols w:equalWidth="0" w:num="1">
            <w:col w:w="11240"/>
          </w:cols>
          <w:pgMar w:left="320" w:top="1422"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INTERCOMPANY SUBORDINATION AGREEMENT]</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INTERCOMPANY SUBORDINATION AGREEMENT, dated as of [•] (this “</w:t>
      </w:r>
      <w:r>
        <w:rPr>
          <w:rFonts w:ascii="Times New Roman" w:cs="Times New Roman" w:eastAsia="Times New Roman" w:hAnsi="Times New Roman"/>
          <w:sz w:val="22"/>
          <w:szCs w:val="22"/>
          <w:b w:val="1"/>
          <w:bCs w:val="1"/>
          <w:i w:val="1"/>
          <w:iCs w:val="1"/>
          <w:color w:val="auto"/>
        </w:rPr>
        <w:t>Subordination Agreement</w:t>
      </w:r>
      <w:r>
        <w:rPr>
          <w:rFonts w:ascii="Times New Roman" w:cs="Times New Roman" w:eastAsia="Times New Roman" w:hAnsi="Times New Roman"/>
          <w:sz w:val="22"/>
          <w:szCs w:val="22"/>
          <w:color w:val="auto"/>
        </w:rPr>
        <w:t>”), is entered into by and among The Beauty Health Company,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certain Subsidiaries of the Company that are parties hereto, and certain other Subsidiaries of the Company that may, from time to time in the future, become parties hereto by executing and delivering a joinder agreement in substantially the form of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hereto (any such Subsidiary being herein, individually, a “</w:t>
      </w:r>
      <w:r>
        <w:rPr>
          <w:rFonts w:ascii="Times New Roman" w:cs="Times New Roman" w:eastAsia="Times New Roman" w:hAnsi="Times New Roman"/>
          <w:sz w:val="22"/>
          <w:szCs w:val="22"/>
          <w:b w:val="1"/>
          <w:bCs w:val="1"/>
          <w:i w:val="1"/>
          <w:iCs w:val="1"/>
          <w:color w:val="auto"/>
        </w:rPr>
        <w:t>Subsidiary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Subsidiary Parties</w:t>
      </w:r>
      <w:r>
        <w:rPr>
          <w:rFonts w:ascii="Times New Roman" w:cs="Times New Roman" w:eastAsia="Times New Roman" w:hAnsi="Times New Roman"/>
          <w:sz w:val="22"/>
          <w:szCs w:val="22"/>
          <w:color w:val="auto"/>
        </w:rPr>
        <w:t>”) and U.S. BANK TRUST COMPANY, NATIONAL ASSOCIATION, as collateral agent (in such capacity, the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made to that certain Indenture, dated as of [•] (as amended, restated, modified, supplemented or otherwise changed from time to time, the “</w:t>
      </w:r>
      <w:r>
        <w:rPr>
          <w:rFonts w:ascii="Times New Roman" w:cs="Times New Roman" w:eastAsia="Times New Roman" w:hAnsi="Times New Roman"/>
          <w:sz w:val="22"/>
          <w:szCs w:val="22"/>
          <w:b w:val="1"/>
          <w:bCs w:val="1"/>
          <w:i w:val="1"/>
          <w:iCs w:val="1"/>
          <w:color w:val="auto"/>
        </w:rPr>
        <w:t>Indenture</w:t>
      </w:r>
      <w:r>
        <w:rPr>
          <w:rFonts w:ascii="Times New Roman" w:cs="Times New Roman" w:eastAsia="Times New Roman" w:hAnsi="Times New Roman"/>
          <w:sz w:val="22"/>
          <w:szCs w:val="22"/>
          <w:color w:val="auto"/>
        </w:rPr>
        <w:t>”), among the Company, certain Guarantors from time to time party thereto, U.S. BANK TRUST COMPANY, NATIONAL ASSOCIATION, in its capacity as trustee (in such capacity, the “</w:t>
      </w:r>
      <w:r>
        <w:rPr>
          <w:rFonts w:ascii="Times New Roman" w:cs="Times New Roman" w:eastAsia="Times New Roman" w:hAnsi="Times New Roman"/>
          <w:sz w:val="22"/>
          <w:szCs w:val="22"/>
          <w:b w:val="1"/>
          <w:bCs w:val="1"/>
          <w:i w:val="1"/>
          <w:iCs w:val="1"/>
          <w:color w:val="auto"/>
        </w:rPr>
        <w:t>Trustee</w:t>
      </w:r>
      <w:r>
        <w:rPr>
          <w:rFonts w:ascii="Times New Roman" w:cs="Times New Roman" w:eastAsia="Times New Roman" w:hAnsi="Times New Roman"/>
          <w:sz w:val="22"/>
          <w:szCs w:val="22"/>
          <w:color w:val="auto"/>
        </w:rPr>
        <w:t>”) and the Collateral Agent. Capitalized terms used herein and not otherwise defined herein are used herein as defined in the Indenture.</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One or more of the Company and its Subsidiaries in its capacity as lender (each such entity, together with its successors, assigns and transferees in such capacity, individually, a “</w:t>
      </w:r>
      <w:r>
        <w:rPr>
          <w:rFonts w:ascii="Times New Roman" w:cs="Times New Roman" w:eastAsia="Times New Roman" w:hAnsi="Times New Roman"/>
          <w:sz w:val="22"/>
          <w:szCs w:val="22"/>
          <w:b w:val="1"/>
          <w:bCs w:val="1"/>
          <w:i w:val="1"/>
          <w:iCs w:val="1"/>
          <w:color w:val="auto"/>
        </w:rPr>
        <w:t>Junior Creditor</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i w:val="1"/>
          <w:iCs w:val="1"/>
          <w:color w:val="auto"/>
        </w:rPr>
        <w:t>Junior Creditors</w:t>
      </w:r>
      <w:r>
        <w:rPr>
          <w:rFonts w:ascii="Times New Roman" w:cs="Times New Roman" w:eastAsia="Times New Roman" w:hAnsi="Times New Roman"/>
          <w:sz w:val="22"/>
          <w:szCs w:val="22"/>
          <w:color w:val="auto"/>
        </w:rPr>
        <w:t>”) has made, or may from time to time may make, loans or advances to one or more of the Company and/or Subsidiary Parties that is a Note Party (each such Person, in its capacity as a borrower from any Junior Creditor (together with its successors, assigns and transferees) being herein, individually, a “</w:t>
      </w:r>
      <w:r>
        <w:rPr>
          <w:rFonts w:ascii="Times New Roman" w:cs="Times New Roman" w:eastAsia="Times New Roman" w:hAnsi="Times New Roman"/>
          <w:sz w:val="22"/>
          <w:szCs w:val="22"/>
          <w:b w:val="1"/>
          <w:bCs w:val="1"/>
          <w:i w:val="1"/>
          <w:iCs w:val="1"/>
          <w:color w:val="auto"/>
        </w:rPr>
        <w:t>Debtor Obligor</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i w:val="1"/>
          <w:iCs w:val="1"/>
          <w:color w:val="auto"/>
        </w:rPr>
        <w:t>Debtor Obligors</w:t>
      </w:r>
      <w:r>
        <w:rPr>
          <w:rFonts w:ascii="Times New Roman" w:cs="Times New Roman" w:eastAsia="Times New Roman" w:hAnsi="Times New Roman"/>
          <w:sz w:val="22"/>
          <w:szCs w:val="22"/>
          <w:color w:val="auto"/>
        </w:rPr>
        <w:t>”), including pursuant to Section 3.08(C) of the Indenture. All such Indebtedness (other than any Indebtedness between any Debtor Obligor that constitutes an Immaterial Subsidiary that is owed to any Junior Creditor that constitutes an Immaterial Subsidiary) resulting from the making of any such loan or advance together with all principal, interest, fees, premiums, costs, expenses, liabilities, obligations and other amounts of any type or nature at any time owing or arising in respect thereof, including but not limited to any such items or amounts as may accrue or be incurred before or after default or workout or the commencement of any liquidation, dissolution, bankruptcy, receivership, or reorganization case by or against the Company are herein collectively referred to as the “</w:t>
      </w:r>
      <w:r>
        <w:rPr>
          <w:rFonts w:ascii="Times New Roman" w:cs="Times New Roman" w:eastAsia="Times New Roman" w:hAnsi="Times New Roman"/>
          <w:sz w:val="22"/>
          <w:szCs w:val="22"/>
          <w:b w:val="1"/>
          <w:bCs w:val="1"/>
          <w:i w:val="1"/>
          <w:iCs w:val="1"/>
          <w:color w:val="auto"/>
        </w:rPr>
        <w:t>Junior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Company and its Subsidiaries, for the benefit of the Secured Parties and each of their permitted successors, transferees and assigns, hereby irrevocably and unconditionally agrees as follows:</w:t>
      </w:r>
    </w:p>
    <w:p>
      <w:pPr>
        <w:spacing w:after="0" w:line="158" w:lineRule="exact"/>
        <w:rPr>
          <w:sz w:val="20"/>
          <w:szCs w:val="20"/>
          <w:color w:val="auto"/>
        </w:rPr>
      </w:pPr>
    </w:p>
    <w:p>
      <w:pPr>
        <w:jc w:val="both"/>
        <w:ind w:firstLine="656"/>
        <w:spacing w:after="0" w:line="253"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 obligations and other monetary obligations of any Debtor Obligor arising from time to time under or in connection with any Junior Obligations to any Junior Creditor are, and shall at all times be, subordinated in right of payment and performance to the prior Payment in Full (within the meaning ascribed to such term in Section 1.03 of the Indenture) of all Note Obligations, whether in respect of principal, interest, fees or other monetary obligations or liabilities of any type or nature, including costs and expenses of enforcement,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1240"/>
          </w:cols>
          <w:pgMar w:left="320" w:top="1418" w:right="339" w:bottom="1440" w:gutter="0" w:footer="0" w:header="0"/>
        </w:sectPr>
      </w:pPr>
    </w:p>
    <w:bookmarkStart w:id="203" w:name="page204"/>
    <w:bookmarkEnd w:id="203"/>
    <w:p>
      <w:pPr>
        <w:jc w:val="both"/>
        <w:spacing w:after="0" w:line="260" w:lineRule="auto"/>
        <w:rPr>
          <w:sz w:val="20"/>
          <w:szCs w:val="20"/>
          <w:color w:val="auto"/>
        </w:rPr>
      </w:pPr>
      <w:r>
        <w:rPr>
          <w:rFonts w:ascii="Times New Roman" w:cs="Times New Roman" w:eastAsia="Times New Roman" w:hAnsi="Times New Roman"/>
          <w:sz w:val="22"/>
          <w:szCs w:val="22"/>
          <w:color w:val="auto"/>
        </w:rPr>
        <w:t>any (collectively, the “</w:t>
      </w:r>
      <w:r>
        <w:rPr>
          <w:rFonts w:ascii="Times New Roman" w:cs="Times New Roman" w:eastAsia="Times New Roman" w:hAnsi="Times New Roman"/>
          <w:sz w:val="22"/>
          <w:szCs w:val="22"/>
          <w:b w:val="1"/>
          <w:bCs w:val="1"/>
          <w:i w:val="1"/>
          <w:iCs w:val="1"/>
          <w:color w:val="auto"/>
        </w:rPr>
        <w:t>Senior Obligations</w:t>
      </w:r>
      <w:r>
        <w:rPr>
          <w:rFonts w:ascii="Times New Roman" w:cs="Times New Roman" w:eastAsia="Times New Roman" w:hAnsi="Times New Roman"/>
          <w:sz w:val="22"/>
          <w:szCs w:val="22"/>
          <w:color w:val="auto"/>
        </w:rPr>
        <w:t>”), notwithstanding the maturity date or amortization date of any Junior Obligations or any acceleration of the maturity date related thereto, any default by or insolvency of any Debtor Obligor or any other Person, or otherwise.</w:t>
      </w:r>
    </w:p>
    <w:p>
      <w:pPr>
        <w:spacing w:after="0" w:line="183" w:lineRule="exact"/>
        <w:rPr>
          <w:sz w:val="20"/>
          <w:szCs w:val="20"/>
          <w:color w:val="auto"/>
        </w:rPr>
      </w:pPr>
    </w:p>
    <w:p>
      <w:pPr>
        <w:ind w:firstLine="656"/>
        <w:spacing w:after="0" w:line="271" w:lineRule="auto"/>
        <w:tabs>
          <w:tab w:leader="none" w:pos="129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Subordination Agreement is for the benefit of, and shall be enforceable by the Collateral Agent on behalf of the Secured Parties.</w:t>
      </w:r>
    </w:p>
    <w:p>
      <w:pPr>
        <w:spacing w:after="0" w:line="157"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would result therefrom or has occurred and is continuing and after notice from the Collateral Agent to each Junior Creditor (provided that no such notice shall be required to be given in the case of any Event of Default arising under Sections 7.01(A)(ix) and (x) of the Indenture), each Debtor Obligor may make, and each Junior Creditor shall be entitled to accept and receive, payments on account of the Junior Obligations in the ordinary course of business. At all times from and after the occurrence of any Event of Default and after notice from the Collateral Agent to each Junior Creditor (provided that no such notice shall be required to be given in the case of any Event of Default arising under Sections 7.01(A)(ix) and (x) of the Indenture) and for so long as such Event of Default continues or until Payment in Full of all Senior Obligations and termination of all Senior Liens (as defined below), (i) no Debtor Obligor shall make, and no Junior Creditor shall accept, receive or collect from or on behalf of any Debtor Obligor, any direct or indirect payment or distribution of any kind or character whatsoever (whether in cash, securities, other property, by set-off, forgiveness of any Indebtedness of any Secured Party, or otherwise) on account of any of the Junior Obligations, and (ii) under no circumstance shall any other remedy, enforcement action or other action be taken by any Junior Creditor against any Debtor Obligor or any property of any Debtor Obligor or of any other Person, in each case with respect to any of the Junior Obligations (including to assert, enforce or collect any of the Junior Obligations), in each case, without the prior written consent of the Collateral Agent.</w:t>
      </w:r>
    </w:p>
    <w:p>
      <w:pPr>
        <w:spacing w:after="0" w:line="20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Junior Creditor shall, directly or indirectly, independently or with any other Person, take any action that would be in violation of, or inconsistent with, or result in a breach of this Subordination Agreement or challenge or contest (i) the validity, perfection, priority or enforceability of this Subordination Agreement, any Senior Obligations or any Liens securing the Senior Obligations (“</w:t>
      </w:r>
      <w:r>
        <w:rPr>
          <w:rFonts w:ascii="Times New Roman" w:cs="Times New Roman" w:eastAsia="Times New Roman" w:hAnsi="Times New Roman"/>
          <w:sz w:val="22"/>
          <w:szCs w:val="22"/>
          <w:b w:val="1"/>
          <w:bCs w:val="1"/>
          <w:i w:val="1"/>
          <w:iCs w:val="1"/>
          <w:color w:val="auto"/>
        </w:rPr>
        <w:t>Senior Liens</w:t>
      </w:r>
      <w:r>
        <w:rPr>
          <w:rFonts w:ascii="Times New Roman" w:cs="Times New Roman" w:eastAsia="Times New Roman" w:hAnsi="Times New Roman"/>
          <w:sz w:val="22"/>
          <w:szCs w:val="22"/>
          <w:color w:val="auto"/>
        </w:rPr>
        <w:t>”), (ii) any of the rights of any Secured Party set forth in the Indenture or any other Note Document (including with respect to the Senior Liens), or (iii) the validity or enforceability of the Indenture or any other Note Document or any portion thereof.</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prior to Payment in Full of the Senior Obligations, any Junior Creditor shall receive any payment or distribution of any kind or character whatsoever (whether in cash, securities, other property, by set-off, forgiveness of any Indebtedness of any Secured Party, or otherwise) on or in respect of all or any portion of the Junior Obligations in violation of any of the provisions of this Subordination Agreement, then such payment or distribution shall be held in trust by such Junior Creditor for the benefit of, and promptly paid over by such Junior Creditor to the Collateral Agent for application of such payment or distribution to repay the Obligations in accordance with the terms thereof, until Payment in Full of the Obligations as confirmed in writing by the Collateral Agent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D-2</w:t>
      </w:r>
    </w:p>
    <w:p>
      <w:pPr>
        <w:sectPr>
          <w:pgSz w:w="11900" w:h="16838" w:orient="portrait"/>
          <w:cols w:equalWidth="0" w:num="1">
            <w:col w:w="11240"/>
          </w:cols>
          <w:pgMar w:left="320" w:top="1416" w:right="339" w:bottom="1440" w:gutter="0" w:footer="0" w:header="0"/>
        </w:sectPr>
      </w:pPr>
    </w:p>
    <w:bookmarkStart w:id="204" w:name="page205"/>
    <w:bookmarkEnd w:id="204"/>
    <w:p>
      <w:pPr>
        <w:jc w:val="both"/>
        <w:ind w:firstLine="656"/>
        <w:spacing w:after="0" w:line="257"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Party that is a guarantor of any permitted Indebtedness in accordance with the Indenture of any Note Party hereby agrees that any subrogation claims it may acquire as a result of any payment or distribution under such permitted Indebtedness shall be subordinated to the Note Obligations until the Payment in Full of the Note Obligations.</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Junior Creditor nor any Debtor Obligor may assign or transfer any of its rights or obligations hereunder, except to an assignee or transferee that becomes bound by the terms of this Subordination Agreement in a manner reasonably satisfactory to the Collateral Agent.</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Subordination Agreement may be executed in any number of counterparts, all of which taken together shall constitute one and the same instrument and any of the parties hereto may execute this Subordination Agreement by signing any such counterpart.</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Subordination Agreement and the rights and obligations of the parties hereunder shall be governed by, and construed in accordance with, the law of the State of New York, without regard to principles of conflicts of laws that would result in the application of the laws of any other jurisdiction; provided that Section 5-1401 of the New York General Obligations Law shall apply.</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the Company may, without the consent of any other party to this Agreement, become a party under this Subordination Agreement by executing and delivering to the Collateral Agent a Subordination Agreement Joinder in substantially the form of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hereto.</w:t>
      </w:r>
    </w:p>
    <w:p>
      <w:pPr>
        <w:spacing w:after="0" w:line="163"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modified in accordance with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to add any Subsidiary of the Company as an additional Subsidiary Party to this Subordination Agreement, this Subordination Agreement may not be amended, waived or otherwise modified without the prior written consent of each of the parties hereto.</w:t>
      </w:r>
    </w:p>
    <w:p>
      <w:pPr>
        <w:spacing w:after="0" w:line="18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BANK TRUST COMPANY, NATIONAL ASSOCIATION is entering this Agreement not in its individual capacity, but solely in its capacity as the Collateral Agent under the Indenture. In acting hereunder, the Collateral Agent shall be entitled to all of the rights, privileges, indemnities and immunities granted to the Collateral Agent in the Indenture, as if such rights, privileges, indemnities and immunities were set forth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D-3</w:t>
      </w:r>
    </w:p>
    <w:p>
      <w:pPr>
        <w:sectPr>
          <w:pgSz w:w="11900" w:h="16838" w:orient="portrait"/>
          <w:cols w:equalWidth="0" w:num="1">
            <w:col w:w="11240"/>
          </w:cols>
          <w:pgMar w:left="320" w:top="1422" w:right="339" w:bottom="1440" w:gutter="0" w:footer="0" w:header="0"/>
        </w:sectPr>
      </w:pPr>
    </w:p>
    <w:bookmarkStart w:id="205" w:name="page206"/>
    <w:bookmarkEnd w:id="20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Subordination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[APPLICABLE SUBSIDIARIES]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right="1340"/>
        <w:spacing w:after="0" w:line="358" w:lineRule="auto"/>
        <w:rPr>
          <w:sz w:val="20"/>
          <w:szCs w:val="20"/>
          <w:color w:val="auto"/>
        </w:rPr>
      </w:pPr>
      <w:r>
        <w:rPr>
          <w:rFonts w:ascii="Times New Roman" w:cs="Times New Roman" w:eastAsia="Times New Roman" w:hAnsi="Times New Roman"/>
          <w:sz w:val="22"/>
          <w:szCs w:val="22"/>
          <w:color w:val="auto"/>
        </w:rPr>
        <w:t>U.S. Bank Trust Company, National Association, as Collateral Agent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-32385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D-4</w:t>
      </w:r>
    </w:p>
    <w:p>
      <w:pPr>
        <w:sectPr>
          <w:pgSz w:w="11900" w:h="16838" w:orient="portrait"/>
          <w:cols w:equalWidth="0" w:num="1">
            <w:col w:w="11220"/>
          </w:cols>
          <w:pgMar w:left="320" w:top="1422" w:right="35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 INTERCOMPANY SUBORDINATION AGREEMENT JOINDER</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INTERCOMPANY SUBORDINATION AGREEMENT JOINDER, dated as of [DATE] by [NAME OF ADDITIONAL SUBSIDIARY], a [corporation][limited liability company] (the “</w:t>
      </w:r>
      <w:r>
        <w:rPr>
          <w:rFonts w:ascii="Times New Roman" w:cs="Times New Roman" w:eastAsia="Times New Roman" w:hAnsi="Times New Roman"/>
          <w:sz w:val="22"/>
          <w:szCs w:val="22"/>
          <w:b w:val="1"/>
          <w:bCs w:val="1"/>
          <w:i w:val="1"/>
          <w:iCs w:val="1"/>
          <w:color w:val="auto"/>
        </w:rPr>
        <w:t>Additional Subsidiary Party</w:t>
      </w:r>
      <w:r>
        <w:rPr>
          <w:rFonts w:ascii="Times New Roman" w:cs="Times New Roman" w:eastAsia="Times New Roman" w:hAnsi="Times New Roman"/>
          <w:sz w:val="22"/>
          <w:szCs w:val="22"/>
          <w:color w:val="auto"/>
        </w:rPr>
        <w:t>”), under that certain Intercompany Subordination Agreement, dated as of [•] (as amended or otherwise modified from time to time, the “</w:t>
      </w:r>
      <w:r>
        <w:rPr>
          <w:rFonts w:ascii="Times New Roman" w:cs="Times New Roman" w:eastAsia="Times New Roman" w:hAnsi="Times New Roman"/>
          <w:sz w:val="22"/>
          <w:szCs w:val="22"/>
          <w:b w:val="1"/>
          <w:bCs w:val="1"/>
          <w:i w:val="1"/>
          <w:iCs w:val="1"/>
          <w:color w:val="auto"/>
        </w:rPr>
        <w:t>Subordination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by and among The Beauty Health Company,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certain Subsidiaries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from time to time party hereto and U.S. BANK TRUST COMPANY, NATIONAL ASSOCIATION, as collateral agent (in such capacity, the “</w:t>
      </w:r>
      <w:r>
        <w:rPr>
          <w:rFonts w:ascii="Times New Roman" w:cs="Times New Roman" w:eastAsia="Times New Roman" w:hAnsi="Times New Roman"/>
          <w:sz w:val="22"/>
          <w:szCs w:val="22"/>
          <w:b w:val="1"/>
          <w:bCs w:val="1"/>
          <w:i w:val="1"/>
          <w:iCs w:val="1"/>
          <w:color w:val="auto"/>
        </w:rPr>
        <w:t>Collateral Agent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Capitalized terms used herein and not otherwise defined herein are used herein as defined in the Subordination Agreement.</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xml:space="preserve"> of the Subordination Agreement, the Additional Subsidiary Party hereby agrees to become an “Subsidiary Party” for all purposes of the Subordination Agreement.</w:t>
      </w:r>
    </w:p>
    <w:p>
      <w:pPr>
        <w:spacing w:after="0" w:line="15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Subsidiary Party has caused this Subordination Agreement Joinder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[ADDITIONAL SUBSIDIARY PARTIES]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D-5</w:t>
      </w:r>
    </w:p>
    <w:p>
      <w:pPr>
        <w:sectPr>
          <w:pgSz w:w="11900" w:h="16838" w:orient="portrait"/>
          <w:cols w:equalWidth="0" w:num="1">
            <w:col w:w="11240"/>
          </w:cols>
          <w:pgMar w:left="320" w:top="1418" w:right="339" w:bottom="1440" w:gutter="0" w:footer="0" w:header="0"/>
        </w:sectPr>
      </w:pPr>
    </w:p>
    <w:bookmarkStart w:id="207" w:name="page208"/>
    <w:bookmarkEnd w:id="20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64"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Marla Beck, certify that:</w:t>
      </w:r>
    </w:p>
    <w:p>
      <w:pPr>
        <w:spacing w:after="0" w:line="252" w:lineRule="exact"/>
        <w:rPr>
          <w:sz w:val="20"/>
          <w:szCs w:val="20"/>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Beauty Health Company;</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Marla Beck</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46" w:right="339" w:bottom="1440" w:gutter="0" w:footer="0" w:header="0"/>
        </w:sectPr>
      </w:pPr>
    </w:p>
    <w:bookmarkStart w:id="208" w:name="page209"/>
    <w:bookmarkEnd w:id="20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6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Monahan, certify that:</w:t>
      </w:r>
    </w:p>
    <w:p>
      <w:pPr>
        <w:spacing w:after="0" w:line="252" w:lineRule="exact"/>
        <w:rPr>
          <w:sz w:val="20"/>
          <w:szCs w:val="20"/>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Beauty Health Company;</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Monahan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846" w:right="339" w:bottom="1440" w:gutter="0" w:footer="0" w:header="0"/>
        </w:sectPr>
      </w:pPr>
    </w:p>
    <w:bookmarkStart w:id="209" w:name="page210"/>
    <w:bookmarkEnd w:id="20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Beauty Health Company (the “Company”) on Form 10-Q for the quarterly period ended June 30, 2025, as filed with the Securities and Exchange Commission (the “Report”), I, Marla Beck, Chief Executive Officer of the Company, certify, pursuant to 18 U.S.C. §1350, as added by §906 of the Sarbanes-Oxley Act of 2002, that, to my knowledge:</w:t>
      </w:r>
    </w:p>
    <w:p>
      <w:pPr>
        <w:spacing w:after="0" w:line="203" w:lineRule="exact"/>
        <w:rPr>
          <w:sz w:val="20"/>
          <w:szCs w:val="20"/>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Marla Beck</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210" w:name="page211"/>
    <w:bookmarkEnd w:id="210"/>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4"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Beauty Health Company (the “Company”) on Form 10-Q for the quarterly period ended June 30, 2025, as filed with the Securities and Exchange Commission (the “Report”), I, Michael Monahan, Chief Financial Officer of the Company, certify, pursuant to 18 U.S.C. §1350, as added by §906 of the Sarbanes-Oxley Act of 2002, that, to my knowledge:</w:t>
      </w:r>
    </w:p>
    <w:p>
      <w:pPr>
        <w:spacing w:after="0" w:line="203" w:lineRule="exact"/>
        <w:rPr>
          <w:sz w:val="20"/>
          <w:szCs w:val="20"/>
          <w:color w:val="auto"/>
        </w:rPr>
      </w:pPr>
    </w:p>
    <w:p>
      <w:pPr>
        <w:ind w:left="660" w:hanging="328"/>
        <w:spacing w:after="0"/>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7,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Monahan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1)"/>
      <w:numFmt w:val="decimal"/>
      <w:start w:val="3"/>
    </w:lvl>
  </w:abstractNum>
  <w:abstractNum w:abstractNumId="3">
    <w:nsid w:val="5C10FE21"/>
    <w:multiLevelType w:val="hybridMultilevel"/>
    <w:lvl w:ilvl="0">
      <w:lvlJc w:val="left"/>
      <w:lvlText w:val="(%1)"/>
      <w:numFmt w:val="lowerRoman"/>
      <w:start w:val="2"/>
    </w:lvl>
  </w:abstractNum>
  <w:abstractNum w:abstractNumId="4">
    <w:nsid w:val="E7FFA2B"/>
    <w:multiLevelType w:val="hybridMultilevel"/>
    <w:lvl w:ilvl="0">
      <w:lvlJc w:val="left"/>
      <w:lvlText w:val="(%1)"/>
      <w:numFmt w:val="decimal"/>
      <w:start w:val="1"/>
    </w:lvl>
  </w:abstractNum>
  <w:abstractNum w:abstractNumId="5">
    <w:nsid w:val="3C5991AA"/>
    <w:multiLevelType w:val="hybridMultilevel"/>
    <w:lvl w:ilvl="0">
      <w:lvlJc w:val="left"/>
      <w:lvlText w:val="•"/>
      <w:numFmt w:val="bullet"/>
      <w:start w:val="1"/>
    </w:lvl>
  </w:abstractNum>
  <w:abstractNum w:abstractNumId="6">
    <w:nsid w:val="4BD8591A"/>
    <w:multiLevelType w:val="hybridMultilevel"/>
    <w:lvl w:ilvl="0">
      <w:lvlJc w:val="left"/>
      <w:lvlText w:val="•"/>
      <w:numFmt w:val="bullet"/>
      <w:start w:val="1"/>
    </w:lvl>
  </w:abstractNum>
  <w:abstractNum w:abstractNumId="7">
    <w:nsid w:val="78DF6A55"/>
    <w:multiLevelType w:val="hybridMultilevel"/>
    <w:lvl w:ilvl="0">
      <w:lvlJc w:val="left"/>
      <w:lvlText w:val="(%1)"/>
      <w:numFmt w:val="decimal"/>
      <w:start w:val="3"/>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1."/>
      <w:numFmt w:val="lowerLetter"/>
      <w:start w:val="1"/>
    </w:lvl>
    <w:lvl w:ilvl="1">
      <w:lvlJc w:val="left"/>
      <w:lvlText w:val="%2."/>
      <w:numFmt w:val="lowerRoman"/>
      <w:start w:val="1"/>
    </w:lvl>
  </w:abstractNum>
  <w:abstractNum w:abstractNumId="12">
    <w:nsid w:val="69E373"/>
    <w:multiLevelType w:val="hybridMultilevel"/>
    <w:lvl w:ilvl="0">
      <w:lvlJc w:val="left"/>
      <w:lvlText w:val="%1."/>
      <w:numFmt w:val="lowerRoman"/>
      <w:start w:val="8"/>
    </w:lvl>
  </w:abstractNum>
  <w:abstractNum w:abstractNumId="13">
    <w:nsid w:val="2C27173B"/>
    <w:multiLevelType w:val="hybridMultilevel"/>
    <w:lvl w:ilvl="0">
      <w:lvlJc w:val="left"/>
      <w:lvlText w:val="%1"/>
      <w:numFmt w:val="lowerLetter"/>
      <w:start w:val="1"/>
    </w:lvl>
    <w:lvl w:ilvl="1">
      <w:lvlJc w:val="left"/>
      <w:lvlText w:val="%2."/>
      <w:numFmt w:val="lowerRoman"/>
      <w:start w:val="12"/>
    </w:lvl>
  </w:abstractNum>
  <w:abstractNum w:abstractNumId="14">
    <w:nsid w:val="4C9B0904"/>
    <w:multiLevelType w:val="hybridMultilevel"/>
    <w:lvl w:ilvl="0">
      <w:lvlJc w:val="left"/>
      <w:lvlText w:val="%1."/>
      <w:numFmt w:val="lowerLetter"/>
      <w:start w:val="3"/>
    </w:lvl>
    <w:lvl w:ilvl="1">
      <w:lvlJc w:val="left"/>
      <w:lvlText w:val="%2"/>
      <w:numFmt w:val="lowerRoman"/>
      <w:start w:val="1"/>
    </w:lvl>
  </w:abstractNum>
  <w:abstractNum w:abstractNumId="15">
    <w:nsid w:val="6AA7B75C"/>
    <w:multiLevelType w:val="hybridMultilevel"/>
    <w:lvl w:ilvl="0">
      <w:lvlJc w:val="left"/>
      <w:lvlText w:val="(%1)"/>
      <w:numFmt w:val="decimal"/>
      <w:start w:val="91"/>
    </w:lvl>
  </w:abstractNum>
  <w:abstractNum w:abstractNumId="16">
    <w:nsid w:val="1DF029D3"/>
    <w:multiLevelType w:val="hybridMultilevel"/>
    <w:lvl w:ilvl="0">
      <w:lvlJc w:val="left"/>
      <w:lvlText w:val="(%1)"/>
      <w:numFmt w:val="lowerLetter"/>
      <w:start w:val="3"/>
    </w:lvl>
  </w:abstractNum>
  <w:abstractNum w:abstractNumId="17">
    <w:nsid w:val="5675FF36"/>
    <w:multiLevelType w:val="hybridMultilevel"/>
    <w:lvl w:ilvl="0">
      <w:lvlJc w:val="left"/>
      <w:lvlText w:val="(%1)"/>
      <w:numFmt w:val="lowerLetter"/>
      <w:start w:val="6"/>
    </w:lvl>
  </w:abstractNum>
  <w:abstractNum w:abstractNumId="18">
    <w:nsid w:val="3DD15094"/>
    <w:multiLevelType w:val="hybridMultilevel"/>
    <w:lvl w:ilvl="0">
      <w:lvlJc w:val="left"/>
      <w:lvlText w:val="(%1)"/>
      <w:numFmt w:val="upperLetter"/>
      <w:start w:val="1"/>
    </w:lvl>
  </w:abstractNum>
  <w:abstractNum w:abstractNumId="19">
    <w:nsid w:val="3DB012B3"/>
    <w:multiLevelType w:val="hybridMultilevel"/>
    <w:lvl w:ilvl="0">
      <w:lvlJc w:val="left"/>
      <w:lvlText w:val="(%1)"/>
      <w:numFmt w:val="lowerLetter"/>
      <w:start w:val="7"/>
    </w:lvl>
  </w:abstractNum>
  <w:abstractNum w:abstractNumId="20">
    <w:nsid w:val="2708C9AF"/>
    <w:multiLevelType w:val="hybridMultilevel"/>
    <w:lvl w:ilvl="0">
      <w:lvlJc w:val="left"/>
      <w:lvlText w:val="%1."/>
      <w:numFmt w:val="lowerLetter"/>
      <w:start w:val="1"/>
    </w:lvl>
  </w:abstractNum>
  <w:abstractNum w:abstractNumId="21">
    <w:nsid w:val="5B25ACE2"/>
    <w:multiLevelType w:val="hybridMultilevel"/>
    <w:lvl w:ilvl="0">
      <w:lvlJc w:val="left"/>
      <w:lvlText w:val="(%1)"/>
      <w:numFmt w:val="upperLetter"/>
      <w:start w:val="2"/>
    </w:lvl>
  </w:abstractNum>
  <w:abstractNum w:abstractNumId="22">
    <w:nsid w:val="175DFCF0"/>
    <w:multiLevelType w:val="hybridMultilevel"/>
    <w:lvl w:ilvl="0">
      <w:lvlJc w:val="left"/>
      <w:lvlText w:val="(%1)"/>
      <w:numFmt w:val="upperLetter"/>
      <w:start w:val="1"/>
    </w:lvl>
  </w:abstractNum>
  <w:abstractNum w:abstractNumId="23">
    <w:nsid w:val="4F97E3E4"/>
    <w:multiLevelType w:val="hybridMultilevel"/>
    <w:lvl w:ilvl="0">
      <w:lvlJc w:val="left"/>
      <w:lvlText w:val="(%1)"/>
      <w:numFmt w:val="upperLetter"/>
      <w:start w:val="2"/>
    </w:lvl>
  </w:abstractNum>
  <w:abstractNum w:abstractNumId="24">
    <w:nsid w:val="53B0A9E"/>
    <w:multiLevelType w:val="hybridMultilevel"/>
    <w:lvl w:ilvl="0">
      <w:lvlJc w:val="left"/>
      <w:lvlText w:val="(%1)"/>
      <w:numFmt w:val="decimal"/>
      <w:start w:val="10"/>
    </w:lvl>
  </w:abstractNum>
  <w:abstractNum w:abstractNumId="25">
    <w:nsid w:val="34FD6B4F"/>
    <w:multiLevelType w:val="hybridMultilevel"/>
    <w:lvl w:ilvl="0">
      <w:lvlJc w:val="left"/>
      <w:lvlText w:val="(%1)"/>
      <w:numFmt w:val="lowerLetter"/>
      <w:start w:val="1"/>
    </w:lvl>
  </w:abstractNum>
  <w:abstractNum w:abstractNumId="26">
    <w:nsid w:val="5915FF32"/>
    <w:multiLevelType w:val="hybridMultilevel"/>
    <w:lvl w:ilvl="0">
      <w:lvlJc w:val="left"/>
      <w:lvlText w:val="(%1)"/>
      <w:numFmt w:val="lowerLetter"/>
      <w:start w:val="3"/>
    </w:lvl>
  </w:abstractNum>
  <w:abstractNum w:abstractNumId="27">
    <w:nsid w:val="56438D15"/>
    <w:multiLevelType w:val="hybridMultilevel"/>
    <w:lvl w:ilvl="0">
      <w:lvlJc w:val="left"/>
      <w:lvlText w:val="(%1)"/>
      <w:numFmt w:val="lowerLetter"/>
      <w:start w:val="12"/>
    </w:lvl>
  </w:abstractNum>
  <w:abstractNum w:abstractNumId="28">
    <w:nsid w:val="519E3149"/>
    <w:multiLevelType w:val="hybridMultilevel"/>
    <w:lvl w:ilvl="0">
      <w:lvlJc w:val="left"/>
      <w:lvlText w:val="(%1)"/>
      <w:numFmt w:val="lowerLetter"/>
      <w:start w:val="20"/>
    </w:lvl>
  </w:abstractNum>
  <w:abstractNum w:abstractNumId="29">
    <w:nsid w:val="2C6E4AFD"/>
    <w:multiLevelType w:val="hybridMultilevel"/>
    <w:lvl w:ilvl="0">
      <w:lvlJc w:val="left"/>
      <w:lvlText w:val="(%1)"/>
      <w:numFmt w:val="lowerLetter"/>
      <w:start w:val="21"/>
    </w:lvl>
  </w:abstractNum>
  <w:abstractNum w:abstractNumId="30">
    <w:nsid w:val="17A1B582"/>
    <w:multiLevelType w:val="hybridMultilevel"/>
    <w:lvl w:ilvl="0">
      <w:lvlJc w:val="left"/>
      <w:lvlText w:val="(%1)"/>
      <w:numFmt w:val="upperLetter"/>
      <w:start w:val="1"/>
    </w:lvl>
  </w:abstractNum>
  <w:abstractNum w:abstractNumId="31">
    <w:nsid w:val="4DF72E4E"/>
    <w:multiLevelType w:val="hybridMultilevel"/>
    <w:lvl w:ilvl="0">
      <w:lvlJc w:val="left"/>
      <w:lvlText w:val="(%1)"/>
      <w:numFmt w:val="upperLetter"/>
      <w:start w:val="1"/>
    </w:lvl>
    <w:lvl w:ilvl="1">
      <w:lvlJc w:val="left"/>
      <w:lvlText w:val="(%2)"/>
      <w:numFmt w:val="lowerRoman"/>
      <w:start w:val="1"/>
    </w:lvl>
  </w:abstractNum>
  <w:abstractNum w:abstractNumId="32">
    <w:nsid w:val="5046B5A9"/>
    <w:multiLevelType w:val="hybridMultilevel"/>
    <w:lvl w:ilvl="0">
      <w:lvlJc w:val="left"/>
      <w:lvlText w:val="%1"/>
      <w:numFmt w:val="decimal"/>
      <w:start w:val="1"/>
    </w:lvl>
    <w:lvl w:ilvl="1">
      <w:lvlJc w:val="left"/>
      <w:lvlText w:val="(%2)"/>
      <w:numFmt w:val="lowerRoman"/>
      <w:start w:val="2"/>
    </w:lvl>
  </w:abstractNum>
  <w:abstractNum w:abstractNumId="33">
    <w:nsid w:val="5D888A08"/>
    <w:multiLevelType w:val="hybridMultilevel"/>
    <w:lvl w:ilvl="0">
      <w:lvlJc w:val="left"/>
      <w:lvlText w:val="(%1)"/>
      <w:numFmt w:val="decimal"/>
      <w:start w:val="2"/>
    </w:lvl>
    <w:lvl w:ilvl="1">
      <w:lvlJc w:val="left"/>
      <w:lvlText w:val="(%2)"/>
      <w:numFmt w:val="lowerRoman"/>
      <w:start w:val="3"/>
    </w:lvl>
  </w:abstractNum>
  <w:abstractNum w:abstractNumId="34">
    <w:nsid w:val="2A082C70"/>
    <w:multiLevelType w:val="hybridMultilevel"/>
    <w:lvl w:ilvl="0">
      <w:lvlJc w:val="left"/>
      <w:lvlText w:val="(%1)"/>
      <w:numFmt w:val="upperLetter"/>
      <w:start w:val="1"/>
    </w:lvl>
  </w:abstractNum>
  <w:abstractNum w:abstractNumId="35">
    <w:nsid w:val="5EC6AFD4"/>
    <w:multiLevelType w:val="hybridMultilevel"/>
    <w:lvl w:ilvl="0">
      <w:lvlJc w:val="left"/>
      <w:lvlText w:val="(%1)"/>
      <w:numFmt w:val="upperLetter"/>
      <w:start w:val="1"/>
    </w:lvl>
  </w:abstractNum>
  <w:abstractNum w:abstractNumId="36">
    <w:nsid w:val="19E21BB2"/>
    <w:multiLevelType w:val="hybridMultilevel"/>
    <w:lvl w:ilvl="0">
      <w:lvlJc w:val="left"/>
      <w:lvlText w:val="(%1)"/>
      <w:numFmt w:val="lowerLetter"/>
      <w:start w:val="24"/>
    </w:lvl>
  </w:abstractNum>
  <w:abstractNum w:abstractNumId="37">
    <w:nsid w:val="75E0858A"/>
    <w:multiLevelType w:val="hybridMultilevel"/>
    <w:lvl w:ilvl="0">
      <w:lvlJc w:val="left"/>
      <w:lvlText w:val="%1"/>
      <w:numFmt w:val="lowerRoman"/>
      <w:start w:val="1"/>
    </w:lvl>
    <w:lvl w:ilvl="1">
      <w:lvlJc w:val="left"/>
      <w:lvlText w:val="(%2)"/>
      <w:numFmt w:val="upperLetter"/>
      <w:start w:val="1"/>
    </w:lvl>
  </w:abstractNum>
  <w:abstractNum w:abstractNumId="38">
    <w:nsid w:val="57A61A29"/>
    <w:multiLevelType w:val="hybridMultilevel"/>
    <w:lvl w:ilvl="0">
      <w:lvlJc w:val="left"/>
      <w:lvlText w:val="(%1)"/>
      <w:numFmt w:val="lowerRoman"/>
      <w:start w:val="1"/>
    </w:lvl>
    <w:lvl w:ilvl="1">
      <w:lvlJc w:val="left"/>
      <w:lvlText w:val="(%2)"/>
      <w:numFmt w:val="upperLetter"/>
      <w:start w:val="3"/>
    </w:lvl>
  </w:abstractNum>
  <w:abstractNum w:abstractNumId="39">
    <w:nsid w:val="5399C654"/>
    <w:multiLevelType w:val="hybridMultilevel"/>
    <w:lvl w:ilvl="0">
      <w:lvlJc w:val="left"/>
      <w:lvlText w:val="(%1)"/>
      <w:numFmt w:val="upperLetter"/>
      <w:start w:val="1"/>
    </w:lvl>
  </w:abstractNum>
  <w:abstractNum w:abstractNumId="40">
    <w:nsid w:val="20EE1348"/>
    <w:multiLevelType w:val="hybridMultilevel"/>
    <w:lvl w:ilvl="0">
      <w:lvlJc w:val="left"/>
      <w:lvlText w:val="(%1)"/>
      <w:numFmt w:val="upperLetter"/>
      <w:start w:val="1"/>
    </w:lvl>
    <w:lvl w:ilvl="1">
      <w:lvlJc w:val="left"/>
      <w:lvlText w:val="(%2)"/>
      <w:numFmt w:val="lowerRoman"/>
      <w:start w:val="1"/>
    </w:lvl>
  </w:abstractNum>
  <w:abstractNum w:abstractNumId="41">
    <w:nsid w:val="4427069A"/>
    <w:multiLevelType w:val="hybridMultilevel"/>
    <w:lvl w:ilvl="0">
      <w:lvlJc w:val="left"/>
      <w:lvlText w:val="(%1)"/>
      <w:numFmt w:val="upperLetter"/>
      <w:start w:val="6"/>
    </w:lvl>
    <w:lvl w:ilvl="1">
      <w:lvlJc w:val="left"/>
      <w:lvlText w:val="(%2)"/>
      <w:numFmt w:val="lowerRoman"/>
      <w:start w:val="1"/>
    </w:lvl>
  </w:abstractNum>
  <w:abstractNum w:abstractNumId="42">
    <w:nsid w:val="B37E80A"/>
    <w:multiLevelType w:val="hybridMultilevel"/>
    <w:lvl w:ilvl="0">
      <w:lvlJc w:val="left"/>
      <w:lvlText w:val="(%1)"/>
      <w:numFmt w:val="upperLetter"/>
      <w:start w:val="1"/>
    </w:lvl>
    <w:lvl w:ilvl="1">
      <w:lvlJc w:val="left"/>
      <w:lvlText w:val="(%2)"/>
      <w:numFmt w:val="lowerRoman"/>
      <w:start w:val="1"/>
    </w:lvl>
  </w:abstractNum>
  <w:abstractNum w:abstractNumId="43">
    <w:nsid w:val="2157F6BC"/>
    <w:multiLevelType w:val="hybridMultilevel"/>
    <w:lvl w:ilvl="0">
      <w:lvlJc w:val="left"/>
      <w:lvlText w:val="%1"/>
      <w:numFmt w:val="upperLetter"/>
      <w:start w:val="1"/>
    </w:lvl>
    <w:lvl w:ilvl="1">
      <w:lvlJc w:val="left"/>
      <w:lvlText w:val="(%2)"/>
      <w:numFmt w:val="lowerRoman"/>
      <w:start w:val="7"/>
    </w:lvl>
    <w:lvl w:ilvl="2">
      <w:lvlJc w:val="left"/>
      <w:lvlText w:val="%3"/>
      <w:numFmt w:val="decimal"/>
      <w:start w:val="1"/>
    </w:lvl>
  </w:abstractNum>
  <w:abstractNum w:abstractNumId="44">
    <w:nsid w:val="704E1DD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45">
    <w:nsid w:val="57D2F10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46">
    <w:nsid w:val="BFFAE18"/>
    <w:multiLevelType w:val="hybridMultilevel"/>
    <w:lvl w:ilvl="0">
      <w:lvlJc w:val="left"/>
      <w:lvlText w:val="(%1)"/>
      <w:numFmt w:val="lowerLetter"/>
      <w:start w:val="26"/>
    </w:lvl>
    <w:lvl w:ilvl="1">
      <w:lvlJc w:val="left"/>
      <w:lvlText w:val="(%2)"/>
      <w:numFmt w:val="lowerLetter"/>
      <w:start w:val="61"/>
    </w:lvl>
    <w:lvl w:ilvl="2">
      <w:lvlJc w:val="left"/>
      <w:lvlText w:val="%3"/>
      <w:numFmt w:val="decimal"/>
      <w:start w:val="1"/>
    </w:lvl>
  </w:abstractNum>
  <w:abstractNum w:abstractNumId="47">
    <w:nsid w:val="E3E47A8"/>
    <w:multiLevelType w:val="hybridMultilevel"/>
    <w:lvl w:ilvl="0">
      <w:lvlJc w:val="left"/>
      <w:lvlText w:val="(%1)"/>
      <w:numFmt w:val="upperLetter"/>
      <w:start w:val="3"/>
    </w:lvl>
    <w:lvl w:ilvl="1">
      <w:lvlJc w:val="left"/>
      <w:lvlText w:val="(%2)"/>
      <w:numFmt w:val="lowerLetter"/>
      <w:start w:val="9"/>
    </w:lvl>
    <w:lvl w:ilvl="2">
      <w:lvlJc w:val="left"/>
      <w:lvlText w:val="(%3)"/>
      <w:numFmt w:val="decimal"/>
      <w:start w:val="1"/>
    </w:lvl>
  </w:abstractNum>
  <w:abstractNum w:abstractNumId="48">
    <w:nsid w:val="2E48F044"/>
    <w:multiLevelType w:val="hybridMultilevel"/>
    <w:lvl w:ilvl="0">
      <w:lvlJc w:val="left"/>
      <w:lvlText w:val="(%1)"/>
      <w:numFmt w:val="lowerRoman"/>
      <w:start w:val="2"/>
    </w:lvl>
    <w:lvl w:ilvl="1">
      <w:lvlJc w:val="left"/>
      <w:lvlText w:val="(%2)"/>
      <w:numFmt w:val="decimal"/>
      <w:start w:val="1"/>
    </w:lvl>
  </w:abstractNum>
  <w:abstractNum w:abstractNumId="49">
    <w:nsid w:val="49D0FEA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4)"/>
      <w:numFmt w:val="lowerLetter"/>
      <w:start w:val="1"/>
    </w:lvl>
  </w:abstractNum>
  <w:abstractNum w:abstractNumId="50">
    <w:nsid w:val="4BEE5A5B"/>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51">
    <w:nsid w:val="5551B9F3"/>
    <w:multiLevelType w:val="hybridMultilevel"/>
    <w:lvl w:ilvl="0">
      <w:lvlJc w:val="left"/>
      <w:lvlText w:val="(%1)"/>
      <w:numFmt w:val="upperLetter"/>
      <w:start w:val="5"/>
    </w:lvl>
  </w:abstractNum>
  <w:abstractNum w:abstractNumId="52">
    <w:nsid w:val="24F6AB8E"/>
    <w:multiLevelType w:val="hybridMultilevel"/>
    <w:lvl w:ilvl="0">
      <w:lvlJc w:val="left"/>
      <w:lvlText w:val="(%1)"/>
      <w:numFmt w:val="upperLetter"/>
      <w:start w:val="1"/>
    </w:lvl>
    <w:lvl w:ilvl="1">
      <w:lvlJc w:val="left"/>
      <w:lvlText w:val="(%2)"/>
      <w:numFmt w:val="lowerRoman"/>
      <w:start w:val="1"/>
    </w:lvl>
  </w:abstractNum>
  <w:abstractNum w:abstractNumId="53">
    <w:nsid w:val="634C574C"/>
    <w:multiLevelType w:val="hybridMultilevel"/>
    <w:lvl w:ilvl="0">
      <w:lvlJc w:val="left"/>
      <w:lvlText w:val="(%1)"/>
      <w:numFmt w:val="lowerRoman"/>
      <w:start w:val="2"/>
    </w:lvl>
  </w:abstractNum>
  <w:abstractNum w:abstractNumId="54">
    <w:nsid w:val="24E99DD7"/>
    <w:multiLevelType w:val="hybridMultilevel"/>
    <w:lvl w:ilvl="0">
      <w:lvlJc w:val="left"/>
      <w:lvlText w:val="(%1)"/>
      <w:numFmt w:val="upperLetter"/>
      <w:start w:val="1"/>
    </w:lvl>
  </w:abstractNum>
  <w:abstractNum w:abstractNumId="55">
    <w:nsid w:val="2A31B62D"/>
    <w:multiLevelType w:val="hybridMultilevel"/>
    <w:lvl w:ilvl="0">
      <w:lvlJc w:val="left"/>
      <w:lvlText w:val="(%1)"/>
      <w:numFmt w:val="upperLetter"/>
      <w:start w:val="3"/>
    </w:lvl>
  </w:abstractNum>
  <w:abstractNum w:abstractNumId="56">
    <w:nsid w:val="1849C29B"/>
    <w:multiLevelType w:val="hybridMultilevel"/>
    <w:lvl w:ilvl="0">
      <w:lvlJc w:val="left"/>
      <w:lvlText w:val="(%1)"/>
      <w:numFmt w:val="upperLetter"/>
      <w:start w:val="1"/>
    </w:lvl>
  </w:abstractNum>
  <w:abstractNum w:abstractNumId="57">
    <w:nsid w:val="7DFF9D09"/>
    <w:multiLevelType w:val="hybridMultilevel"/>
    <w:lvl w:ilvl="0">
      <w:lvlJc w:val="left"/>
      <w:lvlText w:val="(%1)"/>
      <w:numFmt w:val="upperLetter"/>
      <w:start w:val="1"/>
    </w:lvl>
  </w:abstractNum>
  <w:abstractNum w:abstractNumId="58">
    <w:nsid w:val="754342"/>
    <w:multiLevelType w:val="hybridMultilevel"/>
    <w:lvl w:ilvl="0">
      <w:lvlJc w:val="left"/>
      <w:lvlText w:val="(%1)"/>
      <w:numFmt w:val="upperLetter"/>
      <w:start w:val="6"/>
    </w:lvl>
  </w:abstractNum>
  <w:abstractNum w:abstractNumId="59">
    <w:nsid w:val="69E7F3E5"/>
    <w:multiLevelType w:val="hybridMultilevel"/>
    <w:lvl w:ilvl="0">
      <w:lvlJc w:val="left"/>
      <w:lvlText w:val="(%1)"/>
      <w:numFmt w:val="upperLetter"/>
      <w:start w:val="1"/>
    </w:lvl>
    <w:lvl w:ilvl="1">
      <w:lvlJc w:val="left"/>
      <w:lvlText w:val="(%2)"/>
      <w:numFmt w:val="lowerRoman"/>
      <w:start w:val="1"/>
    </w:lvl>
  </w:abstractNum>
  <w:abstractNum w:abstractNumId="60">
    <w:nsid w:val="2A6DE806"/>
    <w:multiLevelType w:val="hybridMultilevel"/>
    <w:lvl w:ilvl="0">
      <w:lvlJc w:val="left"/>
      <w:lvlText w:val="(%1)"/>
      <w:numFmt w:val="upperLetter"/>
      <w:start w:val="2"/>
    </w:lvl>
  </w:abstractNum>
  <w:abstractNum w:abstractNumId="61">
    <w:nsid w:val="1816F8C4"/>
    <w:multiLevelType w:val="hybridMultilevel"/>
    <w:lvl w:ilvl="0">
      <w:lvlJc w:val="left"/>
      <w:lvlText w:val="(%1)"/>
      <w:numFmt w:val="upperLetter"/>
      <w:start w:val="4"/>
    </w:lvl>
  </w:abstractNum>
  <w:abstractNum w:abstractNumId="62">
    <w:nsid w:val="37DF2233"/>
    <w:multiLevelType w:val="hybridMultilevel"/>
    <w:lvl w:ilvl="0">
      <w:lvlJc w:val="left"/>
      <w:lvlText w:val="(%1)"/>
      <w:numFmt w:val="upperLetter"/>
      <w:start w:val="1"/>
    </w:lvl>
  </w:abstractNum>
  <w:abstractNum w:abstractNumId="63">
    <w:nsid w:val="7AB49DAF"/>
    <w:multiLevelType w:val="hybridMultilevel"/>
    <w:lvl w:ilvl="0">
      <w:lvlJc w:val="left"/>
      <w:lvlText w:val="(%1)"/>
      <w:numFmt w:val="upperLetter"/>
      <w:start w:val="1"/>
    </w:lvl>
  </w:abstractNum>
  <w:abstractNum w:abstractNumId="64">
    <w:nsid w:val="759F82CD"/>
    <w:multiLevelType w:val="hybridMultilevel"/>
    <w:lvl w:ilvl="0">
      <w:lvlJc w:val="left"/>
      <w:lvlText w:val="(%1)"/>
      <w:numFmt w:val="upperLetter"/>
      <w:start w:val="3"/>
    </w:lvl>
  </w:abstractNum>
  <w:abstractNum w:abstractNumId="65">
    <w:nsid w:val="61E74EA3"/>
    <w:multiLevelType w:val="hybridMultilevel"/>
    <w:lvl w:ilvl="0">
      <w:lvlJc w:val="left"/>
      <w:lvlText w:val="(%1)"/>
      <w:numFmt w:val="upperLetter"/>
      <w:start w:val="8"/>
    </w:lvl>
  </w:abstractNum>
  <w:abstractNum w:abstractNumId="66">
    <w:nsid w:val="597B4D84"/>
    <w:multiLevelType w:val="hybridMultilevel"/>
    <w:lvl w:ilvl="0">
      <w:lvlJc w:val="left"/>
      <w:lvlText w:val="%1"/>
      <w:numFmt w:val="lowerRoman"/>
      <w:start w:val="1"/>
    </w:lvl>
    <w:lvl w:ilvl="1">
      <w:lvlJc w:val="left"/>
      <w:lvlText w:val="(%2)"/>
      <w:numFmt w:val="upperLetter"/>
      <w:start w:val="17"/>
    </w:lvl>
  </w:abstractNum>
  <w:abstractNum w:abstractNumId="67">
    <w:nsid w:val="F819E7F"/>
    <w:multiLevelType w:val="hybridMultilevel"/>
    <w:lvl w:ilvl="0">
      <w:lvlJc w:val="left"/>
      <w:lvlText w:val="(%1)"/>
      <w:numFmt w:val="lowerRoman"/>
      <w:start w:val="3"/>
    </w:lvl>
    <w:lvl w:ilvl="1">
      <w:lvlJc w:val="left"/>
      <w:lvlText w:val="%2"/>
      <w:numFmt w:val="upperLetter"/>
      <w:start w:val="1"/>
    </w:lvl>
  </w:abstractNum>
  <w:abstractNum w:abstractNumId="68">
    <w:nsid w:val="57C7D42D"/>
    <w:multiLevelType w:val="hybridMultilevel"/>
    <w:lvl w:ilvl="0">
      <w:lvlJc w:val="left"/>
      <w:lvlText w:val="%1"/>
      <w:numFmt w:val="lowerRoman"/>
      <w:start w:val="1"/>
    </w:lvl>
    <w:lvl w:ilvl="1">
      <w:lvlJc w:val="left"/>
      <w:lvlText w:val="(%2)"/>
      <w:numFmt w:val="upperLetter"/>
      <w:start w:val="1"/>
    </w:lvl>
  </w:abstractNum>
  <w:abstractNum w:abstractNumId="69">
    <w:nsid w:val="312167AD"/>
    <w:multiLevelType w:val="hybridMultilevel"/>
    <w:lvl w:ilvl="0">
      <w:lvlJc w:val="left"/>
      <w:lvlText w:val="(%1)"/>
      <w:numFmt w:val="lowerRoman"/>
      <w:start w:val="4"/>
    </w:lvl>
    <w:lvl w:ilvl="1">
      <w:lvlJc w:val="left"/>
      <w:lvlText w:val="(%2)"/>
      <w:numFmt w:val="upperLetter"/>
      <w:start w:val="5"/>
    </w:lvl>
  </w:abstractNum>
  <w:abstractNum w:abstractNumId="70">
    <w:nsid w:val="631B64D4"/>
    <w:multiLevelType w:val="hybridMultilevel"/>
    <w:lvl w:ilvl="0">
      <w:lvlJc w:val="left"/>
      <w:lvlText w:val="(%1)"/>
      <w:numFmt w:val="upperLetter"/>
      <w:start w:val="6"/>
    </w:lvl>
  </w:abstractNum>
  <w:abstractNum w:abstractNumId="71">
    <w:nsid w:val="78B5E776"/>
    <w:multiLevelType w:val="hybridMultilevel"/>
    <w:lvl w:ilvl="0">
      <w:lvlJc w:val="left"/>
      <w:lvlText w:val="(%1)"/>
      <w:numFmt w:val="upperLetter"/>
      <w:start w:val="1"/>
    </w:lvl>
  </w:abstractNum>
  <w:abstractNum w:abstractNumId="72">
    <w:nsid w:val="75486E47"/>
    <w:multiLevelType w:val="hybridMultilevel"/>
    <w:lvl w:ilvl="0">
      <w:lvlJc w:val="left"/>
      <w:lvlText w:val="(%1)"/>
      <w:numFmt w:val="upperLetter"/>
      <w:start w:val="6"/>
    </w:lvl>
  </w:abstractNum>
  <w:abstractNum w:abstractNumId="73">
    <w:nsid w:val="6E534CDE"/>
    <w:multiLevelType w:val="hybridMultilevel"/>
    <w:lvl w:ilvl="0">
      <w:lvlJc w:val="left"/>
      <w:lvlText w:val="(%1)"/>
      <w:numFmt w:val="upperLetter"/>
      <w:start w:val="18"/>
    </w:lvl>
  </w:abstractNum>
  <w:abstractNum w:abstractNumId="74">
    <w:nsid w:val="1A0DDE32"/>
    <w:multiLevelType w:val="hybridMultilevel"/>
    <w:lvl w:ilvl="0">
      <w:lvlJc w:val="left"/>
      <w:lvlText w:val="(%1)"/>
      <w:numFmt w:val="upperLetter"/>
      <w:start w:val="1"/>
    </w:lvl>
  </w:abstractNum>
  <w:abstractNum w:abstractNumId="75">
    <w:nsid w:val="65968C1C"/>
    <w:multiLevelType w:val="hybridMultilevel"/>
    <w:lvl w:ilvl="0">
      <w:lvlJc w:val="left"/>
      <w:lvlText w:val="(%1)"/>
      <w:numFmt w:val="upperLetter"/>
      <w:start w:val="3"/>
    </w:lvl>
    <w:lvl w:ilvl="1">
      <w:lvlJc w:val="left"/>
      <w:lvlText w:val="(%2)"/>
      <w:numFmt w:val="lowerRoman"/>
      <w:start w:val="1"/>
    </w:lvl>
  </w:abstractNum>
  <w:abstractNum w:abstractNumId="76">
    <w:nsid w:val="46263DEC"/>
    <w:multiLevelType w:val="hybridMultilevel"/>
    <w:lvl w:ilvl="0">
      <w:lvlJc w:val="left"/>
      <w:lvlText w:val="(%1)"/>
      <w:numFmt w:val="lowerRoman"/>
      <w:start w:val="2"/>
    </w:lvl>
    <w:lvl w:ilvl="1">
      <w:lvlJc w:val="left"/>
      <w:lvlText w:val="(%2)"/>
      <w:numFmt w:val="decimal"/>
      <w:start w:val="1"/>
    </w:lvl>
  </w:abstractNum>
  <w:abstractNum w:abstractNumId="77">
    <w:nsid w:val="260D8C4A"/>
    <w:multiLevelType w:val="hybridMultilevel"/>
    <w:lvl w:ilvl="0">
      <w:lvlJc w:val="left"/>
      <w:lvlText w:val="(%1)"/>
      <w:numFmt w:val="upperLetter"/>
      <w:start w:val="1"/>
    </w:lvl>
    <w:lvl w:ilvl="1">
      <w:lvlJc w:val="left"/>
      <w:lvlText w:val="(%2)"/>
      <w:numFmt w:val="lowerRoman"/>
      <w:start w:val="1"/>
    </w:lvl>
  </w:abstractNum>
  <w:abstractNum w:abstractNumId="78">
    <w:nsid w:val="73D4D3C4"/>
    <w:multiLevelType w:val="hybridMultilevel"/>
    <w:lvl w:ilvl="0">
      <w:lvlJc w:val="left"/>
      <w:lvlText w:val="%1"/>
      <w:numFmt w:val="upperLetter"/>
      <w:start w:val="1"/>
    </w:lvl>
    <w:lvl w:ilvl="1">
      <w:lvlJc w:val="left"/>
      <w:lvlText w:val="(%2)"/>
      <w:numFmt w:val="lowerRoman"/>
      <w:start w:val="2"/>
    </w:lvl>
  </w:abstractNum>
  <w:abstractNum w:abstractNumId="79">
    <w:nsid w:val="746F2E30"/>
    <w:multiLevelType w:val="hybridMultilevel"/>
    <w:lvl w:ilvl="0">
      <w:lvlJc w:val="left"/>
      <w:lvlText w:val="(%1)"/>
      <w:numFmt w:val="upperLetter"/>
      <w:start w:val="2"/>
    </w:lvl>
    <w:lvl w:ilvl="1">
      <w:lvlJc w:val="left"/>
      <w:lvlText w:val="(%2)"/>
      <w:numFmt w:val="lowerRoman"/>
      <w:start w:val="1"/>
    </w:lvl>
  </w:abstractNum>
  <w:abstractNum w:abstractNumId="80">
    <w:nsid w:val="6FDE8AF6"/>
    <w:multiLevelType w:val="hybridMultilevel"/>
    <w:lvl w:ilvl="0">
      <w:lvlJc w:val="left"/>
      <w:lvlText w:val="(%1)"/>
      <w:numFmt w:val="lowerRoman"/>
      <w:start w:val="4"/>
    </w:lvl>
  </w:abstractNum>
  <w:abstractNum w:abstractNumId="81">
    <w:nsid w:val="3FC32E20"/>
    <w:multiLevelType w:val="hybridMultilevel"/>
    <w:lvl w:ilvl="0">
      <w:lvlJc w:val="left"/>
      <w:lvlText w:val="(%1)"/>
      <w:numFmt w:val="lowerRoman"/>
      <w:start w:val="1"/>
    </w:lvl>
  </w:abstractNum>
  <w:abstractNum w:abstractNumId="82">
    <w:nsid w:val="49C0E823"/>
    <w:multiLevelType w:val="hybridMultilevel"/>
    <w:lvl w:ilvl="0">
      <w:lvlJc w:val="left"/>
      <w:lvlText w:val="(%1)"/>
      <w:numFmt w:val="upperLetter"/>
      <w:start w:val="1"/>
    </w:lvl>
  </w:abstractNum>
  <w:abstractNum w:abstractNumId="83">
    <w:nsid w:val="14D53685"/>
    <w:multiLevelType w:val="hybridMultilevel"/>
    <w:lvl w:ilvl="0">
      <w:lvlJc w:val="left"/>
      <w:lvlText w:val="(%1)"/>
      <w:numFmt w:val="upperLetter"/>
      <w:start w:val="3"/>
    </w:lvl>
  </w:abstractNum>
  <w:abstractNum w:abstractNumId="84">
    <w:nsid w:val="230F856C"/>
    <w:multiLevelType w:val="hybridMultilevel"/>
    <w:lvl w:ilvl="0">
      <w:lvlJc w:val="left"/>
      <w:lvlText w:val="(%1)"/>
      <w:numFmt w:val="upperLetter"/>
      <w:start w:val="1"/>
    </w:lvl>
  </w:abstractNum>
  <w:abstractNum w:abstractNumId="85">
    <w:nsid w:val="6EAA85FB"/>
    <w:multiLevelType w:val="hybridMultilevel"/>
    <w:lvl w:ilvl="0">
      <w:lvlJc w:val="left"/>
      <w:lvlText w:val="(%1)"/>
      <w:numFmt w:val="upperLetter"/>
      <w:start w:val="5"/>
    </w:lvl>
  </w:abstractNum>
  <w:abstractNum w:abstractNumId="86">
    <w:nsid w:val="3F06ECB2"/>
    <w:multiLevelType w:val="hybridMultilevel"/>
    <w:lvl w:ilvl="0">
      <w:lvlJc w:val="left"/>
      <w:lvlText w:val="(%1)"/>
      <w:numFmt w:val="lowerRoman"/>
      <w:start w:val="1"/>
    </w:lvl>
  </w:abstractNum>
  <w:abstractNum w:abstractNumId="87">
    <w:nsid w:val="3B594807"/>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88">
    <w:nsid w:val="6CAA2304"/>
    <w:multiLevelType w:val="hybridMultilevel"/>
    <w:lvl w:ilvl="0">
      <w:lvlJc w:val="left"/>
      <w:lvlText w:val="(%1)"/>
      <w:numFmt w:val="lowerRoman"/>
      <w:start w:val="2"/>
    </w:lvl>
    <w:lvl w:ilvl="1">
      <w:lvlJc w:val="left"/>
      <w:lvlText w:val="(%2)"/>
      <w:numFmt w:val="decimal"/>
      <w:start w:val="1"/>
    </w:lvl>
  </w:abstractNum>
  <w:abstractNum w:abstractNumId="89">
    <w:nsid w:val="3F7C2FF4"/>
    <w:multiLevelType w:val="hybridMultilevel"/>
    <w:lvl w:ilvl="0">
      <w:lvlJc w:val="left"/>
      <w:lvlText w:val="(%1)"/>
      <w:numFmt w:val="lowerRoman"/>
      <w:start w:val="3"/>
    </w:lvl>
    <w:lvl w:ilvl="1">
      <w:lvlJc w:val="left"/>
      <w:lvlText w:val="(%2)"/>
      <w:numFmt w:val="decimal"/>
      <w:start w:val="1"/>
    </w:lvl>
  </w:abstractNum>
  <w:abstractNum w:abstractNumId="90">
    <w:nsid w:val="25413BEC"/>
    <w:multiLevelType w:val="hybridMultilevel"/>
    <w:lvl w:ilvl="0">
      <w:lvlJc w:val="left"/>
      <w:lvlText w:val="(%1)"/>
      <w:numFmt w:val="lowerRoman"/>
      <w:start w:val="10"/>
    </w:lvl>
  </w:abstractNum>
  <w:abstractNum w:abstractNumId="91">
    <w:nsid w:val="17180B0B"/>
    <w:multiLevelType w:val="hybridMultilevel"/>
    <w:lvl w:ilvl="0">
      <w:lvlJc w:val="left"/>
      <w:lvlText w:val="%1"/>
      <w:numFmt w:val="lowerRoman"/>
      <w:start w:val="1"/>
    </w:lvl>
    <w:lvl w:ilvl="1">
      <w:lvlJc w:val="left"/>
      <w:lvlText w:val="(%2)"/>
      <w:numFmt w:val="upperLetter"/>
      <w:start w:val="7"/>
    </w:lvl>
  </w:abstractNum>
  <w:abstractNum w:abstractNumId="92">
    <w:nsid w:val="579328B9"/>
    <w:multiLevelType w:val="hybridMultilevel"/>
    <w:lvl w:ilvl="0">
      <w:lvlJc w:val="left"/>
      <w:lvlText w:val="(%1)"/>
      <w:numFmt w:val="lowerRoman"/>
      <w:start w:val="10"/>
    </w:lvl>
    <w:lvl w:ilvl="1">
      <w:lvlJc w:val="left"/>
      <w:lvlText w:val="(%2)"/>
      <w:numFmt w:val="upperLetter"/>
      <w:start w:val="8"/>
    </w:lvl>
  </w:abstractNum>
  <w:abstractNum w:abstractNumId="93">
    <w:nsid w:val="5D205E20"/>
    <w:multiLevelType w:val="hybridMultilevel"/>
    <w:lvl w:ilvl="0">
      <w:lvlJc w:val="left"/>
      <w:lvlText w:val="(%1)"/>
      <w:numFmt w:val="upperLetter"/>
      <w:start w:val="10"/>
    </w:lvl>
  </w:abstractNum>
  <w:abstractNum w:abstractNumId="94">
    <w:nsid w:val="11CCA8BA"/>
    <w:multiLevelType w:val="hybridMultilevel"/>
    <w:lvl w:ilvl="0">
      <w:lvlJc w:val="left"/>
      <w:lvlText w:val="(%1)"/>
      <w:numFmt w:val="upperLetter"/>
      <w:start w:val="1"/>
    </w:lvl>
  </w:abstractNum>
  <w:abstractNum w:abstractNumId="95">
    <w:nsid w:val="4D32AB86"/>
    <w:multiLevelType w:val="hybridMultilevel"/>
    <w:lvl w:ilvl="0">
      <w:lvlJc w:val="left"/>
      <w:lvlText w:val="(%1)"/>
      <w:numFmt w:val="upperLetter"/>
      <w:start w:val="6"/>
    </w:lvl>
  </w:abstractNum>
  <w:abstractNum w:abstractNumId="96">
    <w:nsid w:val="3F07ACC3"/>
    <w:multiLevelType w:val="hybridMultilevel"/>
    <w:lvl w:ilvl="0">
      <w:lvlJc w:val="left"/>
      <w:lvlText w:val="(%1)"/>
      <w:numFmt w:val="lowerRoman"/>
      <w:start w:val="1"/>
    </w:lvl>
  </w:abstractNum>
  <w:abstractNum w:abstractNumId="97">
    <w:nsid w:val="6B47F63E"/>
    <w:multiLevelType w:val="hybridMultilevel"/>
    <w:lvl w:ilvl="0">
      <w:lvlJc w:val="left"/>
      <w:lvlText w:val="(%1)"/>
      <w:numFmt w:val="upperLetter"/>
      <w:start w:val="7"/>
    </w:lvl>
    <w:lvl w:ilvl="1">
      <w:lvlJc w:val="left"/>
      <w:lvlText w:val="(%2)"/>
      <w:numFmt w:val="lowerRoman"/>
      <w:start w:val="1"/>
    </w:lvl>
  </w:abstractNum>
  <w:abstractNum w:abstractNumId="98">
    <w:nsid w:val="5CB44A05"/>
    <w:multiLevelType w:val="hybridMultilevel"/>
    <w:lvl w:ilvl="0">
      <w:lvlJc w:val="left"/>
      <w:lvlText w:val="(%1)"/>
      <w:numFmt w:val="upperLetter"/>
      <w:start w:val="1"/>
    </w:lvl>
  </w:abstractNum>
  <w:abstractNum w:abstractNumId="99">
    <w:nsid w:val="16CF80F1"/>
    <w:multiLevelType w:val="hybridMultilevel"/>
    <w:lvl w:ilvl="0">
      <w:lvlJc w:val="left"/>
      <w:lvlText w:val="(%1)"/>
      <w:numFmt w:val="lowerRoman"/>
      <w:start w:val="1"/>
    </w:lvl>
    <w:lvl w:ilvl="1">
      <w:lvlJc w:val="left"/>
      <w:lvlText w:val="(%2)"/>
      <w:numFmt w:val="decimal"/>
      <w:start w:val="1"/>
    </w:lvl>
  </w:abstractNum>
  <w:abstractNum w:abstractNumId="100">
    <w:nsid w:val="1C695DEC"/>
    <w:multiLevelType w:val="hybridMultilevel"/>
    <w:lvl w:ilvl="0">
      <w:lvlJc w:val="left"/>
      <w:lvlText w:val="(%1)"/>
      <w:numFmt w:val="upperLetter"/>
      <w:start w:val="1"/>
    </w:lvl>
    <w:lvl w:ilvl="1">
      <w:lvlJc w:val="left"/>
      <w:lvlText w:val="(%2)"/>
      <w:numFmt w:val="lowerRoman"/>
      <w:start w:val="1"/>
    </w:lvl>
  </w:abstractNum>
  <w:abstractNum w:abstractNumId="101">
    <w:nsid w:val="3FCFAED9"/>
    <w:multiLevelType w:val="hybridMultilevel"/>
    <w:lvl w:ilvl="0">
      <w:lvlJc w:val="left"/>
      <w:lvlText w:val="(%1)"/>
      <w:numFmt w:val="upperLetter"/>
      <w:start w:val="5"/>
    </w:lvl>
  </w:abstractNum>
  <w:abstractNum w:abstractNumId="102">
    <w:nsid w:val="F856867"/>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03">
    <w:nsid w:val="11B1CC3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104">
    <w:nsid w:val="2E22FBB7"/>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05">
    <w:nsid w:val="29934699"/>
    <w:multiLevelType w:val="hybridMultilevel"/>
    <w:lvl w:ilvl="0">
      <w:lvlJc w:val="left"/>
      <w:lvlText w:val="%1"/>
      <w:numFmt w:val="upperLetter"/>
      <w:start w:val="1"/>
    </w:lvl>
    <w:lvl w:ilvl="1">
      <w:lvlJc w:val="left"/>
      <w:lvlText w:val="(%2)"/>
      <w:numFmt w:val="lowerRoman"/>
      <w:start w:val="3"/>
    </w:lvl>
  </w:abstractNum>
  <w:abstractNum w:abstractNumId="106">
    <w:nsid w:val="77485850"/>
    <w:multiLevelType w:val="hybridMultilevel"/>
    <w:lvl w:ilvl="0">
      <w:lvlJc w:val="left"/>
      <w:lvlText w:val="(%1)"/>
      <w:numFmt w:val="upperLetter"/>
      <w:start w:val="3"/>
    </w:lvl>
    <w:lvl w:ilvl="1">
      <w:lvlJc w:val="left"/>
      <w:lvlText w:val="%2"/>
      <w:numFmt w:val="lowerRoman"/>
      <w:start w:val="1"/>
    </w:lvl>
  </w:abstractNum>
  <w:abstractNum w:abstractNumId="107">
    <w:nsid w:val="744939A3"/>
    <w:multiLevelType w:val="hybridMultilevel"/>
    <w:lvl w:ilvl="0">
      <w:lvlJc w:val="left"/>
      <w:lvlText w:val="(%1)"/>
      <w:numFmt w:val="upperLetter"/>
      <w:start w:val="1"/>
    </w:lvl>
  </w:abstractNum>
  <w:abstractNum w:abstractNumId="108">
    <w:nsid w:val="4FA0D2E3"/>
    <w:multiLevelType w:val="hybridMultilevel"/>
    <w:lvl w:ilvl="0">
      <w:lvlJc w:val="left"/>
      <w:lvlText w:val="(%1)"/>
      <w:numFmt w:val="upperLetter"/>
      <w:start w:val="1"/>
    </w:lvl>
    <w:lvl w:ilvl="1">
      <w:lvlJc w:val="left"/>
      <w:lvlText w:val="(%2)"/>
      <w:numFmt w:val="lowerRoman"/>
      <w:start w:val="1"/>
    </w:lvl>
  </w:abstractNum>
  <w:abstractNum w:abstractNumId="109">
    <w:nsid w:val="6B1D2C14"/>
    <w:multiLevelType w:val="hybridMultilevel"/>
    <w:lvl w:ilvl="0">
      <w:lvlJc w:val="left"/>
      <w:lvlText w:val="(%1)"/>
      <w:numFmt w:val="lowerRoman"/>
      <w:start w:val="2"/>
    </w:lvl>
  </w:abstractNum>
  <w:abstractNum w:abstractNumId="110">
    <w:nsid w:val="68B867D3"/>
    <w:multiLevelType w:val="hybridMultilevel"/>
    <w:lvl w:ilvl="0">
      <w:lvlJc w:val="left"/>
      <w:lvlText w:val="X"/>
      <w:numFmt w:val="bullet"/>
      <w:start w:val="1"/>
    </w:lvl>
  </w:abstractNum>
  <w:abstractNum w:abstractNumId="111">
    <w:nsid w:val="3F7F5DD9"/>
    <w:multiLevelType w:val="hybridMultilevel"/>
    <w:lvl w:ilvl="0">
      <w:lvlJc w:val="left"/>
      <w:lvlText w:val="Y"/>
      <w:numFmt w:val="bullet"/>
      <w:start w:val="1"/>
    </w:lvl>
  </w:abstractNum>
  <w:abstractNum w:abstractNumId="112">
    <w:nsid w:val="2AE05A34"/>
    <w:multiLevelType w:val="hybridMultilevel"/>
    <w:lvl w:ilvl="0">
      <w:lvlJc w:val="left"/>
      <w:lvlText w:val="(%1)"/>
      <w:numFmt w:val="lowerRoman"/>
      <w:start w:val="3"/>
    </w:lvl>
    <w:lvl w:ilvl="1">
      <w:lvlJc w:val="left"/>
      <w:lvlText w:val="(%2)"/>
      <w:numFmt w:val="decimal"/>
      <w:start w:val="1"/>
    </w:lvl>
  </w:abstractNum>
  <w:abstractNum w:abstractNumId="113">
    <w:nsid w:val="32794FF7"/>
    <w:multiLevelType w:val="hybridMultilevel"/>
    <w:lvl w:ilvl="0">
      <w:lvlJc w:val="left"/>
      <w:lvlText w:val="(%1)"/>
      <w:numFmt w:val="lowerLetter"/>
      <w:start w:val="1"/>
    </w:lvl>
  </w:abstractNum>
  <w:abstractNum w:abstractNumId="114">
    <w:nsid w:val="5454945E"/>
    <w:multiLevelType w:val="hybridMultilevel"/>
    <w:lvl w:ilvl="0">
      <w:lvlJc w:val="left"/>
      <w:lvlText w:val="(%1)"/>
      <w:numFmt w:val="lowerLetter"/>
      <w:start w:val="3"/>
    </w:lvl>
  </w:abstractNum>
  <w:abstractNum w:abstractNumId="115">
    <w:nsid w:val="4DEFDFA0"/>
    <w:multiLevelType w:val="hybridMultilevel"/>
    <w:lvl w:ilvl="0">
      <w:lvlJc w:val="left"/>
      <w:lvlText w:val="(%1)"/>
      <w:numFmt w:val="decimal"/>
      <w:start w:val="2"/>
    </w:lvl>
  </w:abstractNum>
  <w:abstractNum w:abstractNumId="116">
    <w:nsid w:val="2123D5F2"/>
    <w:multiLevelType w:val="hybridMultilevel"/>
    <w:lvl w:ilvl="0">
      <w:lvlJc w:val="left"/>
      <w:lvlText w:val="(%1)"/>
      <w:numFmt w:val="lowerLetter"/>
      <w:start w:val="25"/>
    </w:lvl>
  </w:abstractNum>
  <w:abstractNum w:abstractNumId="117">
    <w:nsid w:val="135B8110"/>
    <w:multiLevelType w:val="hybridMultilevel"/>
    <w:lvl w:ilvl="0">
      <w:lvlJc w:val="left"/>
      <w:lvlText w:val="(%1)"/>
      <w:numFmt w:val="lowerRoman"/>
      <w:start w:val="4"/>
    </w:lvl>
  </w:abstractNum>
  <w:abstractNum w:abstractNumId="118">
    <w:nsid w:val="94927A8"/>
    <w:multiLevelType w:val="hybridMultilevel"/>
    <w:lvl w:ilvl="0">
      <w:lvlJc w:val="left"/>
      <w:lvlText w:val="D"/>
      <w:numFmt w:val="bullet"/>
      <w:start w:val="1"/>
    </w:lvl>
  </w:abstractNum>
  <w:abstractNum w:abstractNumId="119">
    <w:nsid w:val="DCDF8F6"/>
    <w:multiLevelType w:val="hybridMultilevel"/>
    <w:lvl w:ilvl="0">
      <w:lvlJc w:val="left"/>
      <w:lvlText w:val="(%1)"/>
      <w:numFmt w:val="lowerRoman"/>
      <w:start w:val="5"/>
    </w:lvl>
  </w:abstractNum>
  <w:abstractNum w:abstractNumId="120">
    <w:nsid w:val="52D7B105"/>
    <w:multiLevelType w:val="hybridMultilevel"/>
    <w:lvl w:ilvl="0">
      <w:lvlJc w:val="left"/>
      <w:lvlText w:val="(%1)"/>
      <w:numFmt w:val="upperLetter"/>
      <w:start w:val="2"/>
    </w:lvl>
    <w:lvl w:ilvl="1">
      <w:lvlJc w:val="left"/>
      <w:lvlText w:val="(%2)"/>
      <w:numFmt w:val="lowerRoman"/>
      <w:start w:val="1"/>
    </w:lvl>
  </w:abstractNum>
  <w:abstractNum w:abstractNumId="121">
    <w:nsid w:val="2E8A6394"/>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22">
    <w:nsid w:val="24E60401"/>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23">
    <w:nsid w:val="2A6AD9BE"/>
    <w:multiLevelType w:val="hybridMultilevel"/>
    <w:lvl w:ilvl="0">
      <w:lvlJc w:val="left"/>
      <w:lvlText w:val="(%1)"/>
      <w:numFmt w:val="lowerRoman"/>
      <w:start w:val="4"/>
    </w:lvl>
  </w:abstractNum>
  <w:abstractNum w:abstractNumId="124">
    <w:nsid w:val="BAAC1B4"/>
    <w:multiLevelType w:val="hybridMultilevel"/>
    <w:lvl w:ilvl="0">
      <w:lvlJc w:val="left"/>
      <w:lvlText w:val="(%1)"/>
      <w:numFmt w:val="upperLetter"/>
      <w:start w:val="5"/>
    </w:lvl>
    <w:lvl w:ilvl="1">
      <w:lvlJc w:val="left"/>
      <w:lvlText w:val="(%2)"/>
      <w:numFmt w:val="lowerRoman"/>
      <w:start w:val="1"/>
    </w:lvl>
  </w:abstractNum>
  <w:abstractNum w:abstractNumId="125">
    <w:nsid w:val="36B2ACBC"/>
    <w:multiLevelType w:val="hybridMultilevel"/>
    <w:lvl w:ilvl="0">
      <w:lvlJc w:val="left"/>
      <w:lvlText w:val="(%1)"/>
      <w:numFmt w:val="upperLetter"/>
      <w:start w:val="6"/>
    </w:lvl>
  </w:abstractNum>
  <w:abstractNum w:abstractNumId="126">
    <w:nsid w:val="779D8544"/>
    <w:multiLevelType w:val="hybridMultilevel"/>
    <w:lvl w:ilvl="0">
      <w:lvlJc w:val="left"/>
      <w:lvlText w:val="(%1)"/>
      <w:numFmt w:val="upperLetter"/>
      <w:start w:val="7"/>
    </w:lvl>
  </w:abstractNum>
  <w:abstractNum w:abstractNumId="127">
    <w:nsid w:val="4AB26E78"/>
    <w:multiLevelType w:val="hybridMultilevel"/>
    <w:lvl w:ilvl="0">
      <w:lvlJc w:val="left"/>
      <w:lvlText w:val="(%1)"/>
      <w:numFmt w:val="upperLetter"/>
      <w:start w:val="1"/>
    </w:lvl>
  </w:abstractNum>
  <w:abstractNum w:abstractNumId="128">
    <w:nsid w:val="21FAA2FA"/>
    <w:multiLevelType w:val="hybridMultilevel"/>
    <w:lvl w:ilvl="0">
      <w:lvlJc w:val="left"/>
      <w:lvlText w:val="(%1)"/>
      <w:numFmt w:val="upperLetter"/>
      <w:start w:val="1"/>
    </w:lvl>
  </w:abstractNum>
  <w:abstractNum w:abstractNumId="129">
    <w:nsid w:val="5451CF49"/>
    <w:multiLevelType w:val="hybridMultilevel"/>
    <w:lvl w:ilvl="0">
      <w:lvlJc w:val="left"/>
      <w:lvlText w:val="(%1)"/>
      <w:numFmt w:val="lowerRoman"/>
      <w:start w:val="1"/>
    </w:lvl>
  </w:abstractNum>
  <w:abstractNum w:abstractNumId="130">
    <w:nsid w:val="6181EF69"/>
    <w:multiLevelType w:val="hybridMultilevel"/>
    <w:lvl w:ilvl="0">
      <w:lvlJc w:val="left"/>
      <w:lvlText w:val="(%1)"/>
      <w:numFmt w:val="upperLetter"/>
      <w:start w:val="2"/>
    </w:lvl>
  </w:abstractNum>
  <w:abstractNum w:abstractNumId="131">
    <w:nsid w:val="3E6400E6"/>
    <w:multiLevelType w:val="hybridMultilevel"/>
    <w:lvl w:ilvl="0">
      <w:lvlJc w:val="left"/>
      <w:lvlText w:val="(%1)"/>
      <w:numFmt w:val="upperLetter"/>
      <w:start w:val="1"/>
    </w:lvl>
  </w:abstractNum>
  <w:abstractNum w:abstractNumId="132">
    <w:nsid w:val="14217E23"/>
    <w:multiLevelType w:val="hybridMultilevel"/>
    <w:lvl w:ilvl="0">
      <w:lvlJc w:val="left"/>
      <w:lvlText w:val="(%1)"/>
      <w:numFmt w:val="upperLetter"/>
      <w:start w:val="1"/>
    </w:lvl>
    <w:lvl w:ilvl="1">
      <w:lvlJc w:val="left"/>
      <w:lvlText w:val="(%2)"/>
      <w:numFmt w:val="lowerRoman"/>
      <w:start w:val="1"/>
    </w:lvl>
  </w:abstractNum>
  <w:abstractNum w:abstractNumId="133">
    <w:nsid w:val="710757D0"/>
    <w:multiLevelType w:val="hybridMultilevel"/>
    <w:lvl w:ilvl="0">
      <w:lvlJc w:val="left"/>
      <w:lvlText w:val="(%1)"/>
      <w:numFmt w:val="decimal"/>
      <w:start w:val="1"/>
    </w:lvl>
  </w:abstractNum>
  <w:abstractNum w:abstractNumId="134">
    <w:nsid w:val="5015CD1A"/>
    <w:multiLevelType w:val="hybridMultilevel"/>
    <w:lvl w:ilvl="0">
      <w:lvlJc w:val="left"/>
      <w:lvlText w:val="(%1)"/>
      <w:numFmt w:val="upperLetter"/>
      <w:start w:val="2"/>
    </w:lvl>
  </w:abstractNum>
  <w:abstractNum w:abstractNumId="135">
    <w:nsid w:val="424479DA"/>
    <w:multiLevelType w:val="hybridMultilevel"/>
    <w:lvl w:ilvl="0">
      <w:lvlJc w:val="left"/>
      <w:lvlText w:val="(%1)"/>
      <w:numFmt w:val="upperLetter"/>
      <w:start w:val="1"/>
    </w:lvl>
  </w:abstractNum>
  <w:abstractNum w:abstractNumId="136">
    <w:nsid w:val="1A9A9E69"/>
    <w:multiLevelType w:val="hybridMultilevel"/>
    <w:lvl w:ilvl="0">
      <w:lvlJc w:val="left"/>
      <w:lvlText w:val="(%1)"/>
      <w:numFmt w:val="upperLetter"/>
      <w:start w:val="2"/>
    </w:lvl>
  </w:abstractNum>
  <w:abstractNum w:abstractNumId="137">
    <w:nsid w:val="475E256A"/>
    <w:multiLevelType w:val="hybridMultilevel"/>
    <w:lvl w:ilvl="0">
      <w:lvlJc w:val="left"/>
      <w:lvlText w:val="(%1)"/>
      <w:numFmt w:val="upperLetter"/>
      <w:start w:val="1"/>
    </w:lvl>
    <w:lvl w:ilvl="1">
      <w:lvlJc w:val="left"/>
      <w:lvlText w:val="(%2)"/>
      <w:numFmt w:val="lowerRoman"/>
      <w:start w:val="1"/>
    </w:lvl>
  </w:abstractNum>
  <w:abstractNum w:abstractNumId="138">
    <w:nsid w:val="368DB37E"/>
    <w:multiLevelType w:val="hybridMultilevel"/>
    <w:lvl w:ilvl="0">
      <w:lvlJc w:val="left"/>
      <w:lvlText w:val="%1"/>
      <w:numFmt w:val="upperLetter"/>
      <w:start w:val="1"/>
    </w:lvl>
    <w:lvl w:ilvl="1">
      <w:lvlJc w:val="left"/>
      <w:lvlText w:val="(%2)"/>
      <w:numFmt w:val="lowerRoman"/>
      <w:start w:val="2"/>
    </w:lvl>
  </w:abstractNum>
  <w:abstractNum w:abstractNumId="139">
    <w:nsid w:val="6A3B714C"/>
    <w:multiLevelType w:val="hybridMultilevel"/>
    <w:lvl w:ilvl="0">
      <w:lvlJc w:val="left"/>
      <w:lvlText w:val="(%1)"/>
      <w:numFmt w:val="upperLetter"/>
      <w:start w:val="2"/>
    </w:lvl>
    <w:lvl w:ilvl="1">
      <w:lvlJc w:val="left"/>
      <w:lvlText w:val="%2"/>
      <w:numFmt w:val="lowerRoman"/>
      <w:start w:val="1"/>
    </w:lvl>
  </w:abstractNum>
  <w:abstractNum w:abstractNumId="140">
    <w:nsid w:val="327B517E"/>
    <w:multiLevelType w:val="hybridMultilevel"/>
    <w:lvl w:ilvl="0">
      <w:lvlJc w:val="left"/>
      <w:lvlText w:val="(%1)"/>
      <w:numFmt w:val="upperLetter"/>
      <w:start w:val="1"/>
    </w:lvl>
    <w:lvl w:ilvl="1">
      <w:lvlJc w:val="left"/>
      <w:lvlText w:val="(%2)"/>
      <w:numFmt w:val="lowerRoman"/>
      <w:start w:val="1"/>
    </w:lvl>
  </w:abstractNum>
  <w:abstractNum w:abstractNumId="141">
    <w:nsid w:val="1F461B51"/>
    <w:multiLevelType w:val="hybridMultilevel"/>
    <w:lvl w:ilvl="0">
      <w:lvlJc w:val="left"/>
      <w:lvlText w:val="(%1)"/>
      <w:numFmt w:val="lowerRoman"/>
      <w:start w:val="7"/>
    </w:lvl>
    <w:lvl w:ilvl="1">
      <w:lvlJc w:val="left"/>
      <w:lvlText w:val="(%2)"/>
      <w:numFmt w:val="decimal"/>
      <w:start w:val="1"/>
    </w:lvl>
  </w:abstractNum>
  <w:abstractNum w:abstractNumId="142">
    <w:nsid w:val="29BACF25"/>
    <w:multiLevelType w:val="hybridMultilevel"/>
    <w:lvl w:ilvl="0">
      <w:lvlJc w:val="left"/>
      <w:lvlText w:val="(%1)"/>
      <w:numFmt w:val="lowerRoman"/>
      <w:start w:val="8"/>
    </w:lvl>
    <w:lvl w:ilvl="1">
      <w:lvlJc w:val="left"/>
      <w:lvlText w:val="(%2)"/>
      <w:numFmt w:val="decimal"/>
      <w:start w:val="1"/>
    </w:lvl>
  </w:abstractNum>
  <w:abstractNum w:abstractNumId="143">
    <w:nsid w:val="5D5BABB3"/>
    <w:multiLevelType w:val="hybridMultilevel"/>
    <w:lvl w:ilvl="0">
      <w:lvlJc w:val="left"/>
      <w:lvlText w:val="(%1)"/>
      <w:numFmt w:val="lowerRoman"/>
      <w:start w:val="10"/>
    </w:lvl>
    <w:lvl w:ilvl="1">
      <w:lvlJc w:val="left"/>
      <w:lvlText w:val="(%2)"/>
      <w:numFmt w:val="decimal"/>
      <w:start w:val="1"/>
    </w:lvl>
  </w:abstractNum>
  <w:abstractNum w:abstractNumId="144">
    <w:nsid w:val="51BF6B48"/>
    <w:multiLevelType w:val="hybridMultilevel"/>
    <w:lvl w:ilvl="0">
      <w:lvlJc w:val="left"/>
      <w:lvlText w:val="(%1)"/>
      <w:numFmt w:val="decimal"/>
      <w:start w:val="60"/>
    </w:lvl>
    <w:lvl w:ilvl="1">
      <w:lvlJc w:val="left"/>
      <w:lvlText w:val="(%2)"/>
      <w:numFmt w:val="lowerRoman"/>
      <w:start w:val="11"/>
    </w:lvl>
  </w:abstractNum>
  <w:abstractNum w:abstractNumId="145">
    <w:nsid w:val="7E0F6384"/>
    <w:multiLevelType w:val="hybridMultilevel"/>
    <w:lvl w:ilvl="0">
      <w:lvlJc w:val="left"/>
      <w:lvlText w:val="(%1)"/>
      <w:numFmt w:val="upperLetter"/>
      <w:start w:val="2"/>
    </w:lvl>
  </w:abstractNum>
  <w:abstractNum w:abstractNumId="146">
    <w:nsid w:val="2B4B8B53"/>
    <w:multiLevelType w:val="hybridMultilevel"/>
    <w:lvl w:ilvl="0">
      <w:lvlJc w:val="left"/>
      <w:lvlText w:val="(%1)"/>
      <w:numFmt w:val="upperLetter"/>
      <w:start w:val="1"/>
    </w:lvl>
  </w:abstractNum>
  <w:abstractNum w:abstractNumId="147">
    <w:nsid w:val="72E3413A"/>
    <w:multiLevelType w:val="hybridMultilevel"/>
    <w:lvl w:ilvl="0">
      <w:lvlJc w:val="left"/>
      <w:lvlText w:val="(%1)"/>
      <w:numFmt w:val="upperLetter"/>
      <w:start w:val="3"/>
    </w:lvl>
  </w:abstractNum>
  <w:abstractNum w:abstractNumId="148">
    <w:nsid w:val="116AE494"/>
    <w:multiLevelType w:val="hybridMultilevel"/>
    <w:lvl w:ilvl="0">
      <w:lvlJc w:val="left"/>
      <w:lvlText w:val="(%1)"/>
      <w:numFmt w:val="upperLetter"/>
      <w:start w:val="1"/>
    </w:lvl>
  </w:abstractNum>
  <w:abstractNum w:abstractNumId="149">
    <w:nsid w:val="3494B2FB"/>
    <w:multiLevelType w:val="hybridMultilevel"/>
    <w:lvl w:ilvl="0">
      <w:lvlJc w:val="left"/>
      <w:lvlText w:val="(%1)"/>
      <w:numFmt w:val="upperLetter"/>
      <w:start w:val="1"/>
    </w:lvl>
  </w:abstractNum>
  <w:abstractNum w:abstractNumId="150">
    <w:nsid w:val="B13A31"/>
    <w:multiLevelType w:val="hybridMultilevel"/>
    <w:lvl w:ilvl="0">
      <w:lvlJc w:val="left"/>
      <w:lvlText w:val="(%1)"/>
      <w:numFmt w:val="lowerRoman"/>
      <w:start w:val="4"/>
    </w:lvl>
  </w:abstractNum>
  <w:abstractNum w:abstractNumId="151">
    <w:nsid w:val="64429599"/>
    <w:multiLevelType w:val="hybridMultilevel"/>
    <w:lvl w:ilvl="0">
      <w:lvlJc w:val="left"/>
      <w:lvlText w:val="%1:"/>
      <w:numFmt w:val="decimal"/>
      <w:start w:val="1"/>
    </w:lvl>
  </w:abstractNum>
  <w:abstractNum w:abstractNumId="152">
    <w:nsid w:val="631F1690"/>
    <w:multiLevelType w:val="hybridMultilevel"/>
    <w:lvl w:ilvl="0">
      <w:lvlJc w:val="left"/>
      <w:lvlText w:val="(%1)"/>
      <w:numFmt w:val="upperLetter"/>
      <w:start w:val="1"/>
    </w:lvl>
  </w:abstractNum>
  <w:abstractNum w:abstractNumId="153">
    <w:nsid w:val="25973E32"/>
    <w:multiLevelType w:val="hybridMultilevel"/>
    <w:lvl w:ilvl="0">
      <w:lvlJc w:val="left"/>
      <w:lvlText w:val="(%1)"/>
      <w:numFmt w:val="upperLetter"/>
      <w:start w:val="10"/>
    </w:lvl>
  </w:abstractNum>
  <w:abstractNum w:abstractNumId="154">
    <w:nsid w:val="EAD6F57"/>
    <w:multiLevelType w:val="hybridMultilevel"/>
    <w:lvl w:ilvl="0">
      <w:lvlJc w:val="left"/>
      <w:lvlText w:val="(%1)"/>
      <w:numFmt w:val="upperLetter"/>
      <w:start w:val="1"/>
    </w:lvl>
    <w:lvl w:ilvl="1">
      <w:lvlJc w:val="left"/>
      <w:lvlText w:val="(%2)"/>
      <w:numFmt w:val="lowerRoman"/>
      <w:start w:val="1"/>
    </w:lvl>
  </w:abstractNum>
  <w:abstractNum w:abstractNumId="155">
    <w:nsid w:val="6EC9D844"/>
    <w:multiLevelType w:val="hybridMultilevel"/>
    <w:lvl w:ilvl="0">
      <w:lvlJc w:val="left"/>
      <w:lvlText w:val="%1"/>
      <w:numFmt w:val="decimal"/>
      <w:start w:val="1"/>
    </w:lvl>
    <w:lvl w:ilvl="1">
      <w:lvlJc w:val="left"/>
      <w:lvlText w:val="(%2)"/>
      <w:numFmt w:val="lowerRoman"/>
      <w:start w:val="14"/>
    </w:lvl>
  </w:abstractNum>
  <w:abstractNum w:abstractNumId="156">
    <w:nsid w:val="5C49EAEE"/>
    <w:multiLevelType w:val="hybridMultilevel"/>
    <w:lvl w:ilvl="0">
      <w:lvlJc w:val="left"/>
      <w:lvlText w:val="(%1)"/>
      <w:numFmt w:val="decimal"/>
      <w:start w:val="1"/>
    </w:lvl>
    <w:lvl w:ilvl="1">
      <w:lvlJc w:val="left"/>
      <w:lvlText w:val="%2"/>
      <w:numFmt w:val="lowerRoman"/>
      <w:start w:val="1"/>
    </w:lvl>
  </w:abstractNum>
  <w:abstractNum w:abstractNumId="157">
    <w:nsid w:val="64AF49B"/>
    <w:multiLevelType w:val="hybridMultilevel"/>
    <w:lvl w:ilvl="0">
      <w:lvlJc w:val="left"/>
      <w:lvlText w:val="(%1)"/>
      <w:numFmt w:val="lowerRoman"/>
      <w:start w:val="1"/>
    </w:lvl>
  </w:abstractNum>
  <w:abstractNum w:abstractNumId="158">
    <w:nsid w:val="397C46BC"/>
    <w:multiLevelType w:val="hybridMultilevel"/>
    <w:lvl w:ilvl="0">
      <w:lvlJc w:val="left"/>
      <w:lvlText w:val="(%1)"/>
      <w:numFmt w:val="upperLetter"/>
      <w:start w:val="2"/>
    </w:lvl>
  </w:abstractNum>
  <w:abstractNum w:abstractNumId="159">
    <w:nsid w:val="7E448DE9"/>
    <w:multiLevelType w:val="hybridMultilevel"/>
    <w:lvl w:ilvl="0">
      <w:lvlJc w:val="left"/>
      <w:lvlText w:val="(%1)"/>
      <w:numFmt w:val="upperLetter"/>
      <w:start w:val="1"/>
    </w:lvl>
  </w:abstractNum>
  <w:abstractNum w:abstractNumId="160">
    <w:nsid w:val="5A9CC3E5"/>
    <w:multiLevelType w:val="hybridMultilevel"/>
    <w:lvl w:ilvl="0">
      <w:lvlJc w:val="left"/>
      <w:lvlText w:val="(%1)"/>
      <w:numFmt w:val="upperLetter"/>
      <w:start w:val="2"/>
    </w:lvl>
  </w:abstractNum>
  <w:abstractNum w:abstractNumId="161">
    <w:nsid w:val="1AFE3625"/>
    <w:multiLevelType w:val="hybridMultilevel"/>
    <w:lvl w:ilvl="0">
      <w:lvlJc w:val="left"/>
      <w:lvlText w:val="(%1)"/>
      <w:numFmt w:val="lowerRoman"/>
      <w:start w:val="1"/>
    </w:lvl>
    <w:lvl w:ilvl="1">
      <w:lvlJc w:val="left"/>
      <w:lvlText w:val="(%2)"/>
      <w:numFmt w:val="upperLetter"/>
      <w:start w:val="1"/>
    </w:lvl>
  </w:abstractNum>
  <w:abstractNum w:abstractNumId="162">
    <w:nsid w:val="3CA88ECF"/>
    <w:multiLevelType w:val="hybridMultilevel"/>
    <w:lvl w:ilvl="0">
      <w:lvlJc w:val="left"/>
      <w:lvlText w:val="(%1)"/>
      <w:numFmt w:val="upperLetter"/>
      <w:start w:val="1"/>
    </w:lvl>
    <w:lvl w:ilvl="1">
      <w:lvlJc w:val="left"/>
      <w:lvlText w:val="(%2)"/>
      <w:numFmt w:val="lowerRoman"/>
      <w:start w:val="1"/>
    </w:lvl>
  </w:abstractNum>
  <w:abstractNum w:abstractNumId="163">
    <w:nsid w:val="6EBE4208"/>
    <w:multiLevelType w:val="hybridMultilevel"/>
    <w:lvl w:ilvl="0">
      <w:lvlJc w:val="left"/>
      <w:lvlText w:val="(%1)"/>
      <w:numFmt w:val="upperLetter"/>
      <w:start w:val="3"/>
    </w:lvl>
    <w:lvl w:ilvl="1">
      <w:lvlJc w:val="left"/>
      <w:lvlText w:val="(%2)"/>
      <w:numFmt w:val="lowerRoman"/>
      <w:start w:val="1"/>
    </w:lvl>
  </w:abstractNum>
  <w:abstractNum w:abstractNumId="164">
    <w:nsid w:val="C058DF5"/>
    <w:multiLevelType w:val="hybridMultilevel"/>
    <w:lvl w:ilvl="0">
      <w:lvlJc w:val="left"/>
      <w:lvlText w:val="(%1)"/>
      <w:numFmt w:val="upperLetter"/>
      <w:start w:val="1"/>
    </w:lvl>
  </w:abstractNum>
  <w:abstractNum w:abstractNumId="165">
    <w:nsid w:val="CBE5BE9"/>
    <w:multiLevelType w:val="hybridMultilevel"/>
    <w:lvl w:ilvl="0">
      <w:lvlJc w:val="left"/>
      <w:lvlText w:val="(%1)"/>
      <w:numFmt w:val="upperLetter"/>
      <w:start w:val="4"/>
    </w:lvl>
  </w:abstractNum>
  <w:abstractNum w:abstractNumId="166">
    <w:nsid w:val="3102BBE2"/>
    <w:multiLevelType w:val="hybridMultilevel"/>
    <w:lvl w:ilvl="0">
      <w:lvlJc w:val="left"/>
      <w:lvlText w:val="(%1)"/>
      <w:numFmt w:val="upperLetter"/>
      <w:start w:val="1"/>
    </w:lvl>
  </w:abstractNum>
  <w:abstractNum w:abstractNumId="167">
    <w:nsid w:val="26A02C5E"/>
    <w:multiLevelType w:val="hybridMultilevel"/>
    <w:lvl w:ilvl="0">
      <w:lvlJc w:val="left"/>
      <w:lvlText w:val="(%1)"/>
      <w:numFmt w:val="upperLetter"/>
      <w:start w:val="3"/>
    </w:lvl>
  </w:abstractNum>
  <w:abstractNum w:abstractNumId="168">
    <w:nsid w:val="541C8153"/>
    <w:multiLevelType w:val="hybridMultilevel"/>
    <w:lvl w:ilvl="0">
      <w:lvlJc w:val="left"/>
      <w:lvlText w:val="(%1)"/>
      <w:numFmt w:val="upperLetter"/>
      <w:start w:val="1"/>
    </w:lvl>
    <w:lvl w:ilvl="1">
      <w:lvlJc w:val="left"/>
      <w:lvlText w:val="(%2)"/>
      <w:numFmt w:val="lowerRoman"/>
      <w:start w:val="1"/>
    </w:lvl>
  </w:abstractNum>
  <w:abstractNum w:abstractNumId="169">
    <w:nsid w:val="67906F60"/>
    <w:multiLevelType w:val="hybridMultilevel"/>
    <w:lvl w:ilvl="0">
      <w:lvlJc w:val="left"/>
      <w:lvlText w:val="(%1)"/>
      <w:numFmt w:val="upperLetter"/>
      <w:start w:val="5"/>
    </w:lvl>
  </w:abstractNum>
  <w:abstractNum w:abstractNumId="170">
    <w:nsid w:val="10DB9DAA"/>
    <w:multiLevelType w:val="hybridMultilevel"/>
    <w:lvl w:ilvl="0">
      <w:lvlJc w:val="left"/>
      <w:lvlText w:val="(%1)"/>
      <w:numFmt w:val="upperLetter"/>
      <w:start w:val="1"/>
    </w:lvl>
  </w:abstractNum>
  <w:abstractNum w:abstractNumId="171">
    <w:nsid w:val="697D2D2"/>
    <w:multiLevelType w:val="hybridMultilevel"/>
    <w:lvl w:ilvl="0">
      <w:lvlJc w:val="left"/>
      <w:lvlText w:val="(%1)"/>
      <w:numFmt w:val="upperLetter"/>
      <w:start w:val="1"/>
    </w:lvl>
    <w:lvl w:ilvl="1">
      <w:lvlJc w:val="left"/>
      <w:lvlText w:val="(%2)"/>
      <w:numFmt w:val="lowerRoman"/>
      <w:start w:val="1"/>
    </w:lvl>
  </w:abstractNum>
  <w:abstractNum w:abstractNumId="172">
    <w:nsid w:val="6D68AB2"/>
    <w:multiLevelType w:val="hybridMultilevel"/>
    <w:lvl w:ilvl="0">
      <w:lvlJc w:val="left"/>
      <w:lvlText w:val="(%1)"/>
      <w:numFmt w:val="upperLetter"/>
      <w:start w:val="1"/>
    </w:lvl>
  </w:abstractNum>
  <w:abstractNum w:abstractNumId="173">
    <w:nsid w:val="3A966CD0"/>
    <w:multiLevelType w:val="hybridMultilevel"/>
    <w:lvl w:ilvl="0">
      <w:lvlJc w:val="left"/>
      <w:lvlText w:val="%1"/>
      <w:numFmt w:val="upperLetter"/>
      <w:start w:val="1"/>
    </w:lvl>
    <w:lvl w:ilvl="1">
      <w:lvlJc w:val="left"/>
      <w:lvlText w:val="(%2)"/>
      <w:numFmt w:val="lowerRoman"/>
      <w:start w:val="1"/>
    </w:lvl>
  </w:abstractNum>
  <w:abstractNum w:abstractNumId="174">
    <w:nsid w:val="63F37E85"/>
    <w:multiLevelType w:val="hybridMultilevel"/>
    <w:lvl w:ilvl="0">
      <w:lvlJc w:val="left"/>
      <w:lvlText w:val="(%1)"/>
      <w:numFmt w:val="upperLetter"/>
      <w:start w:val="4"/>
    </w:lvl>
    <w:lvl w:ilvl="1">
      <w:lvlJc w:val="left"/>
      <w:lvlText w:val="%2"/>
      <w:numFmt w:val="lowerRoman"/>
      <w:start w:val="1"/>
    </w:lvl>
  </w:abstractNum>
  <w:abstractNum w:abstractNumId="175">
    <w:nsid w:val="5895F5FA"/>
    <w:multiLevelType w:val="hybridMultilevel"/>
    <w:lvl w:ilvl="0">
      <w:lvlJc w:val="left"/>
      <w:lvlText w:val="(%1)"/>
      <w:numFmt w:val="upperLetter"/>
      <w:start w:val="1"/>
    </w:lvl>
  </w:abstractNum>
  <w:abstractNum w:abstractNumId="176">
    <w:nsid w:val="38A5D054"/>
    <w:multiLevelType w:val="hybridMultilevel"/>
    <w:lvl w:ilvl="0">
      <w:lvlJc w:val="left"/>
      <w:lvlText w:val="(%1)"/>
      <w:numFmt w:val="upperLetter"/>
      <w:start w:val="1"/>
    </w:lvl>
  </w:abstractNum>
  <w:abstractNum w:abstractNumId="177">
    <w:nsid w:val="F3F09D8"/>
    <w:multiLevelType w:val="hybridMultilevel"/>
    <w:lvl w:ilvl="0">
      <w:lvlJc w:val="left"/>
      <w:lvlText w:val="(%1)"/>
      <w:numFmt w:val="upperLetter"/>
      <w:start w:val="2"/>
    </w:lvl>
  </w:abstractNum>
  <w:abstractNum w:abstractNumId="178">
    <w:nsid w:val="4B793735"/>
    <w:multiLevelType w:val="hybridMultilevel"/>
    <w:lvl w:ilvl="0">
      <w:lvlJc w:val="left"/>
      <w:lvlText w:val="(%1)"/>
      <w:numFmt w:val="upperLetter"/>
      <w:start w:val="1"/>
    </w:lvl>
    <w:lvl w:ilvl="1">
      <w:lvlJc w:val="left"/>
      <w:lvlText w:val="(%2)"/>
      <w:numFmt w:val="decimal"/>
      <w:start w:val="1"/>
    </w:lvl>
  </w:abstractNum>
  <w:abstractNum w:abstractNumId="179">
    <w:nsid w:val="4A10B4E8"/>
    <w:multiLevelType w:val="hybridMultilevel"/>
    <w:lvl w:ilvl="0">
      <w:lvlJc w:val="left"/>
      <w:lvlText w:val="(%1)"/>
      <w:numFmt w:val="upperLetter"/>
      <w:start w:val="1"/>
    </w:lvl>
  </w:abstractNum>
  <w:abstractNum w:abstractNumId="180">
    <w:nsid w:val="43D3BCD4"/>
    <w:multiLevelType w:val="hybridMultilevel"/>
    <w:lvl w:ilvl="0">
      <w:lvlJc w:val="left"/>
      <w:lvlText w:val="(%1)"/>
      <w:numFmt w:val="upperLetter"/>
      <w:start w:val="1"/>
    </w:lvl>
    <w:lvl w:ilvl="1">
      <w:lvlJc w:val="left"/>
      <w:lvlText w:val="(%2)"/>
      <w:numFmt w:val="lowerRoman"/>
      <w:start w:val="1"/>
    </w:lvl>
  </w:abstractNum>
  <w:abstractNum w:abstractNumId="181">
    <w:nsid w:val="4C2A7166"/>
    <w:multiLevelType w:val="hybridMultilevel"/>
    <w:lvl w:ilvl="0">
      <w:lvlJc w:val="left"/>
      <w:lvlText w:val="%1"/>
      <w:numFmt w:val="decimal"/>
      <w:start w:val="1"/>
    </w:lvl>
    <w:lvl w:ilvl="1">
      <w:lvlJc w:val="left"/>
      <w:lvlText w:val="(%2)"/>
      <w:numFmt w:val="upperLetter"/>
      <w:start w:val="4"/>
    </w:lvl>
  </w:abstractNum>
  <w:abstractNum w:abstractNumId="182">
    <w:nsid w:val="2E534A82"/>
    <w:multiLevelType w:val="hybridMultilevel"/>
    <w:lvl w:ilvl="0">
      <w:lvlJc w:val="left"/>
      <w:lvlText w:val="(%1)"/>
      <w:numFmt w:val="decimal"/>
      <w:start w:val="2"/>
    </w:lvl>
    <w:lvl w:ilvl="1">
      <w:lvlJc w:val="left"/>
      <w:lvlText w:val="%2"/>
      <w:numFmt w:val="upperLetter"/>
      <w:start w:val="1"/>
    </w:lvl>
  </w:abstractNum>
  <w:abstractNum w:abstractNumId="183">
    <w:nsid w:val="26F2D364"/>
    <w:multiLevelType w:val="hybridMultilevel"/>
    <w:lvl w:ilvl="0">
      <w:lvlJc w:val="left"/>
      <w:lvlText w:val="(%1)"/>
      <w:numFmt w:val="upperLetter"/>
      <w:start w:val="1"/>
    </w:lvl>
  </w:abstractNum>
  <w:abstractNum w:abstractNumId="184">
    <w:nsid w:val="71C1AF98"/>
    <w:multiLevelType w:val="hybridMultilevel"/>
    <w:lvl w:ilvl="0">
      <w:lvlJc w:val="left"/>
      <w:lvlText w:val="(%1)"/>
      <w:numFmt w:val="upperLetter"/>
      <w:start w:val="1"/>
    </w:lvl>
  </w:abstractNum>
  <w:abstractNum w:abstractNumId="185">
    <w:nsid w:val="3D00B9D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86">
    <w:nsid w:val="15BCABA8"/>
    <w:multiLevelType w:val="hybridMultilevel"/>
    <w:lvl w:ilvl="0">
      <w:lvlJc w:val="left"/>
      <w:lvlText w:val="%1"/>
      <w:numFmt w:val="upperLetter"/>
      <w:start w:val="1"/>
    </w:lvl>
    <w:lvl w:ilvl="1">
      <w:lvlJc w:val="left"/>
      <w:lvlText w:val="(%2)"/>
      <w:numFmt w:val="lowerRoman"/>
      <w:start w:val="3"/>
    </w:lvl>
  </w:abstractNum>
  <w:abstractNum w:abstractNumId="187">
    <w:nsid w:val="4E0B9A87"/>
    <w:multiLevelType w:val="hybridMultilevel"/>
    <w:lvl w:ilvl="0">
      <w:lvlJc w:val="left"/>
      <w:lvlText w:val="(%1)"/>
      <w:numFmt w:val="upperLetter"/>
      <w:start w:val="2"/>
    </w:lvl>
    <w:lvl w:ilvl="1">
      <w:lvlJc w:val="left"/>
      <w:lvlText w:val="%2"/>
      <w:numFmt w:val="lowerRoman"/>
      <w:start w:val="1"/>
    </w:lvl>
  </w:abstractNum>
  <w:abstractNum w:abstractNumId="188">
    <w:nsid w:val="434BAE75"/>
    <w:multiLevelType w:val="hybridMultilevel"/>
    <w:lvl w:ilvl="0">
      <w:lvlJc w:val="left"/>
      <w:lvlText w:val="(%1)"/>
      <w:numFmt w:val="lowerRoman"/>
      <w:start w:val="1"/>
    </w:lvl>
  </w:abstractNum>
  <w:abstractNum w:abstractNumId="189">
    <w:nsid w:val="4F38F265"/>
    <w:multiLevelType w:val="hybridMultilevel"/>
    <w:lvl w:ilvl="0">
      <w:lvlJc w:val="left"/>
      <w:lvlText w:val="(%1)"/>
      <w:numFmt w:val="lowerRoman"/>
      <w:start w:val="1"/>
    </w:lvl>
    <w:lvl w:ilvl="1">
      <w:lvlJc w:val="left"/>
      <w:lvlText w:val="(%2)"/>
      <w:numFmt w:val="lowerLetter"/>
      <w:start w:val="1"/>
    </w:lvl>
  </w:abstractNum>
  <w:abstractNum w:abstractNumId="190">
    <w:nsid w:val="4C502870"/>
    <w:multiLevelType w:val="hybridMultilevel"/>
    <w:lvl w:ilvl="0">
      <w:lvlJc w:val="left"/>
      <w:lvlText w:val="(%1)"/>
      <w:numFmt w:val="lowerRoman"/>
      <w:start w:val="3"/>
    </w:lvl>
  </w:abstractNum>
  <w:abstractNum w:abstractNumId="191">
    <w:nsid w:val="1DE8725A"/>
    <w:multiLevelType w:val="hybridMultilevel"/>
    <w:lvl w:ilvl="0">
      <w:lvlJc w:val="left"/>
      <w:lvlText w:val="(%1)"/>
      <w:numFmt w:val="lowerRoman"/>
      <w:start w:val="7"/>
    </w:lvl>
  </w:abstractNum>
  <w:abstractNum w:abstractNumId="192">
    <w:nsid w:val="6A37288A"/>
    <w:multiLevelType w:val="hybridMultilevel"/>
    <w:lvl w:ilvl="0">
      <w:lvlJc w:val="left"/>
      <w:lvlText w:val="%1."/>
      <w:numFmt w:val="decimal"/>
      <w:start w:val="1"/>
    </w:lvl>
  </w:abstractNum>
  <w:abstractNum w:abstractNumId="193">
    <w:nsid w:val="8F8B73F"/>
    <w:multiLevelType w:val="hybridMultilevel"/>
    <w:lvl w:ilvl="0">
      <w:lvlJc w:val="left"/>
      <w:lvlText w:val="%1."/>
      <w:numFmt w:val="decimal"/>
      <w:start w:val="1"/>
    </w:lvl>
  </w:abstractNum>
  <w:abstractNum w:abstractNumId="194">
    <w:nsid w:val="CA6B462"/>
    <w:multiLevelType w:val="hybridMultilevel"/>
    <w:lvl w:ilvl="0">
      <w:lvlJc w:val="left"/>
      <w:lvlText w:val="%1."/>
      <w:numFmt w:val="upperLetter"/>
      <w:start w:val="9"/>
    </w:lvl>
    <w:lvl w:ilvl="1">
      <w:lvlJc w:val="left"/>
      <w:lvlText w:val="%2."/>
      <w:numFmt w:val="decimal"/>
      <w:start w:val="1"/>
    </w:lvl>
  </w:abstractNum>
  <w:abstractNum w:abstractNumId="195">
    <w:nsid w:val="763CB680"/>
    <w:multiLevelType w:val="hybridMultilevel"/>
    <w:lvl w:ilvl="0">
      <w:lvlJc w:val="left"/>
      <w:lvlText w:val="%1."/>
      <w:numFmt w:val="upperLetter"/>
      <w:start w:val="35"/>
    </w:lvl>
    <w:lvl w:ilvl="1">
      <w:lvlJc w:val="left"/>
      <w:lvlText w:val="%2."/>
      <w:numFmt w:val="decimal"/>
      <w:start w:val="1"/>
    </w:lvl>
  </w:abstractNum>
  <w:abstractNum w:abstractNumId="196">
    <w:nsid w:val="15B71329"/>
    <w:multiLevelType w:val="hybridMultilevel"/>
    <w:lvl w:ilvl="0">
      <w:lvlJc w:val="left"/>
      <w:lvlText w:val="%1."/>
      <w:numFmt w:val="decimal"/>
      <w:start w:val="10"/>
    </w:lvl>
  </w:abstractNum>
  <w:abstractNum w:abstractNumId="197">
    <w:nsid w:val="3DA97044"/>
    <w:multiLevelType w:val="hybridMultilevel"/>
    <w:lvl w:ilvl="0">
      <w:lvlJc w:val="left"/>
      <w:lvlText w:val="%1."/>
      <w:numFmt w:val="decimal"/>
      <w:start w:val="1"/>
    </w:lvl>
  </w:abstractNum>
  <w:abstractNum w:abstractNumId="198">
    <w:nsid w:val="1CDCE2DE"/>
    <w:multiLevelType w:val="hybridMultilevel"/>
    <w:lvl w:ilvl="0">
      <w:lvlJc w:val="left"/>
      <w:lvlText w:val="%1."/>
      <w:numFmt w:val="decimal"/>
      <w:start w:val="1"/>
    </w:lvl>
  </w:abstractNum>
  <w:abstractNum w:abstractNumId="199">
    <w:nsid w:val="69D3947C"/>
    <w:multiLevelType w:val="hybridMultilevel"/>
    <w:lvl w:ilvl="0">
      <w:lvlJc w:val="left"/>
      <w:lvlText w:val="1"/>
      <w:numFmt w:val="bullet"/>
      <w:start w:val="1"/>
    </w:lvl>
  </w:abstractNum>
  <w:abstractNum w:abstractNumId="200">
    <w:nsid w:val="2539DFA5"/>
    <w:multiLevelType w:val="hybridMultilevel"/>
    <w:lvl w:ilvl="0">
      <w:lvlJc w:val="left"/>
      <w:lvlText w:val="%1."/>
      <w:numFmt w:val="decimal"/>
      <w:start w:val="1"/>
    </w:lvl>
  </w:abstractNum>
  <w:abstractNum w:abstractNumId="201">
    <w:nsid w:val="2DB88089"/>
    <w:multiLevelType w:val="hybridMultilevel"/>
    <w:lvl w:ilvl="0">
      <w:lvlJc w:val="left"/>
      <w:lvlText w:val="%1."/>
      <w:numFmt w:val="decimal"/>
      <w:start w:val="10"/>
    </w:lvl>
    <w:lvl w:ilvl="1">
      <w:lvlJc w:val="left"/>
      <w:lvlText w:val="*"/>
      <w:numFmt w:val="bullet"/>
      <w:start w:val="1"/>
    </w:lvl>
  </w:abstractNum>
  <w:abstractNum w:abstractNumId="202">
    <w:nsid w:val="706B674E"/>
    <w:multiLevelType w:val="hybridMultilevel"/>
    <w:lvl w:ilvl="0">
      <w:lvlJc w:val="left"/>
      <w:lvlText w:val="1"/>
      <w:numFmt w:val="bullet"/>
      <w:start w:val="1"/>
    </w:lvl>
  </w:abstractNum>
  <w:abstractNum w:abstractNumId="203">
    <w:nsid w:val="2C106A57"/>
    <w:multiLevelType w:val="hybridMultilevel"/>
    <w:lvl w:ilvl="0">
      <w:lvlJc w:val="left"/>
      <w:lvlText w:val="$"/>
      <w:numFmt w:val="bullet"/>
      <w:start w:val="1"/>
    </w:lvl>
  </w:abstractNum>
  <w:abstractNum w:abstractNumId="204">
    <w:nsid w:val="684EED59"/>
    <w:multiLevelType w:val="hybridMultilevel"/>
    <w:lvl w:ilvl="0">
      <w:lvlJc w:val="left"/>
      <w:lvlText w:val="1"/>
      <w:numFmt w:val="bullet"/>
      <w:start w:val="1"/>
    </w:lvl>
  </w:abstractNum>
  <w:abstractNum w:abstractNumId="205">
    <w:nsid w:val="545EE5D3"/>
    <w:multiLevelType w:val="hybridMultilevel"/>
    <w:lvl w:ilvl="0">
      <w:lvlJc w:val="left"/>
      <w:lvlText w:val="$"/>
      <w:numFmt w:val="bullet"/>
      <w:start w:val="1"/>
    </w:lvl>
  </w:abstractNum>
  <w:abstractNum w:abstractNumId="206">
    <w:nsid w:val="4A66051"/>
    <w:multiLevelType w:val="hybridMultilevel"/>
    <w:lvl w:ilvl="0">
      <w:lvlJc w:val="left"/>
      <w:lvlText w:val="1"/>
      <w:numFmt w:val="bullet"/>
      <w:start w:val="1"/>
    </w:lvl>
  </w:abstractNum>
  <w:abstractNum w:abstractNumId="207">
    <w:nsid w:val="20F4BDAD"/>
    <w:multiLevelType w:val="hybridMultilevel"/>
    <w:lvl w:ilvl="0">
      <w:lvlJc w:val="left"/>
      <w:lvlText w:val="$"/>
      <w:numFmt w:val="bullet"/>
      <w:start w:val="1"/>
    </w:lvl>
  </w:abstractNum>
  <w:abstractNum w:abstractNumId="208">
    <w:nsid w:val="639DEFAC"/>
    <w:multiLevelType w:val="hybridMultilevel"/>
    <w:lvl w:ilvl="0">
      <w:lvlJc w:val="left"/>
      <w:lvlText w:val="1"/>
      <w:numFmt w:val="bullet"/>
      <w:start w:val="1"/>
    </w:lvl>
  </w:abstractNum>
  <w:abstractNum w:abstractNumId="209">
    <w:nsid w:val="501F9786"/>
    <w:multiLevelType w:val="hybridMultilevel"/>
    <w:lvl w:ilvl="0">
      <w:lvlJc w:val="left"/>
      <w:lvlText w:val="1"/>
      <w:numFmt w:val="bullet"/>
      <w:start w:val="1"/>
    </w:lvl>
  </w:abstractNum>
  <w:abstractNum w:abstractNumId="210">
    <w:nsid w:val="6B057295"/>
    <w:multiLevelType w:val="hybridMultilevel"/>
    <w:lvl w:ilvl="0">
      <w:lvlJc w:val="left"/>
      <w:lvlText w:val="2"/>
      <w:numFmt w:val="bullet"/>
      <w:start w:val="1"/>
    </w:lvl>
  </w:abstractNum>
  <w:abstractNum w:abstractNumId="211">
    <w:nsid w:val="2771AC80"/>
    <w:multiLevelType w:val="hybridMultilevel"/>
    <w:lvl w:ilvl="0">
      <w:lvlJc w:val="left"/>
      <w:lvlText w:val="3"/>
      <w:numFmt w:val="bullet"/>
      <w:start w:val="1"/>
    </w:lvl>
  </w:abstractNum>
  <w:abstractNum w:abstractNumId="212">
    <w:nsid w:val="1C4A08EC"/>
    <w:multiLevelType w:val="hybridMultilevel"/>
    <w:lvl w:ilvl="0">
      <w:lvlJc w:val="left"/>
      <w:lvlText w:val="4"/>
      <w:numFmt w:val="bullet"/>
      <w:start w:val="1"/>
    </w:lvl>
  </w:abstractNum>
  <w:abstractNum w:abstractNumId="213">
    <w:nsid w:val="1958BD17"/>
    <w:multiLevelType w:val="hybridMultilevel"/>
    <w:lvl w:ilvl="0">
      <w:lvlJc w:val="left"/>
      <w:lvlText w:val="(%1)"/>
      <w:numFmt w:val="decimal"/>
      <w:start w:val="1"/>
    </w:lvl>
    <w:lvl w:ilvl="1">
      <w:lvlJc w:val="left"/>
      <w:lvlText w:val="(%2)"/>
      <w:numFmt w:val="upperLetter"/>
      <w:start w:val="1"/>
    </w:lvl>
  </w:abstractNum>
  <w:abstractNum w:abstractNumId="214">
    <w:nsid w:val="4E647FE4"/>
    <w:multiLevelType w:val="hybridMultilevel"/>
    <w:lvl w:ilvl="0">
      <w:lvlJc w:val="left"/>
      <w:lvlText w:val="%1."/>
      <w:numFmt w:val="decimal"/>
      <w:start w:val="1"/>
    </w:lvl>
  </w:abstractNum>
  <w:abstractNum w:abstractNumId="215">
    <w:nsid w:val="E0BB885"/>
    <w:multiLevelType w:val="hybridMultilevel"/>
    <w:lvl w:ilvl="0">
      <w:lvlJc w:val="left"/>
      <w:lvlText w:val="%1."/>
      <w:numFmt w:val="decimal"/>
      <w:start w:val="7"/>
    </w:lvl>
  </w:abstractNum>
  <w:abstractNum w:abstractNumId="216">
    <w:nsid w:val="565976F1"/>
    <w:multiLevelType w:val="hybridMultilevel"/>
    <w:lvl w:ilvl="0">
      <w:lvlJc w:val="left"/>
      <w:lvlText w:val="%1."/>
      <w:numFmt w:val="decimal"/>
      <w:start w:val="1"/>
    </w:lvl>
  </w:abstractNum>
  <w:abstractNum w:abstractNumId="217">
    <w:nsid w:val="64212B8C"/>
    <w:multiLevelType w:val="hybridMultilevel"/>
    <w:lvl w:ilvl="0">
      <w:lvlJc w:val="left"/>
      <w:lvlText w:val="%1."/>
      <w:numFmt w:val="decimal"/>
      <w:start w:val="2"/>
    </w:lvl>
  </w:abstractNum>
  <w:abstractNum w:abstractNumId="218">
    <w:nsid w:val="5C17530C"/>
    <w:multiLevelType w:val="hybridMultilevel"/>
    <w:lvl w:ilvl="0">
      <w:lvlJc w:val="left"/>
      <w:lvlText w:val="%1."/>
      <w:numFmt w:val="decimal"/>
      <w:start w:val="6"/>
    </w:lvl>
  </w:abstractNum>
  <w:abstractNum w:abstractNumId="219">
    <w:nsid w:val="19A52566"/>
    <w:multiLevelType w:val="hybridMultilevel"/>
    <w:lvl w:ilvl="0">
      <w:lvlJc w:val="left"/>
      <w:lvlText w:val="%1."/>
      <w:numFmt w:val="decimal"/>
      <w:start w:val="1"/>
    </w:lvl>
    <w:lvl w:ilvl="1">
      <w:lvlJc w:val="left"/>
      <w:lvlText w:val="%2."/>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decimal"/>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jpeg"/><Relationship Id="rId88" Type="http://schemas.openxmlformats.org/officeDocument/2006/relationships/image" Target="media/image71.jpeg"/><Relationship Id="rId89" Type="http://schemas.openxmlformats.org/officeDocument/2006/relationships/image" Target="media/image72.jpeg"/><Relationship Id="rId90" Type="http://schemas.openxmlformats.org/officeDocument/2006/relationships/image" Target="media/image73.jpeg"/><Relationship Id="rId91" Type="http://schemas.openxmlformats.org/officeDocument/2006/relationships/image" Target="media/image74.jpeg"/><Relationship Id="rId92" Type="http://schemas.openxmlformats.org/officeDocument/2006/relationships/image" Target="media/image75.jpe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60" Type="http://schemas.openxmlformats.org/officeDocument/2006/relationships/hyperlink" Target="https://www.sec.gov/Archives/edgar/data/1818093/000121390020041690/ea131234ex2-1_vesperhealth.htm" TargetMode="External"/><Relationship Id="rId61" Type="http://schemas.openxmlformats.org/officeDocument/2006/relationships/hyperlink" Target="https://www.sec.gov/Archives/edgar/data/1818093/000119312521156433/d422189dex31.htm" TargetMode="External"/><Relationship Id="rId62" Type="http://schemas.openxmlformats.org/officeDocument/2006/relationships/hyperlink" Target="https://www.sec.gov/Archives/edgar/data/1818093/000162828024027695/exhibit31-amendmenttocoide.htm" TargetMode="External"/><Relationship Id="rId65" Type="http://schemas.openxmlformats.org/officeDocument/2006/relationships/hyperlink" Target="https://www.sec.gov/Archives/edgar/data/1818093/000162828024027695/exhibit32-amendmenttocoiel.htm" TargetMode="External"/><Relationship Id="rId66" Type="http://schemas.openxmlformats.org/officeDocument/2006/relationships/hyperlink" Target="https://www.sec.gov/Archives/edgar/data/1818093/000162828025037230/ex31-beautyhealthxcertific.htm" TargetMode="External"/><Relationship Id="rId67" Type="http://schemas.openxmlformats.org/officeDocument/2006/relationships/hyperlink" Target="https://www.sec.gov/Archives/edgar/data/1818093/000119312521156433/d422189dex32.htm" TargetMode="External"/><Relationship Id="rId68" Type="http://schemas.openxmlformats.org/officeDocument/2006/relationships/hyperlink" Target="https://www.sec.gov/Archives/edgar/data/1818093/000181809321000062/exhibit41-convdebtclosing.htm" TargetMode="External"/><Relationship Id="rId69" Type="http://schemas.openxmlformats.org/officeDocument/2006/relationships/hyperlink" Target="https://www.sec.gov/Archives/edgar/data/1818093/000121390020030149/ea127784ex4-1_vesper.htm" TargetMode="External"/><Relationship Id="rId70" Type="http://schemas.openxmlformats.org/officeDocument/2006/relationships/hyperlink" Target="https://www.sec.gov/Archives/edgar/data/1818093/000162828025012407/exhibit44-descriptionofsec.htm" TargetMode="External"/><Relationship Id="rId71" Type="http://schemas.openxmlformats.org/officeDocument/2006/relationships/hyperlink" Target="https://www.sec.gov/Archives/edgar/data/1818093/000168316825003922/skin_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2025-08-07T16:27:21Z</dcterms:created>
  <dcterms:modified xsi:type="dcterms:W3CDTF">2025-08-07T16:27:21Z</dcterms:modified>
</cp:coreProperties>
</file>