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231F20"/>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31F20"/>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142240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31F2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32385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79" w:lineRule="exact"/>
        <w:rPr>
          <w:sz w:val="24"/>
          <w:szCs w:val="24"/>
          <w:color w:val="auto"/>
        </w:rPr>
      </w:pPr>
    </w:p>
    <w:p>
      <w:pPr>
        <w:jc w:val="center"/>
        <w:ind w:left="4040" w:right="1420" w:hanging="2620"/>
        <w:spacing w:after="0" w:line="287" w:lineRule="auto"/>
        <w:tabs>
          <w:tab w:leader="none" w:pos="1637" w:val="left"/>
        </w:tabs>
        <w:numPr>
          <w:ilvl w:val="1"/>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spacing w:after="0" w:line="33" w:lineRule="exact"/>
        <w:rPr>
          <w:rFonts w:ascii="MS PGothic" w:cs="MS PGothic" w:eastAsia="MS PGothic" w:hAnsi="MS PGothic"/>
          <w:sz w:val="20"/>
          <w:szCs w:val="20"/>
          <w:color w:val="auto"/>
        </w:rPr>
      </w:pPr>
    </w:p>
    <w:p>
      <w:pPr>
        <w:jc w:val="center"/>
        <w:ind w:left="3620" w:right="1440" w:hanging="2216"/>
        <w:spacing w:after="0" w:line="316" w:lineRule="auto"/>
        <w:tabs>
          <w:tab w:leader="none" w:pos="159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6"/>
          <w:szCs w:val="16"/>
          <w:color w:val="auto"/>
        </w:rPr>
      </w:pPr>
    </w:p>
    <w:p>
      <w:pPr>
        <w:ind w:left="432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149225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Beauty Health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90170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5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40" w:type="dxa"/>
            <w:vAlign w:val="bottom"/>
            <w:gridSpan w:val="4"/>
          </w:tcPr>
          <w:p>
            <w:pPr>
              <w:jc w:val="center"/>
              <w:ind w:right="456"/>
              <w:spacing w:after="0"/>
              <w:rPr>
                <w:sz w:val="20"/>
                <w:szCs w:val="20"/>
                <w:color w:val="auto"/>
              </w:rPr>
            </w:pPr>
            <w:r>
              <w:rPr>
                <w:rFonts w:ascii="Arial" w:cs="Arial" w:eastAsia="Arial" w:hAnsi="Arial"/>
                <w:sz w:val="18"/>
                <w:szCs w:val="18"/>
                <w:b w:val="1"/>
                <w:bCs w:val="1"/>
                <w:color w:val="auto"/>
                <w:w w:val="89"/>
              </w:rPr>
              <w:t>85-1908962</w:t>
            </w:r>
          </w:p>
        </w:tc>
        <w:tc>
          <w:tcPr>
            <w:tcW w:w="0" w:type="dxa"/>
            <w:vAlign w:val="bottom"/>
          </w:tcPr>
          <w:p>
            <w:pPr>
              <w:spacing w:after="0"/>
              <w:rPr>
                <w:sz w:val="1"/>
                <w:szCs w:val="1"/>
                <w:color w:val="auto"/>
              </w:rPr>
            </w:pPr>
          </w:p>
        </w:tc>
      </w:tr>
      <w:tr>
        <w:trPr>
          <w:trHeight w:val="189"/>
        </w:trPr>
        <w:tc>
          <w:tcPr>
            <w:tcW w:w="532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tcPr>
          <w:p>
            <w:pPr>
              <w:jc w:val="center"/>
              <w:ind w:right="896"/>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incorporation or organization)</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320" w:type="dxa"/>
            <w:vAlign w:val="bottom"/>
            <w:gridSpan w:val="2"/>
          </w:tcPr>
          <w:p>
            <w:pPr>
              <w:jc w:val="center"/>
              <w:ind w:left="12"/>
              <w:spacing w:after="0"/>
              <w:rPr>
                <w:sz w:val="20"/>
                <w:szCs w:val="20"/>
                <w:color w:val="auto"/>
              </w:rPr>
            </w:pPr>
            <w:r>
              <w:rPr>
                <w:rFonts w:ascii="Arial" w:cs="Arial" w:eastAsia="Arial" w:hAnsi="Arial"/>
                <w:sz w:val="18"/>
                <w:szCs w:val="18"/>
                <w:b w:val="1"/>
                <w:bCs w:val="1"/>
                <w:color w:val="231F20"/>
                <w:w w:val="89"/>
              </w:rPr>
              <w:t>2165 Spring Street</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40" w:type="dxa"/>
            <w:vAlign w:val="bottom"/>
            <w:gridSpan w:val="4"/>
            <w:vMerge w:val="restart"/>
          </w:tcPr>
          <w:p>
            <w:pPr>
              <w:jc w:val="center"/>
              <w:ind w:right="416"/>
              <w:spacing w:after="0"/>
              <w:rPr>
                <w:sz w:val="20"/>
                <w:szCs w:val="20"/>
                <w:color w:val="auto"/>
              </w:rPr>
            </w:pPr>
            <w:r>
              <w:rPr>
                <w:rFonts w:ascii="Arial" w:cs="Arial" w:eastAsia="Arial" w:hAnsi="Arial"/>
                <w:sz w:val="18"/>
                <w:szCs w:val="18"/>
                <w:b w:val="1"/>
                <w:bCs w:val="1"/>
                <w:color w:val="231F20"/>
                <w:w w:val="92"/>
              </w:rPr>
              <w:t>(800) 603-4996</w:t>
            </w:r>
          </w:p>
        </w:tc>
        <w:tc>
          <w:tcPr>
            <w:tcW w:w="0" w:type="dxa"/>
            <w:vAlign w:val="bottom"/>
          </w:tcPr>
          <w:p>
            <w:pPr>
              <w:spacing w:after="0"/>
              <w:rPr>
                <w:sz w:val="1"/>
                <w:szCs w:val="1"/>
                <w:color w:val="auto"/>
              </w:rPr>
            </w:pPr>
          </w:p>
        </w:tc>
      </w:tr>
      <w:tr>
        <w:trPr>
          <w:trHeight w:val="229"/>
        </w:trPr>
        <w:tc>
          <w:tcPr>
            <w:tcW w:w="5320" w:type="dxa"/>
            <w:vAlign w:val="bottom"/>
            <w:gridSpan w:val="2"/>
          </w:tcPr>
          <w:p>
            <w:pPr>
              <w:jc w:val="center"/>
              <w:ind w:left="12"/>
              <w:spacing w:after="0"/>
              <w:rPr>
                <w:sz w:val="20"/>
                <w:szCs w:val="20"/>
                <w:color w:val="auto"/>
              </w:rPr>
            </w:pPr>
            <w:r>
              <w:rPr>
                <w:rFonts w:ascii="Arial" w:cs="Arial" w:eastAsia="Arial" w:hAnsi="Arial"/>
                <w:sz w:val="18"/>
                <w:szCs w:val="18"/>
                <w:b w:val="1"/>
                <w:bCs w:val="1"/>
                <w:color w:val="231F20"/>
                <w:w w:val="89"/>
              </w:rPr>
              <w:t>Long Beach, CA 90806</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2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left="32"/>
              <w:spacing w:after="0"/>
              <w:rPr>
                <w:sz w:val="20"/>
                <w:szCs w:val="20"/>
                <w:color w:val="auto"/>
              </w:rPr>
            </w:pPr>
            <w:r>
              <w:rPr>
                <w:rFonts w:ascii="Arial" w:cs="Arial" w:eastAsia="Arial" w:hAnsi="Arial"/>
                <w:sz w:val="18"/>
                <w:szCs w:val="18"/>
                <w:color w:val="231F20"/>
                <w:w w:val="92"/>
              </w:rPr>
              <w:t>(Address of principal executive offices, including zip code)</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40" w:type="dxa"/>
            <w:vAlign w:val="bottom"/>
            <w:gridSpan w:val="4"/>
          </w:tcPr>
          <w:p>
            <w:pPr>
              <w:jc w:val="center"/>
              <w:ind w:right="416"/>
              <w:spacing w:after="0"/>
              <w:rPr>
                <w:sz w:val="20"/>
                <w:szCs w:val="20"/>
                <w:color w:val="auto"/>
              </w:rPr>
            </w:pPr>
            <w:r>
              <w:rPr>
                <w:rFonts w:ascii="Arial" w:cs="Arial" w:eastAsia="Arial" w:hAnsi="Arial"/>
                <w:sz w:val="18"/>
                <w:szCs w:val="18"/>
                <w:color w:val="231F20"/>
                <w:w w:val="89"/>
              </w:rPr>
              <w:t>Registrant's telephone number, including area code</w:t>
            </w:r>
          </w:p>
        </w:tc>
        <w:tc>
          <w:tcPr>
            <w:tcW w:w="0" w:type="dxa"/>
            <w:vAlign w:val="bottom"/>
          </w:tcPr>
          <w:p>
            <w:pPr>
              <w:spacing w:after="0"/>
              <w:rPr>
                <w:sz w:val="1"/>
                <w:szCs w:val="1"/>
                <w:color w:val="auto"/>
              </w:rPr>
            </w:pPr>
          </w:p>
        </w:tc>
      </w:tr>
      <w:tr>
        <w:trPr>
          <w:trHeight w:val="121"/>
        </w:trPr>
        <w:tc>
          <w:tcPr>
            <w:tcW w:w="3980" w:type="dxa"/>
            <w:vAlign w:val="bottom"/>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860" w:type="dxa"/>
            <w:vAlign w:val="bottom"/>
            <w:tcBorders>
              <w:bottom w:val="single" w:sz="8" w:color="auto"/>
            </w:tcBorders>
            <w:gridSpan w:val="2"/>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11240" w:type="dxa"/>
            <w:vAlign w:val="bottom"/>
            <w:gridSpan w:val="8"/>
          </w:tcPr>
          <w:p>
            <w:pPr>
              <w:ind w:left="3420"/>
              <w:spacing w:after="0"/>
              <w:rPr>
                <w:sz w:val="20"/>
                <w:szCs w:val="20"/>
                <w:color w:val="auto"/>
              </w:rPr>
            </w:pPr>
            <w:r>
              <w:rPr>
                <w:rFonts w:ascii="Arial" w:cs="Arial" w:eastAsia="Arial" w:hAnsi="Arial"/>
                <w:sz w:val="18"/>
                <w:szCs w:val="18"/>
                <w:b w:val="1"/>
                <w:bCs w:val="1"/>
                <w:color w:val="231F20"/>
              </w:rPr>
              <w:t>Securities registered pursuant to Section 12(b) of the Act:</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94"/>
              </w:rPr>
              <w:t>Trading Symbol(s)</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34"/>
        </w:trPr>
        <w:tc>
          <w:tcPr>
            <w:tcW w:w="5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Class A Common Stock, par value $0.0001 per share</w:t>
            </w:r>
          </w:p>
        </w:tc>
        <w:tc>
          <w:tcPr>
            <w:tcW w:w="100" w:type="dxa"/>
            <w:vAlign w:val="bottom"/>
          </w:tcPr>
          <w:p>
            <w:pPr>
              <w:spacing w:after="0"/>
              <w:rPr>
                <w:sz w:val="20"/>
                <w:szCs w:val="20"/>
                <w:color w:val="auto"/>
              </w:rPr>
            </w:pPr>
          </w:p>
        </w:tc>
        <w:tc>
          <w:tcPr>
            <w:tcW w:w="1580" w:type="dxa"/>
            <w:vAlign w:val="bottom"/>
          </w:tcPr>
          <w:p>
            <w:pPr>
              <w:jc w:val="center"/>
              <w:ind w:left="259"/>
              <w:spacing w:after="0"/>
              <w:rPr>
                <w:sz w:val="20"/>
                <w:szCs w:val="20"/>
                <w:color w:val="auto"/>
              </w:rPr>
            </w:pPr>
            <w:r>
              <w:rPr>
                <w:rFonts w:ascii="Arial" w:cs="Arial" w:eastAsia="Arial" w:hAnsi="Arial"/>
                <w:sz w:val="18"/>
                <w:szCs w:val="18"/>
                <w:b w:val="1"/>
                <w:bCs w:val="1"/>
                <w:color w:val="auto"/>
              </w:rPr>
              <w:t>SKIN</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Capital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9" w:lineRule="exact"/>
        <w:rPr>
          <w:sz w:val="24"/>
          <w:szCs w:val="24"/>
          <w:color w:val="auto"/>
        </w:rPr>
      </w:pPr>
    </w:p>
    <w:p>
      <w:pPr>
        <w:ind w:right="120"/>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100"/>
        <w:spacing w:after="0" w:line="23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line="203" w:lineRule="exact"/>
              <w:rPr>
                <w:sz w:val="20"/>
                <w:szCs w:val="20"/>
                <w:color w:val="auto"/>
              </w:rPr>
            </w:pPr>
            <w:r>
              <w:rPr>
                <w:rFonts w:ascii="Arial" w:cs="Arial" w:eastAsia="Arial" w:hAnsi="Arial"/>
                <w:sz w:val="18"/>
                <w:szCs w:val="18"/>
                <w:color w:val="auto"/>
              </w:rPr>
              <w:t>Large accelerated filer</w:t>
            </w:r>
          </w:p>
        </w:tc>
        <w:tc>
          <w:tcPr>
            <w:tcW w:w="28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80"/>
              <w:spacing w:after="0" w:line="203" w:lineRule="exact"/>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900" w:type="dxa"/>
            <w:vAlign w:val="bottom"/>
          </w:tcPr>
          <w:p>
            <w:pPr>
              <w:ind w:left="238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3" w:lineRule="exact"/>
        <w:rPr>
          <w:sz w:val="24"/>
          <w:szCs w:val="24"/>
          <w:color w:val="auto"/>
        </w:rPr>
      </w:pPr>
    </w:p>
    <w:p>
      <w:pPr>
        <w:ind w:right="16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As of August 4, 2023, there were 132,885,767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BEAUTY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shd w:val="clear" w:color="auto" w:fill="CCEEFF"/>
          </w:tcPr>
          <w:p>
            <w:pPr>
              <w:spacing w:after="0"/>
              <w:rPr>
                <w:sz w:val="18"/>
                <w:szCs w:val="18"/>
                <w:color w:val="auto"/>
              </w:rPr>
            </w:pPr>
          </w:p>
        </w:tc>
        <w:tc>
          <w:tcPr>
            <w:tcW w:w="10580" w:type="dxa"/>
            <w:vAlign w:val="bottom"/>
            <w:gridSpan w:val="17"/>
            <w:shd w:val="clear" w:color="auto" w:fill="CCEEFF"/>
          </w:tcPr>
          <w:p>
            <w:pPr>
              <w:spacing w:after="0"/>
              <w:rPr>
                <w:sz w:val="20"/>
                <w:szCs w:val="20"/>
                <w:color w:val="auto"/>
              </w:rPr>
            </w:pPr>
            <w:r>
              <w:rPr>
                <w:rFonts w:ascii="Arial" w:cs="Arial" w:eastAsia="Arial" w:hAnsi="Arial"/>
                <w:sz w:val="16"/>
                <w:szCs w:val="16"/>
                <w:color w:val="auto"/>
              </w:rPr>
              <w:t>PART I—FINANCIAL INFORMATION</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1.</w:t>
            </w:r>
          </w:p>
        </w:tc>
        <w:tc>
          <w:tcPr>
            <w:tcW w:w="9320" w:type="dxa"/>
            <w:vAlign w:val="bottom"/>
            <w:gridSpan w:val="15"/>
          </w:tcPr>
          <w:p>
            <w:pPr>
              <w:spacing w:after="0" w:line="189" w:lineRule="exact"/>
              <w:rPr>
                <w:sz w:val="20"/>
                <w:szCs w:val="20"/>
                <w:color w:val="auto"/>
              </w:rPr>
            </w:pPr>
            <w:r>
              <w:rPr>
                <w:rFonts w:ascii="Arial" w:cs="Arial" w:eastAsia="Arial" w:hAnsi="Arial"/>
                <w:sz w:val="18"/>
                <w:szCs w:val="18"/>
                <w:color w:val="0000FF"/>
              </w:rPr>
              <w:t>Financial Statements</w:t>
            </w:r>
          </w:p>
        </w:tc>
        <w:tc>
          <w:tcPr>
            <w:tcW w:w="360" w:type="dxa"/>
            <w:vAlign w:val="bottom"/>
            <w:gridSpan w:val="3"/>
          </w:tcPr>
          <w:p>
            <w:pPr>
              <w:jc w:val="center"/>
              <w:ind w:left="190"/>
              <w:spacing w:after="0" w:line="189" w:lineRule="exact"/>
              <w:rPr>
                <w:sz w:val="20"/>
                <w:szCs w:val="20"/>
                <w:color w:val="auto"/>
              </w:rPr>
            </w:pPr>
            <w:r>
              <w:rPr>
                <w:rFonts w:ascii="Arial" w:cs="Arial" w:eastAsia="Arial" w:hAnsi="Arial"/>
                <w:sz w:val="18"/>
                <w:szCs w:val="18"/>
                <w:color w:val="0000FF"/>
                <w:w w:val="79"/>
              </w:rPr>
              <w:t>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3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Balance Sheets (Unaudited)</w:t>
            </w:r>
          </w:p>
        </w:tc>
        <w:tc>
          <w:tcPr>
            <w:tcW w:w="360" w:type="dxa"/>
            <w:vAlign w:val="bottom"/>
            <w:gridSpan w:val="3"/>
            <w:shd w:val="clear" w:color="auto" w:fill="CCEEFF"/>
          </w:tcPr>
          <w:p>
            <w:pPr>
              <w:jc w:val="center"/>
              <w:ind w:left="190"/>
              <w:spacing w:after="0" w:line="189" w:lineRule="exact"/>
              <w:rPr>
                <w:sz w:val="20"/>
                <w:szCs w:val="20"/>
                <w:color w:val="auto"/>
              </w:rPr>
            </w:pPr>
            <w:r>
              <w:rPr>
                <w:rFonts w:ascii="Arial" w:cs="Arial" w:eastAsia="Arial" w:hAnsi="Arial"/>
                <w:sz w:val="18"/>
                <w:szCs w:val="18"/>
                <w:color w:val="0000FF"/>
                <w:w w:val="79"/>
              </w:rPr>
              <w:t>3</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20" w:type="dxa"/>
            <w:vAlign w:val="bottom"/>
            <w:gridSpan w:val="15"/>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(Loss) (Unaudited)</w:t>
            </w:r>
          </w:p>
        </w:tc>
        <w:tc>
          <w:tcPr>
            <w:tcW w:w="360" w:type="dxa"/>
            <w:vAlign w:val="bottom"/>
            <w:gridSpan w:val="3"/>
          </w:tcPr>
          <w:p>
            <w:pPr>
              <w:jc w:val="center"/>
              <w:ind w:left="190"/>
              <w:spacing w:after="0" w:line="189" w:lineRule="exact"/>
              <w:rPr>
                <w:sz w:val="20"/>
                <w:szCs w:val="20"/>
                <w:color w:val="auto"/>
              </w:rPr>
            </w:pPr>
            <w:r>
              <w:rPr>
                <w:rFonts w:ascii="Arial" w:cs="Arial" w:eastAsia="Arial" w:hAnsi="Arial"/>
                <w:sz w:val="18"/>
                <w:szCs w:val="18"/>
                <w:color w:val="0000FF"/>
                <w:w w:val="79"/>
              </w:rPr>
              <w:t>4</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960" w:type="dxa"/>
            <w:vAlign w:val="bottom"/>
            <w:gridSpan w:val="12"/>
            <w:shd w:val="clear" w:color="auto" w:fill="CCEEFF"/>
          </w:tcPr>
          <w:p>
            <w:pPr>
              <w:spacing w:after="0" w:line="189" w:lineRule="exact"/>
              <w:rPr>
                <w:sz w:val="20"/>
                <w:szCs w:val="20"/>
                <w:color w:val="auto"/>
              </w:rPr>
            </w:pPr>
            <w:r>
              <w:rPr>
                <w:rFonts w:ascii="Arial" w:cs="Arial" w:eastAsia="Arial" w:hAnsi="Arial"/>
                <w:sz w:val="18"/>
                <w:szCs w:val="18"/>
                <w:color w:val="0000FF"/>
                <w:w w:val="91"/>
              </w:rPr>
              <w:t>Condensed Consolidated Statements of Stockholders’ Equity (Deficit) (Unaudited)</w:t>
            </w:r>
          </w:p>
        </w:tc>
        <w:tc>
          <w:tcPr>
            <w:tcW w:w="3360" w:type="dxa"/>
            <w:vAlign w:val="bottom"/>
            <w:gridSpan w:val="3"/>
            <w:shd w:val="clear" w:color="auto" w:fill="CCEEFF"/>
          </w:tcPr>
          <w:p>
            <w:pPr>
              <w:spacing w:after="0"/>
              <w:rPr>
                <w:sz w:val="16"/>
                <w:szCs w:val="16"/>
                <w:color w:val="auto"/>
              </w:rPr>
            </w:pPr>
          </w:p>
        </w:tc>
        <w:tc>
          <w:tcPr>
            <w:tcW w:w="360" w:type="dxa"/>
            <w:vAlign w:val="bottom"/>
            <w:gridSpan w:val="3"/>
            <w:shd w:val="clear" w:color="auto" w:fill="CCEEFF"/>
          </w:tcPr>
          <w:p>
            <w:pPr>
              <w:jc w:val="center"/>
              <w:ind w:left="190"/>
              <w:spacing w:after="0" w:line="189" w:lineRule="exact"/>
              <w:rPr>
                <w:sz w:val="20"/>
                <w:szCs w:val="20"/>
                <w:color w:val="auto"/>
              </w:rPr>
            </w:pPr>
            <w:r>
              <w:rPr>
                <w:rFonts w:ascii="Arial" w:cs="Arial" w:eastAsia="Arial" w:hAnsi="Arial"/>
                <w:sz w:val="18"/>
                <w:szCs w:val="18"/>
                <w:color w:val="0000FF"/>
                <w:w w:val="79"/>
              </w:rPr>
              <w:t>5</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60" w:type="dxa"/>
            <w:vAlign w:val="bottom"/>
            <w:gridSpan w:val="12"/>
          </w:tcPr>
          <w:p>
            <w:pPr>
              <w:spacing w:after="0" w:line="189" w:lineRule="exact"/>
              <w:rPr>
                <w:sz w:val="20"/>
                <w:szCs w:val="20"/>
                <w:color w:val="auto"/>
              </w:rPr>
            </w:pPr>
            <w:r>
              <w:rPr>
                <w:rFonts w:ascii="Arial" w:cs="Arial" w:eastAsia="Arial" w:hAnsi="Arial"/>
                <w:sz w:val="18"/>
                <w:szCs w:val="18"/>
                <w:color w:val="0000FF"/>
              </w:rPr>
              <w:t>Condensed Consolidated Statements of Cash Flows (Unaudited)</w:t>
            </w:r>
          </w:p>
        </w:tc>
        <w:tc>
          <w:tcPr>
            <w:tcW w:w="3360" w:type="dxa"/>
            <w:vAlign w:val="bottom"/>
            <w:gridSpan w:val="3"/>
          </w:tcPr>
          <w:p>
            <w:pPr>
              <w:spacing w:after="0"/>
              <w:rPr>
                <w:sz w:val="16"/>
                <w:szCs w:val="16"/>
                <w:color w:val="auto"/>
              </w:rPr>
            </w:pPr>
          </w:p>
        </w:tc>
        <w:tc>
          <w:tcPr>
            <w:tcW w:w="360" w:type="dxa"/>
            <w:vAlign w:val="bottom"/>
            <w:gridSpan w:val="3"/>
          </w:tcPr>
          <w:p>
            <w:pPr>
              <w:jc w:val="center"/>
              <w:ind w:left="190"/>
              <w:spacing w:after="0" w:line="189" w:lineRule="exact"/>
              <w:rPr>
                <w:sz w:val="20"/>
                <w:szCs w:val="20"/>
                <w:color w:val="auto"/>
              </w:rPr>
            </w:pPr>
            <w:r>
              <w:rPr>
                <w:rFonts w:ascii="Arial" w:cs="Arial" w:eastAsia="Arial" w:hAnsi="Arial"/>
                <w:sz w:val="18"/>
                <w:szCs w:val="18"/>
                <w:color w:val="0000FF"/>
                <w:w w:val="79"/>
              </w:rPr>
              <w:t>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90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color w:val="0000FF"/>
                <w:w w:val="89"/>
              </w:rPr>
              <w:t>Notes to Condensed Consolidated Financial Statements (Unaudited)</w:t>
            </w:r>
          </w:p>
        </w:tc>
        <w:tc>
          <w:tcPr>
            <w:tcW w:w="4420" w:type="dxa"/>
            <w:vAlign w:val="bottom"/>
            <w:gridSpan w:val="4"/>
            <w:shd w:val="clear" w:color="auto" w:fill="CCEEFF"/>
          </w:tcPr>
          <w:p>
            <w:pPr>
              <w:spacing w:after="0"/>
              <w:rPr>
                <w:sz w:val="16"/>
                <w:szCs w:val="16"/>
                <w:color w:val="auto"/>
              </w:rPr>
            </w:pPr>
          </w:p>
        </w:tc>
        <w:tc>
          <w:tcPr>
            <w:tcW w:w="360" w:type="dxa"/>
            <w:vAlign w:val="bottom"/>
            <w:gridSpan w:val="3"/>
            <w:shd w:val="clear" w:color="auto" w:fill="CCEEFF"/>
          </w:tcPr>
          <w:p>
            <w:pPr>
              <w:jc w:val="center"/>
              <w:ind w:left="190"/>
              <w:spacing w:after="0" w:line="189" w:lineRule="exact"/>
              <w:rPr>
                <w:sz w:val="20"/>
                <w:szCs w:val="20"/>
                <w:color w:val="auto"/>
              </w:rPr>
            </w:pPr>
            <w:r>
              <w:rPr>
                <w:rFonts w:ascii="Arial" w:cs="Arial" w:eastAsia="Arial" w:hAnsi="Arial"/>
                <w:sz w:val="18"/>
                <w:szCs w:val="18"/>
                <w:color w:val="0000FF"/>
                <w:w w:val="79"/>
              </w:rPr>
              <w:t>7</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2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2.</w:t>
            </w:r>
          </w:p>
        </w:tc>
        <w:tc>
          <w:tcPr>
            <w:tcW w:w="9320" w:type="dxa"/>
            <w:vAlign w:val="bottom"/>
            <w:gridSpan w:val="15"/>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40" w:type="dxa"/>
            <w:vAlign w:val="bottom"/>
            <w:gridSpan w:val="5"/>
          </w:tcPr>
          <w:p>
            <w:pPr>
              <w:jc w:val="center"/>
              <w:ind w:right="20"/>
              <w:spacing w:after="0" w:line="189" w:lineRule="exact"/>
              <w:rPr>
                <w:sz w:val="20"/>
                <w:szCs w:val="20"/>
                <w:color w:val="auto"/>
              </w:rPr>
            </w:pPr>
            <w:r>
              <w:rPr>
                <w:rFonts w:ascii="Arial" w:cs="Arial" w:eastAsia="Arial" w:hAnsi="Arial"/>
                <w:sz w:val="18"/>
                <w:szCs w:val="18"/>
                <w:color w:val="0000FF"/>
                <w:w w:val="89"/>
              </w:rPr>
              <w:t>20</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3.</w:t>
            </w:r>
          </w:p>
        </w:tc>
        <w:tc>
          <w:tcPr>
            <w:tcW w:w="93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640" w:type="dxa"/>
            <w:vAlign w:val="bottom"/>
            <w:gridSpan w:val="5"/>
            <w:shd w:val="clear" w:color="auto" w:fill="CCEEFF"/>
          </w:tcPr>
          <w:p>
            <w:pPr>
              <w:jc w:val="center"/>
              <w:ind w:right="20"/>
              <w:spacing w:after="0" w:line="189" w:lineRule="exact"/>
              <w:rPr>
                <w:sz w:val="20"/>
                <w:szCs w:val="20"/>
                <w:color w:val="auto"/>
              </w:rPr>
            </w:pPr>
            <w:r>
              <w:rPr>
                <w:rFonts w:ascii="Arial" w:cs="Arial" w:eastAsia="Arial" w:hAnsi="Arial"/>
                <w:sz w:val="18"/>
                <w:szCs w:val="18"/>
                <w:color w:val="0000FF"/>
                <w:w w:val="89"/>
              </w:rPr>
              <w:t>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4.</w:t>
            </w:r>
          </w:p>
        </w:tc>
        <w:tc>
          <w:tcPr>
            <w:tcW w:w="4340" w:type="dxa"/>
            <w:vAlign w:val="bottom"/>
            <w:gridSpan w:val="9"/>
          </w:tcPr>
          <w:p>
            <w:pPr>
              <w:spacing w:after="0" w:line="189" w:lineRule="exact"/>
              <w:rPr>
                <w:sz w:val="20"/>
                <w:szCs w:val="20"/>
                <w:color w:val="auto"/>
              </w:rPr>
            </w:pPr>
            <w:r>
              <w:rPr>
                <w:rFonts w:ascii="Arial" w:cs="Arial" w:eastAsia="Arial" w:hAnsi="Arial"/>
                <w:sz w:val="18"/>
                <w:szCs w:val="18"/>
                <w:color w:val="0000FF"/>
              </w:rPr>
              <w:t>Controls and Procedures</w:t>
            </w:r>
          </w:p>
        </w:tc>
        <w:tc>
          <w:tcPr>
            <w:tcW w:w="4980" w:type="dxa"/>
            <w:vAlign w:val="bottom"/>
            <w:gridSpan w:val="6"/>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4"/>
          </w:tcPr>
          <w:p>
            <w:pPr>
              <w:jc w:val="center"/>
              <w:ind w:right="240"/>
              <w:spacing w:after="0" w:line="189" w:lineRule="exact"/>
              <w:rPr>
                <w:sz w:val="20"/>
                <w:szCs w:val="20"/>
                <w:color w:val="auto"/>
              </w:rPr>
            </w:pPr>
            <w:r>
              <w:rPr>
                <w:rFonts w:ascii="Arial" w:cs="Arial" w:eastAsia="Arial" w:hAnsi="Arial"/>
                <w:sz w:val="18"/>
                <w:szCs w:val="18"/>
                <w:color w:val="0000FF"/>
                <w:w w:val="89"/>
              </w:rPr>
              <w:t>30</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10580" w:type="dxa"/>
            <w:vAlign w:val="bottom"/>
            <w:gridSpan w:val="17"/>
            <w:shd w:val="clear" w:color="auto" w:fill="CCEEFF"/>
          </w:tcPr>
          <w:p>
            <w:pPr>
              <w:spacing w:after="0"/>
              <w:rPr>
                <w:sz w:val="20"/>
                <w:szCs w:val="20"/>
                <w:color w:val="auto"/>
              </w:rPr>
            </w:pPr>
            <w:r>
              <w:rPr>
                <w:rFonts w:ascii="Arial" w:cs="Arial" w:eastAsia="Arial" w:hAnsi="Arial"/>
                <w:sz w:val="16"/>
                <w:szCs w:val="16"/>
                <w:color w:val="auto"/>
              </w:rPr>
              <w:t>PART II—OTHER INFORMATION</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1.</w:t>
            </w:r>
          </w:p>
        </w:tc>
        <w:tc>
          <w:tcPr>
            <w:tcW w:w="9320" w:type="dxa"/>
            <w:vAlign w:val="bottom"/>
            <w:gridSpan w:val="15"/>
          </w:tcPr>
          <w:p>
            <w:pPr>
              <w:spacing w:after="0" w:line="189" w:lineRule="exact"/>
              <w:rPr>
                <w:sz w:val="20"/>
                <w:szCs w:val="20"/>
                <w:color w:val="auto"/>
              </w:rPr>
            </w:pPr>
            <w:r>
              <w:rPr>
                <w:rFonts w:ascii="Arial" w:cs="Arial" w:eastAsia="Arial" w:hAnsi="Arial"/>
                <w:sz w:val="18"/>
                <w:szCs w:val="18"/>
                <w:color w:val="0000FF"/>
              </w:rPr>
              <w:t>Legal Proceedings</w:t>
            </w:r>
          </w:p>
        </w:tc>
        <w:tc>
          <w:tcPr>
            <w:tcW w:w="640" w:type="dxa"/>
            <w:vAlign w:val="bottom"/>
            <w:gridSpan w:val="5"/>
          </w:tcPr>
          <w:p>
            <w:pPr>
              <w:jc w:val="center"/>
              <w:ind w:right="20"/>
              <w:spacing w:after="0" w:line="189" w:lineRule="exact"/>
              <w:rPr>
                <w:sz w:val="20"/>
                <w:szCs w:val="20"/>
                <w:color w:val="auto"/>
              </w:rPr>
            </w:pPr>
            <w:r>
              <w:rPr>
                <w:rFonts w:ascii="Arial" w:cs="Arial" w:eastAsia="Arial" w:hAnsi="Arial"/>
                <w:sz w:val="18"/>
                <w:szCs w:val="18"/>
                <w:color w:val="0000FF"/>
                <w:w w:val="89"/>
              </w:rPr>
              <w:t>31</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1A.</w:t>
            </w:r>
          </w:p>
        </w:tc>
        <w:tc>
          <w:tcPr>
            <w:tcW w:w="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87"/>
              </w:rPr>
              <w:t>Risk Factors</w:t>
            </w:r>
          </w:p>
        </w:tc>
        <w:tc>
          <w:tcPr>
            <w:tcW w:w="8420" w:type="dxa"/>
            <w:vAlign w:val="bottom"/>
            <w:gridSpan w:val="13"/>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center"/>
              <w:ind w:right="240"/>
              <w:spacing w:after="0" w:line="189" w:lineRule="exact"/>
              <w:rPr>
                <w:sz w:val="20"/>
                <w:szCs w:val="20"/>
                <w:color w:val="auto"/>
              </w:rPr>
            </w:pPr>
            <w:r>
              <w:rPr>
                <w:rFonts w:ascii="Arial" w:cs="Arial" w:eastAsia="Arial" w:hAnsi="Arial"/>
                <w:sz w:val="18"/>
                <w:szCs w:val="18"/>
                <w:color w:val="0000FF"/>
                <w:w w:val="89"/>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2.</w:t>
            </w:r>
          </w:p>
        </w:tc>
        <w:tc>
          <w:tcPr>
            <w:tcW w:w="9320" w:type="dxa"/>
            <w:vAlign w:val="bottom"/>
            <w:gridSpan w:val="15"/>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640" w:type="dxa"/>
            <w:vAlign w:val="bottom"/>
            <w:gridSpan w:val="5"/>
          </w:tcPr>
          <w:p>
            <w:pPr>
              <w:jc w:val="center"/>
              <w:ind w:right="20"/>
              <w:spacing w:after="0" w:line="189" w:lineRule="exact"/>
              <w:rPr>
                <w:sz w:val="20"/>
                <w:szCs w:val="20"/>
                <w:color w:val="auto"/>
              </w:rPr>
            </w:pPr>
            <w:r>
              <w:rPr>
                <w:rFonts w:ascii="Arial" w:cs="Arial" w:eastAsia="Arial" w:hAnsi="Arial"/>
                <w:sz w:val="18"/>
                <w:szCs w:val="18"/>
                <w:color w:val="0000FF"/>
                <w:w w:val="89"/>
              </w:rPr>
              <w:t>31</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3.</w:t>
            </w:r>
          </w:p>
        </w:tc>
        <w:tc>
          <w:tcPr>
            <w:tcW w:w="232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w w:val="90"/>
              </w:rPr>
              <w:t>Defaults Upon Senior Securities</w:t>
            </w:r>
          </w:p>
        </w:tc>
        <w:tc>
          <w:tcPr>
            <w:tcW w:w="7000" w:type="dxa"/>
            <w:vAlign w:val="bottom"/>
            <w:gridSpan w:val="8"/>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center"/>
              <w:ind w:right="240"/>
              <w:spacing w:after="0" w:line="189" w:lineRule="exact"/>
              <w:rPr>
                <w:sz w:val="20"/>
                <w:szCs w:val="20"/>
                <w:color w:val="auto"/>
              </w:rPr>
            </w:pPr>
            <w:r>
              <w:rPr>
                <w:rFonts w:ascii="Arial" w:cs="Arial" w:eastAsia="Arial" w:hAnsi="Arial"/>
                <w:sz w:val="18"/>
                <w:szCs w:val="18"/>
                <w:color w:val="0000FF"/>
                <w:w w:val="89"/>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line="189" w:lineRule="exact"/>
              <w:rPr>
                <w:sz w:val="20"/>
                <w:szCs w:val="20"/>
                <w:color w:val="auto"/>
              </w:rPr>
            </w:pPr>
            <w:r>
              <w:rPr>
                <w:rFonts w:ascii="Arial" w:cs="Arial" w:eastAsia="Arial" w:hAnsi="Arial"/>
                <w:sz w:val="18"/>
                <w:szCs w:val="18"/>
                <w:color w:val="0000FF"/>
              </w:rPr>
              <w:t>Mine Safety Disclosures</w:t>
            </w:r>
          </w:p>
        </w:tc>
        <w:tc>
          <w:tcPr>
            <w:tcW w:w="7000" w:type="dxa"/>
            <w:vAlign w:val="bottom"/>
            <w:gridSpan w:val="8"/>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4"/>
          </w:tcPr>
          <w:p>
            <w:pPr>
              <w:jc w:val="center"/>
              <w:ind w:right="240"/>
              <w:spacing w:after="0" w:line="189" w:lineRule="exact"/>
              <w:rPr>
                <w:sz w:val="20"/>
                <w:szCs w:val="20"/>
                <w:color w:val="auto"/>
              </w:rPr>
            </w:pPr>
            <w:r>
              <w:rPr>
                <w:rFonts w:ascii="Arial" w:cs="Arial" w:eastAsia="Arial" w:hAnsi="Arial"/>
                <w:sz w:val="18"/>
                <w:szCs w:val="18"/>
                <w:color w:val="0000FF"/>
                <w:w w:val="89"/>
              </w:rPr>
              <w:t>31</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5.</w:t>
            </w:r>
          </w:p>
        </w:tc>
        <w:tc>
          <w:tcPr>
            <w:tcW w:w="93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640" w:type="dxa"/>
            <w:vAlign w:val="bottom"/>
            <w:gridSpan w:val="5"/>
            <w:shd w:val="clear" w:color="auto" w:fill="CCEEFF"/>
          </w:tcPr>
          <w:p>
            <w:pPr>
              <w:jc w:val="center"/>
              <w:ind w:right="20"/>
              <w:spacing w:after="0" w:line="189" w:lineRule="exact"/>
              <w:rPr>
                <w:sz w:val="20"/>
                <w:szCs w:val="20"/>
                <w:color w:val="auto"/>
              </w:rPr>
            </w:pPr>
            <w:r>
              <w:rPr>
                <w:rFonts w:ascii="Arial" w:cs="Arial" w:eastAsia="Arial" w:hAnsi="Arial"/>
                <w:sz w:val="18"/>
                <w:szCs w:val="18"/>
                <w:color w:val="0000FF"/>
                <w:w w:val="89"/>
              </w:rPr>
              <w:t>32</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2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6.</w:t>
            </w:r>
          </w:p>
        </w:tc>
        <w:tc>
          <w:tcPr>
            <w:tcW w:w="1300" w:type="dxa"/>
            <w:vAlign w:val="bottom"/>
            <w:gridSpan w:val="3"/>
          </w:tcPr>
          <w:p>
            <w:pPr>
              <w:spacing w:after="0" w:line="189" w:lineRule="exact"/>
              <w:rPr>
                <w:sz w:val="20"/>
                <w:szCs w:val="20"/>
                <w:color w:val="auto"/>
              </w:rPr>
            </w:pPr>
            <w:r>
              <w:rPr>
                <w:rFonts w:ascii="Arial" w:cs="Arial" w:eastAsia="Arial" w:hAnsi="Arial"/>
                <w:sz w:val="18"/>
                <w:szCs w:val="18"/>
                <w:color w:val="0000FF"/>
              </w:rPr>
              <w:t>Exhibits</w:t>
            </w:r>
          </w:p>
        </w:tc>
        <w:tc>
          <w:tcPr>
            <w:tcW w:w="8020" w:type="dxa"/>
            <w:vAlign w:val="bottom"/>
            <w:gridSpan w:val="12"/>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4"/>
          </w:tcPr>
          <w:p>
            <w:pPr>
              <w:jc w:val="center"/>
              <w:ind w:right="240"/>
              <w:spacing w:after="0" w:line="189" w:lineRule="exact"/>
              <w:rPr>
                <w:sz w:val="20"/>
                <w:szCs w:val="20"/>
                <w:color w:val="auto"/>
              </w:rPr>
            </w:pPr>
            <w:r>
              <w:rPr>
                <w:rFonts w:ascii="Arial" w:cs="Arial" w:eastAsia="Arial" w:hAnsi="Arial"/>
                <w:sz w:val="18"/>
                <w:szCs w:val="18"/>
                <w:color w:val="0000FF"/>
                <w:w w:val="89"/>
              </w:rPr>
              <w:t>35</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231F20"/>
        </w:rPr>
        <w:t>THE BEAUTY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w w:val="95"/>
              </w:rPr>
              <w:t>December 31, 2022</w:t>
            </w:r>
          </w:p>
        </w:tc>
        <w:tc>
          <w:tcPr>
            <w:tcW w:w="0" w:type="dxa"/>
            <w:vAlign w:val="bottom"/>
          </w:tcPr>
          <w:p>
            <w:pPr>
              <w:spacing w:after="0"/>
              <w:rPr>
                <w:sz w:val="1"/>
                <w:szCs w:val="1"/>
                <w:color w:val="auto"/>
              </w:rPr>
            </w:pPr>
          </w:p>
        </w:tc>
      </w:tr>
      <w:tr>
        <w:trPr>
          <w:trHeight w:val="186"/>
        </w:trPr>
        <w:tc>
          <w:tcPr>
            <w:tcW w:w="7260" w:type="dxa"/>
            <w:vAlign w:val="bottom"/>
            <w:gridSpan w:val="4"/>
            <w:shd w:val="clear" w:color="auto" w:fill="CCEEFF"/>
          </w:tcPr>
          <w:p>
            <w:pPr>
              <w:ind w:left="80"/>
              <w:spacing w:after="0" w:line="186" w:lineRule="exact"/>
              <w:rPr>
                <w:sz w:val="20"/>
                <w:szCs w:val="20"/>
                <w:color w:val="auto"/>
              </w:rPr>
            </w:pPr>
            <w:r>
              <w:rPr>
                <w:rFonts w:ascii="Arial" w:cs="Arial" w:eastAsia="Arial" w:hAnsi="Arial"/>
                <w:sz w:val="18"/>
                <w:szCs w:val="18"/>
                <w:b w:val="1"/>
                <w:bCs w:val="1"/>
                <w:color w:val="231F20"/>
              </w:rPr>
              <w:t>ASSETS</w:t>
            </w:r>
          </w:p>
        </w:tc>
        <w:tc>
          <w:tcPr>
            <w:tcW w:w="3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231F20"/>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60" w:type="dxa"/>
            <w:vAlign w:val="bottom"/>
            <w:gridSpan w:val="4"/>
          </w:tcPr>
          <w:p>
            <w:pPr>
              <w:ind w:left="80"/>
              <w:spacing w:after="0"/>
              <w:rPr>
                <w:sz w:val="20"/>
                <w:szCs w:val="20"/>
                <w:color w:val="auto"/>
              </w:rPr>
            </w:pPr>
            <w:r>
              <w:rPr>
                <w:rFonts w:ascii="Arial" w:cs="Arial" w:eastAsia="Arial" w:hAnsi="Arial"/>
                <w:sz w:val="18"/>
                <w:szCs w:val="18"/>
                <w:color w:val="231F20"/>
              </w:rPr>
              <w:t>Current assets:</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549,728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231F20"/>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568,197</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7180" w:type="dxa"/>
            <w:vAlign w:val="bottom"/>
            <w:gridSpan w:val="3"/>
          </w:tcPr>
          <w:p>
            <w:pPr>
              <w:ind w:left="280"/>
              <w:spacing w:after="0" w:line="176" w:lineRule="exact"/>
              <w:rPr>
                <w:sz w:val="20"/>
                <w:szCs w:val="20"/>
                <w:color w:val="auto"/>
              </w:rPr>
            </w:pPr>
            <w:r>
              <w:rPr>
                <w:rFonts w:ascii="Arial" w:cs="Arial" w:eastAsia="Arial" w:hAnsi="Arial"/>
                <w:sz w:val="18"/>
                <w:szCs w:val="18"/>
                <w:color w:val="231F20"/>
                <w:w w:val="95"/>
              </w:rPr>
              <w:t>Accounts receivable, net of allowances for estimated credit losses of $4,021 and $2,929 at</w:t>
            </w:r>
          </w:p>
        </w:tc>
        <w:tc>
          <w:tcPr>
            <w:tcW w:w="3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231F20"/>
              </w:rPr>
              <w:t>74,633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231F20"/>
              </w:rPr>
              <w:t>76,494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June 30, 2023 and December 31, 2022, respectively</w:t>
            </w:r>
          </w:p>
        </w:tc>
        <w:tc>
          <w:tcPr>
            <w:tcW w:w="3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Inventories</w:t>
            </w: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107,000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109,656</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Income tax receivable</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231F20"/>
              </w:rPr>
              <w:t>5,642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1,280</w:t>
            </w:r>
          </w:p>
        </w:tc>
        <w:tc>
          <w:tcPr>
            <w:tcW w:w="0" w:type="dxa"/>
            <w:vAlign w:val="bottom"/>
          </w:tcPr>
          <w:p>
            <w:pPr>
              <w:spacing w:after="0"/>
              <w:rPr>
                <w:sz w:val="1"/>
                <w:szCs w:val="1"/>
                <w:color w:val="auto"/>
              </w:rPr>
            </w:pPr>
          </w:p>
        </w:tc>
      </w:tr>
      <w:tr>
        <w:trPr>
          <w:trHeight w:val="230"/>
        </w:trPr>
        <w:tc>
          <w:tcPr>
            <w:tcW w:w="80" w:type="dxa"/>
            <w:vAlign w:val="bottom"/>
            <w:tcBorders>
              <w:bottom w:val="single" w:sz="8" w:color="CCEEFF"/>
            </w:tcBorders>
            <w:shd w:val="clear" w:color="auto" w:fill="CCEEFF"/>
          </w:tcPr>
          <w:p>
            <w:pPr>
              <w:spacing w:after="0"/>
              <w:rPr>
                <w:sz w:val="19"/>
                <w:szCs w:val="19"/>
                <w:color w:val="auto"/>
              </w:rPr>
            </w:pPr>
          </w:p>
        </w:tc>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231F20"/>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30,939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27,648</w:t>
            </w:r>
          </w:p>
        </w:tc>
        <w:tc>
          <w:tcPr>
            <w:tcW w:w="0" w:type="dxa"/>
            <w:vAlign w:val="bottom"/>
          </w:tcPr>
          <w:p>
            <w:pPr>
              <w:spacing w:after="0"/>
              <w:rPr>
                <w:sz w:val="1"/>
                <w:szCs w:val="1"/>
                <w:color w:val="auto"/>
              </w:rPr>
            </w:pPr>
          </w:p>
        </w:tc>
      </w:tr>
      <w:tr>
        <w:trPr>
          <w:trHeight w:val="237"/>
        </w:trPr>
        <w:tc>
          <w:tcPr>
            <w:tcW w:w="80" w:type="dxa"/>
            <w:vAlign w:val="bottom"/>
            <w:tcBorders>
              <w:bottom w:val="single" w:sz="8" w:color="CCEEFF"/>
            </w:tcBorders>
          </w:tcPr>
          <w:p>
            <w:pPr>
              <w:spacing w:after="0"/>
              <w:rPr>
                <w:sz w:val="20"/>
                <w:szCs w:val="20"/>
                <w:color w:val="auto"/>
              </w:rPr>
            </w:pPr>
          </w:p>
        </w:tc>
        <w:tc>
          <w:tcPr>
            <w:tcW w:w="718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231F20"/>
              </w:rPr>
              <w:t>Total current assets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767,942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783,275</w:t>
            </w:r>
          </w:p>
        </w:tc>
        <w:tc>
          <w:tcPr>
            <w:tcW w:w="0" w:type="dxa"/>
            <w:vAlign w:val="bottom"/>
          </w:tcPr>
          <w:p>
            <w:pPr>
              <w:spacing w:after="0"/>
              <w:rPr>
                <w:sz w:val="1"/>
                <w:szCs w:val="1"/>
                <w:color w:val="auto"/>
              </w:rPr>
            </w:pPr>
          </w:p>
        </w:tc>
      </w:tr>
      <w:tr>
        <w:trPr>
          <w:trHeight w:val="223"/>
        </w:trPr>
        <w:tc>
          <w:tcPr>
            <w:tcW w:w="72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231F20"/>
              </w:rPr>
              <w:t>Property and equipment, net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17,958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18,184</w:t>
            </w:r>
          </w:p>
        </w:tc>
        <w:tc>
          <w:tcPr>
            <w:tcW w:w="0" w:type="dxa"/>
            <w:vAlign w:val="bottom"/>
          </w:tcPr>
          <w:p>
            <w:pPr>
              <w:spacing w:after="0"/>
              <w:rPr>
                <w:sz w:val="1"/>
                <w:szCs w:val="1"/>
                <w:color w:val="auto"/>
              </w:rPr>
            </w:pPr>
          </w:p>
        </w:tc>
      </w:tr>
      <w:tr>
        <w:trPr>
          <w:trHeight w:val="230"/>
        </w:trPr>
        <w:tc>
          <w:tcPr>
            <w:tcW w:w="7260" w:type="dxa"/>
            <w:vAlign w:val="bottom"/>
            <w:gridSpan w:val="4"/>
          </w:tcPr>
          <w:p>
            <w:pPr>
              <w:ind w:left="80"/>
              <w:spacing w:after="0"/>
              <w:rPr>
                <w:sz w:val="20"/>
                <w:szCs w:val="20"/>
                <w:color w:val="auto"/>
              </w:rPr>
            </w:pPr>
            <w:r>
              <w:rPr>
                <w:rFonts w:ascii="Arial" w:cs="Arial" w:eastAsia="Arial" w:hAnsi="Arial"/>
                <w:sz w:val="18"/>
                <w:szCs w:val="18"/>
                <w:color w:val="231F20"/>
              </w:rPr>
              <w:t>Right-of-use assets, net</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231F20"/>
              </w:rPr>
              <w:t>13,790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15,637</w:t>
            </w:r>
          </w:p>
        </w:tc>
        <w:tc>
          <w:tcPr>
            <w:tcW w:w="0" w:type="dxa"/>
            <w:vAlign w:val="bottom"/>
          </w:tcPr>
          <w:p>
            <w:pPr>
              <w:spacing w:after="0"/>
              <w:rPr>
                <w:sz w:val="1"/>
                <w:szCs w:val="1"/>
                <w:color w:val="auto"/>
              </w:rPr>
            </w:pPr>
          </w:p>
        </w:tc>
      </w:tr>
      <w:tr>
        <w:trPr>
          <w:trHeight w:val="243"/>
        </w:trPr>
        <w:tc>
          <w:tcPr>
            <w:tcW w:w="72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231F20"/>
              </w:rPr>
              <w:t>Intangible assets, net</w:t>
            </w: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65,569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46,386</w:t>
            </w:r>
          </w:p>
        </w:tc>
        <w:tc>
          <w:tcPr>
            <w:tcW w:w="0" w:type="dxa"/>
            <w:vAlign w:val="bottom"/>
          </w:tcPr>
          <w:p>
            <w:pPr>
              <w:spacing w:after="0"/>
              <w:rPr>
                <w:sz w:val="1"/>
                <w:szCs w:val="1"/>
                <w:color w:val="auto"/>
              </w:rPr>
            </w:pPr>
          </w:p>
        </w:tc>
      </w:tr>
      <w:tr>
        <w:trPr>
          <w:trHeight w:val="230"/>
        </w:trPr>
        <w:tc>
          <w:tcPr>
            <w:tcW w:w="7260" w:type="dxa"/>
            <w:vAlign w:val="bottom"/>
            <w:gridSpan w:val="4"/>
          </w:tcPr>
          <w:p>
            <w:pPr>
              <w:ind w:left="80"/>
              <w:spacing w:after="0"/>
              <w:rPr>
                <w:sz w:val="20"/>
                <w:szCs w:val="20"/>
                <w:color w:val="auto"/>
              </w:rPr>
            </w:pPr>
            <w:r>
              <w:rPr>
                <w:rFonts w:ascii="Arial" w:cs="Arial" w:eastAsia="Arial" w:hAnsi="Arial"/>
                <w:sz w:val="18"/>
                <w:szCs w:val="18"/>
                <w:color w:val="231F20"/>
              </w:rPr>
              <w:t>Goodwill</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231F20"/>
              </w:rPr>
              <w:t>125,351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124,593</w:t>
            </w:r>
          </w:p>
        </w:tc>
        <w:tc>
          <w:tcPr>
            <w:tcW w:w="0" w:type="dxa"/>
            <w:vAlign w:val="bottom"/>
          </w:tcPr>
          <w:p>
            <w:pPr>
              <w:spacing w:after="0"/>
              <w:rPr>
                <w:sz w:val="1"/>
                <w:szCs w:val="1"/>
                <w:color w:val="auto"/>
              </w:rPr>
            </w:pPr>
          </w:p>
        </w:tc>
      </w:tr>
      <w:tr>
        <w:trPr>
          <w:trHeight w:val="229"/>
        </w:trPr>
        <w:tc>
          <w:tcPr>
            <w:tcW w:w="72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231F20"/>
              </w:rPr>
              <w:t>Deferred income tax assets, net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815</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gridSpan w:val="4"/>
          </w:tcPr>
          <w:p>
            <w:pPr>
              <w:ind w:left="80"/>
              <w:spacing w:after="0"/>
              <w:rPr>
                <w:sz w:val="20"/>
                <w:szCs w:val="20"/>
                <w:color w:val="auto"/>
              </w:rPr>
            </w:pPr>
            <w:r>
              <w:rPr>
                <w:rFonts w:ascii="Arial" w:cs="Arial" w:eastAsia="Arial" w:hAnsi="Arial"/>
                <w:sz w:val="18"/>
                <w:szCs w:val="18"/>
                <w:color w:val="231F20"/>
              </w:rPr>
              <w:t>Other assets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16,053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14,193</w:t>
            </w:r>
          </w:p>
        </w:tc>
        <w:tc>
          <w:tcPr>
            <w:tcW w:w="0" w:type="dxa"/>
            <w:vAlign w:val="bottom"/>
          </w:tcPr>
          <w:p>
            <w:pPr>
              <w:spacing w:after="0"/>
              <w:rPr>
                <w:sz w:val="1"/>
                <w:szCs w:val="1"/>
                <w:color w:val="auto"/>
              </w:rPr>
            </w:pPr>
          </w:p>
        </w:tc>
      </w:tr>
      <w:tr>
        <w:trPr>
          <w:trHeight w:val="254"/>
        </w:trPr>
        <w:tc>
          <w:tcPr>
            <w:tcW w:w="72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b w:val="1"/>
                <w:bCs w:val="1"/>
                <w:color w:val="231F20"/>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231F20"/>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1,007,474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1,003,083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4"/>
            <w:vMerge w:val="restart"/>
          </w:tcPr>
          <w:p>
            <w:pPr>
              <w:ind w:left="80"/>
              <w:spacing w:after="0" w:line="189" w:lineRule="exact"/>
              <w:rPr>
                <w:sz w:val="20"/>
                <w:szCs w:val="20"/>
                <w:color w:val="auto"/>
              </w:rPr>
            </w:pPr>
            <w:r>
              <w:rPr>
                <w:rFonts w:ascii="Arial" w:cs="Arial" w:eastAsia="Arial" w:hAnsi="Arial"/>
                <w:sz w:val="18"/>
                <w:szCs w:val="18"/>
                <w:b w:val="1"/>
                <w:bCs w:val="1"/>
                <w:color w:val="231F20"/>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26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660" w:type="dxa"/>
            <w:vAlign w:val="bottom"/>
            <w:tcBorders>
              <w:top w:val="single" w:sz="8" w:color="231F20"/>
            </w:tcBorders>
          </w:tcPr>
          <w:p>
            <w:pPr>
              <w:spacing w:after="0"/>
              <w:rPr>
                <w:sz w:val="2"/>
                <w:szCs w:val="2"/>
                <w:color w:val="auto"/>
              </w:rPr>
            </w:pPr>
          </w:p>
        </w:tc>
        <w:tc>
          <w:tcPr>
            <w:tcW w:w="3220" w:type="dxa"/>
            <w:vAlign w:val="bottom"/>
            <w:tcBorders>
              <w:top w:val="single" w:sz="8" w:color="231F20"/>
            </w:tcBorders>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231F20"/>
              </w:rPr>
              <w:t>Current liabilities: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231F20"/>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231F20"/>
              </w:rPr>
              <w:t>29,379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231F20"/>
              </w:rPr>
              <w:t>$</w:t>
            </w:r>
          </w:p>
        </w:tc>
        <w:tc>
          <w:tcPr>
            <w:tcW w:w="1720" w:type="dxa"/>
            <w:vAlign w:val="bottom"/>
          </w:tcPr>
          <w:p>
            <w:pPr>
              <w:jc w:val="right"/>
              <w:spacing w:after="0"/>
              <w:rPr>
                <w:sz w:val="20"/>
                <w:szCs w:val="20"/>
                <w:color w:val="auto"/>
              </w:rPr>
            </w:pPr>
            <w:r>
              <w:rPr>
                <w:rFonts w:ascii="Arial" w:cs="Arial" w:eastAsia="Arial" w:hAnsi="Arial"/>
                <w:sz w:val="18"/>
                <w:szCs w:val="18"/>
                <w:color w:val="231F20"/>
              </w:rPr>
              <w:t>28,467</w:t>
            </w:r>
          </w:p>
        </w:tc>
        <w:tc>
          <w:tcPr>
            <w:tcW w:w="0" w:type="dxa"/>
            <w:vAlign w:val="bottom"/>
          </w:tcPr>
          <w:p>
            <w:pPr>
              <w:spacing w:after="0"/>
              <w:rPr>
                <w:sz w:val="1"/>
                <w:szCs w:val="1"/>
                <w:color w:val="auto"/>
              </w:rPr>
            </w:pPr>
          </w:p>
        </w:tc>
      </w:tr>
      <w:tr>
        <w:trPr>
          <w:trHeight w:val="236"/>
        </w:trPr>
        <w:tc>
          <w:tcPr>
            <w:tcW w:w="80" w:type="dxa"/>
            <w:vAlign w:val="bottom"/>
            <w:shd w:val="clear" w:color="auto" w:fill="CCEEFF"/>
          </w:tcPr>
          <w:p>
            <w:pPr>
              <w:spacing w:after="0"/>
              <w:rPr>
                <w:sz w:val="20"/>
                <w:szCs w:val="20"/>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Accrued payroll-related expenses</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26,154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21,677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Other accrued expenses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231F20"/>
              </w:rPr>
              <w:t>19,145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15,183</w:t>
            </w: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Lease liabilities, current</w:t>
            </w: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4,901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4,958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Income tax payable</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3,210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1,429</w:t>
            </w:r>
          </w:p>
        </w:tc>
        <w:tc>
          <w:tcPr>
            <w:tcW w:w="0" w:type="dxa"/>
            <w:vAlign w:val="bottom"/>
          </w:tcPr>
          <w:p>
            <w:pPr>
              <w:spacing w:after="0"/>
              <w:rPr>
                <w:sz w:val="1"/>
                <w:szCs w:val="1"/>
                <w:color w:val="auto"/>
              </w:rPr>
            </w:pPr>
          </w:p>
        </w:tc>
      </w:tr>
      <w:tr>
        <w:trPr>
          <w:trHeight w:val="223"/>
        </w:trPr>
        <w:tc>
          <w:tcPr>
            <w:tcW w:w="80" w:type="dxa"/>
            <w:vAlign w:val="bottom"/>
            <w:shd w:val="clear" w:color="auto" w:fill="CCEEFF"/>
          </w:tcPr>
          <w:p>
            <w:pPr>
              <w:spacing w:after="0"/>
              <w:rPr>
                <w:sz w:val="19"/>
                <w:szCs w:val="19"/>
                <w:color w:val="auto"/>
              </w:rPr>
            </w:pPr>
          </w:p>
        </w:tc>
        <w:tc>
          <w:tcPr>
            <w:tcW w:w="71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231F20"/>
              </w:rPr>
              <w:t>Total current liabilities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82,789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71,714</w:t>
            </w:r>
          </w:p>
        </w:tc>
        <w:tc>
          <w:tcPr>
            <w:tcW w:w="0" w:type="dxa"/>
            <w:vAlign w:val="bottom"/>
          </w:tcPr>
          <w:p>
            <w:pPr>
              <w:spacing w:after="0"/>
              <w:rPr>
                <w:sz w:val="1"/>
                <w:szCs w:val="1"/>
                <w:color w:val="auto"/>
              </w:rPr>
            </w:pPr>
          </w:p>
        </w:tc>
      </w:tr>
      <w:tr>
        <w:trPr>
          <w:trHeight w:val="237"/>
        </w:trPr>
        <w:tc>
          <w:tcPr>
            <w:tcW w:w="7260" w:type="dxa"/>
            <w:vAlign w:val="bottom"/>
            <w:gridSpan w:val="4"/>
          </w:tcPr>
          <w:p>
            <w:pPr>
              <w:ind w:left="80"/>
              <w:spacing w:after="0"/>
              <w:rPr>
                <w:sz w:val="20"/>
                <w:szCs w:val="20"/>
                <w:color w:val="auto"/>
              </w:rPr>
            </w:pPr>
            <w:r>
              <w:rPr>
                <w:rFonts w:ascii="Arial" w:cs="Arial" w:eastAsia="Arial" w:hAnsi="Arial"/>
                <w:sz w:val="18"/>
                <w:szCs w:val="18"/>
                <w:color w:val="231F20"/>
              </w:rPr>
              <w:t>Lease liabilities, non-current</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231F20"/>
              </w:rPr>
              <w:t>10,628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12,689</w:t>
            </w:r>
          </w:p>
        </w:tc>
        <w:tc>
          <w:tcPr>
            <w:tcW w:w="0" w:type="dxa"/>
            <w:vAlign w:val="bottom"/>
          </w:tcPr>
          <w:p>
            <w:pPr>
              <w:spacing w:after="0"/>
              <w:rPr>
                <w:sz w:val="1"/>
                <w:szCs w:val="1"/>
                <w:color w:val="auto"/>
              </w:rPr>
            </w:pPr>
          </w:p>
        </w:tc>
      </w:tr>
      <w:tr>
        <w:trPr>
          <w:trHeight w:val="236"/>
        </w:trPr>
        <w:tc>
          <w:tcPr>
            <w:tcW w:w="72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231F20"/>
              </w:rPr>
              <w:t>Deferred income tax liabilities, net</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2,015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2,011</w:t>
            </w:r>
          </w:p>
        </w:tc>
        <w:tc>
          <w:tcPr>
            <w:tcW w:w="0" w:type="dxa"/>
            <w:vAlign w:val="bottom"/>
          </w:tcPr>
          <w:p>
            <w:pPr>
              <w:spacing w:after="0"/>
              <w:rPr>
                <w:sz w:val="1"/>
                <w:szCs w:val="1"/>
                <w:color w:val="auto"/>
              </w:rPr>
            </w:pPr>
          </w:p>
        </w:tc>
      </w:tr>
      <w:tr>
        <w:trPr>
          <w:trHeight w:val="230"/>
        </w:trPr>
        <w:tc>
          <w:tcPr>
            <w:tcW w:w="7260" w:type="dxa"/>
            <w:vAlign w:val="bottom"/>
            <w:gridSpan w:val="4"/>
          </w:tcPr>
          <w:p>
            <w:pPr>
              <w:ind w:left="80"/>
              <w:spacing w:after="0"/>
              <w:rPr>
                <w:sz w:val="20"/>
                <w:szCs w:val="20"/>
                <w:color w:val="auto"/>
              </w:rPr>
            </w:pPr>
            <w:r>
              <w:rPr>
                <w:rFonts w:ascii="Arial" w:cs="Arial" w:eastAsia="Arial" w:hAnsi="Arial"/>
                <w:sz w:val="18"/>
                <w:szCs w:val="18"/>
                <w:color w:val="231F20"/>
              </w:rPr>
              <w:t>Warrant liabilities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231F20"/>
              </w:rPr>
              <w:t>12,964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15,473</w:t>
            </w:r>
          </w:p>
        </w:tc>
        <w:tc>
          <w:tcPr>
            <w:tcW w:w="0" w:type="dxa"/>
            <w:vAlign w:val="bottom"/>
          </w:tcPr>
          <w:p>
            <w:pPr>
              <w:spacing w:after="0"/>
              <w:rPr>
                <w:sz w:val="1"/>
                <w:szCs w:val="1"/>
                <w:color w:val="auto"/>
              </w:rPr>
            </w:pPr>
          </w:p>
        </w:tc>
      </w:tr>
      <w:tr>
        <w:trPr>
          <w:trHeight w:val="243"/>
        </w:trPr>
        <w:tc>
          <w:tcPr>
            <w:tcW w:w="72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231F20"/>
              </w:rPr>
              <w:t>Convertible senior notes, net</w:t>
            </w: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736,257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734,143</w:t>
            </w:r>
          </w:p>
        </w:tc>
        <w:tc>
          <w:tcPr>
            <w:tcW w:w="0" w:type="dxa"/>
            <w:vAlign w:val="bottom"/>
          </w:tcPr>
          <w:p>
            <w:pPr>
              <w:spacing w:after="0"/>
              <w:rPr>
                <w:sz w:val="1"/>
                <w:szCs w:val="1"/>
                <w:color w:val="auto"/>
              </w:rPr>
            </w:pPr>
          </w:p>
        </w:tc>
      </w:tr>
      <w:tr>
        <w:trPr>
          <w:trHeight w:val="230"/>
        </w:trPr>
        <w:tc>
          <w:tcPr>
            <w:tcW w:w="7260" w:type="dxa"/>
            <w:vAlign w:val="bottom"/>
            <w:gridSpan w:val="4"/>
          </w:tcPr>
          <w:p>
            <w:pPr>
              <w:ind w:left="80"/>
              <w:spacing w:after="0"/>
              <w:rPr>
                <w:sz w:val="20"/>
                <w:szCs w:val="20"/>
                <w:color w:val="auto"/>
              </w:rPr>
            </w:pPr>
            <w:r>
              <w:rPr>
                <w:rFonts w:ascii="Arial" w:cs="Arial" w:eastAsia="Arial" w:hAnsi="Arial"/>
                <w:sz w:val="18"/>
                <w:szCs w:val="18"/>
                <w:color w:val="231F20"/>
              </w:rPr>
              <w:t>Other long-term liabilities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979</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CCEEFF"/>
            </w:tcBorders>
            <w:shd w:val="clear" w:color="auto" w:fill="CCEEFF"/>
          </w:tcPr>
          <w:p>
            <w:pPr>
              <w:spacing w:after="0"/>
              <w:rPr>
                <w:sz w:val="19"/>
                <w:szCs w:val="19"/>
                <w:color w:val="auto"/>
              </w:rPr>
            </w:pPr>
          </w:p>
        </w:tc>
        <w:tc>
          <w:tcPr>
            <w:tcW w:w="71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231F20"/>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845,632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836,030</w:t>
            </w:r>
          </w:p>
        </w:tc>
        <w:tc>
          <w:tcPr>
            <w:tcW w:w="0" w:type="dxa"/>
            <w:vAlign w:val="bottom"/>
          </w:tcPr>
          <w:p>
            <w:pPr>
              <w:spacing w:after="0"/>
              <w:rPr>
                <w:sz w:val="1"/>
                <w:szCs w:val="1"/>
                <w:color w:val="auto"/>
              </w:rPr>
            </w:pPr>
          </w:p>
        </w:tc>
      </w:tr>
      <w:tr>
        <w:trPr>
          <w:trHeight w:val="223"/>
        </w:trPr>
        <w:tc>
          <w:tcPr>
            <w:tcW w:w="7260" w:type="dxa"/>
            <w:vAlign w:val="bottom"/>
            <w:gridSpan w:val="4"/>
          </w:tcPr>
          <w:p>
            <w:pPr>
              <w:ind w:left="20"/>
              <w:spacing w:after="0"/>
              <w:rPr>
                <w:sz w:val="20"/>
                <w:szCs w:val="20"/>
                <w:color w:val="auto"/>
              </w:rPr>
            </w:pPr>
            <w:r>
              <w:rPr>
                <w:rFonts w:ascii="Arial" w:cs="Arial" w:eastAsia="Arial" w:hAnsi="Arial"/>
                <w:sz w:val="18"/>
                <w:szCs w:val="18"/>
                <w:color w:val="231F20"/>
              </w:rPr>
              <w:t>Commitments (Note 10)</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231F20"/>
              </w:rPr>
              <w:t>Stockholders’ equity</w:t>
            </w: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7180" w:type="dxa"/>
            <w:vAlign w:val="bottom"/>
            <w:gridSpan w:val="3"/>
          </w:tcPr>
          <w:p>
            <w:pPr>
              <w:ind w:left="280"/>
              <w:spacing w:after="0" w:line="176" w:lineRule="exact"/>
              <w:rPr>
                <w:sz w:val="20"/>
                <w:szCs w:val="20"/>
                <w:color w:val="auto"/>
              </w:rPr>
            </w:pPr>
            <w:r>
              <w:rPr>
                <w:rFonts w:ascii="Arial" w:cs="Arial" w:eastAsia="Arial" w:hAnsi="Arial"/>
                <w:sz w:val="18"/>
                <w:szCs w:val="18"/>
                <w:color w:val="231F20"/>
                <w:w w:val="92"/>
              </w:rPr>
              <w:t>Class A Common Stock, $0.0001 par value; 320,000,000 shares authorized; 132,881,417 and</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7180" w:type="dxa"/>
            <w:vAlign w:val="bottom"/>
            <w:gridSpan w:val="3"/>
          </w:tcPr>
          <w:p>
            <w:pPr>
              <w:ind w:left="280"/>
              <w:spacing w:after="0" w:line="176" w:lineRule="exact"/>
              <w:rPr>
                <w:sz w:val="20"/>
                <w:szCs w:val="20"/>
                <w:color w:val="auto"/>
              </w:rPr>
            </w:pPr>
            <w:r>
              <w:rPr>
                <w:rFonts w:ascii="Arial" w:cs="Arial" w:eastAsia="Arial" w:hAnsi="Arial"/>
                <w:sz w:val="18"/>
                <w:szCs w:val="18"/>
                <w:color w:val="231F20"/>
                <w:w w:val="99"/>
              </w:rPr>
              <w:t>132,214,695 shares issued and outstanding at June 30, 2023 and December 31, 2022,</w:t>
            </w:r>
          </w:p>
        </w:tc>
        <w:tc>
          <w:tcPr>
            <w:tcW w:w="3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231F20"/>
              </w:rPr>
              <w:t>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231F20"/>
              </w:rPr>
              <w:t>14</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respectively</w:t>
            </w:r>
          </w:p>
        </w:tc>
        <w:tc>
          <w:tcPr>
            <w:tcW w:w="30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shd w:val="clear" w:color="auto" w:fill="CCEEFF"/>
          </w:tcPr>
          <w:p>
            <w:pPr>
              <w:spacing w:after="0"/>
              <w:rPr>
                <w:sz w:val="20"/>
                <w:szCs w:val="20"/>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Additional paid-in capital</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561,483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550,320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Accumulated other comprehensive loss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231F20"/>
              </w:rPr>
              <w:t>(4,009)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(4,530)</w:t>
            </w: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Accumulated deficit</w:t>
            </w:r>
          </w:p>
        </w:tc>
        <w:tc>
          <w:tcPr>
            <w:tcW w:w="3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(395,646)</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(378,751)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180" w:type="dxa"/>
            <w:vAlign w:val="bottom"/>
            <w:gridSpan w:val="3"/>
          </w:tcPr>
          <w:p>
            <w:pPr>
              <w:ind w:left="480"/>
              <w:spacing w:after="0"/>
              <w:rPr>
                <w:sz w:val="20"/>
                <w:szCs w:val="20"/>
                <w:color w:val="auto"/>
              </w:rPr>
            </w:pPr>
            <w:r>
              <w:rPr>
                <w:rFonts w:ascii="Arial" w:cs="Arial" w:eastAsia="Arial" w:hAnsi="Arial"/>
                <w:sz w:val="18"/>
                <w:szCs w:val="18"/>
                <w:color w:val="231F20"/>
              </w:rPr>
              <w:t>Total stockholders’ equity</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161,842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167,053</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2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b w:val="1"/>
                <w:bCs w:val="1"/>
                <w:color w:val="231F20"/>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231F20"/>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1,007,474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1,003,083</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231F20"/>
        </w:rPr>
        <w:t>THE BEAUTY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231F20"/>
              </w:rPr>
              <w:t>Three Months Ended June 30,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231F20"/>
              </w:rPr>
              <w:t>Six Months Ended June 30,</w:t>
            </w:r>
          </w:p>
        </w:tc>
      </w:tr>
      <w:tr>
        <w:trPr>
          <w:trHeight w:val="39"/>
        </w:trPr>
        <w:tc>
          <w:tcPr>
            <w:tcW w:w="47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231F20"/>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231F20"/>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231F20"/>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231F20"/>
              </w:rPr>
              <w:t>2022</w:t>
            </w: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231F20"/>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117,479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103,536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231F20"/>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203,757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178,951</w:t>
            </w: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231F20"/>
              </w:rPr>
              <w:t>Cost of sales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49,603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33,496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81,777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58,026</w:t>
            </w:r>
          </w:p>
        </w:tc>
      </w:tr>
      <w:tr>
        <w:trPr>
          <w:trHeight w:val="237"/>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231F20"/>
              </w:rPr>
              <w:t>Gross profit</w:t>
            </w: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67,876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70,040</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121,980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120,925</w:t>
            </w:r>
          </w:p>
        </w:tc>
      </w:tr>
      <w:tr>
        <w:trPr>
          <w:trHeight w:val="217"/>
        </w:trPr>
        <w:tc>
          <w:tcPr>
            <w:tcW w:w="4740" w:type="dxa"/>
            <w:vAlign w:val="bottom"/>
          </w:tcPr>
          <w:p>
            <w:pPr>
              <w:ind w:left="80"/>
              <w:spacing w:after="0"/>
              <w:rPr>
                <w:sz w:val="20"/>
                <w:szCs w:val="20"/>
                <w:color w:val="auto"/>
              </w:rPr>
            </w:pPr>
            <w:r>
              <w:rPr>
                <w:rFonts w:ascii="Arial" w:cs="Arial" w:eastAsia="Arial" w:hAnsi="Arial"/>
                <w:sz w:val="18"/>
                <w:szCs w:val="18"/>
                <w:color w:val="231F20"/>
              </w:rPr>
              <w:t>Operating expenses: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Selling and marketing</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43,041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44,881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81,740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81,288</w:t>
            </w:r>
          </w:p>
        </w:tc>
      </w:tr>
      <w:tr>
        <w:trPr>
          <w:trHeight w:val="229"/>
        </w:trPr>
        <w:tc>
          <w:tcPr>
            <w:tcW w:w="4740" w:type="dxa"/>
            <w:vAlign w:val="bottom"/>
          </w:tcPr>
          <w:p>
            <w:pPr>
              <w:ind w:left="440"/>
              <w:spacing w:after="0"/>
              <w:rPr>
                <w:sz w:val="20"/>
                <w:szCs w:val="20"/>
                <w:color w:val="auto"/>
              </w:rPr>
            </w:pPr>
            <w:r>
              <w:rPr>
                <w:rFonts w:ascii="Arial" w:cs="Arial" w:eastAsia="Arial" w:hAnsi="Arial"/>
                <w:sz w:val="18"/>
                <w:szCs w:val="18"/>
                <w:color w:val="231F20"/>
              </w:rPr>
              <w:t>Research and development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2,881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2,601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5,217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4,831</w:t>
            </w:r>
          </w:p>
        </w:tc>
      </w:tr>
      <w:tr>
        <w:trPr>
          <w:trHeight w:val="243"/>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General and administrative</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35,100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27,585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65,479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53,846</w:t>
            </w:r>
          </w:p>
        </w:tc>
      </w:tr>
      <w:tr>
        <w:trPr>
          <w:trHeight w:val="223"/>
        </w:trPr>
        <w:tc>
          <w:tcPr>
            <w:tcW w:w="474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231F20"/>
              </w:rPr>
              <w:t>Total operating expenses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81,022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75,067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152,436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139,965</w:t>
            </w:r>
          </w:p>
        </w:tc>
      </w:tr>
      <w:tr>
        <w:trPr>
          <w:trHeight w:val="25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231F20"/>
              </w:rPr>
              <w:t>Loss from operations</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(13,146)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(5,027)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(30,456)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(19,040)</w:t>
            </w:r>
          </w:p>
        </w:tc>
      </w:tr>
      <w:tr>
        <w:trPr>
          <w:trHeight w:val="223"/>
        </w:trPr>
        <w:tc>
          <w:tcPr>
            <w:tcW w:w="4740" w:type="dxa"/>
            <w:vAlign w:val="bottom"/>
          </w:tcPr>
          <w:p>
            <w:pPr>
              <w:ind w:left="440"/>
              <w:spacing w:after="0"/>
              <w:rPr>
                <w:sz w:val="20"/>
                <w:szCs w:val="20"/>
                <w:color w:val="auto"/>
              </w:rPr>
            </w:pPr>
            <w:r>
              <w:rPr>
                <w:rFonts w:ascii="Arial" w:cs="Arial" w:eastAsia="Arial" w:hAnsi="Arial"/>
                <w:sz w:val="18"/>
                <w:szCs w:val="18"/>
                <w:color w:val="231F20"/>
              </w:rPr>
              <w:t>Interest expense, net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3,429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3,217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6,846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6,617</w:t>
            </w:r>
          </w:p>
        </w:tc>
      </w:tr>
      <w:tr>
        <w:trPr>
          <w:trHeight w:val="243"/>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Interest income</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(5,717)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(743)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(740)</w:t>
            </w:r>
          </w:p>
        </w:tc>
      </w:tr>
      <w:tr>
        <w:trPr>
          <w:trHeight w:val="229"/>
        </w:trPr>
        <w:tc>
          <w:tcPr>
            <w:tcW w:w="4740" w:type="dxa"/>
            <w:vAlign w:val="bottom"/>
          </w:tcPr>
          <w:p>
            <w:pPr>
              <w:ind w:left="440"/>
              <w:spacing w:after="0"/>
              <w:rPr>
                <w:sz w:val="20"/>
                <w:szCs w:val="20"/>
                <w:color w:val="auto"/>
              </w:rPr>
            </w:pPr>
            <w:r>
              <w:rPr>
                <w:rFonts w:ascii="Arial" w:cs="Arial" w:eastAsia="Arial" w:hAnsi="Arial"/>
                <w:sz w:val="18"/>
                <w:szCs w:val="18"/>
                <w:color w:val="231F20"/>
              </w:rPr>
              <w:t>Other (income) expense, net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(915)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(465)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19</w:t>
            </w:r>
          </w:p>
        </w:tc>
      </w:tr>
      <w:tr>
        <w:trPr>
          <w:trHeight w:val="230"/>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Change in fair value of warrant 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(15,185)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(2,509)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(67,237)</w:t>
            </w:r>
          </w:p>
        </w:tc>
      </w:tr>
      <w:tr>
        <w:trPr>
          <w:trHeight w:val="229"/>
        </w:trPr>
        <w:tc>
          <w:tcPr>
            <w:tcW w:w="4740" w:type="dxa"/>
            <w:vAlign w:val="bottom"/>
          </w:tcPr>
          <w:p>
            <w:pPr>
              <w:ind w:left="440"/>
              <w:spacing w:after="0"/>
              <w:rPr>
                <w:sz w:val="20"/>
                <w:szCs w:val="20"/>
                <w:color w:val="auto"/>
              </w:rPr>
            </w:pPr>
            <w:r>
              <w:rPr>
                <w:rFonts w:ascii="Arial" w:cs="Arial" w:eastAsia="Arial" w:hAnsi="Arial"/>
                <w:sz w:val="18"/>
                <w:szCs w:val="18"/>
                <w:color w:val="231F20"/>
              </w:rPr>
              <w:t>Foreign currency transaction (gain) loss,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(397)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2,206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(1,546)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1,838</w:t>
            </w:r>
          </w:p>
        </w:tc>
      </w:tr>
      <w:tr>
        <w:trPr>
          <w:trHeight w:val="237"/>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231F20"/>
              </w:rPr>
              <w:t>Income (loss) before provision for income taxes</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6,393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(22,750)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40,463</w:t>
            </w:r>
          </w:p>
        </w:tc>
      </w:tr>
      <w:tr>
        <w:trPr>
          <w:trHeight w:val="237"/>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231F20"/>
              </w:rPr>
              <w:t>Income tax (benefit) expense</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(2,193)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(5,855)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2,691</w:t>
            </w:r>
          </w:p>
        </w:tc>
      </w:tr>
      <w:tr>
        <w:trPr>
          <w:trHeight w:val="256"/>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3,364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231F20"/>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6,317</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231F20"/>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(16,895)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37,772</w:t>
            </w:r>
          </w:p>
        </w:tc>
      </w:tr>
      <w:tr>
        <w:trPr>
          <w:trHeight w:val="209"/>
        </w:trPr>
        <w:tc>
          <w:tcPr>
            <w:tcW w:w="4740" w:type="dxa"/>
            <w:vAlign w:val="bottom"/>
          </w:tcPr>
          <w:p>
            <w:pPr>
              <w:ind w:left="20"/>
              <w:spacing w:after="0"/>
              <w:rPr>
                <w:sz w:val="20"/>
                <w:szCs w:val="20"/>
                <w:color w:val="auto"/>
              </w:rPr>
            </w:pPr>
            <w:r>
              <w:rPr>
                <w:rFonts w:ascii="Arial" w:cs="Arial" w:eastAsia="Arial" w:hAnsi="Arial"/>
                <w:sz w:val="18"/>
                <w:szCs w:val="18"/>
                <w:b w:val="1"/>
                <w:bCs w:val="1"/>
                <w:color w:val="231F20"/>
              </w:rPr>
              <w:t>Comprehensive income (loss), net of tax:</w:t>
            </w: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Foreign currency translation adjustments</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(367)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(3,687)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521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(3,832)</w:t>
            </w: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b w:val="1"/>
                <w:bCs w:val="1"/>
                <w:color w:val="231F20"/>
              </w:rPr>
              <w:t>Comprehensive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231F20"/>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2,630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231F20"/>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(16,374)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231F20"/>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33,940</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3"/>
        </w:trPr>
        <w:tc>
          <w:tcPr>
            <w:tcW w:w="474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231F20"/>
              </w:rPr>
              <w:t>Net income (loss) per share</w:t>
            </w: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57"/>
        </w:trPr>
        <w:tc>
          <w:tcPr>
            <w:tcW w:w="4740" w:type="dxa"/>
            <w:vAlign w:val="bottom"/>
          </w:tcPr>
          <w:p>
            <w:pPr>
              <w:ind w:left="460"/>
              <w:spacing w:after="0"/>
              <w:rPr>
                <w:sz w:val="20"/>
                <w:szCs w:val="20"/>
                <w:color w:val="auto"/>
              </w:rPr>
            </w:pPr>
            <w:r>
              <w:rPr>
                <w:rFonts w:ascii="Arial" w:cs="Arial" w:eastAsia="Arial" w:hAnsi="Arial"/>
                <w:sz w:val="18"/>
                <w:szCs w:val="18"/>
                <w:color w:val="231F20"/>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231F20"/>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0.03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231F20"/>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0.04</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231F20"/>
              </w:rPr>
              <w:t>$</w:t>
            </w:r>
          </w:p>
        </w:tc>
        <w:tc>
          <w:tcPr>
            <w:tcW w:w="1260" w:type="dxa"/>
            <w:vAlign w:val="bottom"/>
          </w:tcPr>
          <w:p>
            <w:pPr>
              <w:jc w:val="right"/>
              <w:spacing w:after="0"/>
              <w:rPr>
                <w:sz w:val="20"/>
                <w:szCs w:val="20"/>
                <w:color w:val="auto"/>
              </w:rPr>
            </w:pPr>
            <w:r>
              <w:rPr>
                <w:rFonts w:ascii="Arial" w:cs="Arial" w:eastAsia="Arial" w:hAnsi="Arial"/>
                <w:sz w:val="18"/>
                <w:szCs w:val="18"/>
                <w:color w:val="231F20"/>
              </w:rPr>
              <w:t>(0.13)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231F20"/>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0.25</w:t>
            </w:r>
          </w:p>
        </w:tc>
      </w:tr>
      <w:tr>
        <w:trPr>
          <w:trHeight w:val="256"/>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231F20"/>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231F20"/>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(0.06)</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231F20"/>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(0.13)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(0.19)</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231F20"/>
              </w:rPr>
              <w:t>Weighted average common shares outstanding</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231F20"/>
              </w:rPr>
              <w:t>Basic</w:t>
            </w: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132,716,024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150,731,491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132,569,209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150,665,166</w:t>
            </w:r>
          </w:p>
        </w:tc>
      </w:tr>
      <w:tr>
        <w:trPr>
          <w:trHeight w:val="243"/>
        </w:trPr>
        <w:tc>
          <w:tcPr>
            <w:tcW w:w="4740" w:type="dxa"/>
            <w:vAlign w:val="bottom"/>
          </w:tcPr>
          <w:p>
            <w:pPr>
              <w:ind w:left="460"/>
              <w:spacing w:after="0"/>
              <w:rPr>
                <w:sz w:val="20"/>
                <w:szCs w:val="20"/>
                <w:color w:val="auto"/>
              </w:rPr>
            </w:pPr>
            <w:r>
              <w:rPr>
                <w:rFonts w:ascii="Arial" w:cs="Arial" w:eastAsia="Arial" w:hAnsi="Arial"/>
                <w:sz w:val="18"/>
                <w:szCs w:val="18"/>
                <w:color w:val="231F20"/>
              </w:rPr>
              <w:t>Diluted</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132,716,024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151,719,451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132,569,209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152,274,394</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231F20"/>
        </w:rPr>
        <w:t>THE BEAUTY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6"/>
            <w:vMerge w:val="restart"/>
          </w:tcPr>
          <w:p>
            <w:pPr>
              <w:jc w:val="right"/>
              <w:ind w:right="45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4"/>
              </w:rPr>
              <w:t>Accumulated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right"/>
              <w:ind w:right="300"/>
              <w:spacing w:after="0" w:line="145" w:lineRule="exact"/>
              <w:rPr>
                <w:sz w:val="20"/>
                <w:szCs w:val="20"/>
                <w:color w:val="auto"/>
              </w:rPr>
            </w:pPr>
            <w:r>
              <w:rPr>
                <w:rFonts w:ascii="Arial" w:cs="Arial" w:eastAsia="Arial" w:hAnsi="Arial"/>
                <w:sz w:val="14"/>
                <w:szCs w:val="14"/>
                <w:b w:val="1"/>
                <w:bCs w:val="1"/>
                <w:color w:val="auto"/>
                <w:w w:val="97"/>
              </w:rPr>
              <w:t>Comprehensive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4"/>
          </w:tcPr>
          <w:p>
            <w:pPr>
              <w:ind w:left="20"/>
              <w:spacing w:after="0" w:line="145" w:lineRule="exact"/>
              <w:rPr>
                <w:sz w:val="20"/>
                <w:szCs w:val="20"/>
                <w:color w:val="auto"/>
              </w:rPr>
            </w:pPr>
            <w:r>
              <w:rPr>
                <w:rFonts w:ascii="Arial" w:cs="Arial" w:eastAsia="Arial" w:hAnsi="Arial"/>
                <w:sz w:val="14"/>
                <w:szCs w:val="14"/>
                <w:b w:val="1"/>
                <w:bCs w:val="1"/>
                <w:color w:val="auto"/>
                <w:w w:val="93"/>
              </w:rPr>
              <w:t>Stockholders’Equity</w:t>
            </w: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3"/>
            <w:vMerge w:val="restart"/>
          </w:tcPr>
          <w:p>
            <w:pPr>
              <w:jc w:val="right"/>
              <w:ind w:right="340"/>
              <w:spacing w:after="0" w:line="135" w:lineRule="exact"/>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vMerge w:val="restart"/>
          </w:tcPr>
          <w:p>
            <w:pPr>
              <w:jc w:val="right"/>
              <w:ind w:right="320"/>
              <w:spacing w:after="0" w:line="13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74"/>
        </w:trPr>
        <w:tc>
          <w:tcPr>
            <w:tcW w:w="3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restart"/>
          </w:tcPr>
          <w:p>
            <w:pPr>
              <w:jc w:val="right"/>
              <w:ind w:right="2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8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Paid-in Capital</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150,598,047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722,250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(422,975)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298,034</w:t>
            </w: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31,455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31,455</w:t>
            </w: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Issuance of Common Stock pursuant to equity</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5,184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w:t>
            </w:r>
          </w:p>
        </w:tc>
        <w:tc>
          <w:tcPr>
            <w:tcW w:w="11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7,049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7,049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BALANCE, March 31, 2022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150,603,231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729,299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(391,520)</w:t>
            </w:r>
          </w:p>
        </w:tc>
        <w:tc>
          <w:tcPr>
            <w:tcW w:w="1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336,393</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6,317</w:t>
            </w:r>
          </w:p>
        </w:tc>
        <w:tc>
          <w:tcPr>
            <w:tcW w:w="0" w:type="dxa"/>
            <w:vAlign w:val="bottom"/>
          </w:tcPr>
          <w:p>
            <w:pPr>
              <w:spacing w:after="0"/>
              <w:rPr>
                <w:sz w:val="1"/>
                <w:szCs w:val="1"/>
                <w:color w:val="auto"/>
              </w:rPr>
            </w:pPr>
          </w:p>
        </w:tc>
      </w:tr>
      <w:tr>
        <w:trPr>
          <w:trHeight w:val="166"/>
        </w:trPr>
        <w:tc>
          <w:tcPr>
            <w:tcW w:w="3860" w:type="dxa"/>
            <w:vAlign w:val="bottom"/>
          </w:tcPr>
          <w:p>
            <w:pPr>
              <w:ind w:left="180"/>
              <w:spacing w:after="0" w:line="166" w:lineRule="exact"/>
              <w:rPr>
                <w:sz w:val="20"/>
                <w:szCs w:val="20"/>
                <w:color w:val="auto"/>
              </w:rPr>
            </w:pPr>
            <w:r>
              <w:rPr>
                <w:rFonts w:ascii="Arial" w:cs="Arial" w:eastAsia="Arial" w:hAnsi="Arial"/>
                <w:sz w:val="16"/>
                <w:szCs w:val="16"/>
                <w:color w:val="auto"/>
                <w:w w:val="96"/>
              </w:rPr>
              <w:t>Issuance of class A Common stock in connection with</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28,733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9"/>
        </w:trPr>
        <w:tc>
          <w:tcPr>
            <w:tcW w:w="3860" w:type="dxa"/>
            <w:vAlign w:val="bottom"/>
          </w:tcPr>
          <w:p>
            <w:pPr>
              <w:ind w:left="360"/>
              <w:spacing w:after="0"/>
              <w:rPr>
                <w:sz w:val="20"/>
                <w:szCs w:val="20"/>
                <w:color w:val="auto"/>
              </w:rPr>
            </w:pPr>
            <w:r>
              <w:rPr>
                <w:rFonts w:ascii="Arial" w:cs="Arial" w:eastAsia="Arial" w:hAnsi="Arial"/>
                <w:sz w:val="16"/>
                <w:szCs w:val="16"/>
                <w:color w:val="auto"/>
              </w:rPr>
              <w:t>acquisitions</w:t>
            </w: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Issuance of common stock pursuant to equity</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252,536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w:t>
            </w:r>
          </w:p>
        </w:tc>
        <w:tc>
          <w:tcPr>
            <w:tcW w:w="11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6,378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6,378</w:t>
            </w: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8"/>
              </w:rPr>
              <w:t>Shares withheld for tax withholdings on vested stock</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(29,475)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awards</w:t>
            </w:r>
          </w:p>
        </w:tc>
        <w:tc>
          <w:tcPr>
            <w:tcW w:w="11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w:t>
            </w:r>
          </w:p>
        </w:tc>
        <w:tc>
          <w:tcPr>
            <w:tcW w:w="0" w:type="dxa"/>
            <w:vAlign w:val="bottom"/>
          </w:tcPr>
          <w:p>
            <w:pPr>
              <w:spacing w:after="0"/>
              <w:rPr>
                <w:sz w:val="1"/>
                <w:szCs w:val="1"/>
                <w:color w:val="auto"/>
              </w:rPr>
            </w:pPr>
          </w:p>
        </w:tc>
      </w:tr>
      <w:tr>
        <w:trPr>
          <w:trHeight w:val="23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150,855,025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735,682</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345,406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2022</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132,214,695</w:t>
            </w:r>
          </w:p>
        </w:tc>
        <w:tc>
          <w:tcPr>
            <w:tcW w:w="660" w:type="dxa"/>
            <w:vAlign w:val="bottom"/>
            <w:gridSpan w:val="3"/>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550,320</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(378,751)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167,053</w:t>
            </w: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(20,259)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(20,259)</w:t>
            </w: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Issuance of Common Stock pursuant to equity</w:t>
            </w:r>
          </w:p>
        </w:tc>
        <w:tc>
          <w:tcPr>
            <w:tcW w:w="138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473,049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w:t>
            </w:r>
          </w:p>
        </w:tc>
        <w:tc>
          <w:tcPr>
            <w:tcW w:w="1380" w:type="dxa"/>
            <w:vAlign w:val="bottom"/>
            <w:gridSpan w:val="4"/>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860" w:type="dxa"/>
            <w:vAlign w:val="bottom"/>
          </w:tcPr>
          <w:p>
            <w:pPr>
              <w:ind w:left="180"/>
              <w:spacing w:after="0" w:line="166" w:lineRule="exact"/>
              <w:rPr>
                <w:sz w:val="20"/>
                <w:szCs w:val="20"/>
                <w:color w:val="auto"/>
              </w:rPr>
            </w:pPr>
            <w:r>
              <w:rPr>
                <w:rFonts w:ascii="Arial" w:cs="Arial" w:eastAsia="Arial" w:hAnsi="Arial"/>
                <w:sz w:val="16"/>
                <w:szCs w:val="16"/>
                <w:color w:val="auto"/>
                <w:w w:val="98"/>
              </w:rPr>
              <w:t>Shares withheld for tax withholdings on vested stock</w:t>
            </w:r>
          </w:p>
        </w:tc>
        <w:tc>
          <w:tcPr>
            <w:tcW w:w="1440" w:type="dxa"/>
            <w:vAlign w:val="bottom"/>
            <w:gridSpan w:val="5"/>
            <w:vMerge w:val="restart"/>
          </w:tcPr>
          <w:p>
            <w:pPr>
              <w:jc w:val="right"/>
              <w:spacing w:after="0"/>
              <w:rPr>
                <w:sz w:val="20"/>
                <w:szCs w:val="20"/>
                <w:color w:val="auto"/>
              </w:rPr>
            </w:pPr>
            <w:r>
              <w:rPr>
                <w:rFonts w:ascii="Arial" w:cs="Arial" w:eastAsia="Arial" w:hAnsi="Arial"/>
                <w:sz w:val="16"/>
                <w:szCs w:val="16"/>
                <w:color w:val="auto"/>
              </w:rPr>
              <w:t>(170,415)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(2,195)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(2,195)</w:t>
            </w:r>
          </w:p>
        </w:tc>
        <w:tc>
          <w:tcPr>
            <w:tcW w:w="0" w:type="dxa"/>
            <w:vAlign w:val="bottom"/>
          </w:tcPr>
          <w:p>
            <w:pPr>
              <w:spacing w:after="0"/>
              <w:rPr>
                <w:sz w:val="1"/>
                <w:szCs w:val="1"/>
                <w:color w:val="auto"/>
              </w:rPr>
            </w:pPr>
          </w:p>
        </w:tc>
      </w:tr>
      <w:tr>
        <w:trPr>
          <w:trHeight w:val="209"/>
        </w:trPr>
        <w:tc>
          <w:tcPr>
            <w:tcW w:w="3860" w:type="dxa"/>
            <w:vAlign w:val="bottom"/>
          </w:tcPr>
          <w:p>
            <w:pPr>
              <w:ind w:left="360"/>
              <w:spacing w:after="0"/>
              <w:rPr>
                <w:sz w:val="20"/>
                <w:szCs w:val="20"/>
                <w:color w:val="auto"/>
              </w:rPr>
            </w:pPr>
            <w:r>
              <w:rPr>
                <w:rFonts w:ascii="Arial" w:cs="Arial" w:eastAsia="Arial" w:hAnsi="Arial"/>
                <w:sz w:val="16"/>
                <w:szCs w:val="16"/>
                <w:color w:val="auto"/>
              </w:rPr>
              <w:t>awards</w:t>
            </w:r>
          </w:p>
        </w:tc>
        <w:tc>
          <w:tcPr>
            <w:tcW w:w="14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4"/>
              </w:rPr>
              <w:t>Issuance of Common Stock relating to employee stock</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plan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3,577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relating to asset acquisition</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109,625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888</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3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2023</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132,626,954</w:t>
            </w:r>
          </w:p>
        </w:tc>
        <w:tc>
          <w:tcPr>
            <w:tcW w:w="660" w:type="dxa"/>
            <w:vAlign w:val="bottom"/>
            <w:gridSpan w:val="3"/>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555,046</w:t>
            </w:r>
          </w:p>
        </w:tc>
        <w:tc>
          <w:tcPr>
            <w:tcW w:w="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(399,010)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152,408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3,364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3,364</w:t>
            </w: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Issuance of Common Stock pursuant to equity</w:t>
            </w:r>
          </w:p>
        </w:tc>
        <w:tc>
          <w:tcPr>
            <w:tcW w:w="138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254,742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w:t>
            </w:r>
          </w:p>
        </w:tc>
        <w:tc>
          <w:tcPr>
            <w:tcW w:w="1380" w:type="dxa"/>
            <w:vAlign w:val="bottom"/>
            <w:gridSpan w:val="4"/>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860" w:type="dxa"/>
            <w:vAlign w:val="bottom"/>
          </w:tcPr>
          <w:p>
            <w:pPr>
              <w:ind w:left="180"/>
              <w:spacing w:after="0" w:line="166" w:lineRule="exact"/>
              <w:rPr>
                <w:sz w:val="20"/>
                <w:szCs w:val="20"/>
                <w:color w:val="auto"/>
              </w:rPr>
            </w:pPr>
            <w:r>
              <w:rPr>
                <w:rFonts w:ascii="Arial" w:cs="Arial" w:eastAsia="Arial" w:hAnsi="Arial"/>
                <w:sz w:val="16"/>
                <w:szCs w:val="16"/>
                <w:color w:val="auto"/>
                <w:w w:val="98"/>
              </w:rPr>
              <w:t>Shares withheld for tax withholdings on vested stock</w:t>
            </w:r>
          </w:p>
        </w:tc>
        <w:tc>
          <w:tcPr>
            <w:tcW w:w="1440" w:type="dxa"/>
            <w:vAlign w:val="bottom"/>
            <w:gridSpan w:val="5"/>
            <w:vMerge w:val="restart"/>
          </w:tcPr>
          <w:p>
            <w:pPr>
              <w:jc w:val="right"/>
              <w:spacing w:after="0"/>
              <w:rPr>
                <w:sz w:val="20"/>
                <w:szCs w:val="20"/>
                <w:color w:val="auto"/>
              </w:rPr>
            </w:pPr>
            <w:r>
              <w:rPr>
                <w:rFonts w:ascii="Arial" w:cs="Arial" w:eastAsia="Arial" w:hAnsi="Arial"/>
                <w:sz w:val="16"/>
                <w:szCs w:val="16"/>
                <w:color w:val="auto"/>
              </w:rPr>
              <w:t>(83,234)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(545)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9"/>
        </w:trPr>
        <w:tc>
          <w:tcPr>
            <w:tcW w:w="3860" w:type="dxa"/>
            <w:vAlign w:val="bottom"/>
          </w:tcPr>
          <w:p>
            <w:pPr>
              <w:ind w:left="360"/>
              <w:spacing w:after="0"/>
              <w:rPr>
                <w:sz w:val="20"/>
                <w:szCs w:val="20"/>
                <w:color w:val="auto"/>
              </w:rPr>
            </w:pPr>
            <w:r>
              <w:rPr>
                <w:rFonts w:ascii="Arial" w:cs="Arial" w:eastAsia="Arial" w:hAnsi="Arial"/>
                <w:sz w:val="16"/>
                <w:szCs w:val="16"/>
                <w:color w:val="auto"/>
              </w:rPr>
              <w:t>awards</w:t>
            </w:r>
          </w:p>
        </w:tc>
        <w:tc>
          <w:tcPr>
            <w:tcW w:w="14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4"/>
              </w:rPr>
              <w:t>Issuance of Common Stock relating to employee stock</w:t>
            </w:r>
          </w:p>
        </w:tc>
        <w:tc>
          <w:tcPr>
            <w:tcW w:w="138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82,955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plan</w:t>
            </w:r>
          </w:p>
        </w:tc>
        <w:tc>
          <w:tcPr>
            <w:tcW w:w="1380" w:type="dxa"/>
            <w:vAlign w:val="bottom"/>
            <w:gridSpan w:val="4"/>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8,524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8,524</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Accelerated share repurchase payment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(2,240)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(367)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3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2023</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132,881,417</w:t>
            </w:r>
          </w:p>
        </w:tc>
        <w:tc>
          <w:tcPr>
            <w:tcW w:w="660" w:type="dxa"/>
            <w:vAlign w:val="bottom"/>
            <w:gridSpan w:val="3"/>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561,483</w:t>
            </w:r>
          </w:p>
        </w:tc>
        <w:tc>
          <w:tcPr>
            <w:tcW w:w="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(4,009)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(395,646)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161,842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financial statements.</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5" w:name="page6"/>
    <w:bookmarkEnd w:id="5"/>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THE BEAUTY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231F20"/>
              </w:rPr>
              <w:t>Six Months Ended June 30,</w:t>
            </w:r>
          </w:p>
        </w:tc>
      </w:tr>
      <w:tr>
        <w:trPr>
          <w:trHeight w:val="210"/>
        </w:trPr>
        <w:tc>
          <w:tcPr>
            <w:tcW w:w="8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231F20"/>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231F20"/>
              </w:rPr>
              <w:t>2022</w:t>
            </w:r>
          </w:p>
        </w:tc>
      </w:tr>
      <w:tr>
        <w:trPr>
          <w:trHeight w:val="37"/>
        </w:trPr>
        <w:tc>
          <w:tcPr>
            <w:tcW w:w="8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Cash flows from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231F20"/>
              </w:rPr>
              <w:t>Net (loss) income</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(16,895)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37,772</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Adjustments to reconcile net (loss) income to net cash from operating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080" w:type="dxa"/>
            <w:vAlign w:val="bottom"/>
          </w:tcPr>
          <w:p>
            <w:pPr>
              <w:ind w:left="420"/>
              <w:spacing w:after="0"/>
              <w:rPr>
                <w:sz w:val="20"/>
                <w:szCs w:val="20"/>
                <w:color w:val="auto"/>
              </w:rPr>
            </w:pPr>
            <w:r>
              <w:rPr>
                <w:rFonts w:ascii="Arial" w:cs="Arial" w:eastAsia="Arial" w:hAnsi="Arial"/>
                <w:sz w:val="16"/>
                <w:szCs w:val="16"/>
                <w:color w:val="231F20"/>
              </w:rPr>
              <w:t>Share-based compensation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13,427</w:t>
            </w:r>
          </w:p>
        </w:tc>
      </w:tr>
      <w:tr>
        <w:trPr>
          <w:trHeight w:val="219"/>
        </w:trPr>
        <w:tc>
          <w:tcPr>
            <w:tcW w:w="808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Amortization of intangible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7,371</w:t>
            </w:r>
          </w:p>
        </w:tc>
      </w:tr>
      <w:tr>
        <w:trPr>
          <w:trHeight w:val="213"/>
        </w:trPr>
        <w:tc>
          <w:tcPr>
            <w:tcW w:w="8080" w:type="dxa"/>
            <w:vAlign w:val="bottom"/>
          </w:tcPr>
          <w:p>
            <w:pPr>
              <w:ind w:left="420"/>
              <w:spacing w:after="0"/>
              <w:rPr>
                <w:sz w:val="20"/>
                <w:szCs w:val="20"/>
                <w:color w:val="auto"/>
              </w:rPr>
            </w:pPr>
            <w:r>
              <w:rPr>
                <w:rFonts w:ascii="Arial" w:cs="Arial" w:eastAsia="Arial" w:hAnsi="Arial"/>
                <w:sz w:val="16"/>
                <w:szCs w:val="16"/>
                <w:color w:val="231F20"/>
              </w:rPr>
              <w:t>Depreciation of property and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3,268</w:t>
            </w:r>
          </w:p>
        </w:tc>
      </w:tr>
      <w:tr>
        <w:trPr>
          <w:trHeight w:val="219"/>
        </w:trPr>
        <w:tc>
          <w:tcPr>
            <w:tcW w:w="808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Amortization of other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8080" w:type="dxa"/>
            <w:vAlign w:val="bottom"/>
          </w:tcPr>
          <w:p>
            <w:pPr>
              <w:ind w:left="420"/>
              <w:spacing w:after="0"/>
              <w:rPr>
                <w:sz w:val="20"/>
                <w:szCs w:val="20"/>
                <w:color w:val="auto"/>
              </w:rPr>
            </w:pPr>
            <w:r>
              <w:rPr>
                <w:rFonts w:ascii="Arial" w:cs="Arial" w:eastAsia="Arial" w:hAnsi="Arial"/>
                <w:sz w:val="16"/>
                <w:szCs w:val="16"/>
                <w:color w:val="231F20"/>
              </w:rPr>
              <w:t>Amortization of debt issuance costs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2,114</w:t>
            </w:r>
          </w:p>
        </w:tc>
      </w:tr>
      <w:tr>
        <w:trPr>
          <w:trHeight w:val="219"/>
        </w:trPr>
        <w:tc>
          <w:tcPr>
            <w:tcW w:w="808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Inventory write-down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r>
      <w:tr>
        <w:trPr>
          <w:trHeight w:val="213"/>
        </w:trPr>
        <w:tc>
          <w:tcPr>
            <w:tcW w:w="8080" w:type="dxa"/>
            <w:vAlign w:val="bottom"/>
          </w:tcPr>
          <w:p>
            <w:pPr>
              <w:ind w:left="420"/>
              <w:spacing w:after="0"/>
              <w:rPr>
                <w:sz w:val="20"/>
                <w:szCs w:val="20"/>
                <w:color w:val="auto"/>
              </w:rPr>
            </w:pPr>
            <w:r>
              <w:rPr>
                <w:rFonts w:ascii="Arial" w:cs="Arial" w:eastAsia="Arial" w:hAnsi="Arial"/>
                <w:sz w:val="16"/>
                <w:szCs w:val="16"/>
                <w:color w:val="231F20"/>
              </w:rPr>
              <w:t>Provision for estimated credit losses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219"/>
        </w:trPr>
        <w:tc>
          <w:tcPr>
            <w:tcW w:w="808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Change in fair value adjustment of warrant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(67,237)</w:t>
            </w:r>
          </w:p>
        </w:tc>
      </w:tr>
      <w:tr>
        <w:trPr>
          <w:trHeight w:val="213"/>
        </w:trPr>
        <w:tc>
          <w:tcPr>
            <w:tcW w:w="8080" w:type="dxa"/>
            <w:vAlign w:val="bottom"/>
          </w:tcPr>
          <w:p>
            <w:pPr>
              <w:ind w:left="420"/>
              <w:spacing w:after="0"/>
              <w:rPr>
                <w:sz w:val="20"/>
                <w:szCs w:val="20"/>
                <w:color w:val="auto"/>
              </w:rPr>
            </w:pPr>
            <w:r>
              <w:rPr>
                <w:rFonts w:ascii="Arial" w:cs="Arial" w:eastAsia="Arial" w:hAnsi="Arial"/>
                <w:sz w:val="16"/>
                <w:szCs w:val="16"/>
                <w:color w:val="231F20"/>
              </w:rPr>
              <w:t>Other,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5,108</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Changes in operating assets and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080" w:type="dxa"/>
            <w:vAlign w:val="bottom"/>
          </w:tcPr>
          <w:p>
            <w:pPr>
              <w:ind w:left="420"/>
              <w:spacing w:after="0"/>
              <w:rPr>
                <w:sz w:val="20"/>
                <w:szCs w:val="20"/>
                <w:color w:val="auto"/>
              </w:rPr>
            </w:pPr>
            <w:r>
              <w:rPr>
                <w:rFonts w:ascii="Arial" w:cs="Arial" w:eastAsia="Arial" w:hAnsi="Arial"/>
                <w:sz w:val="16"/>
                <w:szCs w:val="16"/>
                <w:color w:val="231F20"/>
              </w:rPr>
              <w:t>Accounts receivable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(34,410)</w:t>
            </w:r>
          </w:p>
        </w:tc>
      </w:tr>
      <w:tr>
        <w:trPr>
          <w:trHeight w:val="219"/>
        </w:trPr>
        <w:tc>
          <w:tcPr>
            <w:tcW w:w="808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Inventories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(38,596)</w:t>
            </w:r>
          </w:p>
        </w:tc>
      </w:tr>
      <w:tr>
        <w:trPr>
          <w:trHeight w:val="213"/>
        </w:trPr>
        <w:tc>
          <w:tcPr>
            <w:tcW w:w="8080" w:type="dxa"/>
            <w:vAlign w:val="bottom"/>
          </w:tcPr>
          <w:p>
            <w:pPr>
              <w:ind w:left="420"/>
              <w:spacing w:after="0"/>
              <w:rPr>
                <w:sz w:val="20"/>
                <w:szCs w:val="20"/>
                <w:color w:val="auto"/>
              </w:rPr>
            </w:pPr>
            <w:r>
              <w:rPr>
                <w:rFonts w:ascii="Arial" w:cs="Arial" w:eastAsia="Arial" w:hAnsi="Arial"/>
                <w:sz w:val="16"/>
                <w:szCs w:val="16"/>
                <w:color w:val="231F20"/>
              </w:rPr>
              <w:t>Prepaid expenses, other current assets, and income tax receivable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(5,209)</w:t>
            </w:r>
          </w:p>
        </w:tc>
      </w:tr>
      <w:tr>
        <w:trPr>
          <w:trHeight w:val="219"/>
        </w:trPr>
        <w:tc>
          <w:tcPr>
            <w:tcW w:w="808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Accounts payable, accrued expenses, and income tax payable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8,449</w:t>
            </w:r>
          </w:p>
        </w:tc>
      </w:tr>
      <w:tr>
        <w:trPr>
          <w:trHeight w:val="216"/>
        </w:trPr>
        <w:tc>
          <w:tcPr>
            <w:tcW w:w="8080" w:type="dxa"/>
            <w:vAlign w:val="bottom"/>
          </w:tcPr>
          <w:p>
            <w:pPr>
              <w:ind w:left="420"/>
              <w:spacing w:after="0"/>
              <w:rPr>
                <w:sz w:val="20"/>
                <w:szCs w:val="20"/>
                <w:color w:val="auto"/>
              </w:rPr>
            </w:pPr>
            <w:r>
              <w:rPr>
                <w:rFonts w:ascii="Arial" w:cs="Arial" w:eastAsia="Arial" w:hAnsi="Arial"/>
                <w:sz w:val="16"/>
                <w:szCs w:val="16"/>
                <w:color w:val="231F20"/>
              </w:rPr>
              <w:t>Other, net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(4,420)</w:t>
            </w:r>
          </w:p>
        </w:tc>
        <w:tc>
          <w:tcPr>
            <w:tcW w:w="120" w:type="dxa"/>
            <w:vAlign w:val="bottom"/>
            <w:tcBorders>
              <w:bottom w:val="single" w:sz="8" w:color="231F20"/>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(4,606)</w:t>
            </w:r>
          </w:p>
        </w:tc>
      </w:tr>
      <w:tr>
        <w:trPr>
          <w:trHeight w:val="210"/>
        </w:trPr>
        <w:tc>
          <w:tcPr>
            <w:tcW w:w="8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231F20"/>
              </w:rPr>
              <w:t>Net cash provided by (used for)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(69,806)</w:t>
            </w:r>
          </w:p>
        </w:tc>
      </w:tr>
      <w:tr>
        <w:trPr>
          <w:trHeight w:val="204"/>
        </w:trPr>
        <w:tc>
          <w:tcPr>
            <w:tcW w:w="8080" w:type="dxa"/>
            <w:vAlign w:val="bottom"/>
          </w:tcPr>
          <w:p>
            <w:pPr>
              <w:ind w:left="60"/>
              <w:spacing w:after="0"/>
              <w:rPr>
                <w:sz w:val="20"/>
                <w:szCs w:val="20"/>
                <w:color w:val="auto"/>
              </w:rPr>
            </w:pPr>
            <w:r>
              <w:rPr>
                <w:rFonts w:ascii="Arial" w:cs="Arial" w:eastAsia="Arial" w:hAnsi="Arial"/>
                <w:sz w:val="16"/>
                <w:szCs w:val="16"/>
                <w:b w:val="1"/>
                <w:bCs w:val="1"/>
                <w:color w:val="231F20"/>
              </w:rPr>
              <w:t>Cash flows from investing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3"/>
        </w:trPr>
        <w:tc>
          <w:tcPr>
            <w:tcW w:w="8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Cash paid for intangible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r>
      <w:tr>
        <w:trPr>
          <w:trHeight w:val="213"/>
        </w:trPr>
        <w:tc>
          <w:tcPr>
            <w:tcW w:w="8080" w:type="dxa"/>
            <w:vAlign w:val="bottom"/>
          </w:tcPr>
          <w:p>
            <w:pPr>
              <w:ind w:left="440"/>
              <w:spacing w:after="0"/>
              <w:rPr>
                <w:sz w:val="20"/>
                <w:szCs w:val="20"/>
                <w:color w:val="auto"/>
              </w:rPr>
            </w:pPr>
            <w:r>
              <w:rPr>
                <w:rFonts w:ascii="Arial" w:cs="Arial" w:eastAsia="Arial" w:hAnsi="Arial"/>
                <w:sz w:val="16"/>
                <w:szCs w:val="16"/>
                <w:color w:val="231F20"/>
              </w:rPr>
              <w:t>Cash paid for property and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(5,577)</w:t>
            </w:r>
          </w:p>
        </w:tc>
      </w:tr>
      <w:tr>
        <w:trPr>
          <w:trHeight w:val="219"/>
        </w:trPr>
        <w:tc>
          <w:tcPr>
            <w:tcW w:w="808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Cash paid for asset acquisitions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r>
      <w:tr>
        <w:trPr>
          <w:trHeight w:val="207"/>
        </w:trPr>
        <w:tc>
          <w:tcPr>
            <w:tcW w:w="808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231F20"/>
              </w:rPr>
              <w:t>Net cash used for investing activities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(8,304)</w:t>
            </w:r>
          </w:p>
        </w:tc>
      </w:tr>
      <w:tr>
        <w:trPr>
          <w:trHeight w:val="199"/>
        </w:trPr>
        <w:tc>
          <w:tcPr>
            <w:tcW w:w="80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231F20"/>
              </w:rPr>
              <w:t>Cash flows from financing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080" w:type="dxa"/>
            <w:vAlign w:val="bottom"/>
          </w:tcPr>
          <w:p>
            <w:pPr>
              <w:ind w:left="440"/>
              <w:spacing w:after="0"/>
              <w:rPr>
                <w:sz w:val="20"/>
                <w:szCs w:val="20"/>
                <w:color w:val="auto"/>
              </w:rPr>
            </w:pPr>
            <w:r>
              <w:rPr>
                <w:rFonts w:ascii="Arial" w:cs="Arial" w:eastAsia="Arial" w:hAnsi="Arial"/>
                <w:sz w:val="16"/>
                <w:szCs w:val="16"/>
                <w:color w:val="231F20"/>
              </w:rPr>
              <w:t>Payment of tax withholdings on vested stock awards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Payment of contingent consideration related to acquisitions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w:t>
            </w:r>
          </w:p>
        </w:tc>
      </w:tr>
      <w:tr>
        <w:trPr>
          <w:trHeight w:val="213"/>
        </w:trPr>
        <w:tc>
          <w:tcPr>
            <w:tcW w:w="8080" w:type="dxa"/>
            <w:vAlign w:val="bottom"/>
          </w:tcPr>
          <w:p>
            <w:pPr>
              <w:ind w:left="440"/>
              <w:spacing w:after="0"/>
              <w:rPr>
                <w:sz w:val="20"/>
                <w:szCs w:val="20"/>
                <w:color w:val="auto"/>
              </w:rPr>
            </w:pPr>
            <w:r>
              <w:rPr>
                <w:rFonts w:ascii="Arial" w:cs="Arial" w:eastAsia="Arial" w:hAnsi="Arial"/>
                <w:sz w:val="16"/>
                <w:szCs w:val="16"/>
                <w:color w:val="231F20"/>
              </w:rPr>
              <w:t>Payment of accelerated share repurchases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231F20"/>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80" w:type="dxa"/>
            <w:vAlign w:val="bottom"/>
          </w:tcPr>
          <w:p>
            <w:pPr>
              <w:ind w:left="860"/>
              <w:spacing w:after="0"/>
              <w:rPr>
                <w:sz w:val="20"/>
                <w:szCs w:val="20"/>
                <w:color w:val="auto"/>
              </w:rPr>
            </w:pPr>
            <w:r>
              <w:rPr>
                <w:rFonts w:ascii="Arial" w:cs="Arial" w:eastAsia="Arial" w:hAnsi="Arial"/>
                <w:sz w:val="16"/>
                <w:szCs w:val="16"/>
                <w:color w:val="231F20"/>
              </w:rPr>
              <w:t>Net cash used for financing activities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(2,763)</w:t>
            </w:r>
          </w:p>
        </w:tc>
      </w:tr>
      <w:tr>
        <w:trPr>
          <w:trHeight w:val="210"/>
        </w:trPr>
        <w:tc>
          <w:tcPr>
            <w:tcW w:w="8080" w:type="dxa"/>
            <w:vAlign w:val="bottom"/>
            <w:shd w:val="clear" w:color="auto" w:fill="CCEEFF"/>
          </w:tcPr>
          <w:p>
            <w:pPr>
              <w:ind w:left="60"/>
              <w:spacing w:after="0"/>
              <w:rPr>
                <w:sz w:val="20"/>
                <w:szCs w:val="20"/>
                <w:color w:val="auto"/>
              </w:rPr>
            </w:pPr>
            <w:r>
              <w:rPr>
                <w:rFonts w:ascii="Arial" w:cs="Arial" w:eastAsia="Arial" w:hAnsi="Arial"/>
                <w:sz w:val="16"/>
                <w:szCs w:val="16"/>
                <w:color w:val="231F20"/>
              </w:rPr>
              <w:t>Net decrease in cash and cash equivalents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(80,873)</w:t>
            </w:r>
          </w:p>
        </w:tc>
      </w:tr>
      <w:tr>
        <w:trPr>
          <w:trHeight w:val="213"/>
        </w:trPr>
        <w:tc>
          <w:tcPr>
            <w:tcW w:w="8080" w:type="dxa"/>
            <w:vAlign w:val="bottom"/>
          </w:tcPr>
          <w:p>
            <w:pPr>
              <w:ind w:left="60"/>
              <w:spacing w:after="0"/>
              <w:rPr>
                <w:sz w:val="20"/>
                <w:szCs w:val="20"/>
                <w:color w:val="auto"/>
              </w:rPr>
            </w:pPr>
            <w:r>
              <w:rPr>
                <w:rFonts w:ascii="Arial" w:cs="Arial" w:eastAsia="Arial" w:hAnsi="Arial"/>
                <w:sz w:val="16"/>
                <w:szCs w:val="16"/>
                <w:color w:val="231F20"/>
              </w:rPr>
              <w:t>Effect of foreign currency translation on cash</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8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231F20"/>
              </w:rPr>
              <w:t>Cash and cash equivalents,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568,197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901,886</w:t>
            </w:r>
          </w:p>
        </w:tc>
      </w:tr>
      <w:tr>
        <w:trPr>
          <w:trHeight w:val="210"/>
        </w:trPr>
        <w:tc>
          <w:tcPr>
            <w:tcW w:w="8080" w:type="dxa"/>
            <w:vAlign w:val="bottom"/>
          </w:tcPr>
          <w:p>
            <w:pPr>
              <w:ind w:left="60"/>
              <w:spacing w:after="0"/>
              <w:rPr>
                <w:sz w:val="20"/>
                <w:szCs w:val="20"/>
                <w:color w:val="auto"/>
              </w:rPr>
            </w:pPr>
            <w:r>
              <w:rPr>
                <w:rFonts w:ascii="Arial" w:cs="Arial" w:eastAsia="Arial" w:hAnsi="Arial"/>
                <w:sz w:val="16"/>
                <w:szCs w:val="16"/>
                <w:color w:val="231F20"/>
              </w:rPr>
              <w:t>Cash and cash equivalents, end of period</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549,728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820,970</w:t>
            </w:r>
          </w:p>
        </w:tc>
      </w:tr>
      <w:tr>
        <w:trPr>
          <w:trHeight w:val="20"/>
        </w:trPr>
        <w:tc>
          <w:tcPr>
            <w:tcW w:w="8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40" w:right="399" w:bottom="1440" w:gutter="0" w:footer="0" w:header="0"/>
        </w:sectPr>
      </w:pPr>
    </w:p>
    <w:bookmarkStart w:id="6" w:name="page7"/>
    <w:bookmarkEnd w:id="6"/>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THE BEAUTY HEALTH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The Beauty Health Company (the “Company”) is a global category-creating company delivering skin health experiences that help consumers reinvent their relationship with their skin, bodies and self-confidence. The Company and its subsidiaries design, develop, manufacture, market, and sell a/esthetic technologies and products. The Company’s brands are pioneers: Hydrafacial in hydradermabrasion; SkinStylus in microneedling; and Keravive in scalp health. Together, with its powerful community of estheticians, partners and consumers, the Company is personalizing skin health for all ages, genders, skin tones, and skin types.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Information</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The Company (f.k.a. Vesper Healthcare Acquisition Corp.) was incorporated in the State of Delaware on July 8, 2020. On May 4, 2021, we consummated the previously announced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r>
        <w:rPr>
          <w:rFonts w:ascii="Arial" w:cs="Arial" w:eastAsia="Arial" w:hAnsi="Arial"/>
          <w:sz w:val="16"/>
          <w:szCs w:val="16"/>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These interim financial statements should be read in conjunction with the audited consolidated financial statements and notes thereto included in, or presented as exhibits to, the Company’s Annual Report on Form 10-K for the year ended December 31, 2022.</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Subsequent to the issuance of the Company’s Annual Report on Form 10-K for the fiscal year ended December 31, 2022, during the six months ended June 30, 2023, the Company identified prior period misstatements related to the elimination of intercompany balances and right of return assets. Although the Company concluded that these misstatements were not material, either individually or in the aggregate, the Company elected to revise its previously issued consolidated financial statements on a prospective basis to correct for these misstatements. These misstatements impacted the fiscal years 2020 to 2022 and the three months ended March 31, 2023.</w:t>
      </w:r>
    </w:p>
    <w:p>
      <w:pPr>
        <w:spacing w:after="0" w:line="21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revision of the previously issued consolidated financial statements is presented in the accompanying unaudited consolidated financial statements and related disclosures. For further detail, refer to Note 15 - Revision for Immaterial Misstatements.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Revenue</w:t>
      </w:r>
    </w:p>
    <w:p>
      <w:pPr>
        <w:spacing w:after="0" w:line="25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231F20"/>
        </w:rPr>
        <w:t>The Company generates revenue primarily through manufacturing and selling Hydrafacial Delivery Systems (“Delivery Systems”) that cleanses, extracts, and hydrates the skin and the related serums, solutions, tips, and consumables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We use independent financing institutions to offer customers financing for the purchase of our products on a non-recourse basis. Under certain limited arrangements, which are not material, the customer’s receivable balance is with recourse whereby we are responsible for repaying the financing company should the customer default.</w:t>
      </w: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231F20"/>
        </w:rPr>
        <w:t>The Company manages its business on the basis of one operating segment and one reportable segment. As a result, the chief operating decision maker, who is the Chief Executive Officer, reviews financial information presented on a consolidated basis for purposes of making operating decisions, allocating resources and evaluating financial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31F20"/>
        </w:rPr>
        <w:t>The Company’s revenue disaggregated by major product line consists of the following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231F20"/>
              </w:rPr>
              <w:t>Three Months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4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231F20"/>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231F20"/>
              </w:rPr>
              <w:t>2023</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2022</w:t>
            </w:r>
          </w:p>
        </w:tc>
        <w:tc>
          <w:tcPr>
            <w:tcW w:w="0" w:type="dxa"/>
            <w:vAlign w:val="bottom"/>
          </w:tcPr>
          <w:p>
            <w:pPr>
              <w:spacing w:after="0"/>
              <w:rPr>
                <w:sz w:val="1"/>
                <w:szCs w:val="1"/>
                <w:color w:val="auto"/>
              </w:rPr>
            </w:pPr>
          </w:p>
        </w:tc>
      </w:tr>
      <w:tr>
        <w:trPr>
          <w:trHeight w:val="25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60"/>
              <w:spacing w:after="0"/>
              <w:rPr>
                <w:sz w:val="20"/>
                <w:szCs w:val="20"/>
                <w:color w:val="auto"/>
              </w:rPr>
            </w:pPr>
            <w:r>
              <w:rPr>
                <w:rFonts w:ascii="Arial" w:cs="Arial" w:eastAsia="Arial" w:hAnsi="Arial"/>
                <w:sz w:val="18"/>
                <w:szCs w:val="18"/>
                <w:color w:val="231F20"/>
              </w:rPr>
              <w:t>Delivery Systems</w:t>
            </w: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65,590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64,783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110,943</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231F20"/>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106,430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231F20"/>
              </w:rPr>
              <w:t>Consumables</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51,889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38,753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92,814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72,521</w:t>
            </w:r>
          </w:p>
        </w:tc>
        <w:tc>
          <w:tcPr>
            <w:tcW w:w="0" w:type="dxa"/>
            <w:vAlign w:val="bottom"/>
          </w:tcPr>
          <w:p>
            <w:pPr>
              <w:spacing w:after="0"/>
              <w:rPr>
                <w:sz w:val="1"/>
                <w:szCs w:val="1"/>
                <w:color w:val="auto"/>
              </w:rPr>
            </w:pPr>
          </w:p>
        </w:tc>
      </w:tr>
      <w:tr>
        <w:trPr>
          <w:trHeight w:val="236"/>
        </w:trPr>
        <w:tc>
          <w:tcPr>
            <w:tcW w:w="5240" w:type="dxa"/>
            <w:vAlign w:val="bottom"/>
          </w:tcPr>
          <w:p>
            <w:pPr>
              <w:ind w:left="360"/>
              <w:spacing w:after="0"/>
              <w:rPr>
                <w:sz w:val="20"/>
                <w:szCs w:val="20"/>
                <w:color w:val="auto"/>
              </w:rPr>
            </w:pPr>
            <w:r>
              <w:rPr>
                <w:rFonts w:ascii="Arial" w:cs="Arial" w:eastAsia="Arial" w:hAnsi="Arial"/>
                <w:sz w:val="18"/>
                <w:szCs w:val="18"/>
                <w:color w:val="231F20"/>
              </w:rPr>
              <w:t>Total net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117,479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103,536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203,757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231F20"/>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178,951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231F20"/>
        </w:rPr>
        <w:t>Net sales by geographic region were as follows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231F20"/>
              </w:rPr>
              <w:t>Three Months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231F20"/>
              </w:rPr>
              <w:t>Six Months Ended June 30,</w:t>
            </w:r>
          </w:p>
        </w:tc>
        <w:tc>
          <w:tcPr>
            <w:tcW w:w="0" w:type="dxa"/>
            <w:vAlign w:val="bottom"/>
          </w:tcPr>
          <w:p>
            <w:pPr>
              <w:spacing w:after="0"/>
              <w:rPr>
                <w:sz w:val="1"/>
                <w:szCs w:val="1"/>
                <w:color w:val="auto"/>
              </w:rPr>
            </w:pPr>
          </w:p>
        </w:tc>
      </w:tr>
      <w:tr>
        <w:trPr>
          <w:trHeight w:val="25"/>
        </w:trPr>
        <w:tc>
          <w:tcPr>
            <w:tcW w:w="524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231F20"/>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231F20"/>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231F20"/>
              </w:rPr>
              <w:t>2022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Americas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75,354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116,622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119,960</w:t>
            </w:r>
          </w:p>
        </w:tc>
        <w:tc>
          <w:tcPr>
            <w:tcW w:w="0" w:type="dxa"/>
            <w:vAlign w:val="bottom"/>
          </w:tcPr>
          <w:p>
            <w:pPr>
              <w:spacing w:after="0"/>
              <w:rPr>
                <w:sz w:val="1"/>
                <w:szCs w:val="1"/>
                <w:color w:val="auto"/>
              </w:rPr>
            </w:pPr>
          </w:p>
        </w:tc>
      </w:tr>
      <w:tr>
        <w:trPr>
          <w:trHeight w:val="230"/>
        </w:trPr>
        <w:tc>
          <w:tcPr>
            <w:tcW w:w="5240" w:type="dxa"/>
            <w:vAlign w:val="bottom"/>
          </w:tcPr>
          <w:p>
            <w:pPr>
              <w:ind w:left="80"/>
              <w:spacing w:after="0"/>
              <w:rPr>
                <w:sz w:val="20"/>
                <w:szCs w:val="20"/>
                <w:color w:val="auto"/>
              </w:rPr>
            </w:pPr>
            <w:r>
              <w:rPr>
                <w:rFonts w:ascii="Arial" w:cs="Arial" w:eastAsia="Arial" w:hAnsi="Arial"/>
                <w:sz w:val="18"/>
                <w:szCs w:val="18"/>
                <w:color w:val="231F20"/>
              </w:rPr>
              <w:t>Asia-Pacific (“APAC”)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25,248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10,386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38,868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23,287</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Europe, the Middle East and Africa (“EMEA”)</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28,587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17,796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48,267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35,704</w:t>
            </w:r>
          </w:p>
        </w:tc>
        <w:tc>
          <w:tcPr>
            <w:tcW w:w="0" w:type="dxa"/>
            <w:vAlign w:val="bottom"/>
          </w:tcPr>
          <w:p>
            <w:pPr>
              <w:spacing w:after="0"/>
              <w:rPr>
                <w:sz w:val="1"/>
                <w:szCs w:val="1"/>
                <w:color w:val="auto"/>
              </w:rPr>
            </w:pPr>
          </w:p>
        </w:tc>
      </w:tr>
      <w:tr>
        <w:trPr>
          <w:trHeight w:val="223"/>
        </w:trPr>
        <w:tc>
          <w:tcPr>
            <w:tcW w:w="5240" w:type="dxa"/>
            <w:vAlign w:val="bottom"/>
          </w:tcPr>
          <w:p>
            <w:pPr>
              <w:ind w:left="80"/>
              <w:spacing w:after="0"/>
              <w:rPr>
                <w:sz w:val="20"/>
                <w:szCs w:val="20"/>
                <w:color w:val="auto"/>
              </w:rPr>
            </w:pPr>
            <w:r>
              <w:rPr>
                <w:rFonts w:ascii="Arial" w:cs="Arial" w:eastAsia="Arial" w:hAnsi="Arial"/>
                <w:sz w:val="18"/>
                <w:szCs w:val="18"/>
                <w:color w:val="231F20"/>
              </w:rPr>
              <w:t>Total net sales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117,479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231F20"/>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103,536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203,757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231F20"/>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178,951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Delivery Systems net sales in the current and prior year were impacted regionally by the timing of the region’s respective Syndeo launch. The decrease in net sales of Delivery Systems in the Americas was as compared to the prior year launch of Syndeo, while the international Syndeo launch was during the three months ended June 30, 2023.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31F20"/>
        </w:rPr>
        <w:t>Inventories consist of the following as of the periods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231F20"/>
              </w:rPr>
              <w:t>June 30,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231F20"/>
                <w:w w:val="96"/>
              </w:rPr>
              <w:t>December 31, 2022</w:t>
            </w:r>
          </w:p>
        </w:tc>
        <w:tc>
          <w:tcPr>
            <w:tcW w:w="0" w:type="dxa"/>
            <w:vAlign w:val="bottom"/>
          </w:tcPr>
          <w:p>
            <w:pPr>
              <w:spacing w:after="0"/>
              <w:rPr>
                <w:sz w:val="1"/>
                <w:szCs w:val="1"/>
                <w:color w:val="auto"/>
              </w:rPr>
            </w:pPr>
          </w:p>
        </w:tc>
      </w:tr>
      <w:tr>
        <w:trPr>
          <w:trHeight w:val="242"/>
        </w:trPr>
        <w:tc>
          <w:tcPr>
            <w:tcW w:w="34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Raw materials</w:t>
            </w:r>
          </w:p>
        </w:tc>
        <w:tc>
          <w:tcPr>
            <w:tcW w:w="4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32,267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38,373</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Finished goods</w:t>
            </w:r>
          </w:p>
        </w:tc>
        <w:tc>
          <w:tcPr>
            <w:tcW w:w="4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74,733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71,283</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Total inventories</w:t>
            </w:r>
          </w:p>
        </w:tc>
        <w:tc>
          <w:tcPr>
            <w:tcW w:w="4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231F20"/>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107,000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109,656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231F20"/>
        </w:rPr>
        <w:t>Accrued payroll-related expenses include the following as of the periods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Accrued payroll taxes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benefits</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sales commissions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payroll-related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231F20"/>
              </w:rPr>
              <w:t>Other accrued expenses include the following as of the periods indicated: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760" w:type="dxa"/>
            <w:vAlign w:val="bottom"/>
          </w:tcPr>
          <w:p>
            <w:pPr>
              <w:ind w:left="80"/>
              <w:spacing w:after="0"/>
              <w:rPr>
                <w:sz w:val="20"/>
                <w:szCs w:val="20"/>
                <w:color w:val="auto"/>
              </w:rPr>
            </w:pPr>
            <w:r>
              <w:rPr>
                <w:rFonts w:ascii="Arial" w:cs="Arial" w:eastAsia="Arial" w:hAnsi="Arial"/>
                <w:sz w:val="14"/>
                <w:szCs w:val="14"/>
                <w:b w:val="1"/>
                <w:bCs w:val="1"/>
                <w:color w:val="231F20"/>
              </w:rPr>
              <w:t>(in thousands)</w:t>
            </w:r>
          </w:p>
        </w:tc>
        <w:tc>
          <w:tcPr>
            <w:tcW w:w="260" w:type="dxa"/>
            <w:vAlign w:val="bottom"/>
          </w:tcPr>
          <w:p>
            <w:pPr>
              <w:spacing w:after="0"/>
              <w:rPr>
                <w:sz w:val="24"/>
                <w:szCs w:val="24"/>
                <w:color w:val="auto"/>
              </w:rPr>
            </w:pPr>
          </w:p>
        </w:tc>
        <w:tc>
          <w:tcPr>
            <w:tcW w:w="1420" w:type="dxa"/>
            <w:vAlign w:val="bottom"/>
          </w:tcPr>
          <w:p>
            <w:pPr>
              <w:jc w:val="right"/>
              <w:ind w:right="333"/>
              <w:spacing w:after="0"/>
              <w:rPr>
                <w:sz w:val="20"/>
                <w:szCs w:val="20"/>
                <w:color w:val="auto"/>
              </w:rPr>
            </w:pPr>
            <w:r>
              <w:rPr>
                <w:rFonts w:ascii="Arial" w:cs="Arial" w:eastAsia="Arial" w:hAnsi="Arial"/>
                <w:sz w:val="14"/>
                <w:szCs w:val="14"/>
                <w:b w:val="1"/>
                <w:bCs w:val="1"/>
                <w:color w:val="231F20"/>
              </w:rPr>
              <w:t>June 30, 2023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153"/>
              <w:spacing w:after="0"/>
              <w:rPr>
                <w:sz w:val="20"/>
                <w:szCs w:val="20"/>
                <w:color w:val="auto"/>
              </w:rPr>
            </w:pPr>
            <w:r>
              <w:rPr>
                <w:rFonts w:ascii="Arial" w:cs="Arial" w:eastAsia="Arial" w:hAnsi="Arial"/>
                <w:sz w:val="14"/>
                <w:szCs w:val="14"/>
                <w:b w:val="1"/>
                <w:bCs w:val="1"/>
                <w:color w:val="231F20"/>
                <w:w w:val="98"/>
              </w:rPr>
              <w:t>December 31,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Sales and VAT tax payables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231F20"/>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7,271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4,904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80"/>
              <w:spacing w:after="0"/>
              <w:rPr>
                <w:sz w:val="20"/>
                <w:szCs w:val="20"/>
                <w:color w:val="auto"/>
              </w:rPr>
            </w:pPr>
            <w:r>
              <w:rPr>
                <w:rFonts w:ascii="Arial" w:cs="Arial" w:eastAsia="Arial" w:hAnsi="Arial"/>
                <w:sz w:val="18"/>
                <w:szCs w:val="18"/>
                <w:color w:val="231F20"/>
              </w:rPr>
              <w:t>Royalty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4,045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2,348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Accrued interest</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2,344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80"/>
              <w:spacing w:after="0"/>
              <w:rPr>
                <w:sz w:val="20"/>
                <w:szCs w:val="20"/>
                <w:color w:val="auto"/>
              </w:rPr>
            </w:pPr>
            <w:r>
              <w:rPr>
                <w:rFonts w:ascii="Arial" w:cs="Arial" w:eastAsia="Arial" w:hAnsi="Arial"/>
                <w:sz w:val="18"/>
                <w:szCs w:val="18"/>
                <w:color w:val="231F20"/>
              </w:rPr>
              <w:t>Note payable due seller</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1,819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5,485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3,768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80"/>
              <w:spacing w:after="0"/>
              <w:rPr>
                <w:sz w:val="20"/>
                <w:szCs w:val="20"/>
                <w:color w:val="auto"/>
              </w:rPr>
            </w:pPr>
            <w:r>
              <w:rPr>
                <w:rFonts w:ascii="Arial" w:cs="Arial" w:eastAsia="Arial" w:hAnsi="Arial"/>
                <w:sz w:val="18"/>
                <w:szCs w:val="18"/>
                <w:color w:val="231F20"/>
              </w:rPr>
              <w:t>Total other 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231F20"/>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19,145</w:t>
            </w:r>
          </w:p>
        </w:tc>
        <w:tc>
          <w:tcPr>
            <w:tcW w:w="28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500" w:type="dxa"/>
            <w:vAlign w:val="bottom"/>
          </w:tcPr>
          <w:p>
            <w:pPr>
              <w:jc w:val="right"/>
              <w:spacing w:after="0"/>
              <w:rPr>
                <w:sz w:val="20"/>
                <w:szCs w:val="20"/>
                <w:color w:val="auto"/>
              </w:rPr>
            </w:pPr>
            <w:r>
              <w:rPr>
                <w:rFonts w:ascii="Arial" w:cs="Arial" w:eastAsia="Arial" w:hAnsi="Arial"/>
                <w:sz w:val="18"/>
                <w:szCs w:val="18"/>
                <w:color w:val="231F20"/>
              </w:rPr>
              <w:t>15,183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following tables present information about the Company’s assets and liabilities that are measured at fair value on a recurring basis as of June 30, 2023 and December 31, 2022, and indicate the fair value hierarchy of the valuation inputs the Company utilized to determine such fair value.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52" w:lineRule="exact"/>
        <w:rPr>
          <w:sz w:val="20"/>
          <w:szCs w:val="20"/>
          <w:color w:val="auto"/>
        </w:rPr>
      </w:pPr>
    </w:p>
    <w:p>
      <w:pPr>
        <w:ind w:left="660" w:right="880"/>
        <w:spacing w:after="0" w:line="342" w:lineRule="auto"/>
        <w:rPr>
          <w:sz w:val="20"/>
          <w:szCs w:val="20"/>
          <w:color w:val="auto"/>
        </w:rPr>
      </w:pPr>
      <w:r>
        <w:rPr>
          <w:rFonts w:ascii="Arial" w:cs="Arial" w:eastAsia="Arial" w:hAnsi="Arial"/>
          <w:sz w:val="16"/>
          <w:szCs w:val="16"/>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1"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231F20"/>
                <w:w w:val="90"/>
              </w:rPr>
              <w:t>As of June 30, 2023</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6"/>
        </w:trPr>
        <w:tc>
          <w:tcPr>
            <w:tcW w:w="482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231F20"/>
              </w:rPr>
              <w:t>Level 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231F20"/>
              </w:rPr>
              <w:t>Level 2</w:t>
            </w: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231F20"/>
                <w:w w:val="88"/>
              </w:rPr>
              <w:t>Level 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231F20"/>
              </w:rPr>
              <w:t>Total</w:t>
            </w:r>
          </w:p>
        </w:tc>
      </w:tr>
      <w:tr>
        <w:trPr>
          <w:trHeight w:val="230"/>
        </w:trPr>
        <w:tc>
          <w:tcPr>
            <w:tcW w:w="48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231F20"/>
              </w:rPr>
              <w:t>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20" w:type="dxa"/>
            <w:vAlign w:val="bottom"/>
          </w:tcPr>
          <w:p>
            <w:pPr>
              <w:ind w:left="80"/>
              <w:spacing w:after="0"/>
              <w:rPr>
                <w:sz w:val="20"/>
                <w:szCs w:val="20"/>
                <w:color w:val="auto"/>
              </w:rPr>
            </w:pPr>
            <w:r>
              <w:rPr>
                <w:rFonts w:ascii="Arial" w:cs="Arial" w:eastAsia="Arial" w:hAnsi="Arial"/>
                <w:sz w:val="18"/>
                <w:szCs w:val="18"/>
                <w:color w:val="231F20"/>
              </w:rPr>
              <w:t>Cash and cash equivalents: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Money market funds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475,041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231F20"/>
              </w:rPr>
              <w:t>—</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231F2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475,041</w:t>
            </w:r>
          </w:p>
        </w:tc>
      </w:tr>
      <w:tr>
        <w:trPr>
          <w:trHeight w:val="239"/>
        </w:trPr>
        <w:tc>
          <w:tcPr>
            <w:tcW w:w="4820" w:type="dxa"/>
            <w:vAlign w:val="bottom"/>
          </w:tcPr>
          <w:p>
            <w:pPr>
              <w:ind w:left="80"/>
              <w:spacing w:after="0"/>
              <w:rPr>
                <w:sz w:val="20"/>
                <w:szCs w:val="20"/>
                <w:color w:val="auto"/>
              </w:rPr>
            </w:pPr>
            <w:r>
              <w:rPr>
                <w:rFonts w:ascii="Arial" w:cs="Arial" w:eastAsia="Arial" w:hAnsi="Arial"/>
                <w:sz w:val="18"/>
                <w:szCs w:val="18"/>
                <w:b w:val="1"/>
                <w:bCs w:val="1"/>
                <w:color w:val="231F20"/>
              </w:rPr>
              <w:t>Liabilities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4"/>
        </w:trPr>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Warrant liability — Private Placement Warrants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231F20"/>
              </w:rPr>
              <w:t>—</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231F2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12,964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12,964</w:t>
            </w:r>
          </w:p>
        </w:tc>
      </w:tr>
      <w:tr>
        <w:trPr>
          <w:trHeight w:val="905"/>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615"/>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4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4"/>
          </w:tcPr>
          <w:p>
            <w:pPr>
              <w:jc w:val="right"/>
              <w:ind w:right="756"/>
              <w:spacing w:after="0"/>
              <w:rPr>
                <w:sz w:val="20"/>
                <w:szCs w:val="20"/>
                <w:color w:val="auto"/>
              </w:rPr>
            </w:pPr>
            <w:r>
              <w:rPr>
                <w:rFonts w:ascii="Arial" w:cs="Arial" w:eastAsia="Arial" w:hAnsi="Arial"/>
                <w:sz w:val="14"/>
                <w:szCs w:val="14"/>
                <w:b w:val="1"/>
                <w:bCs w:val="1"/>
                <w:color w:val="231F20"/>
              </w:rPr>
              <w:t>As of December 31, 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82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231F20"/>
              </w:rPr>
              <w:t>Level 1</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231F20"/>
              </w:rPr>
              <w:t>Level 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231F20"/>
              </w:rPr>
              <w:t>Level 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231F20"/>
              </w:rPr>
              <w:t>Total</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231F20"/>
              </w:rPr>
              <w:t>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80"/>
              <w:spacing w:after="0"/>
              <w:rPr>
                <w:sz w:val="20"/>
                <w:szCs w:val="20"/>
                <w:color w:val="auto"/>
              </w:rPr>
            </w:pPr>
            <w:r>
              <w:rPr>
                <w:rFonts w:ascii="Arial" w:cs="Arial" w:eastAsia="Arial" w:hAnsi="Arial"/>
                <w:sz w:val="18"/>
                <w:szCs w:val="18"/>
                <w:color w:val="231F20"/>
              </w:rPr>
              <w:t>Cash and cash equivalents: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Money market funds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513,009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231F20"/>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513,009</w:t>
            </w:r>
          </w:p>
        </w:tc>
        <w:tc>
          <w:tcPr>
            <w:tcW w:w="0" w:type="dxa"/>
            <w:vAlign w:val="bottom"/>
          </w:tcPr>
          <w:p>
            <w:pPr>
              <w:spacing w:after="0"/>
              <w:rPr>
                <w:sz w:val="1"/>
                <w:szCs w:val="1"/>
                <w:color w:val="auto"/>
              </w:rPr>
            </w:pPr>
          </w:p>
        </w:tc>
      </w:tr>
      <w:tr>
        <w:trPr>
          <w:trHeight w:val="229"/>
        </w:trPr>
        <w:tc>
          <w:tcPr>
            <w:tcW w:w="4820" w:type="dxa"/>
            <w:vAlign w:val="bottom"/>
          </w:tcPr>
          <w:p>
            <w:pPr>
              <w:ind w:left="80"/>
              <w:spacing w:after="0"/>
              <w:rPr>
                <w:sz w:val="20"/>
                <w:szCs w:val="20"/>
                <w:color w:val="auto"/>
              </w:rPr>
            </w:pPr>
            <w:r>
              <w:rPr>
                <w:rFonts w:ascii="Arial" w:cs="Arial" w:eastAsia="Arial" w:hAnsi="Arial"/>
                <w:sz w:val="18"/>
                <w:szCs w:val="18"/>
                <w:b w:val="1"/>
                <w:bCs w:val="1"/>
                <w:color w:val="231F20"/>
              </w:rPr>
              <w:t>Liabilities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Warrant liability — Private Placement Warrants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231F20"/>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15,473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15,473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October 2020, in connection with the consummation of Vesper Healthcare’s initial public offering, the Company issued 9,333,333 warrants to purchase shares of the Company’s Class A Common Stock at $11.50 per share (the “Private Placement Warrants”), to BLS Investor Group LLC. As of June 30, 2023 and December 31, 2022, the Company had approximately 7 million Private Placement Warrants outstanding. As of June 30, 2023 and December 31, 2022, the fair value of the Private Placement Warrants was determined using a Monte Carlo simulation.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4740" w:type="dxa"/>
            <w:vAlign w:val="bottom"/>
          </w:tcPr>
          <w:p>
            <w:pPr>
              <w:ind w:left="80"/>
              <w:spacing w:after="0"/>
              <w:rPr>
                <w:sz w:val="20"/>
                <w:szCs w:val="20"/>
                <w:color w:val="auto"/>
              </w:rPr>
            </w:pPr>
            <w:r>
              <w:rPr>
                <w:rFonts w:ascii="Arial" w:cs="Arial" w:eastAsia="Arial" w:hAnsi="Arial"/>
                <w:sz w:val="14"/>
                <w:szCs w:val="14"/>
                <w:b w:val="1"/>
                <w:bCs w:val="1"/>
                <w:color w:val="231F20"/>
              </w:rPr>
              <w:t>(in thousands)</w:t>
            </w:r>
          </w:p>
        </w:tc>
        <w:tc>
          <w:tcPr>
            <w:tcW w:w="2980" w:type="dxa"/>
            <w:vAlign w:val="bottom"/>
            <w:tcBorders>
              <w:bottom w:val="single" w:sz="8" w:color="231F20"/>
            </w:tcBorders>
          </w:tcPr>
          <w:p>
            <w:pPr>
              <w:jc w:val="center"/>
              <w:spacing w:after="0"/>
              <w:rPr>
                <w:sz w:val="20"/>
                <w:szCs w:val="20"/>
                <w:color w:val="auto"/>
              </w:rPr>
            </w:pPr>
            <w:r>
              <w:rPr>
                <w:rFonts w:ascii="Arial" w:cs="Arial" w:eastAsia="Arial" w:hAnsi="Arial"/>
                <w:sz w:val="14"/>
                <w:szCs w:val="14"/>
                <w:b w:val="1"/>
                <w:bCs w:val="1"/>
                <w:color w:val="231F20"/>
                <w:w w:val="91"/>
              </w:rPr>
              <w:t>(years)</w:t>
            </w:r>
          </w:p>
        </w:tc>
        <w:tc>
          <w:tcPr>
            <w:tcW w:w="10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1460" w:type="dxa"/>
            <w:vAlign w:val="bottom"/>
            <w:tcBorders>
              <w:bottom w:val="single" w:sz="8" w:color="231F20"/>
            </w:tcBorders>
          </w:tcPr>
          <w:p>
            <w:pPr>
              <w:jc w:val="right"/>
              <w:ind w:right="352"/>
              <w:spacing w:after="0"/>
              <w:rPr>
                <w:sz w:val="20"/>
                <w:szCs w:val="20"/>
                <w:color w:val="auto"/>
              </w:rPr>
            </w:pPr>
            <w:r>
              <w:rPr>
                <w:rFonts w:ascii="Arial" w:cs="Arial" w:eastAsia="Arial" w:hAnsi="Arial"/>
                <w:sz w:val="14"/>
                <w:szCs w:val="14"/>
                <w:b w:val="1"/>
                <w:bCs w:val="1"/>
                <w:color w:val="231F20"/>
              </w:rPr>
              <w:t>June 30, 2023</w:t>
            </w:r>
          </w:p>
        </w:tc>
        <w:tc>
          <w:tcPr>
            <w:tcW w:w="100" w:type="dxa"/>
            <w:vAlign w:val="bottom"/>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1420" w:type="dxa"/>
            <w:vAlign w:val="bottom"/>
            <w:tcBorders>
              <w:bottom w:val="single" w:sz="8" w:color="231F20"/>
            </w:tcBorders>
          </w:tcPr>
          <w:p>
            <w:pPr>
              <w:jc w:val="right"/>
              <w:ind w:right="112"/>
              <w:spacing w:after="0"/>
              <w:rPr>
                <w:sz w:val="20"/>
                <w:szCs w:val="20"/>
                <w:color w:val="auto"/>
              </w:rPr>
            </w:pPr>
            <w:r>
              <w:rPr>
                <w:rFonts w:ascii="Arial" w:cs="Arial" w:eastAsia="Arial" w:hAnsi="Arial"/>
                <w:sz w:val="14"/>
                <w:szCs w:val="14"/>
                <w:b w:val="1"/>
                <w:bCs w:val="1"/>
                <w:color w:val="231F20"/>
                <w:w w:val="95"/>
              </w:rPr>
              <w:t>December 31, 2022</w:t>
            </w:r>
          </w:p>
        </w:tc>
      </w:tr>
      <w:tr>
        <w:trPr>
          <w:trHeight w:val="243"/>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Furniture and fixtures</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4"/>
              </w:rPr>
              <w:t>2-7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231F20"/>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6,221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5,364</w:t>
            </w: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231F20"/>
              </w:rPr>
              <w:t>Computers and equipment</w:t>
            </w:r>
          </w:p>
        </w:tc>
        <w:tc>
          <w:tcPr>
            <w:tcW w:w="2980" w:type="dxa"/>
            <w:vAlign w:val="bottom"/>
          </w:tcPr>
          <w:p>
            <w:pPr>
              <w:jc w:val="center"/>
              <w:spacing w:after="0"/>
              <w:rPr>
                <w:sz w:val="20"/>
                <w:szCs w:val="20"/>
                <w:color w:val="auto"/>
              </w:rPr>
            </w:pPr>
            <w:r>
              <w:rPr>
                <w:rFonts w:ascii="Arial" w:cs="Arial" w:eastAsia="Arial" w:hAnsi="Arial"/>
                <w:sz w:val="18"/>
                <w:szCs w:val="18"/>
                <w:color w:val="231F20"/>
                <w:w w:val="84"/>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5,455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4,901</w:t>
            </w:r>
          </w:p>
        </w:tc>
      </w:tr>
      <w:tr>
        <w:trPr>
          <w:trHeight w:val="243"/>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Machinery and equipment</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4"/>
              </w:rPr>
              <w:t>2-5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8,651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6,427</w:t>
            </w: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231F20"/>
              </w:rPr>
              <w:t>Autos and trucks</w:t>
            </w:r>
          </w:p>
        </w:tc>
        <w:tc>
          <w:tcPr>
            <w:tcW w:w="2980" w:type="dxa"/>
            <w:vAlign w:val="bottom"/>
          </w:tcPr>
          <w:p>
            <w:pPr>
              <w:jc w:val="center"/>
              <w:spacing w:after="0"/>
              <w:rPr>
                <w:sz w:val="20"/>
                <w:szCs w:val="20"/>
                <w:color w:val="auto"/>
              </w:rPr>
            </w:pPr>
            <w:r>
              <w:rPr>
                <w:rFonts w:ascii="Arial" w:cs="Arial" w:eastAsia="Arial" w:hAnsi="Arial"/>
                <w:sz w:val="18"/>
                <w:szCs w:val="18"/>
                <w:color w:val="231F20"/>
                <w:w w:val="99"/>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161</w:t>
            </w: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Tooling</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9"/>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638</w:t>
            </w:r>
          </w:p>
        </w:tc>
      </w:tr>
      <w:tr>
        <w:trPr>
          <w:trHeight w:val="188"/>
        </w:trPr>
        <w:tc>
          <w:tcPr>
            <w:tcW w:w="4740" w:type="dxa"/>
            <w:vAlign w:val="bottom"/>
          </w:tcPr>
          <w:p>
            <w:pPr>
              <w:ind w:left="80"/>
              <w:spacing w:after="0" w:line="189" w:lineRule="exact"/>
              <w:rPr>
                <w:sz w:val="20"/>
                <w:szCs w:val="20"/>
                <w:color w:val="auto"/>
              </w:rPr>
            </w:pPr>
            <w:r>
              <w:rPr>
                <w:rFonts w:ascii="Arial" w:cs="Arial" w:eastAsia="Arial" w:hAnsi="Arial"/>
                <w:sz w:val="18"/>
                <w:szCs w:val="18"/>
                <w:color w:val="231F20"/>
              </w:rPr>
              <w:t>Leasehold improvements</w:t>
            </w:r>
          </w:p>
        </w:tc>
        <w:tc>
          <w:tcPr>
            <w:tcW w:w="2980" w:type="dxa"/>
            <w:vAlign w:val="bottom"/>
          </w:tcPr>
          <w:p>
            <w:pPr>
              <w:jc w:val="center"/>
              <w:spacing w:after="0" w:line="189" w:lineRule="exact"/>
              <w:rPr>
                <w:sz w:val="20"/>
                <w:szCs w:val="20"/>
                <w:color w:val="auto"/>
              </w:rPr>
            </w:pPr>
            <w:r>
              <w:rPr>
                <w:rFonts w:ascii="Arial" w:cs="Arial" w:eastAsia="Arial" w:hAnsi="Arial"/>
                <w:sz w:val="18"/>
                <w:szCs w:val="18"/>
                <w:color w:val="231F20"/>
                <w:w w:val="89"/>
              </w:rPr>
              <w:t>Shorter of remaining lease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2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231F20"/>
                <w:w w:val="91"/>
              </w:rPr>
              <w:t>term or estimated useful life</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12,906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11,812</w:t>
            </w: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Total property and equipment</w:t>
            </w:r>
          </w:p>
        </w:tc>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34,017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29,303</w:t>
            </w: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231F20"/>
              </w:rPr>
              <w:t>Less: accumulated depreciation and amortization</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(16,862)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(12,494)</w:t>
            </w:r>
          </w:p>
        </w:tc>
      </w:tr>
      <w:tr>
        <w:trPr>
          <w:trHeight w:val="243"/>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Construction in progress</w:t>
            </w:r>
          </w:p>
        </w:tc>
        <w:tc>
          <w:tcPr>
            <w:tcW w:w="2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803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1,375</w:t>
            </w: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231F20"/>
              </w:rPr>
              <w:t>Property and equipment, net</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231F20"/>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17,958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18,184</w:t>
            </w:r>
          </w:p>
        </w:tc>
      </w:tr>
      <w:tr>
        <w:trPr>
          <w:trHeight w:val="20"/>
        </w:trPr>
        <w:tc>
          <w:tcPr>
            <w:tcW w:w="4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31F20"/>
        </w:rPr>
        <w:t>The gross carrying amount and accumulated amortization of the Company’s intangible assets as of June 30, 2023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231F20"/>
              </w:rPr>
              <w:t>Accumulated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231F20"/>
              </w:rPr>
              <w:t>Net Carrying</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231F20"/>
                <w:w w:val="92"/>
              </w:rPr>
              <w:t>Estimated</w:t>
            </w:r>
          </w:p>
        </w:tc>
        <w:tc>
          <w:tcPr>
            <w:tcW w:w="0" w:type="dxa"/>
            <w:vAlign w:val="bottom"/>
          </w:tcPr>
          <w:p>
            <w:pPr>
              <w:spacing w:after="0"/>
              <w:rPr>
                <w:sz w:val="1"/>
                <w:szCs w:val="1"/>
                <w:color w:val="auto"/>
              </w:rPr>
            </w:pPr>
          </w:p>
        </w:tc>
      </w:tr>
      <w:tr>
        <w:trPr>
          <w:trHeight w:val="139"/>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200" w:type="dxa"/>
            <w:vAlign w:val="bottom"/>
          </w:tcPr>
          <w:p>
            <w:pPr>
              <w:spacing w:after="0"/>
              <w:rPr>
                <w:sz w:val="12"/>
                <w:szCs w:val="12"/>
                <w:color w:val="auto"/>
              </w:rPr>
            </w:pPr>
          </w:p>
        </w:tc>
        <w:tc>
          <w:tcPr>
            <w:tcW w:w="1220" w:type="dxa"/>
            <w:vAlign w:val="bottom"/>
          </w:tcPr>
          <w:p>
            <w:pPr>
              <w:jc w:val="center"/>
              <w:ind w:right="115"/>
              <w:spacing w:after="0" w:line="13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231F20"/>
                <w:w w:val="94"/>
              </w:rPr>
              <w:t>Useful Life</w:t>
            </w:r>
          </w:p>
        </w:tc>
        <w:tc>
          <w:tcPr>
            <w:tcW w:w="0" w:type="dxa"/>
            <w:vAlign w:val="bottom"/>
          </w:tcPr>
          <w:p>
            <w:pPr>
              <w:spacing w:after="0"/>
              <w:rPr>
                <w:sz w:val="1"/>
                <w:szCs w:val="1"/>
                <w:color w:val="auto"/>
              </w:rPr>
            </w:pPr>
          </w:p>
        </w:tc>
      </w:tr>
      <w:tr>
        <w:trPr>
          <w:trHeight w:val="186"/>
        </w:trPr>
        <w:tc>
          <w:tcPr>
            <w:tcW w:w="5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231F20"/>
              </w:rPr>
              <w:t>Amortization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54"/>
              <w:spacing w:after="0"/>
              <w:rPr>
                <w:sz w:val="20"/>
                <w:szCs w:val="20"/>
                <w:color w:val="auto"/>
              </w:rPr>
            </w:pPr>
            <w:r>
              <w:rPr>
                <w:rFonts w:ascii="Arial" w:cs="Arial" w:eastAsia="Arial" w:hAnsi="Arial"/>
                <w:sz w:val="14"/>
                <w:szCs w:val="14"/>
                <w:b w:val="1"/>
                <w:bCs w:val="1"/>
                <w:color w:val="231F20"/>
              </w:rPr>
              <w:t>Value</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231F20"/>
                <w:w w:val="92"/>
              </w:rPr>
              <w:t>(Years)</w:t>
            </w:r>
          </w:p>
        </w:tc>
        <w:tc>
          <w:tcPr>
            <w:tcW w:w="0" w:type="dxa"/>
            <w:vAlign w:val="bottom"/>
          </w:tcPr>
          <w:p>
            <w:pPr>
              <w:spacing w:after="0"/>
              <w:rPr>
                <w:sz w:val="1"/>
                <w:szCs w:val="1"/>
                <w:color w:val="auto"/>
              </w:rPr>
            </w:pPr>
          </w:p>
        </w:tc>
      </w:tr>
      <w:tr>
        <w:trPr>
          <w:trHeight w:val="25"/>
        </w:trPr>
        <w:tc>
          <w:tcPr>
            <w:tcW w:w="5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Developed technology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92,616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(61,280)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31,336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4"/>
              </w:rPr>
              <w:t>3-10</w:t>
            </w:r>
          </w:p>
        </w:tc>
        <w:tc>
          <w:tcPr>
            <w:tcW w:w="0" w:type="dxa"/>
            <w:vAlign w:val="bottom"/>
          </w:tcPr>
          <w:p>
            <w:pPr>
              <w:spacing w:after="0"/>
              <w:rPr>
                <w:sz w:val="1"/>
                <w:szCs w:val="1"/>
                <w:color w:val="auto"/>
              </w:rPr>
            </w:pP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231F20"/>
              </w:rPr>
              <w:t>Customer relationships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18,585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(9,480)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9,105</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231F20"/>
                <w:w w:val="94"/>
              </w:rPr>
              <w:t>5-10</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Trademarks</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11,446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6,469</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231F20"/>
                <w:w w:val="89"/>
              </w:rPr>
              <w:t>15</w:t>
            </w:r>
          </w:p>
        </w:tc>
        <w:tc>
          <w:tcPr>
            <w:tcW w:w="0" w:type="dxa"/>
            <w:vAlign w:val="bottom"/>
          </w:tcPr>
          <w:p>
            <w:pPr>
              <w:spacing w:after="0"/>
              <w:rPr>
                <w:sz w:val="1"/>
                <w:szCs w:val="1"/>
                <w:color w:val="auto"/>
              </w:rPr>
            </w:pPr>
          </w:p>
        </w:tc>
      </w:tr>
      <w:tr>
        <w:trPr>
          <w:trHeight w:val="237"/>
        </w:trPr>
        <w:tc>
          <w:tcPr>
            <w:tcW w:w="5240" w:type="dxa"/>
            <w:vAlign w:val="bottom"/>
          </w:tcPr>
          <w:p>
            <w:pPr>
              <w:ind w:left="80"/>
              <w:spacing w:after="0"/>
              <w:rPr>
                <w:sz w:val="20"/>
                <w:szCs w:val="20"/>
                <w:color w:val="auto"/>
              </w:rPr>
            </w:pPr>
            <w:r>
              <w:rPr>
                <w:rFonts w:ascii="Arial" w:cs="Arial" w:eastAsia="Arial" w:hAnsi="Arial"/>
                <w:sz w:val="18"/>
                <w:szCs w:val="18"/>
                <w:color w:val="231F20"/>
              </w:rPr>
              <w:t>Capitalized software</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13,900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(2,678)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11,222</w:t>
            </w:r>
          </w:p>
        </w:tc>
        <w:tc>
          <w:tcPr>
            <w:tcW w:w="1520" w:type="dxa"/>
            <w:vAlign w:val="bottom"/>
            <w:gridSpan w:val="2"/>
          </w:tcPr>
          <w:p>
            <w:pPr>
              <w:jc w:val="center"/>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49"/>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Non-compete agreement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4,987</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231F20"/>
                <w:w w:val="99"/>
              </w:rPr>
              <w:t>3</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Patents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2,898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2,450</w:t>
            </w:r>
          </w:p>
        </w:tc>
        <w:tc>
          <w:tcPr>
            <w:tcW w:w="15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231F20"/>
                <w:w w:val="94"/>
              </w:rPr>
              <w:t>3-19</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Total intangible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145,309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(79,740)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65,569</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231F20"/>
        </w:rPr>
        <w:t>The gross carrying amount and accumulated amortization of the Company’s intangible assets as of December 31, 2022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75"/>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231F20"/>
              </w:rPr>
              <w:t>Accumulated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231F20"/>
              </w:rPr>
              <w:t>Net Carrying</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231F20"/>
                <w:w w:val="92"/>
              </w:rPr>
              <w:t>Estimated</w:t>
            </w:r>
          </w:p>
        </w:tc>
        <w:tc>
          <w:tcPr>
            <w:tcW w:w="0" w:type="dxa"/>
            <w:vAlign w:val="bottom"/>
          </w:tcPr>
          <w:p>
            <w:pPr>
              <w:spacing w:after="0"/>
              <w:rPr>
                <w:sz w:val="1"/>
                <w:szCs w:val="1"/>
                <w:color w:val="auto"/>
              </w:rPr>
            </w:pPr>
          </w:p>
        </w:tc>
      </w:tr>
      <w:tr>
        <w:trPr>
          <w:trHeight w:val="144"/>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260" w:type="dxa"/>
            <w:vAlign w:val="bottom"/>
          </w:tcPr>
          <w:p>
            <w:pPr>
              <w:spacing w:after="0"/>
              <w:rPr>
                <w:sz w:val="12"/>
                <w:szCs w:val="12"/>
                <w:color w:val="auto"/>
              </w:rPr>
            </w:pPr>
          </w:p>
        </w:tc>
        <w:tc>
          <w:tcPr>
            <w:tcW w:w="1160" w:type="dxa"/>
            <w:vAlign w:val="bottom"/>
          </w:tcPr>
          <w:p>
            <w:pPr>
              <w:jc w:val="center"/>
              <w:ind w:right="175"/>
              <w:spacing w:after="0" w:line="14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231F20"/>
                <w:w w:val="94"/>
              </w:rPr>
              <w:t>Useful Life</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231F20"/>
              </w:rPr>
              <w:t>Amortization</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231F20"/>
              </w:rPr>
              <w:t>Value</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2"/>
              </w:rPr>
              <w:t>(Years)</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Developed 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231F20"/>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73,188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(54,422)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18,766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3-8</w:t>
            </w:r>
          </w:p>
        </w:tc>
        <w:tc>
          <w:tcPr>
            <w:tcW w:w="0" w:type="dxa"/>
            <w:vAlign w:val="bottom"/>
          </w:tcPr>
          <w:p>
            <w:pPr>
              <w:spacing w:after="0"/>
              <w:rPr>
                <w:sz w:val="1"/>
                <w:szCs w:val="1"/>
                <w:color w:val="auto"/>
              </w:rPr>
            </w:pPr>
          </w:p>
        </w:tc>
      </w:tr>
      <w:tr>
        <w:trPr>
          <w:trHeight w:val="237"/>
        </w:trPr>
        <w:tc>
          <w:tcPr>
            <w:tcW w:w="5240" w:type="dxa"/>
            <w:vAlign w:val="bottom"/>
          </w:tcPr>
          <w:p>
            <w:pPr>
              <w:ind w:left="80"/>
              <w:spacing w:after="0"/>
              <w:rPr>
                <w:sz w:val="20"/>
                <w:szCs w:val="20"/>
                <w:color w:val="auto"/>
              </w:rPr>
            </w:pPr>
            <w:r>
              <w:rPr>
                <w:rFonts w:ascii="Arial" w:cs="Arial" w:eastAsia="Arial" w:hAnsi="Arial"/>
                <w:sz w:val="18"/>
                <w:szCs w:val="18"/>
                <w:color w:val="231F20"/>
              </w:rPr>
              <w:t>Customer relationships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18,089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(7,602)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10,487</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231F20"/>
                <w:w w:val="94"/>
              </w:rPr>
              <w:t>5-10</w:t>
            </w:r>
          </w:p>
        </w:tc>
        <w:tc>
          <w:tcPr>
            <w:tcW w:w="0" w:type="dxa"/>
            <w:vAlign w:val="bottom"/>
          </w:tcPr>
          <w:p>
            <w:pPr>
              <w:spacing w:after="0"/>
              <w:rPr>
                <w:sz w:val="1"/>
                <w:szCs w:val="1"/>
                <w:color w:val="auto"/>
              </w:rPr>
            </w:pPr>
          </w:p>
        </w:tc>
      </w:tr>
      <w:tr>
        <w:trPr>
          <w:trHeight w:val="276"/>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Trademarks</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6,788</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231F20"/>
                <w:w w:val="89"/>
              </w:rPr>
              <w:t>15</w:t>
            </w:r>
          </w:p>
        </w:tc>
        <w:tc>
          <w:tcPr>
            <w:tcW w:w="0" w:type="dxa"/>
            <w:vAlign w:val="bottom"/>
          </w:tcPr>
          <w:p>
            <w:pPr>
              <w:spacing w:after="0"/>
              <w:rPr>
                <w:sz w:val="1"/>
                <w:szCs w:val="1"/>
                <w:color w:val="auto"/>
              </w:rPr>
            </w:pPr>
          </w:p>
        </w:tc>
      </w:tr>
      <w:tr>
        <w:trPr>
          <w:trHeight w:val="230"/>
        </w:trPr>
        <w:tc>
          <w:tcPr>
            <w:tcW w:w="5240" w:type="dxa"/>
            <w:vAlign w:val="bottom"/>
          </w:tcPr>
          <w:p>
            <w:pPr>
              <w:ind w:left="80"/>
              <w:spacing w:after="0"/>
              <w:rPr>
                <w:sz w:val="20"/>
                <w:szCs w:val="20"/>
                <w:color w:val="auto"/>
              </w:rPr>
            </w:pPr>
            <w:r>
              <w:rPr>
                <w:rFonts w:ascii="Arial" w:cs="Arial" w:eastAsia="Arial" w:hAnsi="Arial"/>
                <w:sz w:val="18"/>
                <w:szCs w:val="18"/>
                <w:color w:val="231F20"/>
              </w:rPr>
              <w:t>Capitalized software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9,620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(1,507)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8,113</w:t>
            </w:r>
          </w:p>
        </w:tc>
        <w:tc>
          <w:tcPr>
            <w:tcW w:w="1520" w:type="dxa"/>
            <w:vAlign w:val="bottom"/>
            <w:gridSpan w:val="2"/>
          </w:tcPr>
          <w:p>
            <w:pPr>
              <w:jc w:val="center"/>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Non-compete agreement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381</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231F20"/>
                <w:w w:val="99"/>
              </w:rPr>
              <w:t>3</w:t>
            </w:r>
          </w:p>
        </w:tc>
        <w:tc>
          <w:tcPr>
            <w:tcW w:w="0" w:type="dxa"/>
            <w:vAlign w:val="bottom"/>
          </w:tcPr>
          <w:p>
            <w:pPr>
              <w:spacing w:after="0"/>
              <w:rPr>
                <w:sz w:val="1"/>
                <w:szCs w:val="1"/>
                <w:color w:val="auto"/>
              </w:rPr>
            </w:pPr>
          </w:p>
        </w:tc>
      </w:tr>
      <w:tr>
        <w:trPr>
          <w:trHeight w:val="230"/>
        </w:trPr>
        <w:tc>
          <w:tcPr>
            <w:tcW w:w="5240" w:type="dxa"/>
            <w:vAlign w:val="bottom"/>
          </w:tcPr>
          <w:p>
            <w:pPr>
              <w:ind w:left="80"/>
              <w:spacing w:after="0"/>
              <w:rPr>
                <w:sz w:val="20"/>
                <w:szCs w:val="20"/>
                <w:color w:val="auto"/>
              </w:rPr>
            </w:pPr>
            <w:r>
              <w:rPr>
                <w:rFonts w:ascii="Arial" w:cs="Arial" w:eastAsia="Arial" w:hAnsi="Arial"/>
                <w:sz w:val="18"/>
                <w:szCs w:val="18"/>
                <w:color w:val="231F20"/>
              </w:rPr>
              <w:t>Patents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1,851</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231F20"/>
                <w:w w:val="94"/>
              </w:rPr>
              <w:t>3-19</w:t>
            </w: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Total intangible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231F20"/>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114,806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231F20"/>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(68,420)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231F20"/>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46,386</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231F20"/>
        </w:rPr>
        <w:t>The change in the carrying value of goodwill for the six months ended June 30, 2023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ind w:left="80"/>
              <w:spacing w:after="0"/>
              <w:rPr>
                <w:sz w:val="20"/>
                <w:szCs w:val="20"/>
                <w:color w:val="auto"/>
              </w:rPr>
            </w:pPr>
            <w:r>
              <w:rPr>
                <w:rFonts w:ascii="Arial" w:cs="Arial" w:eastAsia="Arial" w:hAnsi="Arial"/>
                <w:sz w:val="14"/>
                <w:szCs w:val="14"/>
                <w:b w:val="1"/>
                <w:bCs w:val="1"/>
                <w:color w:val="231F20"/>
              </w:rPr>
              <w:t>(in thousands)</w:t>
            </w:r>
          </w:p>
        </w:tc>
        <w:tc>
          <w:tcPr>
            <w:tcW w:w="14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6"/>
        </w:trPr>
        <w:tc>
          <w:tcPr>
            <w:tcW w:w="7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231F20"/>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124,593</w:t>
            </w:r>
          </w:p>
        </w:tc>
      </w:tr>
      <w:tr>
        <w:trPr>
          <w:trHeight w:val="24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impact</w:t>
            </w:r>
          </w:p>
        </w:tc>
        <w:tc>
          <w:tcPr>
            <w:tcW w:w="14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758</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146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231F20"/>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125,351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2023, the Company acquired all of the outstanding shares of Esthetic Medical, Inc. (“EMI”) in exchange for (i) a cash payment of</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$11.8 million and (ii) 109,625 shares of Class A Common Stock of the Company ($1.3 million). In addition, Dr. Lawrence Groop (the “Seller”) is entitled to receive up to an additional $3.2 million in contingent consideration based upon the achievement of certain conditions defined in the purchase agreement, of which $1.9 million was considered probable as of the acquisition date. Applicable tax guidance was used to apply the simultaneous equation method to incrementally assign $4.6 million to the book value of the intangible asset in excess of the purchase price. The Company accounted for this transaction as an asset acquisition and allocated substantially all of the purchase price and the tax basis difference totaling $19.9 million to intangible assets, primarily related to developed technology.</w:t>
      </w:r>
    </w:p>
    <w:p>
      <w:pPr>
        <w:spacing w:after="0" w:line="2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July 2023, EMI obtained clearance from the U.S. Food and Drug Administration that the SkinStylus Sterilock MicroSystem is cleared for use as a treatment to improve the appearance of facial acne scars in Fitzpatrick skin types I, II, and III in adults aged 22 years and older (the “Facial Indication Approval”). Obtaining the Facial Indication Approval triggered a $1.3 million contingent payment, previously not considered probable, to be payable by the Company to Seller.</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in March 2023, the Company acquired assets from Anacapa Aesthetics LLC and recognized approximately $5 million of intangible assets, primarily related to non-compete agreements.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7 – Long-term Debt</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Amended and Restated Credit Facility</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On November 14, 2022, the Company, as successor by assumption to Hydrafacial (formerly known as Edge Systems LLC), a California limited liability company, entered into an Amended and Restated Credit Agreement (as it may be further amended, restated, supplemented or modified from time to time, the “Credit Agreement”) with JPMorgan Chase Bank, N.A. (the “Administrative Agent”). The Credit Agreement provides for a $50.0 million revolving credit facility with a maturity date of November 14, 2027. In addition, the Company has the ability from time to time to increase the revolving commitments or enter into one or more tranches of term loans up to an additional aggregate amount not to exceed $50.0 million, subject to receipt of lender commitments and certain conditions precedent. As of </w:t>
      </w:r>
      <w:r>
        <w:rPr>
          <w:rFonts w:ascii="Arial" w:cs="Arial" w:eastAsia="Arial" w:hAnsi="Arial"/>
          <w:sz w:val="18"/>
          <w:szCs w:val="18"/>
          <w:color w:val="231F20"/>
        </w:rPr>
        <w:t>June 30, 2023,</w:t>
      </w:r>
      <w:r>
        <w:rPr>
          <w:rFonts w:ascii="Arial" w:cs="Arial" w:eastAsia="Arial" w:hAnsi="Arial"/>
          <w:sz w:val="18"/>
          <w:szCs w:val="18"/>
          <w:color w:val="auto"/>
        </w:rPr>
        <w:t xml:space="preserve"> the Credit Agreement remains undrawn and there is no outstanding balance under the revolving credit facility.</w:t>
      </w:r>
    </w:p>
    <w:p>
      <w:pPr>
        <w:spacing w:after="0" w:line="222" w:lineRule="exact"/>
        <w:rPr>
          <w:sz w:val="20"/>
          <w:szCs w:val="20"/>
          <w:color w:val="auto"/>
        </w:rPr>
      </w:pPr>
    </w:p>
    <w:p>
      <w:pPr>
        <w:ind w:right="180" w:firstLine="162"/>
        <w:spacing w:after="0" w:line="255" w:lineRule="auto"/>
        <w:rPr>
          <w:sz w:val="20"/>
          <w:szCs w:val="20"/>
          <w:color w:val="auto"/>
        </w:rPr>
      </w:pPr>
      <w:r>
        <w:rPr>
          <w:rFonts w:ascii="Arial" w:cs="Arial" w:eastAsia="Arial" w:hAnsi="Arial"/>
          <w:sz w:val="18"/>
          <w:szCs w:val="18"/>
          <w:color w:val="auto"/>
        </w:rPr>
        <w:t xml:space="preserve">The Credit Agreement contains various restrictive covenants subject to certain exceptions, including limitations on the Company’s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certain financial covenants, including maintaining a leverage ratio of no greater than 3.00 to 1.00 and maintaining a fixed charge coverage ratio of not less than 1.15 to 1.00. As of </w:t>
      </w:r>
      <w:r>
        <w:rPr>
          <w:rFonts w:ascii="Arial" w:cs="Arial" w:eastAsia="Arial" w:hAnsi="Arial"/>
          <w:sz w:val="18"/>
          <w:szCs w:val="18"/>
          <w:color w:val="231F20"/>
        </w:rPr>
        <w:t>June 30, 2023</w:t>
      </w:r>
      <w:r>
        <w:rPr>
          <w:rFonts w:ascii="Arial" w:cs="Arial" w:eastAsia="Arial" w:hAnsi="Arial"/>
          <w:sz w:val="18"/>
          <w:szCs w:val="18"/>
          <w:color w:val="auto"/>
        </w:rPr>
        <w:t>, the Company was in compliance with all restrictive and financial covenants of the Credit Agreement.</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September 14, 2021, the Company issued an aggregate of $750.0 million in principal amount of its 1.25% Convertible Senior Notes due 2026 (the “Notes”). The Notes were issued pursuant to, and are governed by, an indenture dated as of September 14, 2021, between the Company and U.S. Bank National Association, as trustee.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$100.0 million principal amount of Notes. The Notes issued on September 14, 2021 include the $100.0 million principal amount of Notes issued pursuant to the full exercise by the initial purchasers of such option.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is a summary of the Company’s Notes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231F20"/>
              </w:rPr>
              <w:t>(in thousands)</w:t>
            </w:r>
          </w:p>
        </w:tc>
        <w:tc>
          <w:tcPr>
            <w:tcW w:w="22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ind w:left="80"/>
              <w:spacing w:after="0"/>
              <w:rPr>
                <w:sz w:val="20"/>
                <w:szCs w:val="20"/>
                <w:color w:val="auto"/>
              </w:rPr>
            </w:pPr>
            <w:r>
              <w:rPr>
                <w:rFonts w:ascii="Arial" w:cs="Arial" w:eastAsia="Arial" w:hAnsi="Arial"/>
                <w:sz w:val="14"/>
                <w:szCs w:val="14"/>
                <w:b w:val="1"/>
                <w:bCs w:val="1"/>
                <w:color w:val="231F20"/>
              </w:rPr>
              <w:t>June 30, 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ind w:left="20"/>
              <w:spacing w:after="0"/>
              <w:rPr>
                <w:sz w:val="20"/>
                <w:szCs w:val="20"/>
                <w:color w:val="auto"/>
              </w:rPr>
            </w:pPr>
            <w:r>
              <w:rPr>
                <w:rFonts w:ascii="Arial" w:cs="Arial" w:eastAsia="Arial" w:hAnsi="Arial"/>
                <w:sz w:val="14"/>
                <w:szCs w:val="14"/>
                <w:b w:val="1"/>
                <w:bCs w:val="1"/>
                <w:color w:val="231F20"/>
              </w:rPr>
              <w:t>December 31, 2022</w:t>
            </w:r>
          </w:p>
        </w:tc>
      </w:tr>
      <w:tr>
        <w:trPr>
          <w:trHeight w:val="229"/>
        </w:trPr>
        <w:tc>
          <w:tcPr>
            <w:tcW w:w="826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1.25% Convertible Notes due 2026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231F20"/>
                <w:w w:val="98"/>
              </w:rPr>
              <w:t>750,000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231F20"/>
                <w:w w:val="98"/>
              </w:rPr>
              <w:t>750,000</w:t>
            </w:r>
          </w:p>
        </w:tc>
      </w:tr>
      <w:tr>
        <w:trPr>
          <w:trHeight w:val="230"/>
        </w:trPr>
        <w:tc>
          <w:tcPr>
            <w:tcW w:w="8260" w:type="dxa"/>
            <w:vAlign w:val="bottom"/>
          </w:tcPr>
          <w:p>
            <w:pPr>
              <w:ind w:left="80"/>
              <w:spacing w:after="0"/>
              <w:rPr>
                <w:sz w:val="20"/>
                <w:szCs w:val="20"/>
                <w:color w:val="auto"/>
              </w:rPr>
            </w:pPr>
            <w:r>
              <w:rPr>
                <w:rFonts w:ascii="Arial" w:cs="Arial" w:eastAsia="Arial" w:hAnsi="Arial"/>
                <w:sz w:val="18"/>
                <w:szCs w:val="18"/>
                <w:color w:val="231F20"/>
              </w:rPr>
              <w:t>Unamortized Issuance Costs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231F20"/>
                <w:w w:val="95"/>
              </w:rPr>
              <w:t>(13,743)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231F20"/>
                <w:w w:val="95"/>
              </w:rPr>
              <w:t>(15,857)</w:t>
            </w:r>
          </w:p>
        </w:tc>
      </w:tr>
      <w:tr>
        <w:trPr>
          <w:trHeight w:val="256"/>
        </w:trPr>
        <w:tc>
          <w:tcPr>
            <w:tcW w:w="826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Net Carrying Value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231F20"/>
                <w:w w:val="98"/>
              </w:rPr>
              <w:t>736,257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231F20"/>
                <w:w w:val="98"/>
              </w:rPr>
              <w:t>734,143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231F20"/>
        </w:rPr>
        <w:t>As of June 30, 2023 and December 31, 2022, the estimated fair value of the Notes was approximately $591.0 million and $567.0 million, respectively. The estimated fair value of the Notes was determined based on the actual bid price of the Notes on June 30, 2023 and December 31, 2022 and are classified as Level 2 within the fair value hierarchy.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ind w:left="180"/>
        <w:spacing w:after="0"/>
        <w:rPr>
          <w:sz w:val="20"/>
          <w:szCs w:val="20"/>
          <w:color w:val="auto"/>
        </w:rPr>
      </w:pPr>
      <w:r>
        <w:rPr>
          <w:rFonts w:ascii="Arial" w:cs="Arial" w:eastAsia="Arial" w:hAnsi="Arial"/>
          <w:sz w:val="18"/>
          <w:szCs w:val="18"/>
          <w:i w:val="1"/>
          <w:iCs w:val="1"/>
          <w:color w:val="auto"/>
        </w:rPr>
        <w:t>Capped Call Transactions</w:t>
      </w:r>
    </w:p>
    <w:p>
      <w:pPr>
        <w:spacing w:after="0" w:line="25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September 9, 2021, in connection with the pricing of the offering of Notes, the Company entered into privately negotiated capped call transactions (the “Base Capped Call Transactions”).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$90.2 million.</w:t>
      </w:r>
    </w:p>
    <w:p>
      <w:pPr>
        <w:spacing w:after="0" w:line="1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tax provisions for the three and six months ended June 30, 2023 and 2022 were computed using the estimated effective tax rates projected for domestic and international taxable jurisdictions for the full year as adjusted for discrete items arising during each quarter.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for the six months ended June 30, 2023 was $5.9 million. Income tax expense for the six months ended June 30, 2022 was $2.7 million.</w:t>
      </w:r>
    </w:p>
    <w:p>
      <w:pPr>
        <w:spacing w:after="0" w:line="2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Income tax benefit for the three months ended June 30, 2023 was $2.2 million. Income tax expense for the three months ended June 30, 2022 was $0.1 million.</w:t>
      </w:r>
    </w:p>
    <w:p>
      <w:pPr>
        <w:spacing w:after="0" w:line="19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effective tax rate for the three and six months ended June 30, 2023 is (187.3)% and 25.7%. The effective tax rate for the three and six months ended June 30, 2022 was 1.2% and 6.7%. The effective tax rate differs from the federal statutory rate of 21% due primarily to a full valuation allowance against the Company’s U.S. deferred tax assets, foreign jurisdictions that are taxed at different rates, state taxes, and the impact of discrete items that may occur in any given year but which are not consistent from year to year.</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established a valuation allowance in the U.S. and Singapore against a portion of its remaining deferred tax assets because it is more likely than not that certain deferred tax assets will not be realized. In determining whether deferred tax assets are realizable, the Company considers numerous factors including historical profitability, the amount of future taxable income, and the existence of taxable temporary differences that can be used to realize deferred tax assets.</w:t>
      </w:r>
    </w:p>
    <w:p>
      <w:pPr>
        <w:spacing w:after="0" w:line="21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Additionally, the Company applies ASC 740, the accounting standard addressing the accounting for uncertainty in income taxes that prescribes rules for recognition, measurement and classification in the financial statements of tax positions taken or expected to be taken in a tax return. The Company has gross unrecognized tax benefits of $1.0 million and $0.2 million for the six months ended June 30, 2023 and June 30, 2022, respectively.</w:t>
      </w:r>
    </w:p>
    <w:p>
      <w:pPr>
        <w:spacing w:after="0" w:line="17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Inflation Reduction Act, signed into law on August 16, 2022, provides tax incentives for certain industries and imposes a 15% minimum tax on the book income of certain large corporations and a 1% excise tax on stock buybacks. The Company may be subject to the new excise tax on certain stock buybacks that occur after December 31, 2022. The Company does not anticipate a material impact from the Inflation Reduction Act on its condensed consolidated financial statements.</w:t>
      </w:r>
    </w:p>
    <w:p>
      <w:pPr>
        <w:spacing w:after="0" w:line="2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Additionally, in July 2023, the Company received approximately $5 million for the Employee Retention Credit under the Coronavirus Aid, Relief, and Economic Security Act.</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9 – Share-Based Payments</w:t>
      </w:r>
    </w:p>
    <w:p>
      <w:pPr>
        <w:spacing w:after="0" w:line="2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has various stock compensation plans, which are more fully described in Part II, Item 8 "Financial Statements and Supplementary Data— Note 13 to the Consolidated Financial Statements—Equity-Based Compensation" in the Company’s 2022 Annual Report on Form 10-K. Under the Beauty Health Company 2021 Incentive Award Plan, the Company may grant stock options, stock appreciation rights, restricted stock, restricted stock units, dividend equivalents, other stock or cash-based awards to eligible service providers. Additionally, the Company maintains the Employee Stock Purchase Plan for employees located in the United States, whereby eligible employees can have up to 10% of their earnings withheld, subject to certain maximums, to be used to purchase shares of the Company’s Class A Common Stock at certain purchase dates.</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Share-based compensation expense, which is primarily recorded within selling and marketing and general and administrative expenses, was as follows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231F20"/>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231F20"/>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4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4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2022</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2023</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2022</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Stock options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2,254</w:t>
            </w:r>
          </w:p>
        </w:tc>
        <w:tc>
          <w:tcPr>
            <w:tcW w:w="960" w:type="dxa"/>
            <w:vAlign w:val="bottom"/>
            <w:gridSpan w:val="2"/>
            <w:shd w:val="clear" w:color="auto" w:fill="CCEEFF"/>
          </w:tcPr>
          <w:p>
            <w:pPr>
              <w:jc w:val="right"/>
              <w:ind w:right="66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96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30"/>
        </w:trPr>
        <w:tc>
          <w:tcPr>
            <w:tcW w:w="5240" w:type="dxa"/>
            <w:vAlign w:val="bottom"/>
          </w:tcPr>
          <w:p>
            <w:pPr>
              <w:ind w:left="80"/>
              <w:spacing w:after="0"/>
              <w:rPr>
                <w:sz w:val="20"/>
                <w:szCs w:val="20"/>
                <w:color w:val="auto"/>
              </w:rPr>
            </w:pPr>
            <w:r>
              <w:rPr>
                <w:rFonts w:ascii="Arial" w:cs="Arial" w:eastAsia="Arial" w:hAnsi="Arial"/>
                <w:sz w:val="18"/>
                <w:szCs w:val="18"/>
                <w:color w:val="231F20"/>
              </w:rPr>
              <w:t>Restricted stock units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5,758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2,951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9,174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Performance-based restricted stock units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Employee stock purchase plan</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54"/>
        </w:trPr>
        <w:tc>
          <w:tcPr>
            <w:tcW w:w="5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8,524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231F20"/>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3"/>
              </w:rPr>
              <w:t>6,378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231F20"/>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87"/>
              </w:rPr>
              <w:t>12,101</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231F20"/>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83"/>
              </w:rPr>
              <w:t>13,427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Performance-based restricted stock unit expense includes reversal of expense related to the forfeiture of unvested awards during the three months ended March 31, 2023.</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June 30, 2023, total unrecognized compensation expense related to unvested share-based compensation totaled $79.1 million and is expected to be recognized over a weighted-average period of 2.2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Ageless</w:t>
      </w:r>
    </w:p>
    <w:p>
      <w:pPr>
        <w:spacing w:after="0" w:line="2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October 21, 2020, Hydrafacial filed a complaint against Ageless Serums LLC (“Ageless”) in the United States District Court for the Central District of California, Western Division, captioned Edge Systems LLC v. Ageless Serums LLC, Case No. 2:20-cv-09669-FMO-PVC (the “California Case”), for contributory trademark infringement, false designation of origin, induced breach of contract, tortious interference with contractual relations, and unfair competition. In the complaint, Hydrafacial alleges that Ageless is selling its serums to Hydrafacial customers and intentionally encouraging those customers to market treatments performed by such customers as “Hydrafacial Treatments,” in violation of the customers’ license agreements with Hydrafacial and that Ageless is improperly marketing its products for use as part of the Hydrafacial treatment. Hydrafacial is seeking monetary damages and injunctive relief. Additionally, on December 22, 2020, Hydrafacial filed a complaint against Ageless in the United States District Court for the Southern District of Texas, Houston Division, captioned Edge Systems LLC v. Ageless Serums LLC, Case No. 4:20-cv 04335 (“the Texas Case”), alleging infringement of six of Hydrafacial’s patents. Hydrafacial is seeking monetary damages and injunctive relief. Ageless ultimately answered and asserted counterclaims in both actions. On May 5, 2022, Ageless filed a Chapter 11 bankruptcy petition in the United States Bankruptcy Court for the Southern District of Texas, Houston Division (the “Houston Bankruptcy Court”), and the California Case and Texas Case were stayed. On September 7, 2022, Hydrafacial filed a proof of claim, asserting a $12.7 million general unsecured claim for damages arising from claims alleged in the California Case and Texas Case. On January 4, 2023, Hydrafacial filed an Objection to the Confirmation of Debtor’s Subchapter V Plan of Reorganization and Brief in Support. On March 8, 2023, the parties engaged in mediation discussions in an attempt to settle the claims alleged in the California Case and Texas Case. During the mediation, the parties reached a tentative settlement agreement of all claims. However, the terms and conditions of the tentative settlement agreement are still being negotiated between the parties, and any such settlement must be approved by the Houston Bankruptcy Court.</w:t>
      </w:r>
    </w:p>
    <w:p>
      <w:pPr>
        <w:spacing w:after="0" w:line="2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Hydrafacial plans to continue a vigorous pursuit of its claims against Ageless in the event the parties cannot consummate a definitive settlement agreement of all claims and/or the Houston Bankruptcy Court does not approve such definitive settlement agreement.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ind w:left="180"/>
        <w:spacing w:after="0"/>
        <w:rPr>
          <w:sz w:val="20"/>
          <w:szCs w:val="20"/>
          <w:color w:val="auto"/>
        </w:rPr>
      </w:pPr>
      <w:r>
        <w:rPr>
          <w:rFonts w:ascii="Arial" w:cs="Arial" w:eastAsia="Arial" w:hAnsi="Arial"/>
          <w:sz w:val="18"/>
          <w:szCs w:val="18"/>
          <w:i w:val="1"/>
          <w:iCs w:val="1"/>
          <w:color w:val="auto"/>
        </w:rPr>
        <w:t>Cartessa</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December 14, 2020, Hydrafacial filed a complaint against Cartessa Aesthetics, LLC (“Cartessa”) in the United States District Court for the Eastern District of New York (the “New York Court”), captioned Edge Systems LLC v. Cartessa Aesthetics, LLC, Case No. 1:20-cv-6082, for patent infringement arising from Cartessa’s sale of a delivery system that allegedly infringes five of Hydrafacial’s patents on its device. Hydrafacial later narrowed its allegation to assert infringement of four of its patents. The New York Court granted Hydrafacial’s Motion for Summary Judgment of No Unclean Hands, granted Hydrafacial’s Motion for Summary Judgment of No Invalidity of one of the patents-in-suit, granted Cartessa’s Motion for Summary Judgment of non-infringement of one of the patents-in-suit, and denied Cartessa’s Motion for Summary Judgment of non-infringement on the three remaining patents-in-suit. As of the date of this report, the parties are awaiting the New York Court to set a trial date on Hydrafacial’s remaining three patents-in-suit.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Hydrafacial is seeking money damages and injunctive relief, and plans to vigorously pursue its claims against Cartessa.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Related-Party Transactions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Registration Rights Agreement</w:t>
      </w:r>
    </w:p>
    <w:p>
      <w:pPr>
        <w:spacing w:after="0" w:line="25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connection with the consummation of the Business Combination, on May 4, 2021, the Company entered into that certain Amended and Restated Registration Rights Agreement (the “Registration Rights Agreement”) with BLS Investor Group LLC (the “Sponsor”) and the Hydrafacial stockholders.</w:t>
      </w:r>
    </w:p>
    <w:p>
      <w:pPr>
        <w:spacing w:after="0" w:line="15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20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Registration Rights Agreement provides that the Company will, within 60 days after the consummation of the Business Combination, file with the Securities and Exchange Commission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the Registration Rights Agreement, the Sponsor agreed to restrictions on the transfer of securities issued to it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common stock issuable upon the exercise thereof for 30 days following the closing.</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5" w:name="page16"/>
    <w:bookmarkEnd w:id="15"/>
    <w:p>
      <w:pPr>
        <w:ind w:left="180"/>
        <w:spacing w:after="0"/>
        <w:rPr>
          <w:sz w:val="20"/>
          <w:szCs w:val="20"/>
          <w:color w:val="auto"/>
        </w:rPr>
      </w:pPr>
      <w:r>
        <w:rPr>
          <w:rFonts w:ascii="Arial" w:cs="Arial" w:eastAsia="Arial" w:hAnsi="Arial"/>
          <w:sz w:val="18"/>
          <w:szCs w:val="18"/>
          <w:i w:val="1"/>
          <w:iCs w:val="1"/>
          <w:color w:val="auto"/>
        </w:rPr>
        <w:t>Investor Rights Agreement</w:t>
      </w:r>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connection with the consummation of the Business Combination, on May 4, 2021, the Company and LCP Edge Holdco, LLC (“LCP”)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and corporate governance committee of the Company’s board of directors.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Amended and Restated Management Services Agreement</w:t>
      </w:r>
    </w:p>
    <w:p>
      <w:pPr>
        <w:spacing w:after="0" w:line="2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Hydrafacial entered into a Management Services Agreement, dated December 1, 2016 with Linden Capital Partners III LP (“Linden Capital Partners III”) and DW Management Services, L.L.C. (“DW Management Services”) pursuant to which the parties receive quarterly monitoring fees of the greater of (a) $125,000 and (b) </w:t>
      </w:r>
      <w:r>
        <w:rPr>
          <w:rFonts w:ascii="Arial" w:cs="Arial" w:eastAsia="Arial" w:hAnsi="Arial"/>
          <w:sz w:val="17"/>
          <w:szCs w:val="17"/>
          <w:color w:val="231F20"/>
        </w:rPr>
        <w:t>1.25%</w:t>
      </w:r>
      <w:r>
        <w:rPr>
          <w:rFonts w:ascii="Arial" w:cs="Arial" w:eastAsia="Arial" w:hAnsi="Arial"/>
          <w:sz w:val="17"/>
          <w:szCs w:val="17"/>
          <w:color w:val="auto"/>
        </w:rPr>
        <w:t xml:space="preserve"> of Last Twelve Months EBITDA multiplied by the quotient of (x) the aggregate capital invested by the investors of DW Healthcare Partners IV (B), L.P. (“DWHP Investors”) into LCP and/or its subsidiaries as of such date, divided by (y) the sum of (i) the aggregate capital invested by the DWHP Investors into LCP and/or its subsidiaries, plus (ii) the aggregate capital invested by Linden Capital Partners III into LCP and/or its subsidiaries as of the date of payment. In addition, the management services agreement provides for other fees in relation to services that may be provided in connection with equity and/or debt financing, acquisition of any other business, company, product line or enterprise, or divestiture of any division, business, and product or material assets. The fees vary between </w:t>
      </w:r>
      <w:r>
        <w:rPr>
          <w:rFonts w:ascii="Arial" w:cs="Arial" w:eastAsia="Arial" w:hAnsi="Arial"/>
          <w:sz w:val="17"/>
          <w:szCs w:val="17"/>
          <w:color w:val="231F20"/>
        </w:rPr>
        <w:t>1%</w:t>
      </w:r>
      <w:r>
        <w:rPr>
          <w:rFonts w:ascii="Arial" w:cs="Arial" w:eastAsia="Arial" w:hAnsi="Arial"/>
          <w:sz w:val="17"/>
          <w:szCs w:val="17"/>
          <w:color w:val="auto"/>
        </w:rPr>
        <w:t xml:space="preserve"> and </w:t>
      </w:r>
      <w:r>
        <w:rPr>
          <w:rFonts w:ascii="Arial" w:cs="Arial" w:eastAsia="Arial" w:hAnsi="Arial"/>
          <w:sz w:val="17"/>
          <w:szCs w:val="17"/>
          <w:color w:val="231F20"/>
        </w:rPr>
        <w:t>2%</w:t>
      </w:r>
      <w:r>
        <w:rPr>
          <w:rFonts w:ascii="Arial" w:cs="Arial" w:eastAsia="Arial" w:hAnsi="Arial"/>
          <w:sz w:val="17"/>
          <w:szCs w:val="17"/>
          <w:color w:val="auto"/>
        </w:rPr>
        <w:t xml:space="preserve"> of the related transaction amount. Linden Capital Partners III also received a transaction fee upon the consummation of the Business Combination.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consummation of the Business Combination, on May 4, 2021, the Company, its subsidiary, Edge Systems LLC, and Linden Capital</w:t>
      </w:r>
    </w:p>
    <w:p>
      <w:pPr>
        <w:spacing w:after="0" w:line="46" w:lineRule="exact"/>
        <w:rPr>
          <w:sz w:val="20"/>
          <w:szCs w:val="20"/>
          <w:color w:val="auto"/>
        </w:rPr>
      </w:pPr>
    </w:p>
    <w:p>
      <w:pPr>
        <w:ind w:firstLine="8"/>
        <w:spacing w:after="0" w:line="252" w:lineRule="auto"/>
        <w:tabs>
          <w:tab w:leader="none" w:pos="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LLC, the general partner of Linden Manager III LP (the “Linden Manager”) entered into an Amended and Restated Management Services Agreement (the “Linden Management Services Agreement”) pursuant to which the Linden Manager may continue to provide advisory services at the request of the Company related to mergers and acquisitions for one year following the Business Combination. As consideration for such services, the Company will pay a fee, equal to 1% of enterprise value of the target acquired, to the Linden Manager upon the consummation of any such transaction (the “1% Fee”). The Company has also agreed to reimburse Linden Manager for certain expenses in connection with such advisory services. However, pursuant to the Linden Management Services Agreement, the Company’s obligation to pay the 1% Fee expired twelve months after the consummation of the Business Combination on May 4, 2022.</w:t>
      </w:r>
    </w:p>
    <w:p>
      <w:pPr>
        <w:spacing w:after="0" w:line="2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Hydrafacial recorded approximately $0.2 million of charges related to management services fees for the six months ended June 30, 2022. There were no management fees during the six months ended June 30, 2023. In relation to the consummation of the Business Combination, $21.0 million in transaction fees was paid to the Former Parent. These amounts are included in general and administrative expenses on the Company’s condensed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12 – Stockholders’ Equity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is authorized to issue 320,000,000 shares of Class A Common Stock, par value of $0.0001 per share. Holders of Class A Common Stock are entitled to one vote for each share. As of June 30, 2023 and December 31, 2022, there were 132,881,417 and 132,214,695, respectively, of Class A Common Stock issued and outstanding. The Company has not declared or paid any dividends with respect to its Class A Common Stock.</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25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On September 26, 2022, the Company’s board of directors approved a common stock repurchase program pursuant to which the Company may repurchase up to $200.0 million of its outstanding shares of Class A Common Stock. Under the share repurchase program, repurchases can be made from time to time using a variety of methods, which may include open market purchases, privately negotiated transactions, or accelerated share repurchase programs.</w:t>
      </w:r>
    </w:p>
    <w:p>
      <w:pPr>
        <w:spacing w:after="0" w:line="17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entered into two accelerated share repurchase agreements on September 27, 2022 and November 9, 2022, respectively, with a financial institution to repurchase a total of $200.0 million of Class A Common Stock. Under the September 27, 2022 accelerated share repurchase agreement, the Company repurchased approximately 9.3 million shares for $100.0 million. Under the November 9, 2022 accelerated share repurchase agreement, the Company made a payment of $100.0 million and received initial deliveries of approximately 9.5 million shares, which represented 80% of the payment amount divided by the Company’s closing stock price on that date. During the three months ended June 30, 2023, the Company paid $2.2 million as the final settlement of the November 9, 2022 accelerated share repurchase agreement, which was based upon the average daily volume weighted average price of the Company’s Class A Common Stock during the repurchase period, less an agreed upon discount.</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 is authorized to issue 1,000,000 shares of preferred stock with a par value of $0.0001 per share with such designations, voting and other rights and preferences as may be determined from time to time by the Company’s board of directors. As of June 30, 2023 and December 31, 2022, there were no shares of preferred stock issued or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Net income (loss) to Common Stockholders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both basic and diluted net income (loss) per share as follows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231F20"/>
              </w:rPr>
              <w:t>Three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231F20"/>
              </w:rPr>
              <w:t>Six Months Ended June 30,</w:t>
            </w:r>
          </w:p>
        </w:tc>
        <w:tc>
          <w:tcPr>
            <w:tcW w:w="0" w:type="dxa"/>
            <w:vAlign w:val="bottom"/>
          </w:tcPr>
          <w:p>
            <w:pPr>
              <w:spacing w:after="0"/>
              <w:rPr>
                <w:sz w:val="1"/>
                <w:szCs w:val="1"/>
                <w:color w:val="auto"/>
              </w:rPr>
            </w:pPr>
          </w:p>
        </w:tc>
      </w:tr>
      <w:tr>
        <w:trPr>
          <w:trHeight w:val="25"/>
        </w:trPr>
        <w:tc>
          <w:tcPr>
            <w:tcW w:w="540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thousands, except share and per share amounts)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40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231F20"/>
              </w:rPr>
              <w:t>2023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231F20"/>
              </w:rPr>
              <w:t>2022</w:t>
            </w:r>
          </w:p>
        </w:tc>
        <w:tc>
          <w:tcPr>
            <w:tcW w:w="0" w:type="dxa"/>
            <w:vAlign w:val="bottom"/>
          </w:tcPr>
          <w:p>
            <w:pPr>
              <w:spacing w:after="0"/>
              <w:rPr>
                <w:sz w:val="1"/>
                <w:szCs w:val="1"/>
                <w:color w:val="auto"/>
              </w:rPr>
            </w:pPr>
          </w:p>
        </w:tc>
      </w:tr>
      <w:tr>
        <w:trPr>
          <w:trHeight w:val="231"/>
        </w:trPr>
        <w:tc>
          <w:tcPr>
            <w:tcW w:w="5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Net income (loss) available to common stockholders - 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3,364</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6,317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(16,895)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37,772</w:t>
            </w:r>
          </w:p>
        </w:tc>
        <w:tc>
          <w:tcPr>
            <w:tcW w:w="0" w:type="dxa"/>
            <w:vAlign w:val="bottom"/>
          </w:tcPr>
          <w:p>
            <w:pPr>
              <w:spacing w:after="0"/>
              <w:rPr>
                <w:sz w:val="1"/>
                <w:szCs w:val="1"/>
                <w:color w:val="auto"/>
              </w:rPr>
            </w:pPr>
          </w:p>
        </w:tc>
      </w:tr>
      <w:tr>
        <w:trPr>
          <w:trHeight w:val="230"/>
        </w:trPr>
        <w:tc>
          <w:tcPr>
            <w:tcW w:w="5400" w:type="dxa"/>
            <w:vAlign w:val="bottom"/>
          </w:tcPr>
          <w:p>
            <w:pPr>
              <w:ind w:left="80"/>
              <w:spacing w:after="0"/>
              <w:rPr>
                <w:sz w:val="20"/>
                <w:szCs w:val="20"/>
                <w:color w:val="auto"/>
              </w:rPr>
            </w:pPr>
            <w:r>
              <w:rPr>
                <w:rFonts w:ascii="Arial" w:cs="Arial" w:eastAsia="Arial" w:hAnsi="Arial"/>
                <w:sz w:val="18"/>
                <w:szCs w:val="18"/>
                <w:color w:val="231F20"/>
              </w:rPr>
              <w:t>Less: Income on Private Placement Warrants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(15,185)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(67,237)</w:t>
            </w:r>
          </w:p>
        </w:tc>
        <w:tc>
          <w:tcPr>
            <w:tcW w:w="0" w:type="dxa"/>
            <w:vAlign w:val="bottom"/>
          </w:tcPr>
          <w:p>
            <w:pPr>
              <w:spacing w:after="0"/>
              <w:rPr>
                <w:sz w:val="1"/>
                <w:szCs w:val="1"/>
                <w:color w:val="auto"/>
              </w:rPr>
            </w:pPr>
          </w:p>
        </w:tc>
      </w:tr>
      <w:tr>
        <w:trPr>
          <w:trHeight w:val="256"/>
        </w:trPr>
        <w:tc>
          <w:tcPr>
            <w:tcW w:w="540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Net income (loss) available to common stockholders -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3,364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(8,868)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(16,895)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(29,465)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Weighted average common shares outstanding - basic</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132,716,024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150,731,491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132,569,209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150,665,166</w:t>
            </w:r>
          </w:p>
        </w:tc>
        <w:tc>
          <w:tcPr>
            <w:tcW w:w="0" w:type="dxa"/>
            <w:vAlign w:val="bottom"/>
          </w:tcPr>
          <w:p>
            <w:pPr>
              <w:spacing w:after="0"/>
              <w:rPr>
                <w:sz w:val="1"/>
                <w:szCs w:val="1"/>
                <w:color w:val="auto"/>
              </w:rPr>
            </w:pPr>
          </w:p>
        </w:tc>
      </w:tr>
      <w:tr>
        <w:trPr>
          <w:trHeight w:val="229"/>
        </w:trPr>
        <w:tc>
          <w:tcPr>
            <w:tcW w:w="5400" w:type="dxa"/>
            <w:vAlign w:val="bottom"/>
          </w:tcPr>
          <w:p>
            <w:pPr>
              <w:ind w:left="80"/>
              <w:spacing w:after="0"/>
              <w:rPr>
                <w:sz w:val="20"/>
                <w:szCs w:val="20"/>
                <w:color w:val="auto"/>
              </w:rPr>
            </w:pPr>
            <w:r>
              <w:rPr>
                <w:rFonts w:ascii="Arial" w:cs="Arial" w:eastAsia="Arial" w:hAnsi="Arial"/>
                <w:sz w:val="18"/>
                <w:szCs w:val="18"/>
                <w:color w:val="231F20"/>
              </w:rPr>
              <w:t>Effect of dilutive shares: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80"/>
              <w:spacing w:after="0"/>
              <w:rPr>
                <w:sz w:val="20"/>
                <w:szCs w:val="20"/>
                <w:color w:val="auto"/>
              </w:rPr>
            </w:pPr>
            <w:r>
              <w:rPr>
                <w:rFonts w:ascii="Arial" w:cs="Arial" w:eastAsia="Arial" w:hAnsi="Arial"/>
                <w:sz w:val="18"/>
                <w:szCs w:val="18"/>
                <w:color w:val="231F20"/>
              </w:rPr>
              <w:t>Private Placement Warrants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987,960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1,609,228</w:t>
            </w:r>
          </w:p>
        </w:tc>
        <w:tc>
          <w:tcPr>
            <w:tcW w:w="0" w:type="dxa"/>
            <w:vAlign w:val="bottom"/>
          </w:tcPr>
          <w:p>
            <w:pPr>
              <w:spacing w:after="0"/>
              <w:rPr>
                <w:sz w:val="1"/>
                <w:szCs w:val="1"/>
                <w:color w:val="auto"/>
              </w:rPr>
            </w:pPr>
          </w:p>
        </w:tc>
      </w:tr>
      <w:tr>
        <w:trPr>
          <w:trHeight w:val="223"/>
        </w:trPr>
        <w:tc>
          <w:tcPr>
            <w:tcW w:w="5400" w:type="dxa"/>
            <w:vAlign w:val="bottom"/>
          </w:tcPr>
          <w:p>
            <w:pPr>
              <w:ind w:left="80"/>
              <w:spacing w:after="0"/>
              <w:rPr>
                <w:sz w:val="20"/>
                <w:szCs w:val="20"/>
                <w:color w:val="auto"/>
              </w:rPr>
            </w:pPr>
            <w:r>
              <w:rPr>
                <w:rFonts w:ascii="Arial" w:cs="Arial" w:eastAsia="Arial" w:hAnsi="Arial"/>
                <w:sz w:val="18"/>
                <w:szCs w:val="18"/>
                <w:color w:val="231F20"/>
              </w:rPr>
              <w:t>Weighted average common shares outstanding - diluted</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132,716,024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151,719,451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132,569,209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152,274,394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Pr>
          <w:p>
            <w:pPr>
              <w:ind w:left="80"/>
              <w:spacing w:after="0"/>
              <w:rPr>
                <w:sz w:val="20"/>
                <w:szCs w:val="20"/>
                <w:color w:val="auto"/>
              </w:rPr>
            </w:pPr>
            <w:r>
              <w:rPr>
                <w:rFonts w:ascii="Arial" w:cs="Arial" w:eastAsia="Arial" w:hAnsi="Arial"/>
                <w:sz w:val="18"/>
                <w:szCs w:val="18"/>
                <w:color w:val="231F20"/>
              </w:rPr>
              <w:t>Basic net income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0.03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120" w:type="dxa"/>
            <w:vAlign w:val="bottom"/>
          </w:tcPr>
          <w:p>
            <w:pPr>
              <w:jc w:val="right"/>
              <w:spacing w:after="0"/>
              <w:rPr>
                <w:sz w:val="20"/>
                <w:szCs w:val="20"/>
                <w:color w:val="auto"/>
              </w:rPr>
            </w:pPr>
            <w:r>
              <w:rPr>
                <w:rFonts w:ascii="Arial" w:cs="Arial" w:eastAsia="Arial" w:hAnsi="Arial"/>
                <w:sz w:val="18"/>
                <w:szCs w:val="18"/>
                <w:color w:val="231F20"/>
              </w:rPr>
              <w:t>0.04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(0.13)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231F20"/>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0.25</w:t>
            </w:r>
          </w:p>
        </w:tc>
        <w:tc>
          <w:tcPr>
            <w:tcW w:w="0" w:type="dxa"/>
            <w:vAlign w:val="bottom"/>
          </w:tcPr>
          <w:p>
            <w:pPr>
              <w:spacing w:after="0"/>
              <w:rPr>
                <w:sz w:val="1"/>
                <w:szCs w:val="1"/>
                <w:color w:val="auto"/>
              </w:rPr>
            </w:pPr>
          </w:p>
        </w:tc>
      </w:tr>
      <w:tr>
        <w:trPr>
          <w:trHeight w:val="277"/>
        </w:trPr>
        <w:tc>
          <w:tcPr>
            <w:tcW w:w="540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Dilutive net income (loss)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(0.13)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(0.19)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and six months ended June 30, 2023 and 2022, all outstanding shares related to share-based awards and convertible notes were excluded from the calculation of diluted net loss per common share because their effect would be antidilutive. For the three and six months ended June 30, 2023, income and shares related to the Private Placement Warrants were excluded from the calculation of diluted net income (loss) per common share because their effect would be antidilutive.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14 – New Accounting Pronouncements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Recent accounting pronouncements pending adoption not discussed in this Form 10-Q are either not applicable to the Company or are not expected to have a material impact on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Revision for Immaterial Misstatements</w:t>
      </w:r>
    </w:p>
    <w:p>
      <w:pPr>
        <w:spacing w:after="0" w:line="25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As disclosed in Note 1 – Description of Business, subsequent to the issuance of the Company’s Annual Report on Form 10-K for the fiscal year ended December 31, 2022, during the six months ended June 30, 2023, the Company identified misstatements related to the elimination of intercompany balances and right of return assets. Although the Company concluded that these misstatements were not material, either individually or in the aggregate, the Company elected to revise its previously issued consolidated financial statements to correct for these misstatements. The revision to the accompanying unaudited condensed consolidated balance sheets, condensed consolidated statements of comprehensive income (loss), and condensed consolidated statements of cash flows and related disclosures in Note 3 - Balance Sheet Components and Note 13 – Net (Loss) Income Attributable to Common Stockholders are detailed in the tables below. As of December 31, 2021, accumulated deficit was understated by $4.3 million, and as such, previously reported stockholders’ equity of $302.3 million was revised to $298.0 million. For the fiscal year ended December 31, 2022, net income was overstated $0.2 million. As of March 31, 2023, accumulated deficit was overstated $4.7 million, and as such, previously reported stockholders’ equity of</w:t>
      </w:r>
    </w:p>
    <w:p>
      <w:pPr>
        <w:spacing w:after="0" w:line="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$147.7 million was revised to $152.4 million. There were no other changes to the consolidated statements of stockholders’ equity that have not otherwise been reflected in the condensed consolidated balance sheets and condensed consolidated statements of comprehensive income (loss) as detailed in the tables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231F20"/>
              </w:rPr>
              <w:t>As of December 31, 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231F20"/>
              </w:rPr>
              <w:t>Condensed Consolidated Balance Sheet (in thousands)</w:t>
            </w: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231F20"/>
              </w:rPr>
              <w:t>Adjustment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116,430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109,656</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26,698</w:t>
            </w:r>
          </w:p>
        </w:tc>
        <w:tc>
          <w:tcPr>
            <w:tcW w:w="400" w:type="dxa"/>
            <w:vAlign w:val="bottom"/>
            <w:gridSpan w:val="2"/>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950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231F20"/>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27,648</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789,099</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(5,824)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783,275</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1,008,907</w:t>
            </w:r>
          </w:p>
        </w:tc>
        <w:tc>
          <w:tcPr>
            <w:tcW w:w="400" w:type="dxa"/>
            <w:vAlign w:val="bottom"/>
            <w:gridSpan w:val="2"/>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(5,824)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231F20"/>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1,003,083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30,335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(1,868)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28,467</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962</w:t>
            </w:r>
          </w:p>
        </w:tc>
        <w:tc>
          <w:tcPr>
            <w:tcW w:w="400" w:type="dxa"/>
            <w:vAlign w:val="bottom"/>
            <w:gridSpan w:val="2"/>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467</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231F20"/>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1,429</w:t>
            </w: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73,115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(1,401)</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71,714</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837,431</w:t>
            </w:r>
          </w:p>
        </w:tc>
        <w:tc>
          <w:tcPr>
            <w:tcW w:w="400" w:type="dxa"/>
            <w:vAlign w:val="bottom"/>
            <w:gridSpan w:val="2"/>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(1,401)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231F20"/>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836,030</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(374,328)</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(4,423)</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(378,751)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171,476</w:t>
            </w:r>
          </w:p>
        </w:tc>
        <w:tc>
          <w:tcPr>
            <w:tcW w:w="400" w:type="dxa"/>
            <w:vAlign w:val="bottom"/>
            <w:gridSpan w:val="2"/>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(4,423)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231F20"/>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167,053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1,008,907</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(5,824)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1,003,083</w:t>
            </w:r>
          </w:p>
        </w:tc>
        <w:tc>
          <w:tcPr>
            <w:tcW w:w="0" w:type="dxa"/>
            <w:vAlign w:val="bottom"/>
          </w:tcPr>
          <w:p>
            <w:pPr>
              <w:spacing w:after="0"/>
              <w:rPr>
                <w:sz w:val="1"/>
                <w:szCs w:val="1"/>
                <w:color w:val="auto"/>
              </w:rPr>
            </w:pPr>
          </w:p>
        </w:tc>
      </w:tr>
      <w:tr>
        <w:trPr>
          <w:trHeight w:val="785"/>
        </w:trPr>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231F20"/>
              </w:rPr>
              <w:t>Three Months Ended June 30, 2022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231F20"/>
                <w:w w:val="92"/>
              </w:rPr>
              <w:t>Condensed Consolidated Statement of Comprehensive Income (Loss) (in thousands,</w:t>
            </w: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231F20"/>
              </w:rPr>
              <w:t>except per share amounts)</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231F20"/>
              </w:rPr>
              <w:t>Adjustment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31,882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231F20"/>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33,496</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71,654</w:t>
            </w:r>
          </w:p>
        </w:tc>
        <w:tc>
          <w:tcPr>
            <w:tcW w:w="400" w:type="dxa"/>
            <w:vAlign w:val="bottom"/>
            <w:gridSpan w:val="2"/>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(1,614)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231F20"/>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70,040</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(3,413)</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(1,614)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(5,027)</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8,007</w:t>
            </w:r>
          </w:p>
        </w:tc>
        <w:tc>
          <w:tcPr>
            <w:tcW w:w="400" w:type="dxa"/>
            <w:vAlign w:val="bottom"/>
            <w:gridSpan w:val="2"/>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(1,614)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231F20"/>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6,393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7,931</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(1,614)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6,317</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4,244</w:t>
            </w:r>
          </w:p>
        </w:tc>
        <w:tc>
          <w:tcPr>
            <w:tcW w:w="400" w:type="dxa"/>
            <w:vAlign w:val="bottom"/>
            <w:gridSpan w:val="2"/>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(1,614)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231F20"/>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2,630</w:t>
            </w: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0.04</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Net loss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(0.05)</w:t>
            </w:r>
          </w:p>
        </w:tc>
        <w:tc>
          <w:tcPr>
            <w:tcW w:w="400" w:type="dxa"/>
            <w:vAlign w:val="bottom"/>
            <w:gridSpan w:val="2"/>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(0.01)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231F20"/>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(0.06)</w:t>
            </w:r>
          </w:p>
        </w:tc>
        <w:tc>
          <w:tcPr>
            <w:tcW w:w="0" w:type="dxa"/>
            <w:vAlign w:val="bottom"/>
          </w:tcPr>
          <w:p>
            <w:pPr>
              <w:spacing w:after="0"/>
              <w:rPr>
                <w:sz w:val="1"/>
                <w:szCs w:val="1"/>
                <w:color w:val="auto"/>
              </w:rPr>
            </w:pPr>
          </w:p>
        </w:tc>
      </w:tr>
      <w:tr>
        <w:trPr>
          <w:trHeight w:val="904"/>
        </w:trPr>
        <w:tc>
          <w:tcPr>
            <w:tcW w:w="6020" w:type="dxa"/>
            <w:vAlign w:val="bottom"/>
          </w:tcPr>
          <w:p>
            <w:pPr>
              <w:ind w:left="55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5"/>
          </w:tcPr>
          <w:p>
            <w:pPr>
              <w:ind w:left="1480"/>
              <w:spacing w:after="0"/>
              <w:rPr>
                <w:sz w:val="20"/>
                <w:szCs w:val="20"/>
                <w:color w:val="auto"/>
              </w:rPr>
            </w:pPr>
            <w:r>
              <w:rPr>
                <w:rFonts w:ascii="Arial" w:cs="Arial" w:eastAsia="Arial" w:hAnsi="Arial"/>
                <w:sz w:val="14"/>
                <w:szCs w:val="14"/>
                <w:b w:val="1"/>
                <w:bCs w:val="1"/>
                <w:color w:val="231F20"/>
                <w:w w:val="93"/>
              </w:rPr>
              <w:t>Six Months Ended June 30, 2022</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231F20"/>
                <w:w w:val="92"/>
              </w:rPr>
              <w:t>Condensed Consolidated Statement of Comprehensive Income (Loss) (in thousands,</w:t>
            </w: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b w:val="1"/>
                <w:bCs w:val="1"/>
                <w:color w:val="231F20"/>
              </w:rPr>
              <w:t>except per share amounts)</w:t>
            </w:r>
          </w:p>
        </w:tc>
        <w:tc>
          <w:tcPr>
            <w:tcW w:w="120" w:type="dxa"/>
            <w:vAlign w:val="bottom"/>
          </w:tcPr>
          <w:p>
            <w:pPr>
              <w:spacing w:after="0"/>
              <w:rPr>
                <w:sz w:val="18"/>
                <w:szCs w:val="18"/>
                <w:color w:val="auto"/>
              </w:rPr>
            </w:pPr>
          </w:p>
        </w:tc>
        <w:tc>
          <w:tcPr>
            <w:tcW w:w="1600" w:type="dxa"/>
            <w:vAlign w:val="bottom"/>
          </w:tcPr>
          <w:p>
            <w:pPr>
              <w:jc w:val="right"/>
              <w:ind w:right="55"/>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231F20"/>
              </w:rPr>
              <w:t>Adjustment</w:t>
            </w:r>
          </w:p>
        </w:tc>
        <w:tc>
          <w:tcPr>
            <w:tcW w:w="28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55,360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231F20"/>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58,026</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123,591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(2,666)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120,925</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(16,374)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(19,040)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43,129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(2,666)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40,463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40,438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37,772</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36,606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(2,666)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33,940</w:t>
            </w: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0.27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0.25</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Net loss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(0.18)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(0.01)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231F20"/>
              </w:rPr>
              <w:t>(0.19)</w:t>
            </w:r>
          </w:p>
        </w:tc>
        <w:tc>
          <w:tcPr>
            <w:tcW w:w="0" w:type="dxa"/>
            <w:vAlign w:val="bottom"/>
          </w:tcPr>
          <w:p>
            <w:pPr>
              <w:spacing w:after="0"/>
              <w:rPr>
                <w:sz w:val="1"/>
                <w:szCs w:val="1"/>
                <w:color w:val="auto"/>
              </w:rPr>
            </w:pPr>
          </w:p>
        </w:tc>
      </w:tr>
      <w:tr>
        <w:trPr>
          <w:trHeight w:val="541"/>
        </w:trPr>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5"/>
          </w:tcPr>
          <w:p>
            <w:pPr>
              <w:ind w:left="1480"/>
              <w:spacing w:after="0"/>
              <w:rPr>
                <w:sz w:val="20"/>
                <w:szCs w:val="20"/>
                <w:color w:val="auto"/>
              </w:rPr>
            </w:pPr>
            <w:r>
              <w:rPr>
                <w:rFonts w:ascii="Arial" w:cs="Arial" w:eastAsia="Arial" w:hAnsi="Arial"/>
                <w:sz w:val="14"/>
                <w:szCs w:val="14"/>
                <w:b w:val="1"/>
                <w:bCs w:val="1"/>
                <w:color w:val="231F20"/>
                <w:w w:val="93"/>
              </w:rPr>
              <w:t>Six Months Ended June 30, 2022</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231F20"/>
              </w:rPr>
              <w:t>Condensed Consolidated Statement of Cash Flows (in thousands)</w:t>
            </w: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55"/>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231F20"/>
              </w:rPr>
              <w:t>Adjustment</w:t>
            </w:r>
          </w:p>
        </w:tc>
        <w:tc>
          <w:tcPr>
            <w:tcW w:w="280" w:type="dxa"/>
            <w:vAlign w:val="bottom"/>
          </w:tcPr>
          <w:p>
            <w:pPr>
              <w:spacing w:after="0"/>
              <w:rPr>
                <w:sz w:val="16"/>
                <w:szCs w:val="16"/>
                <w:color w:val="auto"/>
              </w:rPr>
            </w:pPr>
          </w:p>
        </w:tc>
        <w:tc>
          <w:tcPr>
            <w:tcW w:w="1300" w:type="dxa"/>
            <w:vAlign w:val="bottom"/>
          </w:tcPr>
          <w:p>
            <w:pPr>
              <w:jc w:val="right"/>
              <w:ind w:right="373"/>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40,438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231F20"/>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37,772</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(41,262)</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(38,596)</w:t>
            </w:r>
          </w:p>
        </w:tc>
        <w:tc>
          <w:tcPr>
            <w:tcW w:w="0" w:type="dxa"/>
            <w:vAlign w:val="bottom"/>
          </w:tcPr>
          <w:p>
            <w:pPr>
              <w:spacing w:after="0"/>
              <w:rPr>
                <w:sz w:val="1"/>
                <w:szCs w:val="1"/>
                <w:color w:val="auto"/>
              </w:rPr>
            </w:pPr>
          </w:p>
        </w:tc>
      </w:tr>
      <w:tr>
        <w:trPr>
          <w:trHeight w:val="648"/>
        </w:trPr>
        <w:tc>
          <w:tcPr>
            <w:tcW w:w="6020" w:type="dxa"/>
            <w:vAlign w:val="bottom"/>
          </w:tcPr>
          <w:p>
            <w:pPr>
              <w:ind w:left="55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Quarterly Report on Form 10-Q for the three months ended June 30, 2023 (“the Quarterly Report on Form 10-Q”) contains “forward looking statements” within the meaning of the “safe harbor” provisions of the United States Private Securities Litigation Reform Act of 1995. When used in this Quarterly Report on Form 10-Q,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2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 and our Annual Report on Form 10-K for the fiscal year ended December 31, 2022 filed with the SEC on March 1, 2023 (the “Annual Report on Form 10-K”).</w:t>
      </w:r>
    </w:p>
    <w:p>
      <w:pPr>
        <w:spacing w:after="0" w:line="20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Important factors, among others, that may affect actual results or outcomes include the inability to recognize the anticipated benefits of the Business Combination; costs related to the Business Combination; the Company’s availability of cash for debt service and exposure to risk of default under debt obligations; the Company’s ability to manage growth; the Company’s ability to execute its business plan; potential litigation involving the Company; changes in applicable laws or regulations; the possibility that the Company may be adversely affected by other economic, business, and/or competitive factors; and the impact of the continuing COVID-19 pandemic or any future pandemics, epidemics or infectious disease outbreaks on our business. The Company does not undertake any obligation to update or revise any forward-looking statements, whether as a result of new information, future events or otherwise, except as required by law.</w:t>
      </w:r>
    </w:p>
    <w:p>
      <w:pPr>
        <w:spacing w:after="0" w:line="22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 for the fiscal year ended December 31, 2022 filed with the SEC on March 1, 2023.</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Unless the context otherwise requires, references to “Hydrafacial”, “we”, “us”, and “our” in this section are intended to mean the business and operations of The Beauty Health Company and its consolidated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Beauty Health Company is a global category-creating company delivering skin health experiences that help consumers reinvent their relationship with their skin, bodies and self-confidence. The Company and its subsidiaries design, develop, manufacture, market, and sell a/esthetic technologies and products. The Company’s brands are pioneers: Hydrafacial in hydradermabrasion; SkinStylus in microneedling; and Keravive in scalp health. Together, with its powerful community of estheticians, partners and consumers, the Company is personalizing skin health for all ages, genders, skin tones, and skin types.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Business and Macroeconomic Conditions</w:t>
      </w:r>
    </w:p>
    <w:p>
      <w:pPr>
        <w:spacing w:after="0" w:line="256"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231F20"/>
        </w:rPr>
        <w:t>During the three months ended June 30, 2023, we continued to execute against our plan to expand our footprint by selling and placing Delivery Systems worldwide, drive Consumables, invest in our community of providers, partners, and consumers, drive brand awareness, and optimize our global infrastructure. Although we believe we can be successful in our current operating environment, various macroeconomic factors during the three months ended June 30, 2023 may impact our business in unpredictable ways such as:</w:t>
      </w:r>
    </w:p>
    <w:p>
      <w:pPr>
        <w:ind w:left="660" w:hanging="328"/>
        <w:spacing w:after="0" w:line="235" w:lineRule="auto"/>
        <w:tabs>
          <w:tab w:leader="none" w:pos="6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Disruptions in transportation and other supply chain related constraints, such as labor strife in the transportation industry;</w:t>
      </w:r>
    </w:p>
    <w:p>
      <w:pPr>
        <w:ind w:left="660" w:hanging="328"/>
        <w:spacing w:after="0"/>
        <w:tabs>
          <w:tab w:leader="none" w:pos="66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Global economic conditions, including inflationary pressures, changes in foreign currency exchange rates, and higher interest rates; and</w:t>
      </w:r>
    </w:p>
    <w:p>
      <w:pPr>
        <w:spacing w:after="0" w:line="7" w:lineRule="exact"/>
        <w:rPr>
          <w:rFonts w:ascii="Arial" w:cs="Arial" w:eastAsia="Arial" w:hAnsi="Arial"/>
          <w:sz w:val="17"/>
          <w:szCs w:val="17"/>
          <w:color w:val="231F20"/>
        </w:rPr>
      </w:pPr>
    </w:p>
    <w:p>
      <w:pPr>
        <w:ind w:left="660" w:right="180" w:hanging="328"/>
        <w:spacing w:after="0" w:line="239" w:lineRule="auto"/>
        <w:tabs>
          <w:tab w:leader="none" w:pos="6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Exposure to infectious disease, epidemics, and pandemics on our business operations in geographic locations impacted by the outbreak, such as China, which reopened from sporadic and/or zero-tolerance COVID-19 policies that previously led to prolonged store closures and travel restrictions within certain markets and regions in the country during the first quarter of 2023.</w:t>
      </w:r>
    </w:p>
    <w:p>
      <w:pPr>
        <w:spacing w:after="0" w:line="230" w:lineRule="exact"/>
        <w:rPr>
          <w:sz w:val="20"/>
          <w:szCs w:val="20"/>
          <w:color w:val="auto"/>
        </w:rPr>
      </w:pPr>
    </w:p>
    <w:p>
      <w:pPr>
        <w:spacing w:after="0" w:line="301" w:lineRule="auto"/>
        <w:rPr>
          <w:sz w:val="20"/>
          <w:szCs w:val="20"/>
          <w:color w:val="auto"/>
        </w:rPr>
      </w:pPr>
      <w:r>
        <w:rPr>
          <w:rFonts w:ascii="Arial" w:cs="Arial" w:eastAsia="Arial" w:hAnsi="Arial"/>
          <w:sz w:val="16"/>
          <w:szCs w:val="16"/>
          <w:color w:val="231F20"/>
        </w:rPr>
        <w:t>We may be able to offset cost pressures through increases in the selling prices of some of our products, value engineering efforts to optimize product costs, increasing the diversification of our suppliers and supplier contracts, increasing natural foreign currency hedging, as applicable, and reductions in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231F20"/>
        </w:rPr>
        <w:t>Macroeconomic factors may also negatively impact, in the short-term or long-term, the global economy, beauty health industry, our providers and their budgets with us, and our business, financial condition, and results of operations. We remain attentive to macroeconomic conditions that may materially impact our business, and we continue to explore and implement risk mitigation strategies in the face of these unfolding conditions to remain agile in adopting to changing circumstances.</w:t>
      </w: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7" w:right="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Comparison of Three Months Ended June 30, 2023 to Three Months Ended June 30, 2022</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June 30, 2023 and June 30, 2022 have been derived from the condensed consolidated financial statements included elsewhere in this Quarterly Report on Form 10-Q. Amounts and percentages may not foot due to rounding.</w:t>
      </w:r>
    </w:p>
    <w:p>
      <w:pPr>
        <w:spacing w:after="0" w:line="214"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231F20"/>
        </w:rPr>
        <w:t>The following discussion has been amended to reflect the Company’s revision of previously issued consolidated financial statements to correct for prior period misstatements, which the Company concluded did not, either individually or in the aggregate, result in a material misstatement of its previously issued consolidated financial statements. Further information regarding the revision is included in Part I, Item 1 Note 15 to the condensed consolidated financial statements of this Quarterly Report on Form 10-Q.</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gridSpan w:val="7"/>
          </w:tcPr>
          <w:p>
            <w:pPr>
              <w:ind w:left="360"/>
              <w:spacing w:after="0"/>
              <w:rPr>
                <w:sz w:val="20"/>
                <w:szCs w:val="20"/>
                <w:color w:val="auto"/>
              </w:rPr>
            </w:pPr>
            <w:r>
              <w:rPr>
                <w:rFonts w:ascii="Arial" w:cs="Arial" w:eastAsia="Arial" w:hAnsi="Arial"/>
                <w:sz w:val="14"/>
                <w:szCs w:val="14"/>
                <w:b w:val="1"/>
                <w:bCs w:val="1"/>
                <w:color w:val="231F20"/>
              </w:rPr>
              <w:t>Three Months Ended June 30,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millions)</w:t>
            </w: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231F20"/>
                <w:w w:val="91"/>
              </w:rPr>
              <w:t>% of Net Sales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231F20"/>
                <w:w w:val="93"/>
              </w:rPr>
              <w:t>% of Net Sales</w:t>
            </w:r>
          </w:p>
        </w:tc>
        <w:tc>
          <w:tcPr>
            <w:tcW w:w="0" w:type="dxa"/>
            <w:vAlign w:val="bottom"/>
          </w:tcPr>
          <w:p>
            <w:pPr>
              <w:spacing w:after="0"/>
              <w:rPr>
                <w:sz w:val="1"/>
                <w:szCs w:val="1"/>
                <w:color w:val="auto"/>
              </w:rPr>
            </w:pPr>
          </w:p>
        </w:tc>
      </w:tr>
      <w:tr>
        <w:trPr>
          <w:trHeight w:val="238"/>
        </w:trPr>
        <w:tc>
          <w:tcPr>
            <w:tcW w:w="50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117.5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103.5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Cost of sales</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49.6</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231F20"/>
              </w:rPr>
              <w:t>42.2</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rPr>
              <w:t>32.4</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Gross profit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57.8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67.6</w:t>
            </w:r>
          </w:p>
        </w:tc>
        <w:tc>
          <w:tcPr>
            <w:tcW w:w="0" w:type="dxa"/>
            <w:vAlign w:val="bottom"/>
          </w:tcPr>
          <w:p>
            <w:pPr>
              <w:spacing w:after="0"/>
              <w:rPr>
                <w:sz w:val="1"/>
                <w:szCs w:val="1"/>
                <w:color w:val="auto"/>
              </w:rPr>
            </w:pPr>
          </w:p>
        </w:tc>
      </w:tr>
      <w:tr>
        <w:trPr>
          <w:trHeight w:val="237"/>
        </w:trPr>
        <w:tc>
          <w:tcPr>
            <w:tcW w:w="5080" w:type="dxa"/>
            <w:vAlign w:val="bottom"/>
          </w:tcPr>
          <w:p>
            <w:pPr>
              <w:ind w:left="80"/>
              <w:spacing w:after="0"/>
              <w:rPr>
                <w:sz w:val="20"/>
                <w:szCs w:val="20"/>
                <w:color w:val="auto"/>
              </w:rPr>
            </w:pPr>
            <w:r>
              <w:rPr>
                <w:rFonts w:ascii="Arial" w:cs="Arial" w:eastAsia="Arial" w:hAnsi="Arial"/>
                <w:sz w:val="18"/>
                <w:szCs w:val="18"/>
                <w:color w:val="231F20"/>
              </w:rPr>
              <w:t>Operating expenses: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Selling and marketing</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36.6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43.3</w:t>
            </w:r>
          </w:p>
        </w:tc>
        <w:tc>
          <w:tcPr>
            <w:tcW w:w="0" w:type="dxa"/>
            <w:vAlign w:val="bottom"/>
          </w:tcPr>
          <w:p>
            <w:pPr>
              <w:spacing w:after="0"/>
              <w:rPr>
                <w:sz w:val="1"/>
                <w:szCs w:val="1"/>
                <w:color w:val="auto"/>
              </w:rPr>
            </w:pPr>
          </w:p>
        </w:tc>
      </w:tr>
      <w:tr>
        <w:trPr>
          <w:trHeight w:val="230"/>
        </w:trPr>
        <w:tc>
          <w:tcPr>
            <w:tcW w:w="5080" w:type="dxa"/>
            <w:vAlign w:val="bottom"/>
          </w:tcPr>
          <w:p>
            <w:pPr>
              <w:ind w:left="580"/>
              <w:spacing w:after="0"/>
              <w:rPr>
                <w:sz w:val="20"/>
                <w:szCs w:val="20"/>
                <w:color w:val="auto"/>
              </w:rPr>
            </w:pPr>
            <w:r>
              <w:rPr>
                <w:rFonts w:ascii="Arial" w:cs="Arial" w:eastAsia="Arial" w:hAnsi="Arial"/>
                <w:sz w:val="18"/>
                <w:szCs w:val="18"/>
                <w:color w:val="231F20"/>
              </w:rPr>
              <w:t>Research and development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231F20"/>
              </w:rPr>
              <w:t>2.5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231F20"/>
              </w:rPr>
              <w:t>2.5</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General and administrative</w:t>
            </w:r>
          </w:p>
        </w:tc>
        <w:tc>
          <w:tcPr>
            <w:tcW w:w="1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35.1</w:t>
            </w:r>
          </w:p>
        </w:tc>
        <w:tc>
          <w:tcPr>
            <w:tcW w:w="10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231F20"/>
              </w:rPr>
              <w:t>29.9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rPr>
              <w:t>26.6</w:t>
            </w:r>
          </w:p>
        </w:tc>
        <w:tc>
          <w:tcPr>
            <w:tcW w:w="0" w:type="dxa"/>
            <w:vAlign w:val="bottom"/>
          </w:tcPr>
          <w:p>
            <w:pPr>
              <w:spacing w:after="0"/>
              <w:rPr>
                <w:sz w:val="1"/>
                <w:szCs w:val="1"/>
                <w:color w:val="auto"/>
              </w:rPr>
            </w:pPr>
          </w:p>
        </w:tc>
      </w:tr>
      <w:tr>
        <w:trPr>
          <w:trHeight w:val="223"/>
        </w:trPr>
        <w:tc>
          <w:tcPr>
            <w:tcW w:w="5080" w:type="dxa"/>
            <w:vAlign w:val="bottom"/>
          </w:tcPr>
          <w:p>
            <w:pPr>
              <w:ind w:left="900"/>
              <w:spacing w:after="0"/>
              <w:rPr>
                <w:sz w:val="20"/>
                <w:szCs w:val="20"/>
                <w:color w:val="auto"/>
              </w:rPr>
            </w:pPr>
            <w:r>
              <w:rPr>
                <w:rFonts w:ascii="Arial" w:cs="Arial" w:eastAsia="Arial" w:hAnsi="Arial"/>
                <w:sz w:val="18"/>
                <w:szCs w:val="18"/>
                <w:color w:val="231F20"/>
              </w:rPr>
              <w:t>Total operating expenses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81.0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231F20"/>
              </w:rPr>
              <w:t>69.0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75.1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231F20"/>
              </w:rPr>
              <w:t>72.5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Loss from operations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rPr>
              <w:t>(11.2)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rPr>
              <w:t>(4.9)</w:t>
            </w:r>
          </w:p>
        </w:tc>
        <w:tc>
          <w:tcPr>
            <w:tcW w:w="0" w:type="dxa"/>
            <w:vAlign w:val="bottom"/>
          </w:tcPr>
          <w:p>
            <w:pPr>
              <w:spacing w:after="0"/>
              <w:rPr>
                <w:sz w:val="1"/>
                <w:szCs w:val="1"/>
                <w:color w:val="auto"/>
              </w:rPr>
            </w:pPr>
          </w:p>
        </w:tc>
      </w:tr>
      <w:tr>
        <w:trPr>
          <w:trHeight w:val="230"/>
        </w:trPr>
        <w:tc>
          <w:tcPr>
            <w:tcW w:w="5080" w:type="dxa"/>
            <w:vAlign w:val="bottom"/>
          </w:tcPr>
          <w:p>
            <w:pPr>
              <w:ind w:left="460"/>
              <w:spacing w:after="0"/>
              <w:rPr>
                <w:sz w:val="20"/>
                <w:szCs w:val="20"/>
                <w:color w:val="auto"/>
              </w:rPr>
            </w:pPr>
            <w:r>
              <w:rPr>
                <w:rFonts w:ascii="Arial" w:cs="Arial" w:eastAsia="Arial" w:hAnsi="Arial"/>
                <w:sz w:val="18"/>
                <w:szCs w:val="18"/>
                <w:color w:val="231F20"/>
              </w:rPr>
              <w:t>Interest expense, net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3.4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231F20"/>
              </w:rPr>
              <w:t>2.9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231F20"/>
              </w:rPr>
              <w:t>3.1</w:t>
            </w: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231F20"/>
              </w:rPr>
              <w:t>Interest income</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(5.7)</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231F20"/>
              </w:rPr>
              <w:t>(4.9)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231F20"/>
              </w:rPr>
              <w:t>(0.7)</w:t>
            </w:r>
          </w:p>
        </w:tc>
        <w:tc>
          <w:tcPr>
            <w:tcW w:w="0" w:type="dxa"/>
            <w:vAlign w:val="bottom"/>
          </w:tcPr>
          <w:p>
            <w:pPr>
              <w:spacing w:after="0"/>
              <w:rPr>
                <w:sz w:val="1"/>
                <w:szCs w:val="1"/>
                <w:color w:val="auto"/>
              </w:rPr>
            </w:pPr>
          </w:p>
        </w:tc>
      </w:tr>
      <w:tr>
        <w:trPr>
          <w:trHeight w:val="230"/>
        </w:trPr>
        <w:tc>
          <w:tcPr>
            <w:tcW w:w="5080" w:type="dxa"/>
            <w:vAlign w:val="bottom"/>
          </w:tcPr>
          <w:p>
            <w:pPr>
              <w:ind w:left="460"/>
              <w:spacing w:after="0"/>
              <w:rPr>
                <w:sz w:val="20"/>
                <w:szCs w:val="20"/>
                <w:color w:val="auto"/>
              </w:rPr>
            </w:pPr>
            <w:r>
              <w:rPr>
                <w:rFonts w:ascii="Arial" w:cs="Arial" w:eastAsia="Arial" w:hAnsi="Arial"/>
                <w:sz w:val="18"/>
                <w:szCs w:val="18"/>
                <w:color w:val="231F20"/>
              </w:rPr>
              <w:t>Other income, net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231F20"/>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231F20"/>
              </w:rPr>
              <w:t>(0.9)</w:t>
            </w: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231F20"/>
              </w:rPr>
              <w:t>Change in fair value of warrant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231F20"/>
              </w:rPr>
              <w:t>(9.9)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231F20"/>
              </w:rPr>
              <w:t>(14.7)</w:t>
            </w:r>
          </w:p>
        </w:tc>
        <w:tc>
          <w:tcPr>
            <w:tcW w:w="0" w:type="dxa"/>
            <w:vAlign w:val="bottom"/>
          </w:tcPr>
          <w:p>
            <w:pPr>
              <w:spacing w:after="0"/>
              <w:rPr>
                <w:sz w:val="1"/>
                <w:szCs w:val="1"/>
                <w:color w:val="auto"/>
              </w:rPr>
            </w:pPr>
          </w:p>
        </w:tc>
      </w:tr>
      <w:tr>
        <w:trPr>
          <w:trHeight w:val="237"/>
        </w:trPr>
        <w:tc>
          <w:tcPr>
            <w:tcW w:w="5080" w:type="dxa"/>
            <w:vAlign w:val="bottom"/>
          </w:tcPr>
          <w:p>
            <w:pPr>
              <w:ind w:left="460"/>
              <w:spacing w:after="0"/>
              <w:rPr>
                <w:sz w:val="20"/>
                <w:szCs w:val="20"/>
                <w:color w:val="auto"/>
              </w:rPr>
            </w:pPr>
            <w:r>
              <w:rPr>
                <w:rFonts w:ascii="Arial" w:cs="Arial" w:eastAsia="Arial" w:hAnsi="Arial"/>
                <w:sz w:val="18"/>
                <w:szCs w:val="18"/>
                <w:color w:val="231F20"/>
              </w:rPr>
              <w:t>Foreign currency transaction (gain) loss, net</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(0.4)</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31F20"/>
              </w:rPr>
              <w:t>(0.3)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rPr>
              <w:t>2.1</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Income before provision for income tax</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1.0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6.2</w:t>
            </w:r>
          </w:p>
        </w:tc>
        <w:tc>
          <w:tcPr>
            <w:tcW w:w="0" w:type="dxa"/>
            <w:vAlign w:val="bottom"/>
          </w:tcPr>
          <w:p>
            <w:pPr>
              <w:spacing w:after="0"/>
              <w:rPr>
                <w:sz w:val="1"/>
                <w:szCs w:val="1"/>
                <w:color w:val="auto"/>
              </w:rPr>
            </w:pPr>
          </w:p>
        </w:tc>
      </w:tr>
      <w:tr>
        <w:trPr>
          <w:trHeight w:val="230"/>
        </w:trPr>
        <w:tc>
          <w:tcPr>
            <w:tcW w:w="5080" w:type="dxa"/>
            <w:vAlign w:val="bottom"/>
          </w:tcPr>
          <w:p>
            <w:pPr>
              <w:ind w:left="80"/>
              <w:spacing w:after="0"/>
              <w:rPr>
                <w:sz w:val="20"/>
                <w:szCs w:val="20"/>
                <w:color w:val="auto"/>
              </w:rPr>
            </w:pPr>
            <w:r>
              <w:rPr>
                <w:rFonts w:ascii="Arial" w:cs="Arial" w:eastAsia="Arial" w:hAnsi="Arial"/>
                <w:sz w:val="18"/>
                <w:szCs w:val="18"/>
                <w:color w:val="231F20"/>
              </w:rPr>
              <w:t>Income tax (benefit) expense</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31F20"/>
              </w:rPr>
              <w:t>(1.9)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0.1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rPr>
              <w:t>0.1</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2.9 %</w:t>
            </w: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231F20"/>
              </w:rPr>
              <w:t>Net Sales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6"/>
          </w:tcPr>
          <w:p>
            <w:pPr>
              <w:jc w:val="right"/>
              <w:ind w:right="372"/>
              <w:spacing w:after="0"/>
              <w:rPr>
                <w:sz w:val="20"/>
                <w:szCs w:val="20"/>
                <w:color w:val="auto"/>
              </w:rPr>
            </w:pPr>
            <w:r>
              <w:rPr>
                <w:rFonts w:ascii="Arial" w:cs="Arial" w:eastAsia="Arial" w:hAnsi="Arial"/>
                <w:sz w:val="14"/>
                <w:szCs w:val="14"/>
                <w:b w:val="1"/>
                <w:bCs w:val="1"/>
                <w:color w:val="231F20"/>
              </w:rPr>
              <w:t>Three Months Ended June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ind w:left="1000"/>
              <w:spacing w:after="0"/>
              <w:rPr>
                <w:sz w:val="20"/>
                <w:szCs w:val="20"/>
                <w:color w:val="auto"/>
              </w:rPr>
            </w:pPr>
            <w:r>
              <w:rPr>
                <w:rFonts w:ascii="Arial" w:cs="Arial" w:eastAsia="Arial" w:hAnsi="Arial"/>
                <w:sz w:val="14"/>
                <w:szCs w:val="14"/>
                <w:b w:val="1"/>
                <w:bCs w:val="1"/>
                <w:color w:val="231F20"/>
                <w:w w:val="93"/>
              </w:rPr>
              <w:t>Change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92"/>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231F20"/>
              </w:rPr>
              <w:t>2022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231F20"/>
              </w:rPr>
              <w:t>Amount</w:t>
            </w:r>
          </w:p>
        </w:tc>
        <w:tc>
          <w:tcPr>
            <w:tcW w:w="1240" w:type="dxa"/>
            <w:vAlign w:val="bottom"/>
          </w:tcPr>
          <w:p>
            <w:pPr>
              <w:jc w:val="right"/>
              <w:ind w:right="612"/>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1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231F20"/>
              </w:rPr>
              <w:t>Delivery Systems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231F20"/>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231F20"/>
              </w:rPr>
              <w:t>65.6</w:t>
            </w:r>
          </w:p>
        </w:tc>
        <w:tc>
          <w:tcPr>
            <w:tcW w:w="2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64.8</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231F20"/>
              </w:rPr>
              <w:t>$</w:t>
            </w:r>
          </w:p>
        </w:tc>
        <w:tc>
          <w:tcPr>
            <w:tcW w:w="1120" w:type="dxa"/>
            <w:vAlign w:val="bottom"/>
          </w:tcPr>
          <w:p>
            <w:pPr>
              <w:jc w:val="right"/>
              <w:spacing w:after="0"/>
              <w:rPr>
                <w:sz w:val="20"/>
                <w:szCs w:val="20"/>
                <w:color w:val="auto"/>
              </w:rPr>
            </w:pPr>
            <w:r>
              <w:rPr>
                <w:rFonts w:ascii="Arial" w:cs="Arial" w:eastAsia="Arial" w:hAnsi="Arial"/>
                <w:sz w:val="18"/>
                <w:szCs w:val="18"/>
                <w:color w:val="231F20"/>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1.2 %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rPr>
              <w:t>Consumables</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231F20"/>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38.8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33.9 %</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231F20"/>
              </w:rPr>
              <w:t>Total net sales</w:t>
            </w:r>
          </w:p>
        </w:tc>
        <w:tc>
          <w:tcPr>
            <w:tcW w:w="16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231F20"/>
                <w:w w:val="99"/>
              </w:rPr>
              <w:t>$</w:t>
            </w:r>
          </w:p>
        </w:tc>
        <w:tc>
          <w:tcPr>
            <w:tcW w:w="11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231F20"/>
              </w:rPr>
              <w:t>117.5</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103.5</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231F20"/>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13.9</w:t>
            </w: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13.5 %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Total net sales for the three months ended June 30, 2023 increased $13.9 million, or 13%, compared to the three months ended June 30, 2022. Total net sales for the three months ended June 30, 2023 increased primarily due to strength in Consumable sales in the Americas. Total net sales of Delivery Systems for the three months ended June 30, 2023 increased in EMEA and APAC, which was offset by decreases in the United States. The decrease in net sales of Delivery Systems in the Americas was as compared to the prior year launch of Syndeo, which included trade-up net sales. The increase in Consumables net sales was primarily attributable to increased placements of Delivery Systems and the adjoining consumption of Consumables during the three months ended June 30, 2023.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231F20"/>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ind w:left="980"/>
              <w:spacing w:after="0"/>
              <w:rPr>
                <w:sz w:val="20"/>
                <w:szCs w:val="20"/>
                <w:color w:val="auto"/>
              </w:rPr>
            </w:pPr>
            <w:r>
              <w:rPr>
                <w:rFonts w:ascii="Arial" w:cs="Arial" w:eastAsia="Arial" w:hAnsi="Arial"/>
                <w:sz w:val="14"/>
                <w:szCs w:val="14"/>
                <w:b w:val="1"/>
                <w:bCs w:val="1"/>
                <w:color w:val="231F20"/>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vMerge w:val="continue"/>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2023</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2022</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231F20"/>
              </w:rPr>
              <w:t>Amount</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Cost of sales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231F20"/>
                <w:w w:val="99"/>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231F20"/>
              </w:rPr>
              <w:t>49.6</w:t>
            </w:r>
          </w:p>
        </w:tc>
        <w:tc>
          <w:tcPr>
            <w:tcW w:w="104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231F20"/>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231F20"/>
              </w:rPr>
              <w:t>33.5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231F20"/>
              </w:rPr>
              <w:t>16.1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48.1 %</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231F20"/>
              </w:rPr>
              <w:t>Gross profit</w:t>
            </w:r>
          </w:p>
        </w:tc>
        <w:tc>
          <w:tcPr>
            <w:tcW w:w="960" w:type="dxa"/>
            <w:vAlign w:val="bottom"/>
          </w:tcPr>
          <w:p>
            <w:pPr>
              <w:jc w:val="right"/>
              <w:ind w:right="759"/>
              <w:spacing w:after="0"/>
              <w:rPr>
                <w:sz w:val="20"/>
                <w:szCs w:val="20"/>
                <w:color w:val="auto"/>
              </w:rPr>
            </w:pPr>
            <w:r>
              <w:rPr>
                <w:rFonts w:ascii="Arial" w:cs="Arial" w:eastAsia="Arial" w:hAnsi="Arial"/>
                <w:sz w:val="18"/>
                <w:szCs w:val="18"/>
                <w:color w:val="231F20"/>
                <w:w w:val="99"/>
              </w:rPr>
              <w:t>$</w:t>
            </w:r>
          </w:p>
        </w:tc>
        <w:tc>
          <w:tcPr>
            <w:tcW w:w="560" w:type="dxa"/>
            <w:vAlign w:val="bottom"/>
          </w:tcPr>
          <w:p>
            <w:pPr>
              <w:ind w:left="40"/>
              <w:spacing w:after="0"/>
              <w:rPr>
                <w:sz w:val="20"/>
                <w:szCs w:val="20"/>
                <w:color w:val="auto"/>
              </w:rPr>
            </w:pPr>
            <w:r>
              <w:rPr>
                <w:rFonts w:ascii="Arial" w:cs="Arial" w:eastAsia="Arial" w:hAnsi="Arial"/>
                <w:sz w:val="18"/>
                <w:szCs w:val="18"/>
                <w:color w:val="231F20"/>
              </w:rPr>
              <w:t>67.9</w:t>
            </w:r>
          </w:p>
        </w:tc>
        <w:tc>
          <w:tcPr>
            <w:tcW w:w="1040" w:type="dxa"/>
            <w:vAlign w:val="bottom"/>
            <w:gridSpan w:val="2"/>
          </w:tcPr>
          <w:p>
            <w:pPr>
              <w:jc w:val="right"/>
              <w:ind w:right="768"/>
              <w:spacing w:after="0"/>
              <w:rPr>
                <w:sz w:val="20"/>
                <w:szCs w:val="20"/>
                <w:color w:val="auto"/>
              </w:rPr>
            </w:pPr>
            <w:r>
              <w:rPr>
                <w:rFonts w:ascii="Arial" w:cs="Arial" w:eastAsia="Arial" w:hAnsi="Arial"/>
                <w:sz w:val="18"/>
                <w:szCs w:val="18"/>
                <w:color w:val="231F20"/>
              </w:rPr>
              <w:t>$</w:t>
            </w:r>
          </w:p>
        </w:tc>
        <w:tc>
          <w:tcPr>
            <w:tcW w:w="560" w:type="dxa"/>
            <w:vAlign w:val="bottom"/>
          </w:tcPr>
          <w:p>
            <w:pPr>
              <w:ind w:left="40"/>
              <w:spacing w:after="0"/>
              <w:rPr>
                <w:sz w:val="20"/>
                <w:szCs w:val="20"/>
                <w:color w:val="auto"/>
              </w:rPr>
            </w:pPr>
            <w:r>
              <w:rPr>
                <w:rFonts w:ascii="Arial" w:cs="Arial" w:eastAsia="Arial" w:hAnsi="Arial"/>
                <w:sz w:val="18"/>
                <w:szCs w:val="18"/>
                <w:color w:val="231F20"/>
              </w:rPr>
              <w:t>70.0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100" w:type="dxa"/>
            <w:vAlign w:val="bottom"/>
          </w:tcPr>
          <w:p>
            <w:pPr>
              <w:ind w:left="720"/>
              <w:spacing w:after="0"/>
              <w:rPr>
                <w:sz w:val="20"/>
                <w:szCs w:val="20"/>
                <w:color w:val="auto"/>
              </w:rPr>
            </w:pPr>
            <w:r>
              <w:rPr>
                <w:rFonts w:ascii="Arial" w:cs="Arial" w:eastAsia="Arial" w:hAnsi="Arial"/>
                <w:sz w:val="18"/>
                <w:szCs w:val="18"/>
                <w:color w:val="231F20"/>
                <w:w w:val="97"/>
              </w:rPr>
              <w:t>(2.2)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(3.1)%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Gross margin</w:t>
            </w: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231F20"/>
                <w:w w:val="89"/>
              </w:rPr>
              <w:t>57.8 %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231F20"/>
                <w:w w:val="89"/>
              </w:rPr>
              <w:t>67.6 %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Cost of sales increased $16.1 million primarily driven by higher product costs and developed technology amortization expense. Gross margin declined from 67.6% during the three months ended June 30, 2022 to 57.8% during the three months ended June 30, 2023, primarily due to higher product costs, unfavorable changes in product mix, and higher amortization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Selling and Marketing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231F20"/>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231F20"/>
              </w:rPr>
              <w:t>Change</w:t>
            </w:r>
          </w:p>
        </w:tc>
        <w:tc>
          <w:tcPr>
            <w:tcW w:w="1220" w:type="dxa"/>
            <w:vAlign w:val="bottom"/>
            <w:tcBorders>
              <w:bottom w:val="single" w:sz="8" w:color="auto"/>
            </w:tcBorders>
          </w:tcPr>
          <w:p>
            <w:pPr>
              <w:spacing w:after="0"/>
              <w:rPr>
                <w:sz w:val="16"/>
                <w:szCs w:val="16"/>
                <w:color w:val="auto"/>
              </w:rPr>
            </w:pPr>
          </w:p>
        </w:tc>
      </w:tr>
      <w:tr>
        <w:trPr>
          <w:trHeight w:val="191"/>
        </w:trPr>
        <w:tc>
          <w:tcPr>
            <w:tcW w:w="4620" w:type="dxa"/>
            <w:vAlign w:val="bottom"/>
          </w:tcPr>
          <w:p>
            <w:pPr>
              <w:ind w:left="20"/>
              <w:spacing w:after="0"/>
              <w:rPr>
                <w:sz w:val="20"/>
                <w:szCs w:val="20"/>
                <w:color w:val="auto"/>
              </w:rPr>
            </w:pPr>
            <w:r>
              <w:rPr>
                <w:rFonts w:ascii="Arial" w:cs="Arial" w:eastAsia="Arial" w:hAnsi="Arial"/>
                <w:sz w:val="14"/>
                <w:szCs w:val="14"/>
                <w:b w:val="1"/>
                <w:bCs w:val="1"/>
                <w:color w:val="231F20"/>
              </w:rPr>
              <w:t>(in millions)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231F20"/>
              </w:rPr>
              <w:t>2023</w:t>
            </w:r>
          </w:p>
        </w:tc>
        <w:tc>
          <w:tcPr>
            <w:tcW w:w="6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231F20"/>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20"/>
              <w:spacing w:after="0"/>
              <w:rPr>
                <w:sz w:val="20"/>
                <w:szCs w:val="20"/>
                <w:color w:val="auto"/>
              </w:rPr>
            </w:pPr>
            <w:r>
              <w:rPr>
                <w:rFonts w:ascii="Arial" w:cs="Arial" w:eastAsia="Arial" w:hAnsi="Arial"/>
                <w:sz w:val="14"/>
                <w:szCs w:val="14"/>
                <w:b w:val="1"/>
                <w:bCs w:val="1"/>
                <w:color w:val="231F20"/>
              </w:rPr>
              <w:t>Amount</w:t>
            </w:r>
          </w:p>
        </w:tc>
        <w:tc>
          <w:tcPr>
            <w:tcW w:w="1220" w:type="dxa"/>
            <w:vAlign w:val="bottom"/>
          </w:tcPr>
          <w:p>
            <w:pPr>
              <w:jc w:val="right"/>
              <w:ind w:right="719"/>
              <w:spacing w:after="0"/>
              <w:rPr>
                <w:sz w:val="20"/>
                <w:szCs w:val="20"/>
                <w:color w:val="auto"/>
              </w:rPr>
            </w:pPr>
            <w:r>
              <w:rPr>
                <w:rFonts w:ascii="Arial" w:cs="Arial" w:eastAsia="Arial" w:hAnsi="Arial"/>
                <w:sz w:val="14"/>
                <w:szCs w:val="14"/>
                <w:b w:val="1"/>
                <w:bCs w:val="1"/>
                <w:color w:val="231F20"/>
              </w:rPr>
              <w:t>%</w:t>
            </w:r>
          </w:p>
        </w:tc>
      </w:tr>
      <w:tr>
        <w:trPr>
          <w:trHeight w:val="39"/>
        </w:trPr>
        <w:tc>
          <w:tcPr>
            <w:tcW w:w="46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Selling and marketing</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231F20"/>
                <w:w w:val="79"/>
              </w:rPr>
              <w:t>$</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43.0</w:t>
            </w:r>
          </w:p>
        </w:tc>
        <w:tc>
          <w:tcPr>
            <w:tcW w:w="92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231F20"/>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44.9</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(1.8)</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98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231F20"/>
                <w:w w:val="92"/>
              </w:rPr>
              <w:t>36.6 %</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231F20"/>
                <w:w w:val="89"/>
              </w:rPr>
              <w:t>43.3 %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8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231F20"/>
        </w:rPr>
        <w:t>Selling and marketing expense for the three months ended June 30, 2023 decreased $1.8 million, or 4.1%, compared to the three months ended June 30, 2022. The decrease was primarily driven by lower sales commission expense, partially offset by higher depreciation expense attributable to our global experience centers.</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231F20"/>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231F20"/>
              </w:rPr>
              <w:t>Change</w:t>
            </w:r>
          </w:p>
        </w:tc>
        <w:tc>
          <w:tcPr>
            <w:tcW w:w="1220" w:type="dxa"/>
            <w:vAlign w:val="bottom"/>
            <w:tcBorders>
              <w:bottom w:val="single" w:sz="8" w:color="auto"/>
            </w:tcBorders>
          </w:tcPr>
          <w:p>
            <w:pPr>
              <w:spacing w:after="0"/>
              <w:rPr>
                <w:sz w:val="16"/>
                <w:szCs w:val="16"/>
                <w:color w:val="auto"/>
              </w:rPr>
            </w:pP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b w:val="1"/>
                <w:bCs w:val="1"/>
                <w:color w:val="231F20"/>
              </w:rPr>
              <w:t>(in millions)</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231F20"/>
              </w:rPr>
              <w:t>2023</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2022</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231F20"/>
              </w:rPr>
              <w:t>Amount</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231F20"/>
              </w:rPr>
              <w:t>%</w:t>
            </w:r>
          </w:p>
        </w:tc>
      </w:tr>
      <w:tr>
        <w:trPr>
          <w:trHeight w:val="23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Research and development</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8"/>
                <w:szCs w:val="18"/>
                <w:color w:val="231F20"/>
                <w:w w:val="79"/>
              </w:rPr>
              <w:t>$</w:t>
            </w:r>
          </w:p>
        </w:tc>
        <w:tc>
          <w:tcPr>
            <w:tcW w:w="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2.9</w:t>
            </w:r>
          </w:p>
        </w:tc>
        <w:tc>
          <w:tcPr>
            <w:tcW w:w="96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231F20"/>
              </w:rPr>
              <w:t>$</w:t>
            </w:r>
          </w:p>
        </w:tc>
        <w:tc>
          <w:tcPr>
            <w:tcW w:w="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2.6</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231F20"/>
              </w:rPr>
              <w:t>0.3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10.8 %</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1020" w:type="dxa"/>
            <w:vAlign w:val="bottom"/>
          </w:tcPr>
          <w:p>
            <w:pPr>
              <w:spacing w:after="0"/>
              <w:rPr>
                <w:sz w:val="20"/>
                <w:szCs w:val="20"/>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231F20"/>
                <w:w w:val="91"/>
              </w:rPr>
              <w:t>2.5 %</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231F20"/>
                <w:w w:val="91"/>
              </w:rPr>
              <w:t>2.5 %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231F20"/>
        </w:rPr>
        <w:t>Research and development expense for the three months ended June 30, 2023 remained relatively flat as compared to the three months ended June 30, 2022.</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231F20"/>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231F20"/>
              </w:rPr>
              <w:t>Change</w:t>
            </w:r>
          </w:p>
        </w:tc>
        <w:tc>
          <w:tcPr>
            <w:tcW w:w="1220" w:type="dxa"/>
            <w:vAlign w:val="bottom"/>
            <w:tcBorders>
              <w:bottom w:val="single" w:sz="8" w:color="auto"/>
            </w:tcBorders>
          </w:tcPr>
          <w:p>
            <w:pPr>
              <w:spacing w:after="0"/>
              <w:rPr>
                <w:sz w:val="16"/>
                <w:szCs w:val="16"/>
                <w:color w:val="auto"/>
              </w:rPr>
            </w:pP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b w:val="1"/>
                <w:bCs w:val="1"/>
                <w:color w:val="231F20"/>
              </w:rPr>
              <w:t>(in millions)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231F20"/>
              </w:rPr>
              <w:t>2023</w:t>
            </w:r>
          </w:p>
        </w:tc>
        <w:tc>
          <w:tcPr>
            <w:tcW w:w="6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231F20"/>
              </w:rPr>
              <w:t>2022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3"/>
          </w:tcPr>
          <w:p>
            <w:pPr>
              <w:ind w:left="220"/>
              <w:spacing w:after="0"/>
              <w:rPr>
                <w:sz w:val="20"/>
                <w:szCs w:val="20"/>
                <w:color w:val="auto"/>
              </w:rPr>
            </w:pPr>
            <w:r>
              <w:rPr>
                <w:rFonts w:ascii="Arial" w:cs="Arial" w:eastAsia="Arial" w:hAnsi="Arial"/>
                <w:sz w:val="14"/>
                <w:szCs w:val="14"/>
                <w:b w:val="1"/>
                <w:bCs w:val="1"/>
                <w:color w:val="231F20"/>
              </w:rPr>
              <w:t>Amount</w:t>
            </w:r>
          </w:p>
        </w:tc>
        <w:tc>
          <w:tcPr>
            <w:tcW w:w="1220" w:type="dxa"/>
            <w:vAlign w:val="bottom"/>
          </w:tcPr>
          <w:p>
            <w:pPr>
              <w:jc w:val="right"/>
              <w:ind w:right="719"/>
              <w:spacing w:after="0"/>
              <w:rPr>
                <w:sz w:val="20"/>
                <w:szCs w:val="20"/>
                <w:color w:val="auto"/>
              </w:rPr>
            </w:pPr>
            <w:r>
              <w:rPr>
                <w:rFonts w:ascii="Arial" w:cs="Arial" w:eastAsia="Arial" w:hAnsi="Arial"/>
                <w:sz w:val="14"/>
                <w:szCs w:val="14"/>
                <w:b w:val="1"/>
                <w:bCs w:val="1"/>
                <w:color w:val="231F20"/>
              </w:rPr>
              <w:t>%</w:t>
            </w:r>
          </w:p>
        </w:tc>
      </w:tr>
      <w:tr>
        <w:trPr>
          <w:trHeight w:val="237"/>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General and administrative</w:t>
            </w:r>
          </w:p>
        </w:tc>
        <w:tc>
          <w:tcPr>
            <w:tcW w:w="980" w:type="dxa"/>
            <w:vAlign w:val="bottom"/>
            <w:tcBorders>
              <w:top w:val="single" w:sz="8" w:color="auto"/>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231F20"/>
                <w:w w:val="79"/>
              </w:rPr>
              <w:t>$</w:t>
            </w:r>
          </w:p>
        </w:tc>
        <w:tc>
          <w:tcPr>
            <w:tcW w:w="6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35.1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231F20"/>
                <w:w w:val="99"/>
              </w:rPr>
              <w:t>$</w:t>
            </w: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3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231F20"/>
              </w:rPr>
              <w:t>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27.2 %</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98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231F20"/>
                <w:w w:val="92"/>
              </w:rPr>
              <w:t>29.9 %</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231F20"/>
                <w:w w:val="89"/>
              </w:rPr>
              <w:t>26.6 %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7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General and administrative expense for the three months ended June 30, 2023 increased $7.5 million, or 27.2%, compared to the three months ended June 30, 2022. The increase was primarily driven by higher personnel related compensation, including higher share-based compensation expense, and higher severance and restructuring expense, partially offset by lower recruiting related expenses.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231F20"/>
        </w:rPr>
        <w:t>Interest Income and Change in Fair Value of Warrant Liabilities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231F20"/>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gridSpan w:val="3"/>
          </w:tcPr>
          <w:p>
            <w:pPr>
              <w:ind w:left="300"/>
              <w:spacing w:after="0"/>
              <w:rPr>
                <w:sz w:val="20"/>
                <w:szCs w:val="20"/>
                <w:color w:val="auto"/>
              </w:rPr>
            </w:pPr>
            <w:r>
              <w:rPr>
                <w:rFonts w:ascii="Arial" w:cs="Arial" w:eastAsia="Arial" w:hAnsi="Arial"/>
                <w:sz w:val="14"/>
                <w:szCs w:val="14"/>
                <w:b w:val="1"/>
                <w:bCs w:val="1"/>
                <w:color w:val="231F20"/>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40" w:type="dxa"/>
            <w:vAlign w:val="bottom"/>
            <w:vMerge w:val="continue"/>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2023</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2022</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231F20"/>
              </w:rPr>
              <w:t>Amount</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Interest income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231F20"/>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(5.7)</w:t>
            </w:r>
          </w:p>
        </w:tc>
        <w:tc>
          <w:tcPr>
            <w:tcW w:w="90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231F20"/>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(0.7)</w:t>
            </w:r>
          </w:p>
        </w:tc>
        <w:tc>
          <w:tcPr>
            <w:tcW w:w="1320" w:type="dxa"/>
            <w:vAlign w:val="bottom"/>
            <w:tcBorders>
              <w:bottom w:val="single" w:sz="8" w:color="CCEEFF"/>
            </w:tcBorders>
            <w:gridSpan w:val="2"/>
            <w:shd w:val="clear" w:color="auto" w:fill="CCEEFF"/>
          </w:tcPr>
          <w:p>
            <w:pPr>
              <w:jc w:val="right"/>
              <w:ind w:right="1028"/>
              <w:spacing w:after="0"/>
              <w:rPr>
                <w:sz w:val="20"/>
                <w:szCs w:val="20"/>
                <w:color w:val="auto"/>
              </w:rPr>
            </w:pPr>
            <w:r>
              <w:rPr>
                <w:rFonts w:ascii="Arial" w:cs="Arial" w:eastAsia="Arial" w:hAnsi="Arial"/>
                <w:sz w:val="18"/>
                <w:szCs w:val="18"/>
                <w:color w:val="231F20"/>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231F20"/>
              </w:rPr>
              <w:t>Change in fair value of warrant liabilities</w:t>
            </w:r>
          </w:p>
        </w:tc>
        <w:tc>
          <w:tcPr>
            <w:tcW w:w="980" w:type="dxa"/>
            <w:vAlign w:val="bottom"/>
          </w:tcPr>
          <w:p>
            <w:pPr>
              <w:jc w:val="right"/>
              <w:ind w:right="779"/>
              <w:spacing w:after="0"/>
              <w:rPr>
                <w:sz w:val="20"/>
                <w:szCs w:val="20"/>
                <w:color w:val="auto"/>
              </w:rPr>
            </w:pPr>
            <w:r>
              <w:rPr>
                <w:rFonts w:ascii="Arial" w:cs="Arial" w:eastAsia="Arial" w:hAnsi="Arial"/>
                <w:sz w:val="18"/>
                <w:szCs w:val="18"/>
                <w:color w:val="231F20"/>
                <w:w w:val="99"/>
              </w:rPr>
              <w:t>$</w:t>
            </w:r>
          </w:p>
        </w:tc>
        <w:tc>
          <w:tcPr>
            <w:tcW w:w="540" w:type="dxa"/>
            <w:vAlign w:val="bottom"/>
          </w:tcPr>
          <w:p>
            <w:pPr>
              <w:jc w:val="right"/>
              <w:spacing w:after="0"/>
              <w:rPr>
                <w:sz w:val="20"/>
                <w:szCs w:val="20"/>
                <w:color w:val="auto"/>
              </w:rPr>
            </w:pPr>
            <w:r>
              <w:rPr>
                <w:rFonts w:ascii="Arial" w:cs="Arial" w:eastAsia="Arial" w:hAnsi="Arial"/>
                <w:sz w:val="18"/>
                <w:szCs w:val="18"/>
                <w:color w:val="231F20"/>
              </w:rPr>
              <w:t>(11.6)</w:t>
            </w:r>
          </w:p>
        </w:tc>
        <w:tc>
          <w:tcPr>
            <w:tcW w:w="900" w:type="dxa"/>
            <w:vAlign w:val="bottom"/>
            <w:gridSpan w:val="2"/>
          </w:tcPr>
          <w:p>
            <w:pPr>
              <w:jc w:val="right"/>
              <w:ind w:right="628"/>
              <w:spacing w:after="0"/>
              <w:rPr>
                <w:sz w:val="20"/>
                <w:szCs w:val="20"/>
                <w:color w:val="auto"/>
              </w:rPr>
            </w:pPr>
            <w:r>
              <w:rPr>
                <w:rFonts w:ascii="Arial" w:cs="Arial" w:eastAsia="Arial" w:hAnsi="Arial"/>
                <w:sz w:val="18"/>
                <w:szCs w:val="18"/>
                <w:color w:val="231F20"/>
              </w:rPr>
              <w:t>$</w:t>
            </w:r>
          </w:p>
        </w:tc>
        <w:tc>
          <w:tcPr>
            <w:tcW w:w="480" w:type="dxa"/>
            <w:vAlign w:val="bottom"/>
          </w:tcPr>
          <w:p>
            <w:pPr>
              <w:jc w:val="right"/>
              <w:spacing w:after="0"/>
              <w:rPr>
                <w:sz w:val="20"/>
                <w:szCs w:val="20"/>
                <w:color w:val="auto"/>
              </w:rPr>
            </w:pPr>
            <w:r>
              <w:rPr>
                <w:rFonts w:ascii="Arial" w:cs="Arial" w:eastAsia="Arial" w:hAnsi="Arial"/>
                <w:sz w:val="18"/>
                <w:szCs w:val="18"/>
                <w:color w:val="231F20"/>
                <w:w w:val="93"/>
              </w:rPr>
              <w:t>(15.2)</w:t>
            </w:r>
          </w:p>
        </w:tc>
        <w:tc>
          <w:tcPr>
            <w:tcW w:w="1320" w:type="dxa"/>
            <w:vAlign w:val="bottom"/>
            <w:gridSpan w:val="2"/>
          </w:tcPr>
          <w:p>
            <w:pPr>
              <w:jc w:val="right"/>
              <w:ind w:right="1028"/>
              <w:spacing w:after="0"/>
              <w:rPr>
                <w:sz w:val="20"/>
                <w:szCs w:val="20"/>
                <w:color w:val="auto"/>
              </w:rPr>
            </w:pPr>
            <w:r>
              <w:rPr>
                <w:rFonts w:ascii="Arial" w:cs="Arial" w:eastAsia="Arial" w:hAnsi="Arial"/>
                <w:sz w:val="18"/>
                <w:szCs w:val="18"/>
                <w:color w:val="231F20"/>
              </w:rPr>
              <w:t>$</w:t>
            </w:r>
          </w:p>
        </w:tc>
        <w:tc>
          <w:tcPr>
            <w:tcW w:w="480" w:type="dxa"/>
            <w:vAlign w:val="bottom"/>
          </w:tcPr>
          <w:p>
            <w:pPr>
              <w:jc w:val="right"/>
              <w:spacing w:after="0"/>
              <w:rPr>
                <w:sz w:val="20"/>
                <w:szCs w:val="20"/>
                <w:color w:val="auto"/>
              </w:rPr>
            </w:pPr>
            <w:r>
              <w:rPr>
                <w:rFonts w:ascii="Arial" w:cs="Arial" w:eastAsia="Arial" w:hAnsi="Arial"/>
                <w:sz w:val="18"/>
                <w:szCs w:val="18"/>
                <w:color w:val="231F20"/>
              </w:rPr>
              <w:t>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ind w:left="8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N/M - Not meaningful</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Interest income for the three months ended June 30, 2023 increased $5.0 million compared to the three months ended June 30, 2022 due to higher interest earned on our investment in money market funds.</w:t>
      </w:r>
    </w:p>
    <w:p>
      <w:pPr>
        <w:spacing w:after="0" w:line="19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231F20"/>
        </w:rPr>
        <w:t>During the three months ended June 30, 2023, the Company recognized income of $11.6 million related to the change in the fair value of the warrant liabilities, as compared to income of $15.2 million during the three months ended June 30, 2022, driven by the fluctuation of the Company’s stock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2023 to Six Months Ended June 30, 2022</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six months ended June 30, 2023 and June 30, 2022 have been derived from the condensed consolidated financial statements included elsewhere in this Quarterly Report on Form 10-Q. Amounts and percentages may not foot due to rounding.</w:t>
      </w:r>
    </w:p>
    <w:p>
      <w:pPr>
        <w:spacing w:after="0" w:line="214"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231F20"/>
        </w:rPr>
        <w:t>The following discussion has been amended to reflect the Company’s revision of previously issued consolidated financial statements to correct for prior period misstatements, which the Company concluded did not, either individually or in the aggregate, result in a material misstatement of its previously issued consolidated financial statements. Further information regarding the revision is included in Part I, Item 1 Note 15 to the condensed consolidated financial statements of this Quarterly Report on Form 10-Q.</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231F20"/>
              </w:rPr>
              <w:t>Six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8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millions)</w:t>
            </w: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8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231F20"/>
              </w:rPr>
              <w:t>% of Net Sales</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2022</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231F20"/>
              </w:rPr>
              <w:t>% of Net Sales</w:t>
            </w:r>
          </w:p>
        </w:tc>
        <w:tc>
          <w:tcPr>
            <w:tcW w:w="0" w:type="dxa"/>
            <w:vAlign w:val="bottom"/>
          </w:tcPr>
          <w:p>
            <w:pPr>
              <w:spacing w:after="0"/>
              <w:rPr>
                <w:sz w:val="1"/>
                <w:szCs w:val="1"/>
                <w:color w:val="auto"/>
              </w:rPr>
            </w:pPr>
          </w:p>
        </w:tc>
      </w:tr>
      <w:tr>
        <w:trPr>
          <w:trHeight w:val="238"/>
        </w:trPr>
        <w:tc>
          <w:tcPr>
            <w:tcW w:w="50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203.8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102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179.0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0" w:type="dxa"/>
            <w:vAlign w:val="bottom"/>
          </w:tcPr>
          <w:p>
            <w:pPr>
              <w:spacing w:after="0"/>
              <w:rPr>
                <w:sz w:val="1"/>
                <w:szCs w:val="1"/>
                <w:color w:val="auto"/>
              </w:rPr>
            </w:pPr>
          </w:p>
        </w:tc>
      </w:tr>
      <w:tr>
        <w:trPr>
          <w:trHeight w:val="230"/>
        </w:trPr>
        <w:tc>
          <w:tcPr>
            <w:tcW w:w="5080" w:type="dxa"/>
            <w:vAlign w:val="bottom"/>
          </w:tcPr>
          <w:p>
            <w:pPr>
              <w:ind w:left="80"/>
              <w:spacing w:after="0"/>
              <w:rPr>
                <w:sz w:val="20"/>
                <w:szCs w:val="20"/>
                <w:color w:val="auto"/>
              </w:rPr>
            </w:pPr>
            <w:r>
              <w:rPr>
                <w:rFonts w:ascii="Arial" w:cs="Arial" w:eastAsia="Arial" w:hAnsi="Arial"/>
                <w:sz w:val="18"/>
                <w:szCs w:val="18"/>
                <w:color w:val="231F20"/>
              </w:rPr>
              <w:t>Cost of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81.8</w:t>
            </w:r>
          </w:p>
        </w:tc>
        <w:tc>
          <w:tcPr>
            <w:tcW w:w="1620" w:type="dxa"/>
            <w:vAlign w:val="bottom"/>
            <w:gridSpan w:val="2"/>
          </w:tcPr>
          <w:p>
            <w:pPr>
              <w:jc w:val="right"/>
              <w:ind w:right="116"/>
              <w:spacing w:after="0"/>
              <w:rPr>
                <w:sz w:val="20"/>
                <w:szCs w:val="20"/>
                <w:color w:val="auto"/>
              </w:rPr>
            </w:pPr>
            <w:r>
              <w:rPr>
                <w:rFonts w:ascii="Arial" w:cs="Arial" w:eastAsia="Arial" w:hAnsi="Arial"/>
                <w:sz w:val="18"/>
                <w:szCs w:val="18"/>
                <w:color w:val="231F20"/>
              </w:rPr>
              <w:t>40.1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rPr>
              <w:t>58.0</w:t>
            </w:r>
          </w:p>
        </w:tc>
        <w:tc>
          <w:tcPr>
            <w:tcW w:w="1620" w:type="dxa"/>
            <w:vAlign w:val="bottom"/>
            <w:gridSpan w:val="2"/>
          </w:tcPr>
          <w:p>
            <w:pPr>
              <w:jc w:val="right"/>
              <w:ind w:right="133"/>
              <w:spacing w:after="0"/>
              <w:rPr>
                <w:sz w:val="20"/>
                <w:szCs w:val="20"/>
                <w:color w:val="auto"/>
              </w:rPr>
            </w:pPr>
            <w:r>
              <w:rPr>
                <w:rFonts w:ascii="Arial" w:cs="Arial" w:eastAsia="Arial" w:hAnsi="Arial"/>
                <w:sz w:val="18"/>
                <w:szCs w:val="18"/>
                <w:color w:val="231F20"/>
              </w:rPr>
              <w:t>32.4</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color w:val="231F20"/>
              </w:rPr>
              <w:t>Gross profit</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122.0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231F20"/>
              </w:rPr>
              <w:t>59.9</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3"/>
              </w:rPr>
              <w:t>120.9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67.6</w:t>
            </w:r>
          </w:p>
        </w:tc>
        <w:tc>
          <w:tcPr>
            <w:tcW w:w="0" w:type="dxa"/>
            <w:vAlign w:val="bottom"/>
          </w:tcPr>
          <w:p>
            <w:pPr>
              <w:spacing w:after="0"/>
              <w:rPr>
                <w:sz w:val="1"/>
                <w:szCs w:val="1"/>
                <w:color w:val="auto"/>
              </w:rPr>
            </w:pPr>
          </w:p>
        </w:tc>
      </w:tr>
      <w:tr>
        <w:trPr>
          <w:trHeight w:val="237"/>
        </w:trPr>
        <w:tc>
          <w:tcPr>
            <w:tcW w:w="5080" w:type="dxa"/>
            <w:vAlign w:val="bottom"/>
          </w:tcPr>
          <w:p>
            <w:pPr>
              <w:ind w:left="80"/>
              <w:spacing w:after="0"/>
              <w:rPr>
                <w:sz w:val="20"/>
                <w:szCs w:val="20"/>
                <w:color w:val="auto"/>
              </w:rPr>
            </w:pPr>
            <w:r>
              <w:rPr>
                <w:rFonts w:ascii="Arial" w:cs="Arial" w:eastAsia="Arial" w:hAnsi="Arial"/>
                <w:sz w:val="18"/>
                <w:szCs w:val="18"/>
                <w:color w:val="231F20"/>
              </w:rPr>
              <w:t>Operating expenses: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Selling and marketing</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81.7</w:t>
            </w:r>
          </w:p>
        </w:tc>
        <w:tc>
          <w:tcPr>
            <w:tcW w:w="16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231F20"/>
              </w:rPr>
              <w:t>40.1</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81.3</w:t>
            </w:r>
          </w:p>
        </w:tc>
        <w:tc>
          <w:tcPr>
            <w:tcW w:w="162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231F20"/>
              </w:rPr>
              <w:t>45.4</w:t>
            </w:r>
          </w:p>
        </w:tc>
        <w:tc>
          <w:tcPr>
            <w:tcW w:w="0" w:type="dxa"/>
            <w:vAlign w:val="bottom"/>
          </w:tcPr>
          <w:p>
            <w:pPr>
              <w:spacing w:after="0"/>
              <w:rPr>
                <w:sz w:val="1"/>
                <w:szCs w:val="1"/>
                <w:color w:val="auto"/>
              </w:rPr>
            </w:pPr>
          </w:p>
        </w:tc>
      </w:tr>
      <w:tr>
        <w:trPr>
          <w:trHeight w:val="230"/>
        </w:trPr>
        <w:tc>
          <w:tcPr>
            <w:tcW w:w="5080" w:type="dxa"/>
            <w:vAlign w:val="bottom"/>
          </w:tcPr>
          <w:p>
            <w:pPr>
              <w:ind w:left="580"/>
              <w:spacing w:after="0"/>
              <w:rPr>
                <w:sz w:val="20"/>
                <w:szCs w:val="20"/>
                <w:color w:val="auto"/>
              </w:rPr>
            </w:pPr>
            <w:r>
              <w:rPr>
                <w:rFonts w:ascii="Arial" w:cs="Arial" w:eastAsia="Arial" w:hAnsi="Arial"/>
                <w:sz w:val="18"/>
                <w:szCs w:val="18"/>
                <w:color w:val="231F20"/>
              </w:rPr>
              <w:t>Research and development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5.2</w:t>
            </w:r>
          </w:p>
        </w:tc>
        <w:tc>
          <w:tcPr>
            <w:tcW w:w="1620" w:type="dxa"/>
            <w:vAlign w:val="bottom"/>
            <w:gridSpan w:val="2"/>
          </w:tcPr>
          <w:p>
            <w:pPr>
              <w:jc w:val="right"/>
              <w:ind w:right="116"/>
              <w:spacing w:after="0"/>
              <w:rPr>
                <w:sz w:val="20"/>
                <w:szCs w:val="20"/>
                <w:color w:val="auto"/>
              </w:rPr>
            </w:pPr>
            <w:r>
              <w:rPr>
                <w:rFonts w:ascii="Arial" w:cs="Arial" w:eastAsia="Arial" w:hAnsi="Arial"/>
                <w:sz w:val="18"/>
                <w:szCs w:val="18"/>
                <w:color w:val="231F20"/>
              </w:rPr>
              <w:t>2.6</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rPr>
              <w:t>4.8</w:t>
            </w:r>
          </w:p>
        </w:tc>
        <w:tc>
          <w:tcPr>
            <w:tcW w:w="1620" w:type="dxa"/>
            <w:vAlign w:val="bottom"/>
            <w:gridSpan w:val="2"/>
          </w:tcPr>
          <w:p>
            <w:pPr>
              <w:jc w:val="right"/>
              <w:ind w:right="133"/>
              <w:spacing w:after="0"/>
              <w:rPr>
                <w:sz w:val="20"/>
                <w:szCs w:val="20"/>
                <w:color w:val="auto"/>
              </w:rPr>
            </w:pPr>
            <w:r>
              <w:rPr>
                <w:rFonts w:ascii="Arial" w:cs="Arial" w:eastAsia="Arial" w:hAnsi="Arial"/>
                <w:sz w:val="18"/>
                <w:szCs w:val="18"/>
                <w:color w:val="231F20"/>
              </w:rPr>
              <w:t>2.7</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General and administrative</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65.5</w:t>
            </w:r>
          </w:p>
        </w:tc>
        <w:tc>
          <w:tcPr>
            <w:tcW w:w="16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231F20"/>
              </w:rPr>
              <w:t>32.1</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53.8</w:t>
            </w:r>
          </w:p>
        </w:tc>
        <w:tc>
          <w:tcPr>
            <w:tcW w:w="162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231F20"/>
              </w:rPr>
              <w:t>30.1</w:t>
            </w:r>
          </w:p>
        </w:tc>
        <w:tc>
          <w:tcPr>
            <w:tcW w:w="0" w:type="dxa"/>
            <w:vAlign w:val="bottom"/>
          </w:tcPr>
          <w:p>
            <w:pPr>
              <w:spacing w:after="0"/>
              <w:rPr>
                <w:sz w:val="1"/>
                <w:szCs w:val="1"/>
                <w:color w:val="auto"/>
              </w:rPr>
            </w:pPr>
          </w:p>
        </w:tc>
      </w:tr>
      <w:tr>
        <w:trPr>
          <w:trHeight w:val="223"/>
        </w:trPr>
        <w:tc>
          <w:tcPr>
            <w:tcW w:w="5080" w:type="dxa"/>
            <w:vAlign w:val="bottom"/>
          </w:tcPr>
          <w:p>
            <w:pPr>
              <w:ind w:left="900"/>
              <w:spacing w:after="0"/>
              <w:rPr>
                <w:sz w:val="20"/>
                <w:szCs w:val="20"/>
                <w:color w:val="auto"/>
              </w:rPr>
            </w:pPr>
            <w:r>
              <w:rPr>
                <w:rFonts w:ascii="Arial" w:cs="Arial" w:eastAsia="Arial" w:hAnsi="Arial"/>
                <w:sz w:val="18"/>
                <w:szCs w:val="18"/>
                <w:color w:val="231F20"/>
              </w:rPr>
              <w:t>Total operating expenses</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152.4</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231F20"/>
              </w:rPr>
              <w:t>74.8</w:t>
            </w:r>
          </w:p>
        </w:tc>
        <w:tc>
          <w:tcPr>
            <w:tcW w:w="1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w w:val="93"/>
              </w:rPr>
              <w:t>140.0</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231F20"/>
              </w:rPr>
              <w:t>78.2</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Loss from operations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(30.5)</w:t>
            </w:r>
          </w:p>
        </w:tc>
        <w:tc>
          <w:tcPr>
            <w:tcW w:w="16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231F20"/>
              </w:rPr>
              <w:t>(14.9)</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(19.0)</w:t>
            </w:r>
          </w:p>
        </w:tc>
        <w:tc>
          <w:tcPr>
            <w:tcW w:w="16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231F20"/>
              </w:rPr>
              <w:t>(10.6)</w:t>
            </w:r>
          </w:p>
        </w:tc>
        <w:tc>
          <w:tcPr>
            <w:tcW w:w="0" w:type="dxa"/>
            <w:vAlign w:val="bottom"/>
          </w:tcPr>
          <w:p>
            <w:pPr>
              <w:spacing w:after="0"/>
              <w:rPr>
                <w:sz w:val="1"/>
                <w:szCs w:val="1"/>
                <w:color w:val="auto"/>
              </w:rPr>
            </w:pPr>
          </w:p>
        </w:tc>
      </w:tr>
      <w:tr>
        <w:trPr>
          <w:trHeight w:val="230"/>
        </w:trPr>
        <w:tc>
          <w:tcPr>
            <w:tcW w:w="5080" w:type="dxa"/>
            <w:vAlign w:val="bottom"/>
          </w:tcPr>
          <w:p>
            <w:pPr>
              <w:ind w:left="460"/>
              <w:spacing w:after="0"/>
              <w:rPr>
                <w:sz w:val="20"/>
                <w:szCs w:val="20"/>
                <w:color w:val="auto"/>
              </w:rPr>
            </w:pPr>
            <w:r>
              <w:rPr>
                <w:rFonts w:ascii="Arial" w:cs="Arial" w:eastAsia="Arial" w:hAnsi="Arial"/>
                <w:sz w:val="18"/>
                <w:szCs w:val="18"/>
                <w:color w:val="231F20"/>
              </w:rPr>
              <w:t>Interest expense, net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6.8</w:t>
            </w:r>
          </w:p>
        </w:tc>
        <w:tc>
          <w:tcPr>
            <w:tcW w:w="1620" w:type="dxa"/>
            <w:vAlign w:val="bottom"/>
            <w:gridSpan w:val="2"/>
          </w:tcPr>
          <w:p>
            <w:pPr>
              <w:jc w:val="right"/>
              <w:ind w:right="116"/>
              <w:spacing w:after="0"/>
              <w:rPr>
                <w:sz w:val="20"/>
                <w:szCs w:val="20"/>
                <w:color w:val="auto"/>
              </w:rPr>
            </w:pPr>
            <w:r>
              <w:rPr>
                <w:rFonts w:ascii="Arial" w:cs="Arial" w:eastAsia="Arial" w:hAnsi="Arial"/>
                <w:sz w:val="18"/>
                <w:szCs w:val="18"/>
                <w:color w:val="231F20"/>
              </w:rPr>
              <w:t>3.4</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rPr>
              <w:t>6.6</w:t>
            </w:r>
          </w:p>
        </w:tc>
        <w:tc>
          <w:tcPr>
            <w:tcW w:w="1620" w:type="dxa"/>
            <w:vAlign w:val="bottom"/>
            <w:gridSpan w:val="2"/>
          </w:tcPr>
          <w:p>
            <w:pPr>
              <w:jc w:val="right"/>
              <w:ind w:right="133"/>
              <w:spacing w:after="0"/>
              <w:rPr>
                <w:sz w:val="20"/>
                <w:szCs w:val="20"/>
                <w:color w:val="auto"/>
              </w:rPr>
            </w:pPr>
            <w:r>
              <w:rPr>
                <w:rFonts w:ascii="Arial" w:cs="Arial" w:eastAsia="Arial" w:hAnsi="Arial"/>
                <w:sz w:val="18"/>
                <w:szCs w:val="18"/>
                <w:color w:val="231F20"/>
              </w:rPr>
              <w:t>3.7</w:t>
            </w: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231F20"/>
              </w:rPr>
              <w:t>Interest income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(10.0)</w:t>
            </w:r>
          </w:p>
        </w:tc>
        <w:tc>
          <w:tcPr>
            <w:tcW w:w="16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231F20"/>
              </w:rPr>
              <w:t>(4.9)</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(0.7)</w:t>
            </w:r>
          </w:p>
        </w:tc>
        <w:tc>
          <w:tcPr>
            <w:tcW w:w="16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231F20"/>
              </w:rPr>
              <w:t>(0.4)</w:t>
            </w:r>
          </w:p>
        </w:tc>
        <w:tc>
          <w:tcPr>
            <w:tcW w:w="0" w:type="dxa"/>
            <w:vAlign w:val="bottom"/>
          </w:tcPr>
          <w:p>
            <w:pPr>
              <w:spacing w:after="0"/>
              <w:rPr>
                <w:sz w:val="1"/>
                <w:szCs w:val="1"/>
                <w:color w:val="auto"/>
              </w:rPr>
            </w:pPr>
          </w:p>
        </w:tc>
      </w:tr>
      <w:tr>
        <w:trPr>
          <w:trHeight w:val="230"/>
        </w:trPr>
        <w:tc>
          <w:tcPr>
            <w:tcW w:w="5080" w:type="dxa"/>
            <w:vAlign w:val="bottom"/>
          </w:tcPr>
          <w:p>
            <w:pPr>
              <w:ind w:left="460"/>
              <w:spacing w:after="0"/>
              <w:rPr>
                <w:sz w:val="20"/>
                <w:szCs w:val="20"/>
                <w:color w:val="auto"/>
              </w:rPr>
            </w:pPr>
            <w:r>
              <w:rPr>
                <w:rFonts w:ascii="Arial" w:cs="Arial" w:eastAsia="Arial" w:hAnsi="Arial"/>
                <w:sz w:val="18"/>
                <w:szCs w:val="18"/>
                <w:color w:val="231F20"/>
              </w:rPr>
              <w:t>Other (income) expense, net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(0.5)</w:t>
            </w:r>
          </w:p>
        </w:tc>
        <w:tc>
          <w:tcPr>
            <w:tcW w:w="1620" w:type="dxa"/>
            <w:vAlign w:val="bottom"/>
            <w:gridSpan w:val="2"/>
          </w:tcPr>
          <w:p>
            <w:pPr>
              <w:jc w:val="right"/>
              <w:ind w:right="76"/>
              <w:spacing w:after="0"/>
              <w:rPr>
                <w:sz w:val="20"/>
                <w:szCs w:val="20"/>
                <w:color w:val="auto"/>
              </w:rPr>
            </w:pPr>
            <w:r>
              <w:rPr>
                <w:rFonts w:ascii="Arial" w:cs="Arial" w:eastAsia="Arial" w:hAnsi="Arial"/>
                <w:sz w:val="18"/>
                <w:szCs w:val="18"/>
                <w:color w:val="231F20"/>
              </w:rPr>
              <w:t>(0.2)</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0"/>
                <w:szCs w:val="20"/>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231F20"/>
              </w:rPr>
              <w:t>Change in fair value of warrant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(2.5)</w:t>
            </w:r>
          </w:p>
        </w:tc>
        <w:tc>
          <w:tcPr>
            <w:tcW w:w="16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231F20"/>
              </w:rPr>
              <w:t>(1.2)</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7"/>
              </w:rPr>
              <w:t>(67.2)</w:t>
            </w:r>
          </w:p>
        </w:tc>
        <w:tc>
          <w:tcPr>
            <w:tcW w:w="16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231F20"/>
              </w:rPr>
              <w:t>(37.6)</w:t>
            </w:r>
          </w:p>
        </w:tc>
        <w:tc>
          <w:tcPr>
            <w:tcW w:w="0" w:type="dxa"/>
            <w:vAlign w:val="bottom"/>
          </w:tcPr>
          <w:p>
            <w:pPr>
              <w:spacing w:after="0"/>
              <w:rPr>
                <w:sz w:val="1"/>
                <w:szCs w:val="1"/>
                <w:color w:val="auto"/>
              </w:rPr>
            </w:pPr>
          </w:p>
        </w:tc>
      </w:tr>
      <w:tr>
        <w:trPr>
          <w:trHeight w:val="237"/>
        </w:trPr>
        <w:tc>
          <w:tcPr>
            <w:tcW w:w="5080" w:type="dxa"/>
            <w:vAlign w:val="bottom"/>
          </w:tcPr>
          <w:p>
            <w:pPr>
              <w:ind w:left="460"/>
              <w:spacing w:after="0"/>
              <w:rPr>
                <w:sz w:val="20"/>
                <w:szCs w:val="20"/>
                <w:color w:val="auto"/>
              </w:rPr>
            </w:pPr>
            <w:r>
              <w:rPr>
                <w:rFonts w:ascii="Arial" w:cs="Arial" w:eastAsia="Arial" w:hAnsi="Arial"/>
                <w:sz w:val="18"/>
                <w:szCs w:val="18"/>
                <w:color w:val="231F20"/>
              </w:rPr>
              <w:t>Foreign currency transaction (gain) loss, net</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231F20"/>
              </w:rPr>
              <w:t>(0.8)</w:t>
            </w: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1.0</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(Loss) income before provision for income tax</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(22.8)</w:t>
            </w:r>
          </w:p>
        </w:tc>
        <w:tc>
          <w:tcPr>
            <w:tcW w:w="16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231F20"/>
              </w:rPr>
              <w:t>(11.2)</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40.5</w:t>
            </w:r>
          </w:p>
        </w:tc>
        <w:tc>
          <w:tcPr>
            <w:tcW w:w="162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231F20"/>
              </w:rPr>
              <w:t>22.6</w:t>
            </w:r>
          </w:p>
        </w:tc>
        <w:tc>
          <w:tcPr>
            <w:tcW w:w="0" w:type="dxa"/>
            <w:vAlign w:val="bottom"/>
          </w:tcPr>
          <w:p>
            <w:pPr>
              <w:spacing w:after="0"/>
              <w:rPr>
                <w:sz w:val="1"/>
                <w:szCs w:val="1"/>
                <w:color w:val="auto"/>
              </w:rPr>
            </w:pPr>
          </w:p>
        </w:tc>
      </w:tr>
      <w:tr>
        <w:trPr>
          <w:trHeight w:val="230"/>
        </w:trPr>
        <w:tc>
          <w:tcPr>
            <w:tcW w:w="5080" w:type="dxa"/>
            <w:vAlign w:val="bottom"/>
          </w:tcPr>
          <w:p>
            <w:pPr>
              <w:ind w:left="80"/>
              <w:spacing w:after="0"/>
              <w:rPr>
                <w:sz w:val="20"/>
                <w:szCs w:val="20"/>
                <w:color w:val="auto"/>
              </w:rPr>
            </w:pPr>
            <w:r>
              <w:rPr>
                <w:rFonts w:ascii="Arial" w:cs="Arial" w:eastAsia="Arial" w:hAnsi="Arial"/>
                <w:sz w:val="18"/>
                <w:szCs w:val="18"/>
                <w:color w:val="231F20"/>
              </w:rPr>
              <w:t>Income tax (benefit) expense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(5.9)</w:t>
            </w:r>
          </w:p>
        </w:tc>
        <w:tc>
          <w:tcPr>
            <w:tcW w:w="1620" w:type="dxa"/>
            <w:vAlign w:val="bottom"/>
            <w:gridSpan w:val="2"/>
          </w:tcPr>
          <w:p>
            <w:pPr>
              <w:jc w:val="right"/>
              <w:ind w:right="76"/>
              <w:spacing w:after="0"/>
              <w:rPr>
                <w:sz w:val="20"/>
                <w:szCs w:val="20"/>
                <w:color w:val="auto"/>
              </w:rPr>
            </w:pPr>
            <w:r>
              <w:rPr>
                <w:rFonts w:ascii="Arial" w:cs="Arial" w:eastAsia="Arial" w:hAnsi="Arial"/>
                <w:sz w:val="18"/>
                <w:szCs w:val="18"/>
                <w:color w:val="231F20"/>
              </w:rPr>
              <w:t>(2.9)</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rPr>
              <w:t>2.7</w:t>
            </w:r>
          </w:p>
        </w:tc>
        <w:tc>
          <w:tcPr>
            <w:tcW w:w="1620" w:type="dxa"/>
            <w:vAlign w:val="bottom"/>
            <w:gridSpan w:val="2"/>
          </w:tcPr>
          <w:p>
            <w:pPr>
              <w:jc w:val="right"/>
              <w:ind w:right="133"/>
              <w:spacing w:after="0"/>
              <w:rPr>
                <w:sz w:val="20"/>
                <w:szCs w:val="20"/>
                <w:color w:val="auto"/>
              </w:rPr>
            </w:pPr>
            <w:r>
              <w:rPr>
                <w:rFonts w:ascii="Arial" w:cs="Arial" w:eastAsia="Arial" w:hAnsi="Arial"/>
                <w:sz w:val="18"/>
                <w:szCs w:val="18"/>
                <w:color w:val="231F20"/>
              </w:rPr>
              <w:t>1.5</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Net (loss)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231F20"/>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21.1 %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5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231F20"/>
        </w:rPr>
        <w:t>Net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231F20"/>
              </w:rPr>
              <w:t>Six Months Ended June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ind w:left="1000"/>
              <w:spacing w:after="0"/>
              <w:rPr>
                <w:sz w:val="20"/>
                <w:szCs w:val="20"/>
                <w:color w:val="auto"/>
              </w:rPr>
            </w:pPr>
            <w:r>
              <w:rPr>
                <w:rFonts w:ascii="Arial" w:cs="Arial" w:eastAsia="Arial" w:hAnsi="Arial"/>
                <w:sz w:val="14"/>
                <w:szCs w:val="14"/>
                <w:b w:val="1"/>
                <w:bCs w:val="1"/>
                <w:color w:val="231F20"/>
              </w:rPr>
              <w:t>Change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7"/>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3"/>
          </w:tcPr>
          <w:p>
            <w:pPr>
              <w:ind w:left="160"/>
              <w:spacing w:after="0"/>
              <w:rPr>
                <w:sz w:val="20"/>
                <w:szCs w:val="20"/>
                <w:color w:val="auto"/>
              </w:rPr>
            </w:pPr>
            <w:r>
              <w:rPr>
                <w:rFonts w:ascii="Arial" w:cs="Arial" w:eastAsia="Arial" w:hAnsi="Arial"/>
                <w:sz w:val="14"/>
                <w:szCs w:val="14"/>
                <w:b w:val="1"/>
                <w:bCs w:val="1"/>
                <w:color w:val="231F20"/>
              </w:rPr>
              <w:t>Amount</w:t>
            </w:r>
          </w:p>
        </w:tc>
        <w:tc>
          <w:tcPr>
            <w:tcW w:w="1060" w:type="dxa"/>
            <w:vAlign w:val="bottom"/>
          </w:tcPr>
          <w:p>
            <w:pPr>
              <w:jc w:val="right"/>
              <w:ind w:right="615"/>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231F20"/>
              </w:rPr>
              <w:t>Delivery Systems</w:t>
            </w: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231F20"/>
              </w:rPr>
              <w:t>110.9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231F20"/>
              </w:rPr>
              <w:t>$</w:t>
            </w:r>
          </w:p>
        </w:tc>
        <w:tc>
          <w:tcPr>
            <w:tcW w:w="1060" w:type="dxa"/>
            <w:vAlign w:val="bottom"/>
          </w:tcPr>
          <w:p>
            <w:pPr>
              <w:jc w:val="right"/>
              <w:spacing w:after="0"/>
              <w:rPr>
                <w:sz w:val="20"/>
                <w:szCs w:val="20"/>
                <w:color w:val="auto"/>
              </w:rPr>
            </w:pPr>
            <w:r>
              <w:rPr>
                <w:rFonts w:ascii="Arial" w:cs="Arial" w:eastAsia="Arial" w:hAnsi="Arial"/>
                <w:sz w:val="18"/>
                <w:szCs w:val="18"/>
                <w:color w:val="231F20"/>
              </w:rPr>
              <w:t>106.4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231F20"/>
              </w:rPr>
              <w:t>$</w:t>
            </w:r>
          </w:p>
        </w:tc>
        <w:tc>
          <w:tcPr>
            <w:tcW w:w="1120" w:type="dxa"/>
            <w:vAlign w:val="bottom"/>
          </w:tcPr>
          <w:p>
            <w:pPr>
              <w:jc w:val="right"/>
              <w:spacing w:after="0"/>
              <w:rPr>
                <w:sz w:val="20"/>
                <w:szCs w:val="20"/>
                <w:color w:val="auto"/>
              </w:rPr>
            </w:pPr>
            <w:r>
              <w:rPr>
                <w:rFonts w:ascii="Arial" w:cs="Arial" w:eastAsia="Arial" w:hAnsi="Arial"/>
                <w:sz w:val="18"/>
                <w:szCs w:val="18"/>
                <w:color w:val="231F20"/>
              </w:rPr>
              <w:t>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4.2 %</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rPr>
              <w:t>Consumables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28.0 %</w:t>
            </w:r>
          </w:p>
        </w:tc>
        <w:tc>
          <w:tcPr>
            <w:tcW w:w="0" w:type="dxa"/>
            <w:vAlign w:val="bottom"/>
          </w:tcPr>
          <w:p>
            <w:pPr>
              <w:spacing w:after="0"/>
              <w:rPr>
                <w:sz w:val="1"/>
                <w:szCs w:val="1"/>
                <w:color w:val="auto"/>
              </w:rPr>
            </w:pPr>
          </w:p>
        </w:tc>
      </w:tr>
      <w:tr>
        <w:trPr>
          <w:trHeight w:val="237"/>
        </w:trPr>
        <w:tc>
          <w:tcPr>
            <w:tcW w:w="524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231F20"/>
              </w:rPr>
              <w:t>Total net sales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231F20"/>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203.8</w:t>
            </w:r>
          </w:p>
        </w:tc>
        <w:tc>
          <w:tcPr>
            <w:tcW w:w="10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231F20"/>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179.0</w:t>
            </w: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231F20"/>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24.8</w:t>
            </w:r>
          </w:p>
        </w:tc>
        <w:tc>
          <w:tcPr>
            <w:tcW w:w="100" w:type="dxa"/>
            <w:vAlign w:val="bottom"/>
            <w:tcBorders>
              <w:top w:val="single" w:sz="8" w:color="CCEEFF"/>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13.9 %</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Total net sales for the </w:t>
      </w:r>
      <w:r>
        <w:rPr>
          <w:rFonts w:ascii="Arial" w:cs="Arial" w:eastAsia="Arial" w:hAnsi="Arial"/>
          <w:sz w:val="18"/>
          <w:szCs w:val="18"/>
          <w:color w:val="231F20"/>
        </w:rPr>
        <w:t>six months</w:t>
      </w:r>
      <w:r>
        <w:rPr>
          <w:rFonts w:ascii="Arial" w:cs="Arial" w:eastAsia="Arial" w:hAnsi="Arial"/>
          <w:sz w:val="18"/>
          <w:szCs w:val="18"/>
          <w:color w:val="auto"/>
        </w:rPr>
        <w:t xml:space="preserve"> ended June 30, 2023 increased $24.8 million, or 14%, compared to the </w:t>
      </w:r>
      <w:r>
        <w:rPr>
          <w:rFonts w:ascii="Arial" w:cs="Arial" w:eastAsia="Arial" w:hAnsi="Arial"/>
          <w:sz w:val="18"/>
          <w:szCs w:val="18"/>
          <w:color w:val="231F20"/>
        </w:rPr>
        <w:t>six months</w:t>
      </w:r>
      <w:r>
        <w:rPr>
          <w:rFonts w:ascii="Arial" w:cs="Arial" w:eastAsia="Arial" w:hAnsi="Arial"/>
          <w:sz w:val="18"/>
          <w:szCs w:val="18"/>
          <w:color w:val="auto"/>
        </w:rPr>
        <w:t xml:space="preserve"> ended June 30, 2022. Total net sales for the </w:t>
      </w:r>
      <w:r>
        <w:rPr>
          <w:rFonts w:ascii="Arial" w:cs="Arial" w:eastAsia="Arial" w:hAnsi="Arial"/>
          <w:sz w:val="18"/>
          <w:szCs w:val="18"/>
          <w:color w:val="231F20"/>
        </w:rPr>
        <w:t>six months</w:t>
      </w:r>
      <w:r>
        <w:rPr>
          <w:rFonts w:ascii="Arial" w:cs="Arial" w:eastAsia="Arial" w:hAnsi="Arial"/>
          <w:sz w:val="18"/>
          <w:szCs w:val="18"/>
          <w:color w:val="auto"/>
        </w:rPr>
        <w:t xml:space="preserve"> ended June 30, 2023 increased primarily due to strength in Consumable sales in the Americas and EMEA. Total net sales of Delivery Systems for the six month ended June 30, 2023 increased in EMEA and APAC, which was offset by decreases in the United States. The decrease in net sales of Delivery Systems in the Americas was as compared to the prior year launch of Syndeo, which included trade-up net sales. The increase in Consumables net sales was primarily attributable to increased placements of Delivery Systems and the adjoining consumption of Consumables during the </w:t>
      </w:r>
      <w:r>
        <w:rPr>
          <w:rFonts w:ascii="Arial" w:cs="Arial" w:eastAsia="Arial" w:hAnsi="Arial"/>
          <w:sz w:val="18"/>
          <w:szCs w:val="18"/>
          <w:color w:val="231F20"/>
        </w:rPr>
        <w:t xml:space="preserve">six months </w:t>
      </w:r>
      <w:r>
        <w:rPr>
          <w:rFonts w:ascii="Arial" w:cs="Arial" w:eastAsia="Arial" w:hAnsi="Arial"/>
          <w:sz w:val="18"/>
          <w:szCs w:val="18"/>
          <w:color w:val="000000"/>
        </w:rPr>
        <w:t>ended June 30,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231F20"/>
              </w:rPr>
              <w:t>Six Months Ended June 30,</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231F20"/>
              </w:rPr>
              <w:t>Change</w:t>
            </w:r>
          </w:p>
        </w:tc>
        <w:tc>
          <w:tcPr>
            <w:tcW w:w="1040" w:type="dxa"/>
            <w:vAlign w:val="bottom"/>
            <w:tcBorders>
              <w:bottom w:val="single" w:sz="8" w:color="auto"/>
            </w:tcBorders>
          </w:tcPr>
          <w:p>
            <w:pPr>
              <w:spacing w:after="0"/>
              <w:rPr>
                <w:sz w:val="16"/>
                <w:szCs w:val="16"/>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4"/>
                <w:szCs w:val="14"/>
                <w:b w:val="1"/>
                <w:bCs w:val="1"/>
                <w:color w:val="231F20"/>
              </w:rPr>
              <w:t>(in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231F20"/>
              </w:rPr>
              <w:t>2022</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231F20"/>
              </w:rPr>
              <w:t>Amount</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231F20"/>
              </w:rPr>
              <w:t>%</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Cost of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231F20"/>
                <w:w w:val="79"/>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231F20"/>
              </w:rPr>
              <w:t>81.8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231F20"/>
              </w:rPr>
              <w:t>$</w:t>
            </w: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231F20"/>
              </w:rPr>
              <w:t>58.0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40.9 %</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231F20"/>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231F20"/>
                <w:w w:val="7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231F20"/>
              </w:rPr>
              <w:t>122.0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231F20"/>
              </w:rPr>
              <w:t>120.9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1.1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0.9 %</w:t>
            </w: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Gross margin</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59.9 %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67.6 %</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3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Cost of sales increased $23.8 million driven by higher product costs and developed technology amortization expense, and charges related to discontinued and obsolete products costs. Gross margin declined from 67.6% during the six months ended June 30, 2022 to 59.9% during the six months ended June 30, 2023, primarily due to higher product costs, unfavorable changes in product mix, higher amortization expense, and charges related to discontinued and obsolete products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231F20"/>
              </w:rPr>
              <w:t>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231F20"/>
              </w:rPr>
              <w:t>Change</w:t>
            </w:r>
          </w:p>
        </w:tc>
        <w:tc>
          <w:tcPr>
            <w:tcW w:w="1220" w:type="dxa"/>
            <w:vAlign w:val="bottom"/>
            <w:tcBorders>
              <w:bottom w:val="single" w:sz="8" w:color="auto"/>
            </w:tcBorders>
          </w:tcPr>
          <w:p>
            <w:pPr>
              <w:spacing w:after="0"/>
              <w:rPr>
                <w:sz w:val="16"/>
                <w:szCs w:val="16"/>
                <w:color w:val="auto"/>
              </w:rPr>
            </w:pP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b w:val="1"/>
                <w:bCs w:val="1"/>
                <w:color w:val="231F20"/>
              </w:rPr>
              <w:t>(in millions)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231F20"/>
              </w:rPr>
              <w:t>2023</w:t>
            </w:r>
          </w:p>
        </w:tc>
        <w:tc>
          <w:tcPr>
            <w:tcW w:w="6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231F20"/>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20"/>
              <w:spacing w:after="0"/>
              <w:rPr>
                <w:sz w:val="20"/>
                <w:szCs w:val="20"/>
                <w:color w:val="auto"/>
              </w:rPr>
            </w:pPr>
            <w:r>
              <w:rPr>
                <w:rFonts w:ascii="Arial" w:cs="Arial" w:eastAsia="Arial" w:hAnsi="Arial"/>
                <w:sz w:val="14"/>
                <w:szCs w:val="14"/>
                <w:b w:val="1"/>
                <w:bCs w:val="1"/>
                <w:color w:val="231F20"/>
              </w:rPr>
              <w:t>Amount</w:t>
            </w:r>
          </w:p>
        </w:tc>
        <w:tc>
          <w:tcPr>
            <w:tcW w:w="1220" w:type="dxa"/>
            <w:vAlign w:val="bottom"/>
          </w:tcPr>
          <w:p>
            <w:pPr>
              <w:jc w:val="right"/>
              <w:ind w:right="719"/>
              <w:spacing w:after="0"/>
              <w:rPr>
                <w:sz w:val="20"/>
                <w:szCs w:val="20"/>
                <w:color w:val="auto"/>
              </w:rPr>
            </w:pPr>
            <w:r>
              <w:rPr>
                <w:rFonts w:ascii="Arial" w:cs="Arial" w:eastAsia="Arial" w:hAnsi="Arial"/>
                <w:sz w:val="14"/>
                <w:szCs w:val="14"/>
                <w:b w:val="1"/>
                <w:bCs w:val="1"/>
                <w:color w:val="231F20"/>
              </w:rPr>
              <w:t>%</w:t>
            </w:r>
          </w:p>
        </w:tc>
      </w:tr>
      <w:tr>
        <w:trPr>
          <w:trHeight w:val="39"/>
        </w:trPr>
        <w:tc>
          <w:tcPr>
            <w:tcW w:w="46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Selling and marketing</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231F20"/>
                <w:w w:val="79"/>
              </w:rPr>
              <w:t>$</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81.7</w:t>
            </w:r>
          </w:p>
        </w:tc>
        <w:tc>
          <w:tcPr>
            <w:tcW w:w="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231F20"/>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81.3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231F20"/>
              </w:rPr>
              <w:t>0.5</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0.6 %</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98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231F20"/>
                <w:w w:val="92"/>
              </w:rPr>
              <w:t>40.1 %</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231F20"/>
                <w:w w:val="89"/>
              </w:rPr>
              <w:t>45.4 %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8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231F20"/>
        </w:rPr>
        <w:t>Selling and marketing expense for the six months ended June 30, 2023 remained relatively flat as compared to the six months ended June 30, 2022. Increases in personnel related compensation and depreciation expense attributable to our global experience centers were substantially offset by lower commission and marketing related expenses.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231F20"/>
              </w:rPr>
              <w:t>Six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231F20"/>
              </w:rPr>
              <w:t>Change</w:t>
            </w:r>
          </w:p>
        </w:tc>
        <w:tc>
          <w:tcPr>
            <w:tcW w:w="1220" w:type="dxa"/>
            <w:vAlign w:val="bottom"/>
            <w:tcBorders>
              <w:bottom w:val="single" w:sz="8" w:color="auto"/>
            </w:tcBorders>
          </w:tcPr>
          <w:p>
            <w:pPr>
              <w:spacing w:after="0"/>
              <w:rPr>
                <w:sz w:val="16"/>
                <w:szCs w:val="16"/>
                <w:color w:val="auto"/>
              </w:rPr>
            </w:pP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b w:val="1"/>
                <w:bCs w:val="1"/>
                <w:color w:val="231F20"/>
              </w:rPr>
              <w:t>(in millions)</w:t>
            </w:r>
          </w:p>
        </w:tc>
        <w:tc>
          <w:tcPr>
            <w:tcW w:w="1040" w:type="dxa"/>
            <w:vAlign w:val="bottom"/>
          </w:tcPr>
          <w:p>
            <w:pPr>
              <w:jc w:val="right"/>
              <w:ind w:right="42"/>
              <w:spacing w:after="0"/>
              <w:rPr>
                <w:sz w:val="20"/>
                <w:szCs w:val="20"/>
                <w:color w:val="auto"/>
              </w:rPr>
            </w:pPr>
            <w:r>
              <w:rPr>
                <w:rFonts w:ascii="Arial" w:cs="Arial" w:eastAsia="Arial" w:hAnsi="Arial"/>
                <w:sz w:val="14"/>
                <w:szCs w:val="14"/>
                <w:b w:val="1"/>
                <w:bCs w:val="1"/>
                <w:color w:val="231F20"/>
              </w:rPr>
              <w:t>2023</w:t>
            </w:r>
          </w:p>
        </w:tc>
        <w:tc>
          <w:tcPr>
            <w:tcW w:w="5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231F20"/>
              </w:rPr>
              <w:t>2022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3"/>
          </w:tcPr>
          <w:p>
            <w:pPr>
              <w:ind w:left="220"/>
              <w:spacing w:after="0"/>
              <w:rPr>
                <w:sz w:val="20"/>
                <w:szCs w:val="20"/>
                <w:color w:val="auto"/>
              </w:rPr>
            </w:pPr>
            <w:r>
              <w:rPr>
                <w:rFonts w:ascii="Arial" w:cs="Arial" w:eastAsia="Arial" w:hAnsi="Arial"/>
                <w:sz w:val="14"/>
                <w:szCs w:val="14"/>
                <w:b w:val="1"/>
                <w:bCs w:val="1"/>
                <w:color w:val="231F20"/>
              </w:rPr>
              <w:t>Amount</w:t>
            </w:r>
          </w:p>
        </w:tc>
        <w:tc>
          <w:tcPr>
            <w:tcW w:w="1220" w:type="dxa"/>
            <w:vAlign w:val="bottom"/>
          </w:tcPr>
          <w:p>
            <w:pPr>
              <w:jc w:val="right"/>
              <w:ind w:right="719"/>
              <w:spacing w:after="0"/>
              <w:rPr>
                <w:sz w:val="20"/>
                <w:szCs w:val="20"/>
                <w:color w:val="auto"/>
              </w:rPr>
            </w:pPr>
            <w:r>
              <w:rPr>
                <w:rFonts w:ascii="Arial" w:cs="Arial" w:eastAsia="Arial" w:hAnsi="Arial"/>
                <w:sz w:val="14"/>
                <w:szCs w:val="14"/>
                <w:b w:val="1"/>
                <w:bCs w:val="1"/>
                <w:color w:val="231F20"/>
              </w:rPr>
              <w:t>%</w:t>
            </w:r>
          </w:p>
        </w:tc>
      </w:tr>
      <w:tr>
        <w:trPr>
          <w:trHeight w:val="230"/>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Research and development</w:t>
            </w:r>
          </w:p>
        </w:tc>
        <w:tc>
          <w:tcPr>
            <w:tcW w:w="1040" w:type="dxa"/>
            <w:vAlign w:val="bottom"/>
            <w:tcBorders>
              <w:top w:val="single" w:sz="8" w:color="auto"/>
            </w:tcBorders>
            <w:shd w:val="clear" w:color="auto" w:fill="CCEEFF"/>
          </w:tcPr>
          <w:p>
            <w:pPr>
              <w:jc w:val="right"/>
              <w:ind w:right="862"/>
              <w:spacing w:after="0"/>
              <w:rPr>
                <w:sz w:val="20"/>
                <w:szCs w:val="20"/>
                <w:color w:val="auto"/>
              </w:rPr>
            </w:pPr>
            <w:r>
              <w:rPr>
                <w:rFonts w:ascii="Arial" w:cs="Arial" w:eastAsia="Arial" w:hAnsi="Arial"/>
                <w:sz w:val="18"/>
                <w:szCs w:val="18"/>
                <w:color w:val="231F20"/>
                <w:w w:val="79"/>
              </w:rPr>
              <w:t>$</w:t>
            </w:r>
          </w:p>
        </w:tc>
        <w:tc>
          <w:tcPr>
            <w:tcW w:w="5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231F20"/>
              </w:rPr>
              <w:t>5.2</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231F20"/>
                <w:w w:val="99"/>
              </w:rPr>
              <w:t>$</w:t>
            </w:r>
          </w:p>
        </w:tc>
        <w:tc>
          <w:tcPr>
            <w:tcW w:w="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231F20"/>
              </w:rPr>
              <w:t>4.8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231F20"/>
              </w:rPr>
              <w:t>0.4</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8.0 %</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1040" w:type="dxa"/>
            <w:vAlign w:val="bottom"/>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231F20"/>
                <w:w w:val="91"/>
              </w:rPr>
              <w:t>2.6 %</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231F20"/>
                <w:w w:val="91"/>
              </w:rPr>
              <w:t>2.7 %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231F20"/>
        </w:rPr>
        <w:t>Research and development expense for the six months ended June 30, 2023 remained relatively flat as compared to the six months ended June 30, 2022.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520" w:type="dxa"/>
            <w:vAlign w:val="bottom"/>
            <w:gridSpan w:val="4"/>
          </w:tcPr>
          <w:p>
            <w:pPr>
              <w:jc w:val="right"/>
              <w:ind w:right="88"/>
              <w:spacing w:after="0"/>
              <w:rPr>
                <w:sz w:val="20"/>
                <w:szCs w:val="20"/>
                <w:color w:val="auto"/>
              </w:rPr>
            </w:pPr>
            <w:r>
              <w:rPr>
                <w:rFonts w:ascii="Arial" w:cs="Arial" w:eastAsia="Arial" w:hAnsi="Arial"/>
                <w:sz w:val="14"/>
                <w:szCs w:val="14"/>
                <w:b w:val="1"/>
                <w:bCs w:val="1"/>
                <w:color w:val="231F20"/>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3"/>
          </w:tcPr>
          <w:p>
            <w:pPr>
              <w:ind w:left="1160"/>
              <w:spacing w:after="0"/>
              <w:rPr>
                <w:sz w:val="20"/>
                <w:szCs w:val="20"/>
                <w:color w:val="auto"/>
              </w:rPr>
            </w:pPr>
            <w:r>
              <w:rPr>
                <w:rFonts w:ascii="Arial" w:cs="Arial" w:eastAsia="Arial" w:hAnsi="Arial"/>
                <w:sz w:val="14"/>
                <w:szCs w:val="14"/>
                <w:b w:val="1"/>
                <w:bCs w:val="1"/>
                <w:color w:val="231F20"/>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20" w:type="dxa"/>
            <w:vAlign w:val="bottom"/>
            <w:vMerge w:val="continue"/>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2023</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2022</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231F20"/>
              </w:rPr>
              <w:t>Amount</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General and administrative</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231F20"/>
                <w:w w:val="79"/>
              </w:rPr>
              <w:t>$</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65.5</w:t>
            </w:r>
          </w:p>
        </w:tc>
        <w:tc>
          <w:tcPr>
            <w:tcW w:w="9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231F20"/>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231F20"/>
              </w:rPr>
              <w:t>53.8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231F20"/>
              </w:rPr>
              <w:t>11.6</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21.6 %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98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231F20"/>
                <w:w w:val="92"/>
              </w:rPr>
              <w:t>32.1 %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231F20"/>
                <w:w w:val="92"/>
              </w:rPr>
              <w:t>30.1 %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General and administrative expense for the </w:t>
      </w:r>
      <w:r>
        <w:rPr>
          <w:rFonts w:ascii="Arial" w:cs="Arial" w:eastAsia="Arial" w:hAnsi="Arial"/>
          <w:sz w:val="17"/>
          <w:szCs w:val="17"/>
          <w:color w:val="231F20"/>
        </w:rPr>
        <w:t>six months</w:t>
      </w:r>
      <w:r>
        <w:rPr>
          <w:rFonts w:ascii="Arial" w:cs="Arial" w:eastAsia="Arial" w:hAnsi="Arial"/>
          <w:sz w:val="17"/>
          <w:szCs w:val="17"/>
          <w:color w:val="auto"/>
        </w:rPr>
        <w:t xml:space="preserve"> ended June 30, 2023 increased $11.6 million, or 21.6%, compared to the </w:t>
      </w:r>
      <w:r>
        <w:rPr>
          <w:rFonts w:ascii="Arial" w:cs="Arial" w:eastAsia="Arial" w:hAnsi="Arial"/>
          <w:sz w:val="17"/>
          <w:szCs w:val="17"/>
          <w:color w:val="231F20"/>
        </w:rPr>
        <w:t>six months</w:t>
      </w:r>
      <w:r>
        <w:rPr>
          <w:rFonts w:ascii="Arial" w:cs="Arial" w:eastAsia="Arial" w:hAnsi="Arial"/>
          <w:sz w:val="17"/>
          <w:szCs w:val="17"/>
          <w:color w:val="auto"/>
        </w:rPr>
        <w:t xml:space="preserve"> ended June 30, 2022. The increase was primarily driven by higher personnel related compensation, partially offset by lower recruiting related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Income and Change in Fair Value of Warrant Liabilities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8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231F20"/>
              </w:rPr>
              <w:t>Six Months Ended June 30,</w:t>
            </w: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1428"/>
              <w:spacing w:after="0"/>
              <w:rPr>
                <w:sz w:val="20"/>
                <w:szCs w:val="20"/>
                <w:color w:val="auto"/>
              </w:rPr>
            </w:pPr>
            <w:r>
              <w:rPr>
                <w:rFonts w:ascii="Arial" w:cs="Arial" w:eastAsia="Arial" w:hAnsi="Arial"/>
                <w:sz w:val="14"/>
                <w:szCs w:val="14"/>
                <w:b w:val="1"/>
                <w:bCs w:val="1"/>
                <w:color w:val="231F20"/>
              </w:rPr>
              <w:t>Change</w:t>
            </w:r>
          </w:p>
        </w:tc>
      </w:tr>
      <w:tr>
        <w:trPr>
          <w:trHeight w:val="186"/>
        </w:trPr>
        <w:tc>
          <w:tcPr>
            <w:tcW w:w="4780" w:type="dxa"/>
            <w:vAlign w:val="bottom"/>
          </w:tcPr>
          <w:p>
            <w:pPr>
              <w:spacing w:after="0"/>
              <w:rPr>
                <w:sz w:val="20"/>
                <w:szCs w:val="20"/>
                <w:color w:val="auto"/>
              </w:rPr>
            </w:pPr>
            <w:r>
              <w:rPr>
                <w:rFonts w:ascii="Arial" w:cs="Arial" w:eastAsia="Arial" w:hAnsi="Arial"/>
                <w:sz w:val="14"/>
                <w:szCs w:val="14"/>
                <w:b w:val="1"/>
                <w:bCs w:val="1"/>
                <w:color w:val="231F20"/>
              </w:rPr>
              <w:t>(in millions)</w:t>
            </w:r>
          </w:p>
        </w:tc>
        <w:tc>
          <w:tcPr>
            <w:tcW w:w="1500" w:type="dxa"/>
            <w:vAlign w:val="bottom"/>
          </w:tcPr>
          <w:p>
            <w:pPr>
              <w:ind w:left="600"/>
              <w:spacing w:after="0"/>
              <w:rPr>
                <w:sz w:val="20"/>
                <w:szCs w:val="20"/>
                <w:color w:val="auto"/>
              </w:rPr>
            </w:pPr>
            <w:r>
              <w:rPr>
                <w:rFonts w:ascii="Arial" w:cs="Arial" w:eastAsia="Arial" w:hAnsi="Arial"/>
                <w:sz w:val="14"/>
                <w:szCs w:val="14"/>
                <w:b w:val="1"/>
                <w:bCs w:val="1"/>
                <w:color w:val="231F20"/>
              </w:rPr>
              <w:t>2023</w:t>
            </w:r>
          </w:p>
        </w:tc>
        <w:tc>
          <w:tcPr>
            <w:tcW w:w="1380" w:type="dxa"/>
            <w:vAlign w:val="bottom"/>
          </w:tcPr>
          <w:p>
            <w:pPr>
              <w:jc w:val="right"/>
              <w:ind w:right="428"/>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1300" w:type="dxa"/>
            <w:vAlign w:val="bottom"/>
          </w:tcPr>
          <w:p>
            <w:pPr>
              <w:ind w:left="580"/>
              <w:spacing w:after="0"/>
              <w:rPr>
                <w:sz w:val="20"/>
                <w:szCs w:val="20"/>
                <w:color w:val="auto"/>
              </w:rPr>
            </w:pPr>
            <w:r>
              <w:rPr>
                <w:rFonts w:ascii="Arial" w:cs="Arial" w:eastAsia="Arial" w:hAnsi="Arial"/>
                <w:sz w:val="14"/>
                <w:szCs w:val="14"/>
                <w:b w:val="1"/>
                <w:bCs w:val="1"/>
                <w:color w:val="231F20"/>
              </w:rPr>
              <w:t>Amount</w:t>
            </w:r>
          </w:p>
        </w:tc>
        <w:tc>
          <w:tcPr>
            <w:tcW w:w="2160" w:type="dxa"/>
            <w:vAlign w:val="bottom"/>
          </w:tcPr>
          <w:p>
            <w:pPr>
              <w:jc w:val="right"/>
              <w:ind w:right="708"/>
              <w:spacing w:after="0"/>
              <w:rPr>
                <w:sz w:val="20"/>
                <w:szCs w:val="20"/>
                <w:color w:val="auto"/>
              </w:rPr>
            </w:pPr>
            <w:r>
              <w:rPr>
                <w:rFonts w:ascii="Arial" w:cs="Arial" w:eastAsia="Arial" w:hAnsi="Arial"/>
                <w:sz w:val="14"/>
                <w:szCs w:val="14"/>
                <w:b w:val="1"/>
                <w:bCs w:val="1"/>
                <w:color w:val="231F20"/>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Interest income</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231F20"/>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231F20"/>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(0.7)</w:t>
            </w:r>
          </w:p>
        </w:tc>
        <w:tc>
          <w:tcPr>
            <w:tcW w:w="1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231F20"/>
                <w:w w:val="79"/>
              </w:rPr>
              <w:t>$</w:t>
            </w:r>
          </w:p>
        </w:tc>
        <w:tc>
          <w:tcPr>
            <w:tcW w:w="9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231F20"/>
                <w:w w:val="97"/>
              </w:rPr>
              <w:t>(9.3)</w:t>
            </w: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N/M</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231F20"/>
              </w:rPr>
              <w:t>Change in fair value of warrant liabilities</w:t>
            </w:r>
          </w:p>
        </w:tc>
        <w:tc>
          <w:tcPr>
            <w:tcW w:w="580" w:type="dxa"/>
            <w:vAlign w:val="bottom"/>
          </w:tcPr>
          <w:p>
            <w:pPr>
              <w:jc w:val="right"/>
              <w:ind w:right="370"/>
              <w:spacing w:after="0"/>
              <w:rPr>
                <w:sz w:val="20"/>
                <w:szCs w:val="20"/>
                <w:color w:val="auto"/>
              </w:rPr>
            </w:pPr>
            <w:r>
              <w:rPr>
                <w:rFonts w:ascii="Arial" w:cs="Arial" w:eastAsia="Arial" w:hAnsi="Arial"/>
                <w:sz w:val="18"/>
                <w:szCs w:val="18"/>
                <w:color w:val="231F20"/>
                <w:w w:val="99"/>
              </w:rPr>
              <w:t>$</w:t>
            </w:r>
          </w:p>
        </w:tc>
        <w:tc>
          <w:tcPr>
            <w:tcW w:w="920" w:type="dxa"/>
            <w:vAlign w:val="bottom"/>
          </w:tcPr>
          <w:p>
            <w:pPr>
              <w:jc w:val="right"/>
              <w:spacing w:after="0"/>
              <w:rPr>
                <w:sz w:val="20"/>
                <w:szCs w:val="20"/>
                <w:color w:val="auto"/>
              </w:rPr>
            </w:pPr>
            <w:r>
              <w:rPr>
                <w:rFonts w:ascii="Arial" w:cs="Arial" w:eastAsia="Arial" w:hAnsi="Arial"/>
                <w:sz w:val="18"/>
                <w:szCs w:val="18"/>
                <w:color w:val="231F20"/>
              </w:rPr>
              <w:t>(2.5)</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231F20"/>
              </w:rPr>
              <w:t>$</w:t>
            </w:r>
          </w:p>
        </w:tc>
        <w:tc>
          <w:tcPr>
            <w:tcW w:w="820" w:type="dxa"/>
            <w:vAlign w:val="bottom"/>
          </w:tcPr>
          <w:p>
            <w:pPr>
              <w:jc w:val="right"/>
              <w:spacing w:after="0"/>
              <w:rPr>
                <w:sz w:val="20"/>
                <w:szCs w:val="20"/>
                <w:color w:val="auto"/>
              </w:rPr>
            </w:pPr>
            <w:r>
              <w:rPr>
                <w:rFonts w:ascii="Arial" w:cs="Arial" w:eastAsia="Arial" w:hAnsi="Arial"/>
                <w:sz w:val="18"/>
                <w:szCs w:val="18"/>
                <w:color w:val="231F20"/>
              </w:rPr>
              <w:t>(67.2)</w:t>
            </w:r>
          </w:p>
        </w:tc>
        <w:tc>
          <w:tcPr>
            <w:tcW w:w="800" w:type="dxa"/>
            <w:vAlign w:val="bottom"/>
            <w:gridSpan w:val="2"/>
          </w:tcPr>
          <w:p>
            <w:pPr>
              <w:jc w:val="right"/>
              <w:ind w:right="510"/>
              <w:spacing w:after="0"/>
              <w:rPr>
                <w:sz w:val="20"/>
                <w:szCs w:val="20"/>
                <w:color w:val="auto"/>
              </w:rPr>
            </w:pPr>
            <w:r>
              <w:rPr>
                <w:rFonts w:ascii="Arial" w:cs="Arial" w:eastAsia="Arial" w:hAnsi="Arial"/>
                <w:sz w:val="18"/>
                <w:szCs w:val="18"/>
                <w:color w:val="231F20"/>
              </w:rPr>
              <w:t>$</w:t>
            </w:r>
          </w:p>
        </w:tc>
        <w:tc>
          <w:tcPr>
            <w:tcW w:w="980" w:type="dxa"/>
            <w:vAlign w:val="bottom"/>
          </w:tcPr>
          <w:p>
            <w:pPr>
              <w:ind w:left="600"/>
              <w:spacing w:after="0"/>
              <w:rPr>
                <w:sz w:val="20"/>
                <w:szCs w:val="20"/>
                <w:color w:val="auto"/>
              </w:rPr>
            </w:pPr>
            <w:r>
              <w:rPr>
                <w:rFonts w:ascii="Arial" w:cs="Arial" w:eastAsia="Arial" w:hAnsi="Arial"/>
                <w:sz w:val="18"/>
                <w:szCs w:val="18"/>
                <w:color w:val="231F20"/>
              </w:rPr>
              <w:t>64.7</w:t>
            </w:r>
          </w:p>
        </w:tc>
        <w:tc>
          <w:tcPr>
            <w:tcW w:w="100" w:type="dxa"/>
            <w:vAlign w:val="bottom"/>
          </w:tcPr>
          <w:p>
            <w:pPr>
              <w:spacing w:after="0"/>
              <w:rPr>
                <w:sz w:val="20"/>
                <w:szCs w:val="20"/>
                <w:color w:val="auto"/>
              </w:rPr>
            </w:pPr>
          </w:p>
        </w:tc>
        <w:tc>
          <w:tcPr>
            <w:tcW w:w="1680" w:type="dxa"/>
            <w:vAlign w:val="bottom"/>
          </w:tcPr>
          <w:p>
            <w:pPr>
              <w:ind w:left="1320"/>
              <w:spacing w:after="0"/>
              <w:rPr>
                <w:sz w:val="20"/>
                <w:szCs w:val="20"/>
                <w:color w:val="auto"/>
              </w:rPr>
            </w:pPr>
            <w:r>
              <w:rPr>
                <w:rFonts w:ascii="Arial" w:cs="Arial" w:eastAsia="Arial" w:hAnsi="Arial"/>
                <w:sz w:val="18"/>
                <w:szCs w:val="18"/>
                <w:color w:val="auto"/>
              </w:rPr>
              <w:t>N/M</w:t>
            </w:r>
          </w:p>
        </w:tc>
      </w:tr>
      <w:tr>
        <w:trPr>
          <w:trHeight w:val="195"/>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N/M - Not meaningful</w:t>
            </w: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bl>
    <w:p>
      <w:pPr>
        <w:spacing w:after="0" w:line="32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 xml:space="preserve">Interest income for the six months ended June 30, 2023 increased </w:t>
      </w:r>
      <w:r>
        <w:rPr>
          <w:rFonts w:ascii="Arial" w:cs="Arial" w:eastAsia="Arial" w:hAnsi="Arial"/>
          <w:sz w:val="18"/>
          <w:szCs w:val="18"/>
          <w:color w:val="000000"/>
        </w:rPr>
        <w:t>$9.3 million</w:t>
      </w:r>
      <w:r>
        <w:rPr>
          <w:rFonts w:ascii="Arial" w:cs="Arial" w:eastAsia="Arial" w:hAnsi="Arial"/>
          <w:sz w:val="18"/>
          <w:szCs w:val="18"/>
          <w:color w:val="231F20"/>
        </w:rPr>
        <w:t xml:space="preserve"> compared to the six months ended June 30, 2022 primarily due to higher interest earned on our investment in money market funds.</w:t>
      </w:r>
    </w:p>
    <w:p>
      <w:pPr>
        <w:spacing w:after="0" w:line="19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231F20"/>
        </w:rPr>
        <w:t xml:space="preserve">During the six months ended June 30, 2023, the Company recognized income of $2.5 million related to the change in the fair value of the warrant liabilities, as compared to income of </w:t>
      </w:r>
      <w:r>
        <w:rPr>
          <w:rFonts w:ascii="Arial" w:cs="Arial" w:eastAsia="Arial" w:hAnsi="Arial"/>
          <w:sz w:val="16"/>
          <w:szCs w:val="16"/>
          <w:color w:val="000000"/>
        </w:rPr>
        <w:t>$67.2 million</w:t>
      </w:r>
      <w:r>
        <w:rPr>
          <w:rFonts w:ascii="Arial" w:cs="Arial" w:eastAsia="Arial" w:hAnsi="Arial"/>
          <w:sz w:val="16"/>
          <w:szCs w:val="16"/>
          <w:color w:val="231F20"/>
        </w:rPr>
        <w:t xml:space="preserve"> for the six months ended June 30, 2022, driven by the fluctuation of the Company’s stock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231F20"/>
        </w:rPr>
        <w:t>Our primary sources of capital have been funded by (i) cash flow from operating activities, (ii) net proceeds received from the consummation of the Business Combination, (iii) net proceeds received from the Notes (as defined below), and (iv) net proceeds received from the exercise of Public and Private Placement Warrants. As of June 30, 2023, we had cash and cash equivalents of $549.7 million. A revolving credit facility of $50.0 million is also available as a source of capital. As of June 30, 2023, the revolving credit facility remains undrawn and there is no outstanding balance thereunder.</w:t>
      </w:r>
    </w:p>
    <w:p>
      <w:pPr>
        <w:spacing w:after="0" w:line="18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231F20"/>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on our long-term obligations. Cash received from our customers and other activities generally corresponds to our net sales.</w:t>
      </w:r>
    </w:p>
    <w:p>
      <w:pPr>
        <w:spacing w:after="0" w:line="176"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231F20"/>
        </w:rPr>
        <w:t>Our sources of liquidity and cash flows are used to fund ongoing operations, research and development projects for new products, services, and technologies, and provide ongoing support services for our providers and customers. Over the next year, we anticipate that we will use our liquidity and cash flows from our operations to fund our growth. In addition,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Based on our sources of capital (including the cash consideration received from the consummation of the Business Combination and the cash received from the issuance of the Notes), management believes that we have sufficient liquidity to satisfy our anticipated working capital requirements for our ongoing operations and obligations for at least the next twelve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6" w:name="page27"/>
    <w:bookmarkEnd w:id="26"/>
    <w:p>
      <w:pPr>
        <w:spacing w:after="0" w:line="271" w:lineRule="auto"/>
        <w:rPr>
          <w:sz w:val="20"/>
          <w:szCs w:val="20"/>
          <w:color w:val="auto"/>
        </w:rPr>
      </w:pPr>
      <w:r>
        <w:rPr>
          <w:rFonts w:ascii="Arial" w:cs="Arial" w:eastAsia="Arial" w:hAnsi="Arial"/>
          <w:sz w:val="17"/>
          <w:szCs w:val="17"/>
          <w:color w:val="231F20"/>
        </w:rPr>
        <w:t>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Amended and Restated Credit Facility</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On November 14, 2022, the Company, as successor by assumption to Hydrafacial (formerly known as Edge Systems LLC), a California limited liability company, entered into an Amended and Restated Credit Agreement (as it may be further amended, restated, supplemented or modified from time to time, the “Credit Agreement”) with JPMorgan Chase Bank, N.A. The Credit Agreement provides for a $50.0 million revolving credit facility with a maturity date of November 14, 2027. In addition, the Company has the ability from time to time to increase the revolving commitments or enter into one or more tranches of term loans up to an additional aggregate amount not to exceed $50.0 million, subject to receipt of lender commitments and certain conditions precedent. As of June 30, 2023, the Credit Agreement remains undrawn and there is no outstanding balance under the revolving credit facility.</w:t>
      </w:r>
    </w:p>
    <w:p>
      <w:pPr>
        <w:spacing w:after="0" w:line="19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231F20"/>
        </w:rPr>
        <w:t>The Credit Agreement contains various restrictive covenants subject to certain exceptions, including limitations on the Company’s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 As of June 30, 2023, the Company was in compliance with all restrictive and financial covenants of the Credit Agreement.</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On September 14, 2021, the Company issued an aggregate of $750.0 million in principal amount of its 1.25% Convertible Senior Notes due 2026 (the “Notes”). The Notes were issued pursuant to, and are governed by, an indenture dated as of September 14, 2021, between the Company and U.S. Bank National Association, as trustee (the “Indenture”).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$100.0 million principal amount of Notes. The Notes issued on September 14, 2021 include the $100.0 million principal amount of Notes issued pursuant to the full exercise by the initial purchasers of such option.</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5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231F20"/>
        </w:rPr>
        <w:t>On September 9, 2021, in connection with the pricing of the offering of Notes, the Company entered into privately negotiated capped call transactions (the “Base Capped Call Transactions”).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$90.2 million.</w:t>
      </w:r>
    </w:p>
    <w:p>
      <w:pPr>
        <w:spacing w:after="0" w:line="19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27" w:name="page28"/>
    <w:bookmarkEnd w:id="27"/>
    <w:p>
      <w:pPr>
        <w:ind w:left="180"/>
        <w:spacing w:after="0"/>
        <w:rPr>
          <w:sz w:val="20"/>
          <w:szCs w:val="20"/>
          <w:color w:val="auto"/>
        </w:rPr>
      </w:pPr>
      <w:r>
        <w:rPr>
          <w:rFonts w:ascii="Arial" w:cs="Arial" w:eastAsia="Arial" w:hAnsi="Arial"/>
          <w:sz w:val="18"/>
          <w:szCs w:val="18"/>
          <w:b w:val="1"/>
          <w:bCs w:val="1"/>
          <w:i w:val="1"/>
          <w:iCs w:val="1"/>
          <w:color w:val="auto"/>
        </w:rPr>
        <w:t>Known Trends or Uncertainties</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231F20"/>
        </w:rPr>
        <w:t>The majority of our customers are in the medical (dermatologists and plastic surgeons), esthetician, and beauty retail industry. Although we have not seen any significant reduction in revenues to date due to consolidations, we have seen some consolidation in our industry during economic downturns. These consolidations have not had a negative effect on our total sales; however, should consolidations and downsizing in the industry continue to occur, those events could adversely impact our revenues and earnings going forward.</w:t>
      </w:r>
    </w:p>
    <w:p>
      <w:pPr>
        <w:spacing w:after="0" w:line="21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231F20"/>
        </w:rPr>
        <w:t>In addition, the extent to which the uncertainty around the timing, speed and recovery from the adverse impacts of the COVID-19 pandemic impacts our business going forward will depend on numerous factors we cannot reliably predict, including further governmental actions in the countries in which we operate, such as whether China enacts another sporadic and/or zero-tolerance COVID-19 policy, and the other macro challenges we are facing, including the possibility of recession or financial market instability, and the impact of any governmental actions on the economy. These factors may adversely impact consumer, business, and government spending as well as customers' ability to pay for our products and services on an ongoing basis.</w:t>
      </w:r>
    </w:p>
    <w:p>
      <w:pPr>
        <w:spacing w:after="0" w:line="18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231F20"/>
        </w:rPr>
        <w:t>As a result, if economic and social conditions or the degree of uncertainty or volatility worsen, or the adverse conditions previously described are further prolonged, our growth rate could be affected by consolidation and downsizing in the medical, esthetician, and beauty retail industry. We are continuing to monitor these and other risks that may affect our business so that we can respond appropriately.</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231F20"/>
        </w:rPr>
        <w:t>During the third quarter of 2023, the Company launched a voluntary initiative to replacing certain componentry in previously manufactured Syndeo delivery systems to increase resistance to inadvertent clogging when recommended maintenance is not performed. This initiative is expected to result in approximately $5 million in expense during the third quarter.</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Additionally, in July 2023, the Company received approximately $5 million for the Employee Retention Credit under the Coronavirus Aid, Relief, and Economic Security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activities from our statements of cash flows. Amounts may not sum due to rounding.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231F20"/>
              </w:rPr>
              <w:t>Six Months Ended June 30,</w:t>
            </w:r>
          </w:p>
        </w:tc>
        <w:tc>
          <w:tcPr>
            <w:tcW w:w="0" w:type="dxa"/>
            <w:vAlign w:val="bottom"/>
          </w:tcPr>
          <w:p>
            <w:pPr>
              <w:spacing w:after="0"/>
              <w:rPr>
                <w:sz w:val="1"/>
                <w:szCs w:val="1"/>
                <w:color w:val="auto"/>
              </w:rPr>
            </w:pPr>
          </w:p>
        </w:tc>
      </w:tr>
      <w:tr>
        <w:trPr>
          <w:trHeight w:val="66"/>
        </w:trPr>
        <w:tc>
          <w:tcPr>
            <w:tcW w:w="778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78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231F20"/>
              </w:rPr>
              <w:t>2023</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231F20"/>
              </w:rPr>
              <w:t>2022</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Cash and cash equivalents at beginning of period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231F20"/>
              </w:rPr>
              <w:t>Operating activities: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(loss) income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231F20"/>
              </w:rPr>
              <w:t>Non-cash adjustments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Changes in working capital</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231F20"/>
              </w:rPr>
              <w:t>Net cash provided by (used for) operating activities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9.0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(69.8)</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cash used for investing activities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231F20"/>
              </w:rPr>
              <w:t>Net cash used for financing activities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decrease in cash and cash equivalents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Effect of foreign currency translation</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Cash and cash equivalents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5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231F20"/>
        </w:rPr>
        <w:t>Net cash provided by operating activities for the six months ended June 30, 2023 was $9.0 million, compared to net cash used for operating activities of $69.8 million for the six months ended June 30, 2022. The change in cash was primarily related to lower working capital usage, primarily driven by high inventory build in the prior year, and the net impact of current year net income and other non-cash adjustments.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231F20"/>
        </w:rPr>
        <w:t>Net cash used for investing activities for the six months ended June 30, 2023 was $24.9 million, compared to $8.3 million for the six months ended</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231F20"/>
        </w:rPr>
        <w:t>June 30, 2022. The increase in cash used for investing activities was primarily related to the cash payment associated with the asset acquisitions of Esthetic Medical Inc. and Anacapa Aesthetics LLC for $16.9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Net cash used for financing activities for the six months ended June 30, 2023 was $3.7 million, compared to $2.8 million for the six months ended June 30, 2022. The increase in cash used for financing activities was primarily related to payments in 2023 associated with tax withholdings on vested share-based payment awards and the final settlement of the accelerated share repurchase.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231F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31F20"/>
        </w:rPr>
        <w:t>There has been no change to our critical accounting policies as included in our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See Part I, Item 1 "Financial Statements—Note 14 to the Consolidated Financial Statements—New Accounting Pronouncements"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Market risks relating to our operations result primarily from changes in interest rates, foreign currency, and inflation risk. There were no material changes to our market risks disclosed in our Annual Report on Form 10-K.</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1"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Securities Exchange Act of 1934, as amended (the “Exchange Act”) were effective as of June 30, 2023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The Company’s management, including our principal executive officer and principal financial officer,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There have been no changes in our internal control over financial reporting that occurred during the three months ended June 30, 2023,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description of our material pending legal proceedings, see Note 10, Commitments and Contingencies, to our condensed consolidated financial statements included in Part I, Item 1 of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Please carefully consider the information set forth in this Quarterly Report on Form 10-Q and the risk factors discussed in Part I, “Item 1A. Risk Factors” in the Annual Report on Form 10-K,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Class A Common Stock. There have been no material updates or changes to the risk factors previously disclosed in our Annual Report on Form 10-K except as described below; provided, however, additional risks not currently known or currently material to us may also harm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our cash at financial institutions, often in balances that exceed federally insured limits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cash is held in accounts at U.S. banking institutions that we believe are of high quality. Cash held in deposit accounts may exceed the Federal Deposit Insurance Corporation (“FDIC”) insurance limits. If such banking institutions fail, we could lose all or a portion of those amounts held in excess of such insurance limitations. While the FDIC took control of two such banking institutions, Silicon Valley Bank (“SVB”) on March 10, 2023 and Signature Bank (“Signature”) on March 12, 2023, we did not have any accounts with SVB or Signature, and therefore, did not experience any direct risk of loss. Any material loss, individually or in the aggregate, from a similarly failed banking relationship above FDIC insurance limits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During the three months ended </w:t>
      </w:r>
      <w:r>
        <w:rPr>
          <w:rFonts w:ascii="Arial" w:cs="Arial" w:eastAsia="Arial" w:hAnsi="Arial"/>
          <w:sz w:val="18"/>
          <w:szCs w:val="18"/>
          <w:color w:val="231F20"/>
        </w:rPr>
        <w:t>June 30, 2023</w:t>
      </w:r>
      <w:r>
        <w:rPr>
          <w:rFonts w:ascii="Arial" w:cs="Arial" w:eastAsia="Arial" w:hAnsi="Arial"/>
          <w:sz w:val="18"/>
          <w:szCs w:val="18"/>
          <w:color w:val="auto"/>
        </w:rPr>
        <w:t>, the Company did not issue any shares of its Class A Common Stock or other equity securities that were not registered under the Securities Act of 1933, as amended.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 by Issuer and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During the three months ended </w:t>
      </w:r>
      <w:r>
        <w:rPr>
          <w:rFonts w:ascii="Arial" w:cs="Arial" w:eastAsia="Arial" w:hAnsi="Arial"/>
          <w:sz w:val="16"/>
          <w:szCs w:val="16"/>
          <w:color w:val="231F20"/>
        </w:rPr>
        <w:t>June 30, 2023</w:t>
      </w:r>
      <w:r>
        <w:rPr>
          <w:rFonts w:ascii="Arial" w:cs="Arial" w:eastAsia="Arial" w:hAnsi="Arial"/>
          <w:sz w:val="16"/>
          <w:szCs w:val="16"/>
          <w:color w:val="auto"/>
        </w:rPr>
        <w:t>, no purchases of the Company’s equity securities were made by the Company or any affiliated purchasers.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Subsequent to the issuance of the Company’s Annual Report on Form 10-K for the fiscal year ended December 31, 2022, during the six months ended June 30, 2023, the Company identified prior period misstatements related to the elimination of intercompany balances and right of return assets. Although the Company concluded that these misstatements were not material, either individually or in the aggregate, the Company elected to revise its previously issued consolidated financial statements on a prospective basis to correct for these misstatements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7"/>
          </w:tcPr>
          <w:p>
            <w:pPr>
              <w:jc w:val="center"/>
              <w:ind w:left="1394"/>
              <w:spacing w:after="0"/>
              <w:rPr>
                <w:sz w:val="20"/>
                <w:szCs w:val="20"/>
                <w:color w:val="auto"/>
              </w:rPr>
            </w:pPr>
            <w:r>
              <w:rPr>
                <w:rFonts w:ascii="Arial" w:cs="Arial" w:eastAsia="Arial" w:hAnsi="Arial"/>
                <w:sz w:val="14"/>
                <w:szCs w:val="14"/>
                <w:b w:val="1"/>
                <w:bCs w:val="1"/>
                <w:color w:val="231F20"/>
                <w:w w:val="92"/>
              </w:rPr>
              <w:t>Year Ended December 31, 2021</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vMerge w:val="restart"/>
          </w:tcPr>
          <w:p>
            <w:pPr>
              <w:ind w:left="20"/>
              <w:spacing w:after="0"/>
              <w:rPr>
                <w:sz w:val="20"/>
                <w:szCs w:val="20"/>
                <w:color w:val="auto"/>
              </w:rPr>
            </w:pPr>
            <w:r>
              <w:rPr>
                <w:rFonts w:ascii="Arial" w:cs="Arial" w:eastAsia="Arial" w:hAnsi="Arial"/>
                <w:sz w:val="16"/>
                <w:szCs w:val="16"/>
                <w:b w:val="1"/>
                <w:bCs w:val="1"/>
                <w:color w:val="231F20"/>
                <w:w w:val="91"/>
              </w:rPr>
              <w:t>Consolidated Statement of Comprehensive Income (Loss) (in thousands, except</w:t>
            </w: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b w:val="1"/>
                <w:bCs w:val="1"/>
                <w:color w:val="231F20"/>
              </w:rPr>
              <w:t>per share amounts)</w:t>
            </w:r>
          </w:p>
        </w:tc>
        <w:tc>
          <w:tcPr>
            <w:tcW w:w="120" w:type="dxa"/>
            <w:vAlign w:val="bottom"/>
          </w:tcPr>
          <w:p>
            <w:pPr>
              <w:spacing w:after="0"/>
              <w:rPr>
                <w:sz w:val="18"/>
                <w:szCs w:val="18"/>
                <w:color w:val="auto"/>
              </w:rPr>
            </w:pPr>
          </w:p>
        </w:tc>
        <w:tc>
          <w:tcPr>
            <w:tcW w:w="1600" w:type="dxa"/>
            <w:vAlign w:val="bottom"/>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231F20"/>
              </w:rPr>
              <w:t>Adjustment</w:t>
            </w:r>
          </w:p>
        </w:tc>
        <w:tc>
          <w:tcPr>
            <w:tcW w:w="360" w:type="dxa"/>
            <w:vAlign w:val="bottom"/>
          </w:tcPr>
          <w:p>
            <w:pPr>
              <w:spacing w:after="0"/>
              <w:rPr>
                <w:sz w:val="18"/>
                <w:szCs w:val="18"/>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78,259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231F2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3,289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81,548</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181,827</w:t>
            </w:r>
          </w:p>
        </w:tc>
        <w:tc>
          <w:tcPr>
            <w:tcW w:w="40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(3,289)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178,538</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(36,639)</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(3,289)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(39,928)</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(377,350)</w:t>
            </w:r>
          </w:p>
        </w:tc>
        <w:tc>
          <w:tcPr>
            <w:tcW w:w="40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(3,289)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(380,639)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(2,242)</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(1,875)</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(375,108)</w:t>
            </w:r>
          </w:p>
        </w:tc>
        <w:tc>
          <w:tcPr>
            <w:tcW w:w="40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(3,656)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(378,764)</w:t>
            </w: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(376,607)</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(3,656)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(380,263)</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Net loss per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(3.67)</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528"/>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7"/>
          </w:tcPr>
          <w:p>
            <w:pPr>
              <w:jc w:val="center"/>
              <w:ind w:left="1394"/>
              <w:spacing w:after="0"/>
              <w:rPr>
                <w:sz w:val="20"/>
                <w:szCs w:val="20"/>
                <w:color w:val="auto"/>
              </w:rPr>
            </w:pPr>
            <w:r>
              <w:rPr>
                <w:rFonts w:ascii="Arial" w:cs="Arial" w:eastAsia="Arial" w:hAnsi="Arial"/>
                <w:sz w:val="14"/>
                <w:szCs w:val="14"/>
                <w:b w:val="1"/>
                <w:bCs w:val="1"/>
                <w:color w:val="231F20"/>
                <w:w w:val="92"/>
              </w:rPr>
              <w:t>Year Ended December 31, 2021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620" w:type="dxa"/>
            <w:vAlign w:val="bottom"/>
            <w:vMerge w:val="restart"/>
          </w:tcPr>
          <w:p>
            <w:pPr>
              <w:ind w:left="20"/>
              <w:spacing w:after="0"/>
              <w:rPr>
                <w:sz w:val="20"/>
                <w:szCs w:val="20"/>
                <w:color w:val="auto"/>
              </w:rPr>
            </w:pPr>
            <w:r>
              <w:rPr>
                <w:rFonts w:ascii="Arial" w:cs="Arial" w:eastAsia="Arial" w:hAnsi="Arial"/>
                <w:sz w:val="16"/>
                <w:szCs w:val="16"/>
                <w:b w:val="1"/>
                <w:bCs w:val="1"/>
                <w:color w:val="231F20"/>
              </w:rPr>
              <w:t>Consolidated Statement of Cash Flows (in thousands)</w:t>
            </w: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231F20"/>
              </w:rPr>
              <w:t>Adjustment</w:t>
            </w:r>
          </w:p>
        </w:tc>
        <w:tc>
          <w:tcPr>
            <w:tcW w:w="360" w:type="dxa"/>
            <w:vAlign w:val="bottom"/>
          </w:tcPr>
          <w:p>
            <w:pPr>
              <w:spacing w:after="0"/>
              <w:rPr>
                <w:sz w:val="16"/>
                <w:szCs w:val="16"/>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(375,108)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231F2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(3,656)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(378,764)</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(9,443)</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3,289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(6,154)</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(5,434)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(5,067)</w:t>
            </w:r>
          </w:p>
        </w:tc>
        <w:tc>
          <w:tcPr>
            <w:tcW w:w="0" w:type="dxa"/>
            <w:vAlign w:val="bottom"/>
          </w:tcPr>
          <w:p>
            <w:pPr>
              <w:spacing w:after="0"/>
              <w:rPr>
                <w:sz w:val="1"/>
                <w:szCs w:val="1"/>
                <w:color w:val="auto"/>
              </w:rPr>
            </w:pPr>
          </w:p>
        </w:tc>
      </w:tr>
      <w:tr>
        <w:trPr>
          <w:trHeight w:val="541"/>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4"/>
          </w:tcPr>
          <w:p>
            <w:pPr>
              <w:spacing w:after="0"/>
              <w:rPr>
                <w:sz w:val="20"/>
                <w:szCs w:val="20"/>
                <w:color w:val="auto"/>
              </w:rPr>
            </w:pPr>
            <w:r>
              <w:rPr>
                <w:rFonts w:ascii="Arial" w:cs="Arial" w:eastAsia="Arial" w:hAnsi="Arial"/>
                <w:sz w:val="14"/>
                <w:szCs w:val="14"/>
                <w:b w:val="1"/>
                <w:bCs w:val="1"/>
                <w:color w:val="231F20"/>
              </w:rPr>
              <w:t>As of September 30, 2022</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620" w:type="dxa"/>
            <w:vAlign w:val="bottom"/>
            <w:vMerge w:val="restart"/>
          </w:tcPr>
          <w:p>
            <w:pPr>
              <w:ind w:left="20"/>
              <w:spacing w:after="0"/>
              <w:rPr>
                <w:sz w:val="20"/>
                <w:szCs w:val="20"/>
                <w:color w:val="auto"/>
              </w:rPr>
            </w:pPr>
            <w:r>
              <w:rPr>
                <w:rFonts w:ascii="Arial" w:cs="Arial" w:eastAsia="Arial" w:hAnsi="Arial"/>
                <w:sz w:val="16"/>
                <w:szCs w:val="16"/>
                <w:b w:val="1"/>
                <w:bCs w:val="1"/>
                <w:color w:val="231F20"/>
              </w:rPr>
              <w:t>Condensed Consolidated Balance Sheet (in thousands)</w:t>
            </w: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231F20"/>
              </w:rPr>
              <w:t>Adjustment</w:t>
            </w:r>
          </w:p>
        </w:tc>
        <w:tc>
          <w:tcPr>
            <w:tcW w:w="360" w:type="dxa"/>
            <w:vAlign w:val="bottom"/>
          </w:tcPr>
          <w:p>
            <w:pPr>
              <w:spacing w:after="0"/>
              <w:rPr>
                <w:sz w:val="16"/>
                <w:szCs w:val="16"/>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101,706</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(6,774)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94,932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21,830</w:t>
            </w:r>
          </w:p>
        </w:tc>
        <w:tc>
          <w:tcPr>
            <w:tcW w:w="40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(367)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21,463</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892,432</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(7,141)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885,291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1,104,795</w:t>
            </w:r>
          </w:p>
        </w:tc>
        <w:tc>
          <w:tcPr>
            <w:tcW w:w="40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(7,141)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1,097,654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(378,143)</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(385,284)</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257,909</w:t>
            </w:r>
          </w:p>
        </w:tc>
        <w:tc>
          <w:tcPr>
            <w:tcW w:w="40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(7,141)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250,768</w:t>
            </w: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1,104,795</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(7,141)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1,097,654</w:t>
            </w:r>
          </w:p>
        </w:tc>
        <w:tc>
          <w:tcPr>
            <w:tcW w:w="0" w:type="dxa"/>
            <w:vAlign w:val="bottom"/>
          </w:tcPr>
          <w:p>
            <w:pPr>
              <w:spacing w:after="0"/>
              <w:rPr>
                <w:sz w:val="1"/>
                <w:szCs w:val="1"/>
                <w:color w:val="auto"/>
              </w:rPr>
            </w:pPr>
          </w:p>
        </w:tc>
      </w:tr>
      <w:tr>
        <w:trPr>
          <w:trHeight w:val="547"/>
        </w:trPr>
        <w:tc>
          <w:tcPr>
            <w:tcW w:w="5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left="1014"/>
              <w:spacing w:after="0"/>
              <w:rPr>
                <w:sz w:val="20"/>
                <w:szCs w:val="20"/>
                <w:color w:val="auto"/>
              </w:rPr>
            </w:pPr>
            <w:r>
              <w:rPr>
                <w:rFonts w:ascii="Arial" w:cs="Arial" w:eastAsia="Arial" w:hAnsi="Arial"/>
                <w:sz w:val="14"/>
                <w:szCs w:val="14"/>
                <w:b w:val="1"/>
                <w:bCs w:val="1"/>
                <w:color w:val="231F20"/>
                <w:w w:val="92"/>
              </w:rPr>
              <w:t>Three Months Ended September 30, 2022</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20"/>
              <w:spacing w:after="0" w:line="162" w:lineRule="exact"/>
              <w:rPr>
                <w:sz w:val="20"/>
                <w:szCs w:val="20"/>
                <w:color w:val="auto"/>
              </w:rPr>
            </w:pPr>
            <w:r>
              <w:rPr>
                <w:rFonts w:ascii="Arial" w:cs="Arial" w:eastAsia="Arial" w:hAnsi="Arial"/>
                <w:sz w:val="16"/>
                <w:szCs w:val="16"/>
                <w:b w:val="1"/>
                <w:bCs w:val="1"/>
                <w:color w:val="231F20"/>
              </w:rPr>
              <w:t>Condensed Consolidated Statement of Comprehensive Income (Loss) (in</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rPr>
                <w:sz w:val="20"/>
                <w:szCs w:val="20"/>
                <w:color w:val="auto"/>
              </w:rPr>
            </w:pPr>
            <w:r>
              <w:rPr>
                <w:rFonts w:ascii="Arial" w:cs="Arial" w:eastAsia="Arial" w:hAnsi="Arial"/>
                <w:sz w:val="16"/>
                <w:szCs w:val="16"/>
                <w:b w:val="1"/>
                <w:bCs w:val="1"/>
                <w:color w:val="231F20"/>
              </w:rPr>
              <w:t>thousands)</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231F20"/>
              </w:rPr>
              <w:t>Adjustment</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27,217</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27,429</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61,575</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61,363</w:t>
            </w: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(4,141)</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(4,353)</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(690)</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(902)</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131</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(1,505)</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gridSpan w:val="8"/>
          </w:tcPr>
          <w:p>
            <w:pPr>
              <w:jc w:val="center"/>
              <w:ind w:left="1034"/>
              <w:spacing w:after="0"/>
              <w:rPr>
                <w:sz w:val="20"/>
                <w:szCs w:val="20"/>
                <w:color w:val="auto"/>
              </w:rPr>
            </w:pPr>
            <w:r>
              <w:rPr>
                <w:rFonts w:ascii="Arial" w:cs="Arial" w:eastAsia="Arial" w:hAnsi="Arial"/>
                <w:sz w:val="14"/>
                <w:szCs w:val="14"/>
                <w:b w:val="1"/>
                <w:bCs w:val="1"/>
                <w:color w:val="231F20"/>
                <w:w w:val="92"/>
              </w:rPr>
              <w:t>Nine Months Ended September 30, 2022</w:t>
            </w: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80" w:type="dxa"/>
            <w:vAlign w:val="bottom"/>
            <w:vMerge w:val="restart"/>
          </w:tcPr>
          <w:p>
            <w:pPr>
              <w:ind w:left="20"/>
              <w:spacing w:after="0"/>
              <w:rPr>
                <w:sz w:val="20"/>
                <w:szCs w:val="20"/>
                <w:color w:val="auto"/>
              </w:rPr>
            </w:pPr>
            <w:r>
              <w:rPr>
                <w:rFonts w:ascii="Arial" w:cs="Arial" w:eastAsia="Arial" w:hAnsi="Arial"/>
                <w:sz w:val="16"/>
                <w:szCs w:val="16"/>
                <w:b w:val="1"/>
                <w:bCs w:val="1"/>
                <w:color w:val="231F20"/>
                <w:w w:val="94"/>
              </w:rPr>
              <w:t>Condensed Consolidated Statement of Comprehensive Income (Loss) (in</w:t>
            </w: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b w:val="1"/>
                <w:bCs w:val="1"/>
                <w:color w:val="231F20"/>
              </w:rPr>
              <w:t>thousands, except per share amounts)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231F20"/>
              </w:rPr>
              <w:t>Adjustment</w:t>
            </w:r>
          </w:p>
        </w:tc>
        <w:tc>
          <w:tcPr>
            <w:tcW w:w="3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82,577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85,455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185,166</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182,288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(20,515)</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(23,393)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42,439</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39,561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40,569</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37,691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35,101</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32,223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Net loss per share - Diluted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(0.20)</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1"/>
        </w:trPr>
        <w:tc>
          <w:tcPr>
            <w:tcW w:w="5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8"/>
          </w:tcPr>
          <w:p>
            <w:pPr>
              <w:jc w:val="center"/>
              <w:ind w:left="1034"/>
              <w:spacing w:after="0"/>
              <w:rPr>
                <w:sz w:val="20"/>
                <w:szCs w:val="20"/>
                <w:color w:val="auto"/>
              </w:rPr>
            </w:pPr>
            <w:r>
              <w:rPr>
                <w:rFonts w:ascii="Arial" w:cs="Arial" w:eastAsia="Arial" w:hAnsi="Arial"/>
                <w:sz w:val="14"/>
                <w:szCs w:val="14"/>
                <w:b w:val="1"/>
                <w:bCs w:val="1"/>
                <w:color w:val="231F20"/>
                <w:w w:val="92"/>
              </w:rPr>
              <w:t>Nine Months Ended September 30, 2022</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280" w:type="dxa"/>
            <w:vAlign w:val="bottom"/>
            <w:vMerge w:val="restart"/>
          </w:tcPr>
          <w:p>
            <w:pPr>
              <w:ind w:left="20"/>
              <w:spacing w:after="0"/>
              <w:rPr>
                <w:sz w:val="20"/>
                <w:szCs w:val="20"/>
                <w:color w:val="auto"/>
              </w:rPr>
            </w:pPr>
            <w:r>
              <w:rPr>
                <w:rFonts w:ascii="Arial" w:cs="Arial" w:eastAsia="Arial" w:hAnsi="Arial"/>
                <w:sz w:val="16"/>
                <w:szCs w:val="16"/>
                <w:b w:val="1"/>
                <w:bCs w:val="1"/>
                <w:color w:val="231F20"/>
              </w:rPr>
              <w:t>Condensed Consolidated Statement of Cash Flows (in thousands)</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231F20"/>
              </w:rPr>
              <w:t>Adjustment</w:t>
            </w: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231F20"/>
              </w:rPr>
              <w:t>As Revised</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40,569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231F2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(2,878)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37,691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(69,340)</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2,878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(66,462)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8"/>
        </w:trPr>
        <w:tc>
          <w:tcPr>
            <w:tcW w:w="5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4"/>
          </w:tcPr>
          <w:p>
            <w:pPr>
              <w:ind w:left="20"/>
              <w:spacing w:after="0"/>
              <w:rPr>
                <w:sz w:val="20"/>
                <w:szCs w:val="20"/>
                <w:color w:val="auto"/>
              </w:rPr>
            </w:pPr>
            <w:r>
              <w:rPr>
                <w:rFonts w:ascii="Arial" w:cs="Arial" w:eastAsia="Arial" w:hAnsi="Arial"/>
                <w:sz w:val="14"/>
                <w:szCs w:val="14"/>
                <w:b w:val="1"/>
                <w:bCs w:val="1"/>
                <w:color w:val="231F20"/>
              </w:rPr>
              <w:t>As of December 31, 2022</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280" w:type="dxa"/>
            <w:vAlign w:val="bottom"/>
            <w:vMerge w:val="restart"/>
          </w:tcPr>
          <w:p>
            <w:pPr>
              <w:ind w:left="20"/>
              <w:spacing w:after="0"/>
              <w:rPr>
                <w:sz w:val="20"/>
                <w:szCs w:val="20"/>
                <w:color w:val="auto"/>
              </w:rPr>
            </w:pPr>
            <w:r>
              <w:rPr>
                <w:rFonts w:ascii="Arial" w:cs="Arial" w:eastAsia="Arial" w:hAnsi="Arial"/>
                <w:sz w:val="16"/>
                <w:szCs w:val="16"/>
                <w:b w:val="1"/>
                <w:bCs w:val="1"/>
                <w:color w:val="231F20"/>
              </w:rPr>
              <w:t>Consolidated Balance Sheet (in thousands)</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231F20"/>
              </w:rPr>
              <w:t>Adjustment</w:t>
            </w: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231F20"/>
              </w:rPr>
              <w:t>As Revised</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116,430</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(6,774)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109,656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26,698</w:t>
            </w:r>
          </w:p>
        </w:tc>
        <w:tc>
          <w:tcPr>
            <w:tcW w:w="40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950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27,648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789,099</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(5,824)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783,275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1,008,907</w:t>
            </w:r>
          </w:p>
        </w:tc>
        <w:tc>
          <w:tcPr>
            <w:tcW w:w="40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(5,824)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1,003,083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30,335</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(1,868)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28,467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962</w:t>
            </w:r>
          </w:p>
        </w:tc>
        <w:tc>
          <w:tcPr>
            <w:tcW w:w="40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467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1,429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73,115</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71,714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837,431</w:t>
            </w:r>
          </w:p>
        </w:tc>
        <w:tc>
          <w:tcPr>
            <w:tcW w:w="40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(1,401)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836,030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(374,328)</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(4,423)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(378,751)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171,476</w:t>
            </w:r>
          </w:p>
        </w:tc>
        <w:tc>
          <w:tcPr>
            <w:tcW w:w="40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(4,423)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167,053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1,008,907</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(5,824)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1,003,083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8"/>
        </w:trPr>
        <w:tc>
          <w:tcPr>
            <w:tcW w:w="5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7"/>
          </w:tcPr>
          <w:p>
            <w:pPr>
              <w:jc w:val="center"/>
              <w:ind w:left="1394"/>
              <w:spacing w:after="0"/>
              <w:rPr>
                <w:sz w:val="20"/>
                <w:szCs w:val="20"/>
                <w:color w:val="auto"/>
              </w:rPr>
            </w:pPr>
            <w:r>
              <w:rPr>
                <w:rFonts w:ascii="Arial" w:cs="Arial" w:eastAsia="Arial" w:hAnsi="Arial"/>
                <w:sz w:val="14"/>
                <w:szCs w:val="14"/>
                <w:b w:val="1"/>
                <w:bCs w:val="1"/>
                <w:color w:val="231F20"/>
                <w:w w:val="92"/>
              </w:rPr>
              <w:t>Year Ended December 31, 2022</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80" w:type="dxa"/>
            <w:vAlign w:val="bottom"/>
            <w:vMerge w:val="restart"/>
          </w:tcPr>
          <w:p>
            <w:pPr>
              <w:ind w:left="20"/>
              <w:spacing w:after="0"/>
              <w:rPr>
                <w:sz w:val="20"/>
                <w:szCs w:val="20"/>
                <w:color w:val="auto"/>
              </w:rPr>
            </w:pPr>
            <w:r>
              <w:rPr>
                <w:rFonts w:ascii="Arial" w:cs="Arial" w:eastAsia="Arial" w:hAnsi="Arial"/>
                <w:sz w:val="16"/>
                <w:szCs w:val="16"/>
                <w:b w:val="1"/>
                <w:bCs w:val="1"/>
                <w:color w:val="231F20"/>
                <w:w w:val="94"/>
              </w:rPr>
              <w:t>Consolidated Statement of Comprehensive Income (Loss) (in thousands)</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231F20"/>
              </w:rPr>
              <w:t>Adjustment</w:t>
            </w: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231F20"/>
              </w:rPr>
              <w:t>As Revised</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115,536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117,097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250,340</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248,779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(24,280)</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(25,841)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Foreign currency transaction loss, net</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3,164</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1,296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45,032</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45,339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648</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1,115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44,384</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44,224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41,111</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40,951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52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6"/>
          </w:tcPr>
          <w:p>
            <w:pPr>
              <w:ind w:left="1540"/>
              <w:spacing w:after="0"/>
              <w:rPr>
                <w:sz w:val="20"/>
                <w:szCs w:val="20"/>
                <w:color w:val="auto"/>
              </w:rPr>
            </w:pPr>
            <w:r>
              <w:rPr>
                <w:rFonts w:ascii="Arial" w:cs="Arial" w:eastAsia="Arial" w:hAnsi="Arial"/>
                <w:sz w:val="14"/>
                <w:szCs w:val="14"/>
                <w:b w:val="1"/>
                <w:bCs w:val="1"/>
                <w:color w:val="231F20"/>
                <w:w w:val="94"/>
              </w:rPr>
              <w:t>Year Ended December 31, 2022</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ind w:left="20"/>
              <w:spacing w:after="0"/>
              <w:rPr>
                <w:sz w:val="20"/>
                <w:szCs w:val="20"/>
                <w:color w:val="auto"/>
              </w:rPr>
            </w:pPr>
            <w:r>
              <w:rPr>
                <w:rFonts w:ascii="Arial" w:cs="Arial" w:eastAsia="Arial" w:hAnsi="Arial"/>
                <w:sz w:val="16"/>
                <w:szCs w:val="16"/>
                <w:b w:val="1"/>
                <w:bCs w:val="1"/>
                <w:color w:val="231F20"/>
              </w:rPr>
              <w:t>Consolidated Statement of Cash Flows (in thousands)</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231F20"/>
              </w:rPr>
              <w:t>Adjustment</w:t>
            </w:r>
          </w:p>
        </w:tc>
        <w:tc>
          <w:tcPr>
            <w:tcW w:w="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231F20"/>
              </w:rPr>
              <w:t>As Revised</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44,384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(160)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44,224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(16,401)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(1,317)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(17,718)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(82,097)</w:t>
            </w:r>
          </w:p>
        </w:tc>
        <w:tc>
          <w:tcPr>
            <w:tcW w:w="220" w:type="dxa"/>
            <w:vAlign w:val="bottom"/>
            <w:gridSpan w:val="3"/>
          </w:tcPr>
          <w:p>
            <w:pPr>
              <w:jc w:val="right"/>
              <w:spacing w:after="0"/>
              <w:rPr>
                <w:sz w:val="20"/>
                <w:szCs w:val="20"/>
                <w:color w:val="auto"/>
              </w:rPr>
            </w:pPr>
            <w:r>
              <w:rPr>
                <w:rFonts w:ascii="Arial" w:cs="Arial" w:eastAsia="Arial" w:hAnsi="Arial"/>
                <w:sz w:val="18"/>
                <w:szCs w:val="18"/>
                <w:color w:val="231F20"/>
              </w:rPr>
              <w:t>$</w:t>
            </w:r>
          </w:p>
        </w:tc>
        <w:tc>
          <w:tcPr>
            <w:tcW w:w="1620" w:type="dxa"/>
            <w:vAlign w:val="bottom"/>
          </w:tcPr>
          <w:p>
            <w:pPr>
              <w:jc w:val="right"/>
              <w:spacing w:after="0"/>
              <w:rPr>
                <w:sz w:val="20"/>
                <w:szCs w:val="20"/>
                <w:color w:val="auto"/>
              </w:rPr>
            </w:pPr>
            <w:r>
              <w:rPr>
                <w:rFonts w:ascii="Arial" w:cs="Arial" w:eastAsia="Arial" w:hAnsi="Arial"/>
                <w:sz w:val="18"/>
                <w:szCs w:val="18"/>
                <w:color w:val="231F20"/>
              </w:rPr>
              <w:t>2,878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(79,219)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1,606</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198</w:t>
            </w:r>
          </w:p>
        </w:tc>
        <w:tc>
          <w:tcPr>
            <w:tcW w:w="220" w:type="dxa"/>
            <w:vAlign w:val="bottom"/>
            <w:gridSpan w:val="3"/>
          </w:tcPr>
          <w:p>
            <w:pPr>
              <w:jc w:val="right"/>
              <w:spacing w:after="0"/>
              <w:rPr>
                <w:sz w:val="20"/>
                <w:szCs w:val="20"/>
                <w:color w:val="auto"/>
              </w:rPr>
            </w:pPr>
            <w:r>
              <w:rPr>
                <w:rFonts w:ascii="Arial" w:cs="Arial" w:eastAsia="Arial" w:hAnsi="Arial"/>
                <w:sz w:val="18"/>
                <w:szCs w:val="18"/>
                <w:color w:val="231F20"/>
              </w:rPr>
              <w:t>$</w:t>
            </w:r>
          </w:p>
        </w:tc>
        <w:tc>
          <w:tcPr>
            <w:tcW w:w="1620" w:type="dxa"/>
            <w:vAlign w:val="bottom"/>
          </w:tcPr>
          <w:p>
            <w:pPr>
              <w:jc w:val="right"/>
              <w:spacing w:after="0"/>
              <w:rPr>
                <w:sz w:val="20"/>
                <w:szCs w:val="20"/>
                <w:color w:val="auto"/>
              </w:rPr>
            </w:pPr>
            <w:r>
              <w:rPr>
                <w:rFonts w:ascii="Arial" w:cs="Arial" w:eastAsia="Arial" w:hAnsi="Arial"/>
                <w:sz w:val="18"/>
                <w:szCs w:val="18"/>
                <w:color w:val="231F20"/>
              </w:rPr>
              <w:t>467</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665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1"/>
        </w:trPr>
        <w:tc>
          <w:tcPr>
            <w:tcW w:w="5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231F20"/>
              </w:rPr>
              <w:t>As of March 31, 2023</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ind w:left="20"/>
              <w:spacing w:after="0"/>
              <w:rPr>
                <w:sz w:val="20"/>
                <w:szCs w:val="20"/>
                <w:color w:val="auto"/>
              </w:rPr>
            </w:pPr>
            <w:r>
              <w:rPr>
                <w:rFonts w:ascii="Arial" w:cs="Arial" w:eastAsia="Arial" w:hAnsi="Arial"/>
                <w:sz w:val="16"/>
                <w:szCs w:val="16"/>
                <w:b w:val="1"/>
                <w:bCs w:val="1"/>
                <w:color w:val="231F20"/>
              </w:rPr>
              <w:t>Condensed Consolidated Balance Sheet (in thousands)</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231F20"/>
              </w:rPr>
              <w:t>Adjustment</w:t>
            </w:r>
          </w:p>
        </w:tc>
        <w:tc>
          <w:tcPr>
            <w:tcW w:w="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231F20"/>
              </w:rPr>
              <w:t>As Revised</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122,081</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(1,866)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120,215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21,749</w:t>
            </w:r>
          </w:p>
        </w:tc>
        <w:tc>
          <w:tcPr>
            <w:tcW w:w="220" w:type="dxa"/>
            <w:vAlign w:val="bottom"/>
            <w:gridSpan w:val="3"/>
          </w:tcPr>
          <w:p>
            <w:pPr>
              <w:jc w:val="right"/>
              <w:spacing w:after="0"/>
              <w:rPr>
                <w:sz w:val="20"/>
                <w:szCs w:val="20"/>
                <w:color w:val="auto"/>
              </w:rPr>
            </w:pPr>
            <w:r>
              <w:rPr>
                <w:rFonts w:ascii="Arial" w:cs="Arial" w:eastAsia="Arial" w:hAnsi="Arial"/>
                <w:sz w:val="18"/>
                <w:szCs w:val="18"/>
                <w:color w:val="231F20"/>
              </w:rPr>
              <w:t>$</w:t>
            </w:r>
          </w:p>
        </w:tc>
        <w:tc>
          <w:tcPr>
            <w:tcW w:w="1620" w:type="dxa"/>
            <w:vAlign w:val="bottom"/>
          </w:tcPr>
          <w:p>
            <w:pPr>
              <w:jc w:val="right"/>
              <w:spacing w:after="0"/>
              <w:rPr>
                <w:sz w:val="20"/>
                <w:szCs w:val="20"/>
                <w:color w:val="auto"/>
              </w:rPr>
            </w:pPr>
            <w:r>
              <w:rPr>
                <w:rFonts w:ascii="Arial" w:cs="Arial" w:eastAsia="Arial" w:hAnsi="Arial"/>
                <w:sz w:val="18"/>
                <w:szCs w:val="18"/>
                <w:color w:val="231F20"/>
              </w:rPr>
              <w:t>2,439</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24,188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748,532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573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749,105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994,953</w:t>
            </w:r>
          </w:p>
        </w:tc>
        <w:tc>
          <w:tcPr>
            <w:tcW w:w="220" w:type="dxa"/>
            <w:vAlign w:val="bottom"/>
            <w:gridSpan w:val="3"/>
          </w:tcPr>
          <w:p>
            <w:pPr>
              <w:jc w:val="right"/>
              <w:spacing w:after="0"/>
              <w:rPr>
                <w:sz w:val="20"/>
                <w:szCs w:val="20"/>
                <w:color w:val="auto"/>
              </w:rPr>
            </w:pPr>
            <w:r>
              <w:rPr>
                <w:rFonts w:ascii="Arial" w:cs="Arial" w:eastAsia="Arial" w:hAnsi="Arial"/>
                <w:sz w:val="18"/>
                <w:szCs w:val="18"/>
                <w:color w:val="231F20"/>
              </w:rPr>
              <w:t>$</w:t>
            </w:r>
          </w:p>
        </w:tc>
        <w:tc>
          <w:tcPr>
            <w:tcW w:w="1620" w:type="dxa"/>
            <w:vAlign w:val="bottom"/>
          </w:tcPr>
          <w:p>
            <w:pPr>
              <w:jc w:val="right"/>
              <w:spacing w:after="0"/>
              <w:rPr>
                <w:sz w:val="20"/>
                <w:szCs w:val="20"/>
                <w:color w:val="auto"/>
              </w:rPr>
            </w:pPr>
            <w:r>
              <w:rPr>
                <w:rFonts w:ascii="Arial" w:cs="Arial" w:eastAsia="Arial" w:hAnsi="Arial"/>
                <w:sz w:val="18"/>
                <w:szCs w:val="18"/>
                <w:color w:val="231F20"/>
              </w:rPr>
              <w:t>573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995,526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34,330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(4,638)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29,692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1,219</w:t>
            </w:r>
          </w:p>
        </w:tc>
        <w:tc>
          <w:tcPr>
            <w:tcW w:w="220" w:type="dxa"/>
            <w:vAlign w:val="bottom"/>
            <w:gridSpan w:val="3"/>
          </w:tcPr>
          <w:p>
            <w:pPr>
              <w:jc w:val="right"/>
              <w:spacing w:after="0"/>
              <w:rPr>
                <w:sz w:val="20"/>
                <w:szCs w:val="20"/>
                <w:color w:val="auto"/>
              </w:rPr>
            </w:pPr>
            <w:r>
              <w:rPr>
                <w:rFonts w:ascii="Arial" w:cs="Arial" w:eastAsia="Arial" w:hAnsi="Arial"/>
                <w:sz w:val="18"/>
                <w:szCs w:val="18"/>
                <w:color w:val="231F20"/>
              </w:rPr>
              <w:t>$</w:t>
            </w:r>
          </w:p>
        </w:tc>
        <w:tc>
          <w:tcPr>
            <w:tcW w:w="1620" w:type="dxa"/>
            <w:vAlign w:val="bottom"/>
          </w:tcPr>
          <w:p>
            <w:pPr>
              <w:jc w:val="right"/>
              <w:spacing w:after="0"/>
              <w:rPr>
                <w:sz w:val="20"/>
                <w:szCs w:val="20"/>
                <w:color w:val="auto"/>
              </w:rPr>
            </w:pPr>
            <w:r>
              <w:rPr>
                <w:rFonts w:ascii="Arial" w:cs="Arial" w:eastAsia="Arial" w:hAnsi="Arial"/>
                <w:sz w:val="18"/>
                <w:szCs w:val="18"/>
                <w:color w:val="231F20"/>
              </w:rPr>
              <w:t>467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1,686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72,330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68,159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847,289</w:t>
            </w:r>
          </w:p>
        </w:tc>
        <w:tc>
          <w:tcPr>
            <w:tcW w:w="220" w:type="dxa"/>
            <w:vAlign w:val="bottom"/>
            <w:gridSpan w:val="3"/>
          </w:tcPr>
          <w:p>
            <w:pPr>
              <w:jc w:val="right"/>
              <w:spacing w:after="0"/>
              <w:rPr>
                <w:sz w:val="20"/>
                <w:szCs w:val="20"/>
                <w:color w:val="auto"/>
              </w:rPr>
            </w:pPr>
            <w:r>
              <w:rPr>
                <w:rFonts w:ascii="Arial" w:cs="Arial" w:eastAsia="Arial" w:hAnsi="Arial"/>
                <w:sz w:val="18"/>
                <w:szCs w:val="18"/>
                <w:color w:val="231F20"/>
              </w:rPr>
              <w:t>$</w:t>
            </w:r>
          </w:p>
        </w:tc>
        <w:tc>
          <w:tcPr>
            <w:tcW w:w="1620" w:type="dxa"/>
            <w:vAlign w:val="bottom"/>
          </w:tcPr>
          <w:p>
            <w:pPr>
              <w:jc w:val="right"/>
              <w:spacing w:after="0"/>
              <w:rPr>
                <w:sz w:val="20"/>
                <w:szCs w:val="20"/>
                <w:color w:val="auto"/>
              </w:rPr>
            </w:pPr>
            <w:r>
              <w:rPr>
                <w:rFonts w:ascii="Arial" w:cs="Arial" w:eastAsia="Arial" w:hAnsi="Arial"/>
                <w:sz w:val="18"/>
                <w:szCs w:val="18"/>
                <w:color w:val="231F20"/>
              </w:rPr>
              <w:t>(4,171)</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843,118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(403,754)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4,744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(399,010)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4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147,664</w:t>
            </w:r>
          </w:p>
        </w:tc>
        <w:tc>
          <w:tcPr>
            <w:tcW w:w="220" w:type="dxa"/>
            <w:vAlign w:val="bottom"/>
            <w:gridSpan w:val="3"/>
          </w:tcPr>
          <w:p>
            <w:pPr>
              <w:jc w:val="right"/>
              <w:spacing w:after="0"/>
              <w:rPr>
                <w:sz w:val="20"/>
                <w:szCs w:val="20"/>
                <w:color w:val="auto"/>
              </w:rPr>
            </w:pPr>
            <w:r>
              <w:rPr>
                <w:rFonts w:ascii="Arial" w:cs="Arial" w:eastAsia="Arial" w:hAnsi="Arial"/>
                <w:sz w:val="18"/>
                <w:szCs w:val="18"/>
                <w:color w:val="231F20"/>
              </w:rPr>
              <w:t>$</w:t>
            </w:r>
          </w:p>
        </w:tc>
        <w:tc>
          <w:tcPr>
            <w:tcW w:w="1620" w:type="dxa"/>
            <w:vAlign w:val="bottom"/>
          </w:tcPr>
          <w:p>
            <w:pPr>
              <w:jc w:val="right"/>
              <w:spacing w:after="0"/>
              <w:rPr>
                <w:sz w:val="20"/>
                <w:szCs w:val="20"/>
                <w:color w:val="auto"/>
              </w:rPr>
            </w:pPr>
            <w:r>
              <w:rPr>
                <w:rFonts w:ascii="Arial" w:cs="Arial" w:eastAsia="Arial" w:hAnsi="Arial"/>
                <w:sz w:val="18"/>
                <w:szCs w:val="18"/>
                <w:color w:val="231F20"/>
              </w:rPr>
              <w:t>4,744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152,408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994,953</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573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995,526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8"/>
        </w:trPr>
        <w:tc>
          <w:tcPr>
            <w:tcW w:w="5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7"/>
          </w:tcPr>
          <w:p>
            <w:pPr>
              <w:jc w:val="right"/>
              <w:ind w:right="90"/>
              <w:spacing w:after="0"/>
              <w:rPr>
                <w:sz w:val="20"/>
                <w:szCs w:val="20"/>
                <w:color w:val="auto"/>
              </w:rPr>
            </w:pPr>
            <w:r>
              <w:rPr>
                <w:rFonts w:ascii="Arial" w:cs="Arial" w:eastAsia="Arial" w:hAnsi="Arial"/>
                <w:sz w:val="14"/>
                <w:szCs w:val="14"/>
                <w:b w:val="1"/>
                <w:bCs w:val="1"/>
                <w:color w:val="231F20"/>
              </w:rPr>
              <w:t>Three Months Ended March 31, 2023</w:t>
            </w: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320" w:type="dxa"/>
            <w:vAlign w:val="bottom"/>
            <w:vMerge w:val="restart"/>
          </w:tcPr>
          <w:p>
            <w:pPr>
              <w:ind w:left="20"/>
              <w:spacing w:after="0"/>
              <w:rPr>
                <w:sz w:val="20"/>
                <w:szCs w:val="20"/>
                <w:color w:val="auto"/>
              </w:rPr>
            </w:pPr>
            <w:r>
              <w:rPr>
                <w:rFonts w:ascii="Arial" w:cs="Arial" w:eastAsia="Arial" w:hAnsi="Arial"/>
                <w:sz w:val="16"/>
                <w:szCs w:val="16"/>
                <w:b w:val="1"/>
                <w:bCs w:val="1"/>
                <w:color w:val="231F20"/>
                <w:w w:val="95"/>
              </w:rPr>
              <w:t>Condensed Consolidated Statement of Comprehensive Income (Loss) (in</w:t>
            </w: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b w:val="1"/>
                <w:bCs w:val="1"/>
                <w:color w:val="231F20"/>
              </w:rPr>
              <w:t>thousands, except per share amounts)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380"/>
              <w:spacing w:after="0"/>
              <w:rPr>
                <w:sz w:val="20"/>
                <w:szCs w:val="20"/>
                <w:color w:val="auto"/>
              </w:rPr>
            </w:pPr>
            <w:r>
              <w:rPr>
                <w:rFonts w:ascii="Arial" w:cs="Arial" w:eastAsia="Arial" w:hAnsi="Arial"/>
                <w:sz w:val="14"/>
                <w:szCs w:val="14"/>
                <w:b w:val="1"/>
                <w:bCs w:val="1"/>
                <w:color w:val="231F20"/>
              </w:rPr>
              <w:t>Adjustment</w:t>
            </w:r>
          </w:p>
        </w:tc>
        <w:tc>
          <w:tcPr>
            <w:tcW w:w="30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 (gain), net</w:t>
            </w: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877</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4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(25,947)</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(23,921)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(22,285)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(20,259)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(21,397)</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(19,371)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 Basic</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Net loss per share - Diluted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5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7"/>
          </w:tcPr>
          <w:p>
            <w:pPr>
              <w:jc w:val="right"/>
              <w:ind w:right="90"/>
              <w:spacing w:after="0"/>
              <w:rPr>
                <w:sz w:val="20"/>
                <w:szCs w:val="20"/>
                <w:color w:val="auto"/>
              </w:rPr>
            </w:pPr>
            <w:r>
              <w:rPr>
                <w:rFonts w:ascii="Arial" w:cs="Arial" w:eastAsia="Arial" w:hAnsi="Arial"/>
                <w:sz w:val="14"/>
                <w:szCs w:val="14"/>
                <w:b w:val="1"/>
                <w:bCs w:val="1"/>
                <w:color w:val="231F20"/>
              </w:rPr>
              <w:t>Three Months Ended March 31, 2023</w:t>
            </w: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320" w:type="dxa"/>
            <w:vAlign w:val="bottom"/>
            <w:vMerge w:val="restart"/>
          </w:tcPr>
          <w:p>
            <w:pPr>
              <w:ind w:left="20"/>
              <w:spacing w:after="0"/>
              <w:rPr>
                <w:sz w:val="20"/>
                <w:szCs w:val="20"/>
                <w:color w:val="auto"/>
              </w:rPr>
            </w:pPr>
            <w:r>
              <w:rPr>
                <w:rFonts w:ascii="Arial" w:cs="Arial" w:eastAsia="Arial" w:hAnsi="Arial"/>
                <w:sz w:val="16"/>
                <w:szCs w:val="16"/>
                <w:b w:val="1"/>
                <w:bCs w:val="1"/>
                <w:color w:val="231F20"/>
              </w:rPr>
              <w:t>Condensed Consolidated Statement of Cash Flows (in thousands)</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231F20"/>
                <w:w w:val="91"/>
              </w:rPr>
              <w:t>As Previously Reported</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231F20"/>
              </w:rPr>
              <w:t>Adjustment</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231F20"/>
              </w:rPr>
              <w:t>As Revised</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(22,285)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(20,259)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w w:val="94"/>
              </w:rPr>
              <w:t>Adjustments to reconcile net loss to net cash from operating activities: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1,511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(2,026)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Prepaid expenses, other current assets, and income tax receivable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(203)</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(1,122)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(1,325)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(15,771)</w:t>
            </w:r>
          </w:p>
        </w:tc>
        <w:tc>
          <w:tcPr>
            <w:tcW w:w="220" w:type="dxa"/>
            <w:vAlign w:val="bottom"/>
            <w:gridSpan w:val="3"/>
          </w:tcPr>
          <w:p>
            <w:pPr>
              <w:jc w:val="right"/>
              <w:spacing w:after="0"/>
              <w:rPr>
                <w:sz w:val="20"/>
                <w:szCs w:val="20"/>
                <w:color w:val="auto"/>
              </w:rPr>
            </w:pPr>
            <w:r>
              <w:rPr>
                <w:rFonts w:ascii="Arial" w:cs="Arial" w:eastAsia="Arial" w:hAnsi="Arial"/>
                <w:sz w:val="18"/>
                <w:szCs w:val="18"/>
                <w:color w:val="231F20"/>
              </w:rPr>
              <w:t>$</w:t>
            </w:r>
          </w:p>
        </w:tc>
        <w:tc>
          <w:tcPr>
            <w:tcW w:w="1620" w:type="dxa"/>
            <w:vAlign w:val="bottom"/>
          </w:tcPr>
          <w:p>
            <w:pPr>
              <w:jc w:val="right"/>
              <w:spacing w:after="0"/>
              <w:rPr>
                <w:sz w:val="20"/>
                <w:szCs w:val="20"/>
                <w:color w:val="auto"/>
              </w:rPr>
            </w:pPr>
            <w:r>
              <w:rPr>
                <w:rFonts w:ascii="Arial" w:cs="Arial" w:eastAsia="Arial" w:hAnsi="Arial"/>
                <w:sz w:val="18"/>
                <w:szCs w:val="18"/>
                <w:color w:val="231F20"/>
              </w:rPr>
              <w:t>1,866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(13,905)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accrued expenses, and income tax payable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(3,085)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5"/>
        </w:trPr>
        <w:tc>
          <w:tcPr>
            <w:tcW w:w="53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300" w:type="dxa"/>
            <w:vAlign w:val="bottom"/>
            <w:gridSpan w:val="6"/>
          </w:tcPr>
          <w:p>
            <w:pPr>
              <w:spacing w:after="0"/>
              <w:rPr>
                <w:sz w:val="20"/>
                <w:szCs w:val="20"/>
                <w:color w:val="auto"/>
              </w:rPr>
            </w:pPr>
            <w:r>
              <w:rPr>
                <w:rFonts w:ascii="Arial" w:cs="Arial" w:eastAsia="Arial" w:hAnsi="Arial"/>
                <w:sz w:val="18"/>
                <w:szCs w:val="18"/>
                <w:b w:val="1"/>
                <w:bCs w:val="1"/>
                <w:color w:val="auto"/>
                <w:w w:val="96"/>
              </w:rPr>
              <w:t>Item 6. Exhibits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00" w:type="dxa"/>
            <w:vAlign w:val="bottom"/>
            <w:gridSpan w:val="34"/>
          </w:tcPr>
          <w:p>
            <w:pPr>
              <w:spacing w:after="0"/>
              <w:rPr>
                <w:sz w:val="20"/>
                <w:szCs w:val="20"/>
                <w:color w:val="auto"/>
              </w:rPr>
            </w:pPr>
            <w:r>
              <w:rPr>
                <w:rFonts w:ascii="Arial" w:cs="Arial" w:eastAsia="Arial" w:hAnsi="Arial"/>
                <w:sz w:val="18"/>
                <w:szCs w:val="18"/>
                <w:color w:val="auto"/>
                <w:w w:val="91"/>
              </w:rPr>
              <w:t>The following exhibits are filed as part of, or incorporated by reference into, this Quarterly Report on Form 10-Q.</w:t>
            </w: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40" w:type="dxa"/>
            <w:vAlign w:val="bottom"/>
            <w:gridSpan w:val="12"/>
          </w:tcPr>
          <w:p>
            <w:pPr>
              <w:spacing w:after="0"/>
              <w:rPr>
                <w:sz w:val="20"/>
                <w:szCs w:val="20"/>
                <w:color w:val="auto"/>
              </w:rPr>
            </w:pPr>
            <w:r>
              <w:rPr>
                <w:rFonts w:ascii="Arial" w:cs="Arial" w:eastAsia="Arial" w:hAnsi="Arial"/>
                <w:sz w:val="18"/>
                <w:szCs w:val="18"/>
                <w:b w:val="1"/>
                <w:bCs w:val="1"/>
                <w:color w:val="auto"/>
              </w:rPr>
              <w:t>EXHIBIT INDEX</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gridSpan w:val="19"/>
            <w:vMerge w:val="restart"/>
          </w:tcPr>
          <w:p>
            <w:pPr>
              <w:ind w:left="400"/>
              <w:spacing w:after="0"/>
              <w:rPr>
                <w:sz w:val="20"/>
                <w:szCs w:val="20"/>
                <w:color w:val="auto"/>
              </w:rPr>
            </w:pPr>
            <w:r>
              <w:rPr>
                <w:rFonts w:ascii="Arial" w:cs="Arial" w:eastAsia="Arial" w:hAnsi="Arial"/>
                <w:sz w:val="18"/>
                <w:szCs w:val="18"/>
                <w:b w:val="1"/>
                <w:bCs w:val="1"/>
                <w:color w:val="auto"/>
              </w:rPr>
              <w:t>Description of Exhibit</w:t>
            </w:r>
          </w:p>
        </w:tc>
        <w:tc>
          <w:tcPr>
            <w:tcW w:w="8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40" w:type="dxa"/>
            <w:vAlign w:val="bottom"/>
          </w:tcPr>
          <w:p>
            <w:pPr>
              <w:spacing w:after="0"/>
              <w:rPr>
                <w:sz w:val="17"/>
                <w:szCs w:val="17"/>
                <w:color w:val="auto"/>
              </w:rPr>
            </w:pPr>
          </w:p>
        </w:tc>
        <w:tc>
          <w:tcPr>
            <w:tcW w:w="8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19"/>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87"/>
        </w:trPr>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920" w:type="dxa"/>
            <w:vAlign w:val="bottom"/>
            <w:tcBorders>
              <w:top w:val="single" w:sz="8" w:color="auto"/>
            </w:tcBorders>
            <w:gridSpan w:val="21"/>
            <w:shd w:val="clear" w:color="auto" w:fill="CCEEFF"/>
          </w:tcPr>
          <w:p>
            <w:pPr>
              <w:spacing w:after="0" w:line="187"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Agreement and Plan of Merger, dated as of December</w:t>
              </w:r>
            </w:hyperlink>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90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8, 2020, by and among Vesper Healthcare Acquisition</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88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w w:val="96"/>
              </w:rPr>
            </w:pPr>
            <w:hyperlink r:id="rId58">
              <w:r>
                <w:rPr>
                  <w:rFonts w:ascii="Arial" w:cs="Arial" w:eastAsia="Arial" w:hAnsi="Arial"/>
                  <w:sz w:val="18"/>
                  <w:szCs w:val="18"/>
                  <w:color w:val="0000FF"/>
                  <w:w w:val="96"/>
                </w:rPr>
                <w:t>Corp., Hydrate Merger Sub I, Inc., Hydrate Merger</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80" w:type="dxa"/>
            <w:vAlign w:val="bottom"/>
            <w:tcBorders>
              <w:top w:val="single" w:sz="8" w:color="0000FF"/>
              <w:bottom w:val="single" w:sz="8" w:color="0000FF"/>
            </w:tcBorders>
            <w:gridSpan w:val="14"/>
            <w:shd w:val="clear" w:color="auto" w:fill="CCEEFF"/>
          </w:tcPr>
          <w:p>
            <w:pPr>
              <w:spacing w:after="0" w:line="169"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Sub II, LLC, LCP Edge Intermediate, Inc. and LCP</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shd w:val="clear" w:color="auto" w:fill="CCEEFF"/>
          </w:tcPr>
          <w:p>
            <w:pPr>
              <w:spacing w:after="0"/>
              <w:rPr>
                <w:sz w:val="13"/>
                <w:szCs w:val="13"/>
                <w:color w:val="auto"/>
              </w:rPr>
            </w:pPr>
          </w:p>
        </w:tc>
        <w:tc>
          <w:tcPr>
            <w:tcW w:w="240" w:type="dxa"/>
            <w:vAlign w:val="bottom"/>
            <w:vMerge w:val="restart"/>
            <w:shd w:val="clear" w:color="auto" w:fill="CCEEFF"/>
          </w:tcPr>
          <w:p>
            <w:pPr>
              <w:spacing w:after="0"/>
              <w:rPr>
                <w:rFonts w:ascii="Arial" w:cs="Arial" w:eastAsia="Arial" w:hAnsi="Arial"/>
                <w:sz w:val="18"/>
                <w:szCs w:val="18"/>
                <w:color w:val="0000FF"/>
                <w:w w:val="87"/>
              </w:rPr>
            </w:pPr>
            <w:hyperlink r:id="rId58">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700" w:type="dxa"/>
            <w:vAlign w:val="bottom"/>
            <w:gridSpan w:val="15"/>
            <w:shd w:val="clear" w:color="auto" w:fill="CCEEFF"/>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Edge Holdco, LLC, in its capacity as the</w:t>
              </w:r>
            </w:hyperlink>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0"/>
              </w:rPr>
              <w:t>001-39565</w:t>
            </w:r>
          </w:p>
        </w:tc>
        <w:tc>
          <w:tcPr>
            <w:tcW w:w="102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87"/>
              </w:rPr>
              <w:t>2.1</w:t>
            </w:r>
          </w:p>
        </w:tc>
        <w:tc>
          <w:tcPr>
            <w:tcW w:w="100" w:type="dxa"/>
            <w:vAlign w:val="bottom"/>
            <w:shd w:val="clear" w:color="auto" w:fill="CCEEFF"/>
          </w:tcPr>
          <w:p>
            <w:pPr>
              <w:spacing w:after="0"/>
              <w:rPr>
                <w:sz w:val="13"/>
                <w:szCs w:val="13"/>
                <w:color w:val="auto"/>
              </w:rPr>
            </w:pP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December 9, 2020</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vMerge w:val="continue"/>
            <w:shd w:val="clear" w:color="auto" w:fill="CCEEFF"/>
          </w:tcPr>
          <w:p>
            <w:pPr>
              <w:spacing w:after="0"/>
              <w:rPr>
                <w:sz w:val="13"/>
                <w:szCs w:val="13"/>
                <w:color w:val="auto"/>
              </w:rPr>
            </w:pPr>
          </w:p>
        </w:tc>
        <w:tc>
          <w:tcPr>
            <w:tcW w:w="2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Stockholders’ Representative</w:t>
              </w:r>
            </w:hyperlink>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vMerge w:val="continue"/>
            <w:shd w:val="clear" w:color="auto" w:fill="CCEEFF"/>
          </w:tcPr>
          <w:p>
            <w:pPr>
              <w:spacing w:after="0"/>
              <w:rPr>
                <w:sz w:val="13"/>
                <w:szCs w:val="13"/>
                <w:color w:val="auto"/>
              </w:rPr>
            </w:pPr>
          </w:p>
        </w:tc>
        <w:tc>
          <w:tcPr>
            <w:tcW w:w="1140" w:type="dxa"/>
            <w:vAlign w:val="bottom"/>
            <w:tcBorders>
              <w:top w:val="single" w:sz="8" w:color="CCEEFF"/>
            </w:tcBorders>
            <w:gridSpan w:val="2"/>
            <w:vMerge w:val="continue"/>
            <w:shd w:val="clear" w:color="auto" w:fill="CCEEFF"/>
          </w:tcPr>
          <w:p>
            <w:pPr>
              <w:spacing w:after="0"/>
              <w:rPr>
                <w:sz w:val="13"/>
                <w:szCs w:val="13"/>
                <w:color w:val="auto"/>
              </w:rPr>
            </w:pPr>
          </w:p>
        </w:tc>
        <w:tc>
          <w:tcPr>
            <w:tcW w:w="1020" w:type="dxa"/>
            <w:vAlign w:val="bottom"/>
            <w:tcBorders>
              <w:top w:val="single" w:sz="8" w:color="CCEEFF"/>
            </w:tcBorders>
            <w:gridSpan w:val="2"/>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CCEEFF"/>
            </w:tcBorders>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240" w:type="dxa"/>
            <w:vAlign w:val="bottom"/>
            <w:vMerge w:val="restart"/>
          </w:tcPr>
          <w:p>
            <w:pPr>
              <w:spacing w:after="0"/>
              <w:rPr>
                <w:rFonts w:ascii="Arial" w:cs="Arial" w:eastAsia="Arial" w:hAnsi="Arial"/>
                <w:sz w:val="18"/>
                <w:szCs w:val="18"/>
                <w:color w:val="0000FF"/>
                <w:w w:val="87"/>
              </w:rPr>
            </w:pPr>
            <w:hyperlink r:id="rId5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gridSpan w:val="21"/>
          </w:tcPr>
          <w:p>
            <w:pPr>
              <w:spacing w:after="0" w:line="189" w:lineRule="exact"/>
              <w:rPr>
                <w:rFonts w:ascii="Arial" w:cs="Arial" w:eastAsia="Arial" w:hAnsi="Arial"/>
                <w:sz w:val="18"/>
                <w:szCs w:val="18"/>
                <w:color w:val="0000FF"/>
              </w:rPr>
            </w:pPr>
            <w:hyperlink r:id="rId59">
              <w:r>
                <w:rPr>
                  <w:rFonts w:ascii="Arial" w:cs="Arial" w:eastAsia="Arial" w:hAnsi="Arial"/>
                  <w:sz w:val="18"/>
                  <w:szCs w:val="18"/>
                  <w:color w:val="0000FF"/>
                </w:rPr>
                <w:t>Second Amended and Restated Certificate of</w:t>
              </w:r>
            </w:hyperlink>
          </w:p>
        </w:tc>
        <w:tc>
          <w:tcPr>
            <w:tcW w:w="8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0"/>
              </w:rPr>
              <w:t>001-39565</w:t>
            </w:r>
          </w:p>
        </w:tc>
        <w:tc>
          <w:tcPr>
            <w:tcW w:w="102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3"/>
              </w:rPr>
              <w:t>May 10, 2021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4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Incorporation of The Beauty Health Company</w:t>
              </w:r>
            </w:hyperlink>
          </w:p>
        </w:tc>
        <w:tc>
          <w:tcPr>
            <w:tcW w:w="8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shd w:val="clear" w:color="auto" w:fill="CCEEFF"/>
          </w:tcPr>
          <w:p>
            <w:pPr>
              <w:spacing w:after="0"/>
              <w:rPr>
                <w:sz w:val="16"/>
                <w:szCs w:val="16"/>
                <w:color w:val="auto"/>
              </w:rPr>
            </w:pPr>
          </w:p>
        </w:tc>
        <w:tc>
          <w:tcPr>
            <w:tcW w:w="240" w:type="dxa"/>
            <w:vAlign w:val="bottom"/>
            <w:vMerge w:val="restart"/>
            <w:shd w:val="clear" w:color="auto" w:fill="CCEEFF"/>
          </w:tcPr>
          <w:p>
            <w:pPr>
              <w:spacing w:after="0"/>
              <w:rPr>
                <w:rFonts w:ascii="Arial" w:cs="Arial" w:eastAsia="Arial" w:hAnsi="Arial"/>
                <w:sz w:val="18"/>
                <w:szCs w:val="18"/>
                <w:color w:val="0000FF"/>
                <w:w w:val="87"/>
              </w:rPr>
            </w:pPr>
            <w:hyperlink r:id="rId6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920" w:type="dxa"/>
            <w:vAlign w:val="bottom"/>
            <w:gridSpan w:val="21"/>
            <w:shd w:val="clear" w:color="auto" w:fill="CCEEFF"/>
          </w:tcPr>
          <w:p>
            <w:pPr>
              <w:spacing w:after="0" w:line="189"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Amended and Restated Bylaws of The Beauty Health</w:t>
              </w:r>
            </w:hyperlink>
          </w:p>
        </w:tc>
        <w:tc>
          <w:tcPr>
            <w:tcW w:w="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0"/>
              </w:rPr>
              <w:t>001-39565</w:t>
            </w:r>
          </w:p>
        </w:tc>
        <w:tc>
          <w:tcPr>
            <w:tcW w:w="102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87"/>
              </w:rPr>
              <w:t>3.2</w:t>
            </w:r>
          </w:p>
        </w:tc>
        <w:tc>
          <w:tcPr>
            <w:tcW w:w="10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May 10, 2021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240" w:type="dxa"/>
            <w:vAlign w:val="bottom"/>
            <w:tcBorders>
              <w:top w:val="single" w:sz="8" w:color="CCEEFF"/>
            </w:tcBorders>
            <w:vMerge w:val="continue"/>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860" w:type="dxa"/>
            <w:vAlign w:val="bottom"/>
            <w:tcBorders>
              <w:top w:val="single" w:sz="8" w:color="0000FF"/>
            </w:tcBorders>
            <w:gridSpan w:val="18"/>
            <w:shd w:val="clear" w:color="auto" w:fill="CCEEFF"/>
          </w:tcPr>
          <w:p>
            <w:pPr>
              <w:spacing w:after="0" w:line="169" w:lineRule="exact"/>
              <w:rPr>
                <w:rFonts w:ascii="Arial" w:cs="Arial" w:eastAsia="Arial" w:hAnsi="Arial"/>
                <w:sz w:val="18"/>
                <w:szCs w:val="18"/>
                <w:color w:val="0000FF"/>
              </w:rPr>
            </w:pPr>
            <w:hyperlink r:id="rId60">
              <w:r>
                <w:rPr>
                  <w:rFonts w:ascii="Arial" w:cs="Arial" w:eastAsia="Arial" w:hAnsi="Arial"/>
                  <w:sz w:val="18"/>
                  <w:szCs w:val="18"/>
                  <w:color w:val="0000FF"/>
                </w:rPr>
                <w:t>Company</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vMerge w:val="continue"/>
            <w:shd w:val="clear" w:color="auto" w:fill="CCEEFF"/>
          </w:tcPr>
          <w:p>
            <w:pPr>
              <w:spacing w:after="0"/>
              <w:rPr>
                <w:sz w:val="14"/>
                <w:szCs w:val="14"/>
                <w:color w:val="auto"/>
              </w:rPr>
            </w:pPr>
          </w:p>
        </w:tc>
        <w:tc>
          <w:tcPr>
            <w:tcW w:w="1140" w:type="dxa"/>
            <w:vAlign w:val="bottom"/>
            <w:tcBorders>
              <w:top w:val="single" w:sz="8" w:color="CCEEFF"/>
            </w:tcBorders>
            <w:gridSpan w:val="2"/>
            <w:vMerge w:val="continue"/>
            <w:shd w:val="clear" w:color="auto" w:fill="CCEEFF"/>
          </w:tcPr>
          <w:p>
            <w:pPr>
              <w:spacing w:after="0"/>
              <w:rPr>
                <w:sz w:val="14"/>
                <w:szCs w:val="14"/>
                <w:color w:val="auto"/>
              </w:rPr>
            </w:pPr>
          </w:p>
        </w:tc>
        <w:tc>
          <w:tcPr>
            <w:tcW w:w="1020" w:type="dxa"/>
            <w:vAlign w:val="bottom"/>
            <w:tcBorders>
              <w:top w:val="single" w:sz="8" w:color="CCEEFF"/>
            </w:tcBorders>
            <w:gridSpan w:val="2"/>
            <w:vMerge w:val="continue"/>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CCEEFF"/>
            </w:tcBorders>
            <w:vMerge w:val="continue"/>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320" w:type="dxa"/>
            <w:vAlign w:val="bottom"/>
            <w:gridSpan w:val="2"/>
            <w:vMerge w:val="restart"/>
          </w:tcPr>
          <w:p>
            <w:pPr>
              <w:spacing w:after="0"/>
              <w:rPr>
                <w:rFonts w:ascii="Arial" w:cs="Arial" w:eastAsia="Arial" w:hAnsi="Arial"/>
                <w:sz w:val="18"/>
                <w:szCs w:val="18"/>
                <w:color w:val="0000FF"/>
                <w:w w:val="85"/>
              </w:rPr>
            </w:pPr>
            <w:hyperlink r:id="rId6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gridSpan w:val="21"/>
          </w:tcPr>
          <w:p>
            <w:pPr>
              <w:spacing w:after="0" w:line="189"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First Amendment to The Beauty Health Company</w:t>
              </w:r>
            </w:hyperlink>
          </w:p>
        </w:tc>
        <w:tc>
          <w:tcPr>
            <w:tcW w:w="8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0"/>
              </w:rPr>
              <w:t>001-39565</w:t>
            </w:r>
          </w:p>
        </w:tc>
        <w:tc>
          <w:tcPr>
            <w:tcW w:w="102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5"/>
              </w:rPr>
              <w:t>April 14, 2023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Executive Severance Plan</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shd w:val="clear" w:color="auto" w:fill="CCEEFF"/>
          </w:tcPr>
          <w:p>
            <w:pPr>
              <w:spacing w:after="0"/>
              <w:rPr>
                <w:sz w:val="16"/>
                <w:szCs w:val="16"/>
                <w:color w:val="auto"/>
              </w:rPr>
            </w:pPr>
          </w:p>
        </w:tc>
        <w:tc>
          <w:tcPr>
            <w:tcW w:w="320" w:type="dxa"/>
            <w:vAlign w:val="bottom"/>
            <w:gridSpan w:val="2"/>
            <w:vMerge w:val="restart"/>
            <w:shd w:val="clear" w:color="auto" w:fill="CCEEFF"/>
          </w:tcPr>
          <w:p>
            <w:pPr>
              <w:spacing w:after="0"/>
              <w:rPr>
                <w:rFonts w:ascii="Arial" w:cs="Arial" w:eastAsia="Arial" w:hAnsi="Arial"/>
                <w:sz w:val="18"/>
                <w:szCs w:val="18"/>
                <w:color w:val="0000FF"/>
                <w:w w:val="85"/>
              </w:rPr>
            </w:pPr>
            <w:hyperlink r:id="rId6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920" w:type="dxa"/>
            <w:vAlign w:val="bottom"/>
            <w:gridSpan w:val="21"/>
            <w:shd w:val="clear" w:color="auto" w:fill="CCEEFF"/>
          </w:tcPr>
          <w:p>
            <w:pPr>
              <w:spacing w:after="0" w:line="189"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Promotion Offer Letter with Brad Hauser, dated April</w:t>
              </w:r>
            </w:hyperlink>
          </w:p>
        </w:tc>
        <w:tc>
          <w:tcPr>
            <w:tcW w:w="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0"/>
              </w:rPr>
              <w:t>001-39565</w:t>
            </w:r>
          </w:p>
        </w:tc>
        <w:tc>
          <w:tcPr>
            <w:tcW w:w="102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85"/>
              </w:rPr>
              <w:t>10.1</w:t>
            </w:r>
          </w:p>
        </w:tc>
        <w:tc>
          <w:tcPr>
            <w:tcW w:w="10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April 19, 2023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vMerge w:val="continue"/>
            <w:shd w:val="clear" w:color="auto" w:fill="CCEEFF"/>
          </w:tcPr>
          <w:p>
            <w:pPr>
              <w:spacing w:after="0"/>
              <w:rPr>
                <w:sz w:val="13"/>
                <w:szCs w:val="13"/>
                <w:color w:val="auto"/>
              </w:rPr>
            </w:pPr>
          </w:p>
        </w:tc>
        <w:tc>
          <w:tcPr>
            <w:tcW w:w="320" w:type="dxa"/>
            <w:vAlign w:val="bottom"/>
            <w:tcBorders>
              <w:top w:val="single" w:sz="8" w:color="CCEEFF"/>
            </w:tcBorders>
            <w:gridSpan w:val="2"/>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7, 2023</w:t>
              </w:r>
            </w:hyperlink>
          </w:p>
        </w:tc>
        <w:tc>
          <w:tcPr>
            <w:tcW w:w="640" w:type="dxa"/>
            <w:vAlign w:val="bottom"/>
            <w:tcBorders>
              <w:top w:val="single" w:sz="8" w:color="0000FF"/>
            </w:tcBorders>
            <w:shd w:val="clear" w:color="auto" w:fill="CCEEFF"/>
          </w:tcPr>
          <w:p>
            <w:pPr>
              <w:spacing w:after="0"/>
              <w:rPr>
                <w:sz w:val="13"/>
                <w:szCs w:val="13"/>
                <w:color w:val="auto"/>
              </w:rPr>
            </w:pPr>
          </w:p>
        </w:tc>
        <w:tc>
          <w:tcPr>
            <w:tcW w:w="54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82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vMerge w:val="continue"/>
            <w:shd w:val="clear" w:color="auto" w:fill="CCEEFF"/>
          </w:tcPr>
          <w:p>
            <w:pPr>
              <w:spacing w:after="0"/>
              <w:rPr>
                <w:sz w:val="13"/>
                <w:szCs w:val="13"/>
                <w:color w:val="auto"/>
              </w:rPr>
            </w:pPr>
          </w:p>
        </w:tc>
        <w:tc>
          <w:tcPr>
            <w:tcW w:w="1140" w:type="dxa"/>
            <w:vAlign w:val="bottom"/>
            <w:tcBorders>
              <w:top w:val="single" w:sz="8" w:color="CCEEFF"/>
            </w:tcBorders>
            <w:gridSpan w:val="2"/>
            <w:vMerge w:val="continue"/>
            <w:shd w:val="clear" w:color="auto" w:fill="CCEEFF"/>
          </w:tcPr>
          <w:p>
            <w:pPr>
              <w:spacing w:after="0"/>
              <w:rPr>
                <w:sz w:val="13"/>
                <w:szCs w:val="13"/>
                <w:color w:val="auto"/>
              </w:rPr>
            </w:pPr>
          </w:p>
        </w:tc>
        <w:tc>
          <w:tcPr>
            <w:tcW w:w="1020" w:type="dxa"/>
            <w:vAlign w:val="bottom"/>
            <w:tcBorders>
              <w:top w:val="single" w:sz="8" w:color="CCEEFF"/>
            </w:tcBorders>
            <w:gridSpan w:val="2"/>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CCEEFF"/>
            </w:tcBorders>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gridSpan w:val="21"/>
          </w:tcPr>
          <w:p>
            <w:pPr>
              <w:spacing w:after="0" w:line="189" w:lineRule="exact"/>
              <w:rPr>
                <w:sz w:val="20"/>
                <w:szCs w:val="20"/>
                <w:color w:val="auto"/>
              </w:rPr>
            </w:pPr>
            <w:r>
              <w:rPr>
                <w:rFonts w:ascii="Arial" w:cs="Arial" w:eastAsia="Arial" w:hAnsi="Arial"/>
                <w:sz w:val="18"/>
                <w:szCs w:val="18"/>
                <w:color w:val="0000FF"/>
                <w:w w:val="95"/>
              </w:rPr>
              <w:t>Certification of Principal Executive Officer Pursuant</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w w:val="99"/>
              </w:rPr>
              <w:t>to Securities Exchange Act Rules 13a-14(a), as</w:t>
            </w:r>
          </w:p>
        </w:tc>
        <w:tc>
          <w:tcPr>
            <w:tcW w:w="12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 w:type="dxa"/>
            <w:vAlign w:val="bottom"/>
            <w:gridSpan w:val="3"/>
            <w:vMerge w:val="restart"/>
          </w:tcPr>
          <w:p>
            <w:pPr>
              <w:ind w:left="2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85"/>
              </w:rPr>
              <w:t>adopted Pursuant to Section 302 of the Sarbanes</w:t>
            </w:r>
          </w:p>
        </w:tc>
        <w:tc>
          <w:tcPr>
            <w:tcW w:w="160" w:type="dxa"/>
            <w:vAlign w:val="bottom"/>
            <w:tcBorders>
              <w:bottom w:val="single" w:sz="8" w:color="0000FF"/>
            </w:tcBorders>
            <w:gridSpan w:val="2"/>
          </w:tcPr>
          <w:p>
            <w:pPr>
              <w:ind w:left="100"/>
              <w:spacing w:after="0" w:line="155" w:lineRule="exact"/>
              <w:rPr>
                <w:sz w:val="20"/>
                <w:szCs w:val="20"/>
                <w:color w:val="auto"/>
              </w:rPr>
            </w:pPr>
            <w:r>
              <w:rPr>
                <w:rFonts w:ascii="Arial" w:cs="Arial" w:eastAsia="Arial" w:hAnsi="Arial"/>
                <w:sz w:val="16"/>
                <w:szCs w:val="16"/>
                <w:color w:val="0000FF"/>
                <w:w w:val="74"/>
              </w:rPr>
              <w:t>-</w:t>
            </w:r>
          </w:p>
        </w:tc>
        <w:tc>
          <w:tcPr>
            <w:tcW w:w="8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3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11"/>
          </w:tcPr>
          <w:p>
            <w:pPr>
              <w:spacing w:after="0" w:line="156" w:lineRule="exact"/>
              <w:rPr>
                <w:sz w:val="20"/>
                <w:szCs w:val="20"/>
                <w:color w:val="auto"/>
              </w:rPr>
            </w:pPr>
            <w:r>
              <w:rPr>
                <w:rFonts w:ascii="Arial" w:cs="Arial" w:eastAsia="Arial" w:hAnsi="Arial"/>
                <w:sz w:val="18"/>
                <w:szCs w:val="18"/>
                <w:color w:val="0000FF"/>
              </w:rPr>
              <w:t>Oxley Act of 2002</w:t>
            </w:r>
          </w:p>
        </w:tc>
        <w:tc>
          <w:tcPr>
            <w:tcW w:w="8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92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w w:val="97"/>
              </w:rPr>
              <w:t>Certification of Principal Financial Officer Pursuant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760" w:type="dxa"/>
            <w:vAlign w:val="bottom"/>
            <w:tcBorders>
              <w:top w:val="single" w:sz="8" w:color="0000FF"/>
            </w:tcBorders>
            <w:gridSpan w:val="16"/>
            <w:shd w:val="clear" w:color="auto" w:fill="CCEEFF"/>
          </w:tcPr>
          <w:p>
            <w:pPr>
              <w:spacing w:after="0" w:line="156" w:lineRule="exact"/>
              <w:rPr>
                <w:sz w:val="20"/>
                <w:szCs w:val="20"/>
                <w:color w:val="auto"/>
              </w:rPr>
            </w:pPr>
            <w:r>
              <w:rPr>
                <w:rFonts w:ascii="Arial" w:cs="Arial" w:eastAsia="Arial" w:hAnsi="Arial"/>
                <w:sz w:val="18"/>
                <w:szCs w:val="18"/>
                <w:color w:val="0000FF"/>
                <w:w w:val="98"/>
              </w:rPr>
              <w:t>to Securities Exchange Act Rules 13a-14(a), as</w:t>
            </w:r>
          </w:p>
        </w:tc>
        <w:tc>
          <w:tcPr>
            <w:tcW w:w="160" w:type="dxa"/>
            <w:vAlign w:val="bottom"/>
            <w:tcBorders>
              <w:top w:val="single" w:sz="8" w:color="CCEEFF"/>
            </w:tcBorders>
            <w:gridSpan w:val="5"/>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vMerge w:val="restart"/>
            <w:shd w:val="clear" w:color="auto" w:fill="CCEEFF"/>
          </w:tcPr>
          <w:p>
            <w:pPr>
              <w:spacing w:after="0"/>
              <w:rPr>
                <w:sz w:val="13"/>
                <w:szCs w:val="13"/>
                <w:color w:val="auto"/>
              </w:rPr>
            </w:pPr>
          </w:p>
        </w:tc>
        <w:tc>
          <w:tcPr>
            <w:tcW w:w="32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380" w:type="dxa"/>
            <w:vAlign w:val="bottom"/>
            <w:tcBorders>
              <w:top w:val="single" w:sz="8" w:color="0000FF"/>
            </w:tcBorders>
            <w:gridSpan w:val="9"/>
            <w:shd w:val="clear" w:color="auto" w:fill="CCEEFF"/>
          </w:tcPr>
          <w:p>
            <w:pPr>
              <w:spacing w:after="0" w:line="156" w:lineRule="exact"/>
              <w:rPr>
                <w:sz w:val="20"/>
                <w:szCs w:val="20"/>
                <w:color w:val="auto"/>
              </w:rPr>
            </w:pPr>
            <w:r>
              <w:rPr>
                <w:rFonts w:ascii="Arial" w:cs="Arial" w:eastAsia="Arial" w:hAnsi="Arial"/>
                <w:sz w:val="18"/>
                <w:szCs w:val="18"/>
                <w:color w:val="0000FF"/>
                <w:w w:val="85"/>
              </w:rPr>
              <w:t>adopted Pursuant to Section 302 of the Sarbanes</w:t>
            </w:r>
          </w:p>
        </w:tc>
        <w:tc>
          <w:tcPr>
            <w:tcW w:w="240" w:type="dxa"/>
            <w:vAlign w:val="bottom"/>
            <w:tcBorders>
              <w:top w:val="single" w:sz="8" w:color="CCEEFF"/>
            </w:tcBorders>
            <w:gridSpan w:val="4"/>
            <w:shd w:val="clear" w:color="auto" w:fill="CCEEFF"/>
          </w:tcPr>
          <w:p>
            <w:pPr>
              <w:ind w:left="100"/>
              <w:spacing w:after="0" w:line="156" w:lineRule="exact"/>
              <w:rPr>
                <w:sz w:val="20"/>
                <w:szCs w:val="20"/>
                <w:color w:val="auto"/>
              </w:rPr>
            </w:pPr>
            <w:r>
              <w:rPr>
                <w:rFonts w:ascii="Arial" w:cs="Arial" w:eastAsia="Arial" w:hAnsi="Arial"/>
                <w:sz w:val="18"/>
                <w:szCs w:val="18"/>
                <w:color w:val="0000FF"/>
              </w:rPr>
              <w:t>-</w:t>
            </w:r>
          </w:p>
        </w:tc>
        <w:tc>
          <w:tcPr>
            <w:tcW w:w="300" w:type="dxa"/>
            <w:vAlign w:val="bottom"/>
            <w:tcBorders>
              <w:top w:val="single" w:sz="8" w:color="CCEEFF"/>
            </w:tcBorders>
            <w:gridSpan w:val="8"/>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320" w:type="dxa"/>
            <w:vAlign w:val="bottom"/>
            <w:tcBorders>
              <w:top w:val="single" w:sz="8" w:color="CCEEFF"/>
            </w:tcBorders>
            <w:gridSpan w:val="2"/>
            <w:vMerge w:val="continue"/>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540" w:type="dxa"/>
            <w:vAlign w:val="bottom"/>
            <w:tcBorders>
              <w:top w:val="single" w:sz="8" w:color="0000FF"/>
            </w:tcBorders>
            <w:gridSpan w:val="11"/>
            <w:shd w:val="clear" w:color="auto" w:fill="CCEEFF"/>
          </w:tcPr>
          <w:p>
            <w:pPr>
              <w:spacing w:after="0" w:line="169" w:lineRule="exact"/>
              <w:rPr>
                <w:sz w:val="20"/>
                <w:szCs w:val="20"/>
                <w:color w:val="auto"/>
              </w:rPr>
            </w:pPr>
            <w:r>
              <w:rPr>
                <w:rFonts w:ascii="Arial" w:cs="Arial" w:eastAsia="Arial" w:hAnsi="Arial"/>
                <w:sz w:val="18"/>
                <w:szCs w:val="18"/>
                <w:color w:val="0000FF"/>
              </w:rPr>
              <w:t>Oxley Act of 2002</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300" w:type="dxa"/>
            <w:vAlign w:val="bottom"/>
            <w:tcBorders>
              <w:top w:val="single" w:sz="8" w:color="CCEEFF"/>
            </w:tcBorders>
            <w:gridSpan w:val="8"/>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gridSpan w:val="21"/>
          </w:tcPr>
          <w:p>
            <w:pPr>
              <w:spacing w:after="0" w:line="189" w:lineRule="exact"/>
              <w:rPr>
                <w:sz w:val="20"/>
                <w:szCs w:val="20"/>
                <w:color w:val="auto"/>
              </w:rPr>
            </w:pPr>
            <w:r>
              <w:rPr>
                <w:rFonts w:ascii="Arial" w:cs="Arial" w:eastAsia="Arial" w:hAnsi="Arial"/>
                <w:sz w:val="18"/>
                <w:szCs w:val="18"/>
                <w:color w:val="0000FF"/>
                <w:w w:val="95"/>
              </w:rPr>
              <w:t>Certification of Principal Executive Officer Pursuant</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40" w:type="dxa"/>
            <w:vAlign w:val="bottom"/>
            <w:gridSpan w:val="4"/>
            <w:vMerge w:val="restart"/>
          </w:tcPr>
          <w:p>
            <w:pPr>
              <w:ind w:left="20"/>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w w:val="93"/>
              </w:rPr>
              <w:t>to 18 U.S.C. Section 1350, as adopted Pursuant to</w:t>
            </w:r>
          </w:p>
        </w:tc>
        <w:tc>
          <w:tcPr>
            <w:tcW w:w="12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44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w w:val="95"/>
              </w:rPr>
              <w:t>Section 906 of the Sarbanes-Oxley Act of 2002</w:t>
            </w:r>
          </w:p>
        </w:tc>
        <w:tc>
          <w:tcPr>
            <w:tcW w:w="300" w:type="dxa"/>
            <w:vAlign w:val="bottom"/>
            <w:gridSpan w:val="8"/>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92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w w:val="97"/>
              </w:rPr>
              <w:t>Certification of Principal Financial Officer Pursuant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vMerge w:val="restart"/>
            <w:shd w:val="clear" w:color="auto" w:fill="CCEEFF"/>
          </w:tcPr>
          <w:p>
            <w:pPr>
              <w:spacing w:after="0"/>
              <w:rPr>
                <w:sz w:val="13"/>
                <w:szCs w:val="13"/>
                <w:color w:val="auto"/>
              </w:rPr>
            </w:pPr>
          </w:p>
        </w:tc>
        <w:tc>
          <w:tcPr>
            <w:tcW w:w="420" w:type="dxa"/>
            <w:vAlign w:val="bottom"/>
            <w:tcBorders>
              <w:top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2*</w:t>
            </w: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760" w:type="dxa"/>
            <w:vAlign w:val="bottom"/>
            <w:tcBorders>
              <w:top w:val="single" w:sz="8" w:color="0000FF"/>
            </w:tcBorders>
            <w:gridSpan w:val="16"/>
            <w:shd w:val="clear" w:color="auto" w:fill="CCEEFF"/>
          </w:tcPr>
          <w:p>
            <w:pPr>
              <w:spacing w:after="0" w:line="156" w:lineRule="exact"/>
              <w:rPr>
                <w:sz w:val="20"/>
                <w:szCs w:val="20"/>
                <w:color w:val="auto"/>
              </w:rPr>
            </w:pPr>
            <w:r>
              <w:rPr>
                <w:rFonts w:ascii="Arial" w:cs="Arial" w:eastAsia="Arial" w:hAnsi="Arial"/>
                <w:sz w:val="18"/>
                <w:szCs w:val="18"/>
                <w:color w:val="0000FF"/>
                <w:w w:val="92"/>
              </w:rPr>
              <w:t>to 18 U.S.C. Section 1350, as adopted Pursuant to</w:t>
            </w:r>
          </w:p>
        </w:tc>
        <w:tc>
          <w:tcPr>
            <w:tcW w:w="160" w:type="dxa"/>
            <w:vAlign w:val="bottom"/>
            <w:tcBorders>
              <w:top w:val="single" w:sz="8" w:color="CCEEFF"/>
            </w:tcBorders>
            <w:gridSpan w:val="5"/>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420" w:type="dxa"/>
            <w:vAlign w:val="bottom"/>
            <w:tcBorders>
              <w:top w:val="single" w:sz="8" w:color="CCEEFF"/>
            </w:tcBorders>
            <w:gridSpan w:val="3"/>
            <w:vMerge w:val="continue"/>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20" w:type="dxa"/>
            <w:vAlign w:val="bottom"/>
            <w:tcBorders>
              <w:top w:val="single" w:sz="8" w:color="0000FF"/>
            </w:tcBorders>
            <w:gridSpan w:val="13"/>
            <w:shd w:val="clear" w:color="auto" w:fill="CCEEFF"/>
          </w:tcPr>
          <w:p>
            <w:pPr>
              <w:spacing w:after="0" w:line="169" w:lineRule="exact"/>
              <w:rPr>
                <w:sz w:val="20"/>
                <w:szCs w:val="20"/>
                <w:color w:val="auto"/>
              </w:rPr>
            </w:pPr>
            <w:r>
              <w:rPr>
                <w:rFonts w:ascii="Arial" w:cs="Arial" w:eastAsia="Arial" w:hAnsi="Arial"/>
                <w:sz w:val="18"/>
                <w:szCs w:val="18"/>
                <w:color w:val="0000FF"/>
                <w:w w:val="95"/>
              </w:rPr>
              <w:t>Section 906 of the Sarbanes-Oxley Act of 2002</w:t>
            </w:r>
          </w:p>
        </w:tc>
        <w:tc>
          <w:tcPr>
            <w:tcW w:w="300" w:type="dxa"/>
            <w:vAlign w:val="bottom"/>
            <w:tcBorders>
              <w:top w:val="single" w:sz="8" w:color="CCEEFF"/>
            </w:tcBorders>
            <w:gridSpan w:val="8"/>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gridSpan w:val="5"/>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9"/>
                <w:szCs w:val="19"/>
                <w:color w:val="auto"/>
              </w:rPr>
            </w:pPr>
          </w:p>
        </w:tc>
        <w:tc>
          <w:tcPr>
            <w:tcW w:w="3920" w:type="dxa"/>
            <w:vAlign w:val="bottom"/>
            <w:gridSpan w:val="21"/>
          </w:tcPr>
          <w:p>
            <w:pPr>
              <w:spacing w:after="0"/>
              <w:rPr>
                <w:sz w:val="20"/>
                <w:szCs w:val="20"/>
                <w:color w:val="auto"/>
              </w:rPr>
            </w:pPr>
            <w:r>
              <w:rPr>
                <w:rFonts w:ascii="Arial" w:cs="Arial" w:eastAsia="Arial" w:hAnsi="Arial"/>
                <w:sz w:val="18"/>
                <w:szCs w:val="18"/>
                <w:color w:val="auto"/>
              </w:rPr>
              <w:t>Inline XBRL Instance Document</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92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Schema</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101.SCH**</w:t>
            </w:r>
          </w:p>
        </w:tc>
        <w:tc>
          <w:tcPr>
            <w:tcW w:w="20" w:type="dxa"/>
            <w:vAlign w:val="bottom"/>
            <w:shd w:val="clear" w:color="auto" w:fill="CCEEFF"/>
          </w:tcPr>
          <w:p>
            <w:pPr>
              <w:spacing w:after="0"/>
              <w:rPr>
                <w:sz w:val="20"/>
                <w:szCs w:val="20"/>
                <w:color w:val="auto"/>
              </w:rPr>
            </w:pPr>
          </w:p>
        </w:tc>
        <w:tc>
          <w:tcPr>
            <w:tcW w:w="392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Document</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80" w:type="dxa"/>
            <w:vAlign w:val="bottom"/>
            <w:gridSpan w:val="5"/>
            <w:vMerge w:val="restart"/>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5"/>
                <w:szCs w:val="15"/>
                <w:color w:val="auto"/>
              </w:rPr>
            </w:pPr>
          </w:p>
        </w:tc>
        <w:tc>
          <w:tcPr>
            <w:tcW w:w="3920" w:type="dxa"/>
            <w:vAlign w:val="bottom"/>
            <w:gridSpan w:val="21"/>
          </w:tcPr>
          <w:p>
            <w:pPr>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3920" w:type="dxa"/>
            <w:vAlign w:val="bottom"/>
            <w:gridSpan w:val="21"/>
          </w:tcPr>
          <w:p>
            <w:pPr>
              <w:spacing w:after="0"/>
              <w:rPr>
                <w:sz w:val="20"/>
                <w:szCs w:val="20"/>
                <w:color w:val="auto"/>
              </w:rPr>
            </w:pPr>
            <w:r>
              <w:rPr>
                <w:rFonts w:ascii="Arial" w:cs="Arial" w:eastAsia="Arial" w:hAnsi="Arial"/>
                <w:sz w:val="18"/>
                <w:szCs w:val="18"/>
                <w:color w:val="auto"/>
              </w:rPr>
              <w:t>Linkbase Document</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92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Definition</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101.DEF**</w:t>
            </w:r>
          </w:p>
        </w:tc>
        <w:tc>
          <w:tcPr>
            <w:tcW w:w="20" w:type="dxa"/>
            <w:vAlign w:val="bottom"/>
            <w:shd w:val="clear" w:color="auto" w:fill="CCEEFF"/>
          </w:tcPr>
          <w:p>
            <w:pPr>
              <w:spacing w:after="0"/>
              <w:rPr>
                <w:sz w:val="20"/>
                <w:szCs w:val="20"/>
                <w:color w:val="auto"/>
              </w:rPr>
            </w:pPr>
          </w:p>
        </w:tc>
        <w:tc>
          <w:tcPr>
            <w:tcW w:w="392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80" w:type="dxa"/>
            <w:vAlign w:val="bottom"/>
            <w:gridSpan w:val="5"/>
            <w:vMerge w:val="restart"/>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5"/>
                <w:szCs w:val="15"/>
                <w:color w:val="auto"/>
              </w:rPr>
            </w:pPr>
          </w:p>
        </w:tc>
        <w:tc>
          <w:tcPr>
            <w:tcW w:w="3920" w:type="dxa"/>
            <w:vAlign w:val="bottom"/>
            <w:gridSpan w:val="21"/>
          </w:tcPr>
          <w:p>
            <w:pPr>
              <w:spacing w:after="0" w:line="176" w:lineRule="exact"/>
              <w:rPr>
                <w:sz w:val="20"/>
                <w:szCs w:val="20"/>
                <w:color w:val="auto"/>
              </w:rPr>
            </w:pPr>
            <w:r>
              <w:rPr>
                <w:rFonts w:ascii="Arial" w:cs="Arial" w:eastAsia="Arial" w:hAnsi="Arial"/>
                <w:sz w:val="18"/>
                <w:szCs w:val="18"/>
                <w:color w:val="auto"/>
                <w:w w:val="96"/>
              </w:rPr>
              <w:t>Inline XBRL Taxonomy Extension Labels Linkbase</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392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28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101.PRE**</w:t>
            </w:r>
          </w:p>
        </w:tc>
        <w:tc>
          <w:tcPr>
            <w:tcW w:w="20" w:type="dxa"/>
            <w:vAlign w:val="bottom"/>
            <w:shd w:val="clear" w:color="auto" w:fill="CCEEFF"/>
          </w:tcPr>
          <w:p>
            <w:pPr>
              <w:spacing w:after="0"/>
              <w:rPr>
                <w:sz w:val="15"/>
                <w:szCs w:val="15"/>
                <w:color w:val="auto"/>
              </w:rPr>
            </w:pPr>
          </w:p>
        </w:tc>
        <w:tc>
          <w:tcPr>
            <w:tcW w:w="3920" w:type="dxa"/>
            <w:vAlign w:val="bottom"/>
            <w:gridSpan w:val="21"/>
            <w:shd w:val="clear" w:color="auto" w:fill="CCEEFF"/>
          </w:tcPr>
          <w:p>
            <w:pPr>
              <w:spacing w:after="0" w:line="182" w:lineRule="exact"/>
              <w:rPr>
                <w:sz w:val="20"/>
                <w:szCs w:val="20"/>
                <w:color w:val="auto"/>
              </w:rPr>
            </w:pPr>
            <w:r>
              <w:rPr>
                <w:rFonts w:ascii="Arial" w:cs="Arial" w:eastAsia="Arial" w:hAnsi="Arial"/>
                <w:sz w:val="18"/>
                <w:szCs w:val="18"/>
                <w:color w:val="auto"/>
              </w:rPr>
              <w:t>Inline XBRL Taxonomy Extension Presentation</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80" w:type="dxa"/>
            <w:vAlign w:val="bottom"/>
            <w:gridSpan w:val="5"/>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92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gridSpan w:val="21"/>
          </w:tcPr>
          <w:p>
            <w:pPr>
              <w:spacing w:after="0" w:line="189" w:lineRule="exact"/>
              <w:rPr>
                <w:sz w:val="20"/>
                <w:szCs w:val="20"/>
                <w:color w:val="auto"/>
              </w:rPr>
            </w:pPr>
            <w:r>
              <w:rPr>
                <w:rFonts w:ascii="Arial" w:cs="Arial" w:eastAsia="Arial" w:hAnsi="Arial"/>
                <w:sz w:val="18"/>
                <w:szCs w:val="18"/>
                <w:color w:val="auto"/>
                <w:w w:val="93"/>
              </w:rPr>
              <w:t>Cover Page Interactive Data File (formatted as Inline</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gridSpan w:val="5"/>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20" w:type="dxa"/>
            <w:vAlign w:val="bottom"/>
            <w:gridSpan w:val="21"/>
          </w:tcPr>
          <w:p>
            <w:pPr>
              <w:spacing w:after="0"/>
              <w:rPr>
                <w:sz w:val="20"/>
                <w:szCs w:val="20"/>
                <w:color w:val="auto"/>
              </w:rPr>
            </w:pPr>
            <w:r>
              <w:rPr>
                <w:rFonts w:ascii="Arial" w:cs="Arial" w:eastAsia="Arial" w:hAnsi="Arial"/>
                <w:sz w:val="18"/>
                <w:szCs w:val="18"/>
                <w:color w:val="auto"/>
              </w:rPr>
              <w:t>XBRL and contained in Exhibit 101 attachments</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59" w:lineRule="exact"/>
        <w:rPr>
          <w:sz w:val="20"/>
          <w:szCs w:val="20"/>
          <w:color w:val="auto"/>
        </w:rPr>
      </w:pPr>
    </w:p>
    <w:p>
      <w:pPr>
        <w:ind w:left="340" w:right="360" w:hanging="332"/>
        <w:spacing w:after="0" w:line="247" w:lineRule="auto"/>
        <w:tabs>
          <w:tab w:leader="none" w:pos="23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jc w:val="both"/>
        <w:ind w:left="340" w:right="60" w:hanging="332"/>
        <w:spacing w:after="0" w:line="238" w:lineRule="auto"/>
        <w:tabs>
          <w:tab w:leader="none" w:pos="304"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7980" w:type="dxa"/>
            <w:vAlign w:val="bottom"/>
            <w:gridSpan w:val="2"/>
          </w:tcPr>
          <w:p>
            <w:pPr>
              <w:jc w:val="center"/>
              <w:ind w:right="2030"/>
              <w:spacing w:after="0"/>
              <w:rPr>
                <w:sz w:val="20"/>
                <w:szCs w:val="20"/>
                <w:color w:val="auto"/>
              </w:rPr>
            </w:pPr>
            <w:r>
              <w:rPr>
                <w:rFonts w:ascii="Arial" w:cs="Arial" w:eastAsia="Arial" w:hAnsi="Arial"/>
                <w:sz w:val="18"/>
                <w:szCs w:val="18"/>
                <w:b w:val="1"/>
                <w:bCs w:val="1"/>
                <w:color w:val="auto"/>
              </w:rPr>
              <w:t>THE BEAUTY HEALTH COMPANY</w:t>
            </w:r>
          </w:p>
        </w:tc>
      </w:tr>
      <w:tr>
        <w:trPr>
          <w:trHeight w:val="486"/>
        </w:trPr>
        <w:tc>
          <w:tcPr>
            <w:tcW w:w="3000" w:type="dxa"/>
            <w:vAlign w:val="bottom"/>
          </w:tcPr>
          <w:p>
            <w:pPr>
              <w:spacing w:after="0"/>
              <w:rPr>
                <w:sz w:val="20"/>
                <w:szCs w:val="20"/>
                <w:color w:val="auto"/>
              </w:rPr>
            </w:pPr>
            <w:r>
              <w:rPr>
                <w:rFonts w:ascii="Arial" w:cs="Arial" w:eastAsia="Arial" w:hAnsi="Arial"/>
                <w:sz w:val="18"/>
                <w:szCs w:val="18"/>
                <w:color w:val="auto"/>
              </w:rPr>
              <w:t>Date: August 9, 2023</w:t>
            </w:r>
          </w:p>
        </w:tc>
        <w:tc>
          <w:tcPr>
            <w:tcW w:w="7980" w:type="dxa"/>
            <w:vAlign w:val="bottom"/>
            <w:gridSpan w:val="2"/>
          </w:tcPr>
          <w:p>
            <w:pPr>
              <w:ind w:left="2000"/>
              <w:spacing w:after="0"/>
              <w:rPr>
                <w:sz w:val="20"/>
                <w:szCs w:val="20"/>
                <w:color w:val="auto"/>
              </w:rPr>
            </w:pPr>
            <w:r>
              <w:rPr>
                <w:rFonts w:ascii="Arial" w:cs="Arial" w:eastAsia="Arial" w:hAnsi="Arial"/>
                <w:sz w:val="18"/>
                <w:szCs w:val="18"/>
                <w:color w:val="auto"/>
              </w:rPr>
              <w:t>By: /s/ Andrew Stanleick</w:t>
            </w:r>
          </w:p>
        </w:tc>
      </w:tr>
      <w:tr>
        <w:trPr>
          <w:trHeight w:val="224"/>
        </w:trPr>
        <w:tc>
          <w:tcPr>
            <w:tcW w:w="3000" w:type="dxa"/>
            <w:vAlign w:val="bottom"/>
          </w:tcPr>
          <w:p>
            <w:pPr>
              <w:spacing w:after="0"/>
              <w:rPr>
                <w:sz w:val="19"/>
                <w:szCs w:val="19"/>
                <w:color w:val="auto"/>
              </w:rPr>
            </w:pPr>
          </w:p>
        </w:tc>
        <w:tc>
          <w:tcPr>
            <w:tcW w:w="2260" w:type="dxa"/>
            <w:vAlign w:val="bottom"/>
          </w:tcPr>
          <w:p>
            <w:pPr>
              <w:ind w:left="1780"/>
              <w:spacing w:after="0"/>
              <w:rPr>
                <w:sz w:val="20"/>
                <w:szCs w:val="20"/>
                <w:color w:val="auto"/>
              </w:rPr>
            </w:pPr>
            <w:r>
              <w:rPr>
                <w:rFonts w:ascii="Arial" w:cs="Arial" w:eastAsia="Arial" w:hAnsi="Arial"/>
                <w:sz w:val="18"/>
                <w:szCs w:val="18"/>
                <w:color w:val="auto"/>
                <w:w w:val="86"/>
              </w:rPr>
              <w:t>Name:</w:t>
            </w:r>
          </w:p>
        </w:tc>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Andrew Stanleick</w:t>
            </w:r>
          </w:p>
        </w:tc>
      </w:tr>
      <w:tr>
        <w:trPr>
          <w:trHeight w:val="241"/>
        </w:trPr>
        <w:tc>
          <w:tcPr>
            <w:tcW w:w="3000" w:type="dxa"/>
            <w:vAlign w:val="bottom"/>
          </w:tcPr>
          <w:p>
            <w:pPr>
              <w:spacing w:after="0"/>
              <w:rPr>
                <w:sz w:val="20"/>
                <w:szCs w:val="20"/>
                <w:color w:val="auto"/>
              </w:rPr>
            </w:pPr>
          </w:p>
        </w:tc>
        <w:tc>
          <w:tcPr>
            <w:tcW w:w="7980" w:type="dxa"/>
            <w:vAlign w:val="bottom"/>
            <w:gridSpan w:val="2"/>
          </w:tcPr>
          <w:p>
            <w:pPr>
              <w:jc w:val="center"/>
              <w:ind w:right="1990"/>
              <w:spacing w:after="0"/>
              <w:rPr>
                <w:sz w:val="20"/>
                <w:szCs w:val="20"/>
                <w:color w:val="auto"/>
              </w:rPr>
            </w:pPr>
            <w:r>
              <w:rPr>
                <w:rFonts w:ascii="Arial" w:cs="Arial" w:eastAsia="Arial" w:hAnsi="Arial"/>
                <w:sz w:val="18"/>
                <w:szCs w:val="18"/>
                <w:color w:val="auto"/>
                <w:w w:val="94"/>
              </w:rPr>
              <w:t>Title: Chief Executive Officer</w:t>
            </w:r>
          </w:p>
        </w:tc>
      </w:tr>
      <w:tr>
        <w:trPr>
          <w:trHeight w:val="230"/>
        </w:trPr>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3000" w:type="dxa"/>
            <w:vAlign w:val="bottom"/>
          </w:tcPr>
          <w:p>
            <w:pPr>
              <w:spacing w:after="0"/>
              <w:rPr>
                <w:sz w:val="20"/>
                <w:szCs w:val="20"/>
                <w:color w:val="auto"/>
              </w:rPr>
            </w:pPr>
            <w:r>
              <w:rPr>
                <w:rFonts w:ascii="Arial" w:cs="Arial" w:eastAsia="Arial" w:hAnsi="Arial"/>
                <w:sz w:val="18"/>
                <w:szCs w:val="18"/>
                <w:color w:val="auto"/>
              </w:rPr>
              <w:t>Date: August 9, 2023</w:t>
            </w:r>
          </w:p>
        </w:tc>
        <w:tc>
          <w:tcPr>
            <w:tcW w:w="7980" w:type="dxa"/>
            <w:vAlign w:val="bottom"/>
            <w:gridSpan w:val="2"/>
          </w:tcPr>
          <w:p>
            <w:pPr>
              <w:ind w:left="2000"/>
              <w:spacing w:after="0"/>
              <w:rPr>
                <w:sz w:val="20"/>
                <w:szCs w:val="20"/>
                <w:color w:val="auto"/>
              </w:rPr>
            </w:pPr>
            <w:r>
              <w:rPr>
                <w:rFonts w:ascii="Arial" w:cs="Arial" w:eastAsia="Arial" w:hAnsi="Arial"/>
                <w:sz w:val="18"/>
                <w:szCs w:val="18"/>
                <w:color w:val="auto"/>
              </w:rPr>
              <w:t>By: /s/ Liyuan Woo</w:t>
            </w:r>
          </w:p>
        </w:tc>
      </w:tr>
      <w:tr>
        <w:trPr>
          <w:trHeight w:val="224"/>
        </w:trPr>
        <w:tc>
          <w:tcPr>
            <w:tcW w:w="3000" w:type="dxa"/>
            <w:vAlign w:val="bottom"/>
          </w:tcPr>
          <w:p>
            <w:pPr>
              <w:spacing w:after="0"/>
              <w:rPr>
                <w:sz w:val="19"/>
                <w:szCs w:val="19"/>
                <w:color w:val="auto"/>
              </w:rPr>
            </w:pPr>
          </w:p>
        </w:tc>
        <w:tc>
          <w:tcPr>
            <w:tcW w:w="2260" w:type="dxa"/>
            <w:vAlign w:val="bottom"/>
          </w:tcPr>
          <w:p>
            <w:pPr>
              <w:ind w:left="1780"/>
              <w:spacing w:after="0"/>
              <w:rPr>
                <w:sz w:val="20"/>
                <w:szCs w:val="20"/>
                <w:color w:val="auto"/>
              </w:rPr>
            </w:pPr>
            <w:r>
              <w:rPr>
                <w:rFonts w:ascii="Arial" w:cs="Arial" w:eastAsia="Arial" w:hAnsi="Arial"/>
                <w:sz w:val="18"/>
                <w:szCs w:val="18"/>
                <w:color w:val="auto"/>
                <w:w w:val="86"/>
              </w:rPr>
              <w:t>Name:</w:t>
            </w:r>
          </w:p>
        </w:tc>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Liyuan Woo</w:t>
            </w:r>
          </w:p>
        </w:tc>
      </w:tr>
      <w:tr>
        <w:trPr>
          <w:trHeight w:val="241"/>
        </w:trPr>
        <w:tc>
          <w:tcPr>
            <w:tcW w:w="3000" w:type="dxa"/>
            <w:vAlign w:val="bottom"/>
          </w:tcPr>
          <w:p>
            <w:pPr>
              <w:spacing w:after="0"/>
              <w:rPr>
                <w:sz w:val="20"/>
                <w:szCs w:val="20"/>
                <w:color w:val="auto"/>
              </w:rPr>
            </w:pPr>
          </w:p>
        </w:tc>
        <w:tc>
          <w:tcPr>
            <w:tcW w:w="7980" w:type="dxa"/>
            <w:vAlign w:val="bottom"/>
            <w:gridSpan w:val="2"/>
          </w:tcPr>
          <w:p>
            <w:pPr>
              <w:jc w:val="center"/>
              <w:ind w:right="2050"/>
              <w:spacing w:after="0"/>
              <w:rPr>
                <w:sz w:val="20"/>
                <w:szCs w:val="20"/>
                <w:color w:val="auto"/>
              </w:rPr>
            </w:pPr>
            <w:r>
              <w:rPr>
                <w:rFonts w:ascii="Arial" w:cs="Arial" w:eastAsia="Arial" w:hAnsi="Arial"/>
                <w:sz w:val="18"/>
                <w:szCs w:val="18"/>
                <w:color w:val="auto"/>
                <w:w w:val="94"/>
              </w:rPr>
              <w:t>Title: Chief Financial Officer</w:t>
            </w:r>
          </w:p>
        </w:tc>
      </w:tr>
      <w:tr>
        <w:trPr>
          <w:trHeight w:val="230"/>
        </w:trPr>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20" w:type="dxa"/>
            <w:vAlign w:val="bottom"/>
          </w:tcPr>
          <w:p>
            <w:pPr>
              <w:ind w:left="40"/>
              <w:spacing w:after="0"/>
              <w:rPr>
                <w:sz w:val="20"/>
                <w:szCs w:val="20"/>
                <w:color w:val="auto"/>
              </w:rPr>
            </w:pPr>
            <w:r>
              <w:rPr>
                <w:rFonts w:ascii="Arial" w:cs="Arial" w:eastAsia="Arial" w:hAnsi="Arial"/>
                <w:sz w:val="18"/>
                <w:szCs w:val="18"/>
                <w:color w:val="auto"/>
              </w:rPr>
              <w:t>(Principal Accounting Officer and Financial Officer)</w:t>
            </w:r>
          </w:p>
        </w:tc>
      </w:tr>
      <w:tr>
        <w:trPr>
          <w:trHeight w:val="662"/>
        </w:trPr>
        <w:tc>
          <w:tcPr>
            <w:tcW w:w="3000" w:type="dxa"/>
            <w:vAlign w:val="bottom"/>
          </w:tcPr>
          <w:p>
            <w:pPr>
              <w:spacing w:after="0"/>
              <w:rPr>
                <w:sz w:val="24"/>
                <w:szCs w:val="24"/>
                <w:color w:val="auto"/>
              </w:rPr>
            </w:pPr>
          </w:p>
        </w:tc>
        <w:tc>
          <w:tcPr>
            <w:tcW w:w="7980" w:type="dxa"/>
            <w:vAlign w:val="bottom"/>
            <w:gridSpan w:val="2"/>
          </w:tcPr>
          <w:p>
            <w:pPr>
              <w:ind w:left="228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240"/>
          </w:cols>
          <w:pgMar w:left="320" w:top="931" w:right="339" w:bottom="1440" w:gutter="0" w:footer="0" w:header="0"/>
        </w:sectPr>
      </w:pPr>
    </w:p>
    <w:bookmarkStart w:id="36" w:name="page37"/>
    <w:bookmarkEnd w:id="36"/>
    <w:p>
      <w:pPr>
        <w:ind w:left="10120"/>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left="340" w:right="80"/>
        <w:spacing w:after="0" w:line="282"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Andrew Stanleick, certify that:</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Beauty Health Company;</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right="40" w:hanging="320"/>
        <w:spacing w:after="0" w:line="248"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46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August 9, 2023</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264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626485" cy="8255"/>
                    </a:xfrm>
                    <a:prstGeom prst="rect">
                      <a:avLst/>
                    </a:prstGeom>
                    <a:noFill/>
                  </pic:spPr>
                </pic:pic>
              </a:graphicData>
            </a:graphic>
          </wp:anchor>
        </w:drawing>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Andrew Stanleick</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50" w:right="339" w:bottom="1440" w:gutter="0" w:footer="0" w:header="0"/>
        </w:sectPr>
      </w:pPr>
    </w:p>
    <w:bookmarkStart w:id="37" w:name="page38"/>
    <w:bookmarkEnd w:id="37"/>
    <w:p>
      <w:pPr>
        <w:ind w:left="1012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Liyuan Woo, certify that:</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Beauty Health Company;</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right="40" w:hanging="320"/>
        <w:spacing w:after="0" w:line="248"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46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August 9, 2023</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264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626485" cy="8255"/>
                    </a:xfrm>
                    <a:prstGeom prst="rect">
                      <a:avLst/>
                    </a:prstGeom>
                    <a:noFill/>
                  </pic:spPr>
                </pic:pic>
              </a:graphicData>
            </a:graphic>
          </wp:anchor>
        </w:drawing>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Liyuan Woo</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850" w:right="339" w:bottom="1440" w:gutter="0" w:footer="0" w:header="0"/>
        </w:sectPr>
      </w:pPr>
    </w:p>
    <w:bookmarkStart w:id="38" w:name="page39"/>
    <w:bookmarkEnd w:id="38"/>
    <w:p>
      <w:pPr>
        <w:ind w:left="10120"/>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left="340" w:right="60"/>
        <w:spacing w:after="0" w:line="282"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19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Quarterly Report of The Beauty Health Company (the “Company”) on Form 10-Q for the quarterly period ended June 30, 2023, as filed with the Securities and Exchange Commission (the “Report”), I, Andrew Stanleick, President and Chief Executive Officer of the Company, certify, pursuant to 18 U.S.C. §1350, as added by §906 of the Sarbanes-Oxley Act of 2002, that, to my knowledge:</w:t>
      </w:r>
    </w:p>
    <w:p>
      <w:pPr>
        <w:spacing w:after="0" w:line="21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August 9, 2023</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22860</wp:posOffset>
            </wp:positionV>
            <wp:extent cx="36264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3626485" cy="8255"/>
                    </a:xfrm>
                    <a:prstGeom prst="rect">
                      <a:avLst/>
                    </a:prstGeom>
                    <a:noFill/>
                  </pic:spPr>
                </pic:pic>
              </a:graphicData>
            </a:graphic>
          </wp:anchor>
        </w:drawing>
      </w:r>
    </w:p>
    <w:p>
      <w:pPr>
        <w:spacing w:after="0" w:line="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Andrew Stanleick</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39" w:name="page40"/>
    <w:bookmarkEnd w:id="39"/>
    <w:p>
      <w:pPr>
        <w:ind w:left="10120"/>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left="340" w:right="60"/>
        <w:spacing w:after="0" w:line="282"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19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Quarterly Report of The Beauty Health Company (the “Company”) on Form 10-Q for the quarterly period ended June 30, 2023, as filed with the Securities and Exchange Commission (the “Report”), I, Liyuan Woo, Chief Financial Officer of the Company, certify, pursuant to 18 U.S.C. §1350, as added by §906 of the Sarbanes-Oxley Act of 2002, that, to my knowledge:</w:t>
      </w:r>
    </w:p>
    <w:p>
      <w:pPr>
        <w:spacing w:after="0" w:line="2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August 9, 2023</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22860</wp:posOffset>
            </wp:positionV>
            <wp:extent cx="36264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626485" cy="8255"/>
                    </a:xfrm>
                    <a:prstGeom prst="rect">
                      <a:avLst/>
                    </a:prstGeom>
                    <a:noFill/>
                  </pic:spPr>
                </pic:pic>
              </a:graphicData>
            </a:graphic>
          </wp:anchor>
        </w:drawing>
      </w:r>
    </w:p>
    <w:p>
      <w:pPr>
        <w:spacing w:after="0" w:line="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Liyuan Woo</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upperLetter"/>
      <w:start w:val="6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58" Type="http://schemas.openxmlformats.org/officeDocument/2006/relationships/hyperlink" Target="http://www.sec.gov/Archives/edgar/data/1818093/000121390020041690/ea131234ex2-1_vesperhealth.htm" TargetMode="External"/><Relationship Id="rId59" Type="http://schemas.openxmlformats.org/officeDocument/2006/relationships/hyperlink" Target="http://www.sec.gov/Archives/edgar/data/1818093/000119312521156433/d422189dex31.htm" TargetMode="External"/><Relationship Id="rId60" Type="http://schemas.openxmlformats.org/officeDocument/2006/relationships/hyperlink" Target="http://www.sec.gov/Archives/edgar/data/1818093/000119312521156433/d422189dex32.htm" TargetMode="External"/><Relationship Id="rId61" Type="http://schemas.openxmlformats.org/officeDocument/2006/relationships/hyperlink" Target="https://www.sec.gov/Archives/edgar/data/1818093/000181809323000013/axex101firstamendmenttoexe.htm" TargetMode="External"/><Relationship Id="rId62" Type="http://schemas.openxmlformats.org/officeDocument/2006/relationships/hyperlink" Target="https://www.sec.gov/Archives/edgar/data/1818093/000181809323000014/axex101hauserpromotionle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2023-08-09T15:23:34Z</dcterms:created>
  <dcterms:modified xsi:type="dcterms:W3CDTF">2023-08-09T15:23:34Z</dcterms:modified>
</cp:coreProperties>
</file>