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10,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10, 2026, SkinHealth Systems Inc. (the "Company") held its annual meeting of stockholders (the "Annual Meeting") in a virtual format. At the close of business on April 16, 2026, the record date for the Annual Meeting (the "Record Date"), there were 129,584,184 shares of the Company’s Class A Common Stock, par value $0.0001 per share ("Class A Common Stock") issued and outstanding, which constituted all of the issued and outstanding capital stock of the Company as of the Record Date. At the Annual Meeting, 93,406,914 of the Company’s 129,584,184 outstanding shares of Class A Common Stock entitled to vote as of the Record Date, or approximately 72.08%, were present virtually or represented by proxy, and, therefore, a quorum was present.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three proposals voted on at the Annual Meeting are more fully described in the Definitive Proxy Statement on Schedule 14A filed by the Company with the Securities and Exchange Commission on April 24, 2026 (the "Proxy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final voting results on the proposals presented for stockholder approval at the Annual Meeting are as follows: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Proposal No. 1: Election of Nine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stockholders elected the nine directors listed below, each to serve for a term of one year, expiring at the Company's 2027 annual meeting of stockholders or until his or her successor is duly appointed or elected and qualified or until his or her earlier death, resignation, or removal from office, as follows:</w:t>
      </w:r>
    </w:p>
    <w:p>
      <w:pPr>
        <w:pStyle w:val="TextBody"/>
        <w:bidi w:val="0"/>
        <w:spacing w:before="0" w:after="0"/>
        <w:jc w:val="left"/>
        <w:rPr/>
      </w:pPr>
      <w:r>
        <w:rPr/>
      </w:r>
    </w:p>
    <w:tbl>
      <w:tblPr>
        <w:tblW w:w="6893" w:type="dxa"/>
        <w:jc w:val="left"/>
        <w:tblInd w:w="0" w:type="dxa"/>
        <w:tblLayout w:type="fixed"/>
        <w:tblCellMar>
          <w:top w:w="28" w:type="dxa"/>
          <w:left w:w="28" w:type="dxa"/>
          <w:bottom w:w="28" w:type="dxa"/>
          <w:right w:w="28" w:type="dxa"/>
        </w:tblCellMar>
      </w:tblPr>
      <w:tblGrid>
        <w:gridCol w:w="781"/>
        <w:gridCol w:w="687"/>
        <w:gridCol w:w="692"/>
        <w:gridCol w:w="109"/>
        <w:gridCol w:w="109"/>
        <w:gridCol w:w="109"/>
        <w:gridCol w:w="344"/>
        <w:gridCol w:w="344"/>
        <w:gridCol w:w="348"/>
        <w:gridCol w:w="109"/>
        <w:gridCol w:w="109"/>
        <w:gridCol w:w="109"/>
        <w:gridCol w:w="343"/>
        <w:gridCol w:w="343"/>
        <w:gridCol w:w="350"/>
        <w:gridCol w:w="109"/>
        <w:gridCol w:w="109"/>
        <w:gridCol w:w="109"/>
        <w:gridCol w:w="492"/>
        <w:gridCol w:w="492"/>
        <w:gridCol w:w="69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Nominees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Brenton L. Saunders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64,713,062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7,259,415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Pedro Malha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70,933,549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1,038,928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 Scott Beattie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61,017,737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10,954,740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J. Fanning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68,732,826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3,239,651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Michelle Kerrick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70,684,772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1,287,705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Brian Miller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56,555,107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15,417,370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Doug Schillinger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61,107,166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10,865,311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Sachin Shridharani,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71,317,162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655,315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Tripp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71,078,056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894,421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Proposal No. 2: Ratification of Appointment of Independent Registered Public Accounting Firm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stockholders ratified the appointment of Deloitte &amp; Touche LLP as the Company’s independent, registered public accounting firm for the fiscal year ending December 31, 2026, as follows:</w:t>
      </w:r>
    </w:p>
    <w:p>
      <w:pPr>
        <w:pStyle w:val="TextBody"/>
        <w:bidi w:val="0"/>
        <w:spacing w:before="0" w:after="0"/>
        <w:jc w:val="left"/>
        <w:rPr/>
      </w:pPr>
      <w:r>
        <w:rPr/>
      </w:r>
    </w:p>
    <w:tbl>
      <w:tblPr>
        <w:tblW w:w="5574"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259"/>
        <w:gridCol w:w="259"/>
        <w:gridCol w:w="263"/>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93,125,701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235,673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Proposal No. 3: Advisory Vote on the Compensation of the Named Executive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stockholders approved, on an advisory, non-binding basis, the compensation paid by the Company to its named executive officers as disclosed in the Proxy Statement,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829"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344"/>
        <w:gridCol w:w="344"/>
        <w:gridCol w:w="348"/>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58,604,735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12,346,541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1,021,201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21,434,437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4866" w:type="dxa"/>
        <w:jc w:val="left"/>
        <w:tblInd w:w="0" w:type="dxa"/>
        <w:tblLayout w:type="fixed"/>
        <w:tblCellMar>
          <w:top w:w="28" w:type="dxa"/>
          <w:left w:w="28" w:type="dxa"/>
          <w:bottom w:w="28" w:type="dxa"/>
          <w:right w:w="28" w:type="dxa"/>
        </w:tblCellMar>
      </w:tblPr>
      <w:tblGrid>
        <w:gridCol w:w="667"/>
        <w:gridCol w:w="586"/>
        <w:gridCol w:w="592"/>
        <w:gridCol w:w="337"/>
        <w:gridCol w:w="337"/>
        <w:gridCol w:w="337"/>
        <w:gridCol w:w="583"/>
        <w:gridCol w:w="583"/>
        <w:gridCol w:w="844"/>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June 16, 2026</w:t>
            </w:r>
          </w:p>
        </w:tc>
        <w:tc>
          <w:tcPr>
            <w:tcW w:w="30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763</Words>
  <Characters>4285</Characters>
  <CharactersWithSpaces>4974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