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31F20"/>
          <w:sz w:val="36"/>
        </w:rPr>
      </w:pPr>
      <w:r>
        <w:rPr>
          <w:rFonts w:ascii="Times New Roman;serif" w:hAnsi="Times New Roman;serif"/>
          <w:b/>
          <w:color w:val="231F20"/>
          <w:sz w:val="36"/>
        </w:rPr>
        <w:t>UNITED STATES</w:t>
      </w:r>
    </w:p>
    <w:p>
      <w:pPr>
        <w:pStyle w:val="TextBody"/>
        <w:bidi w:val="0"/>
        <w:spacing w:lineRule="auto" w:line="288" w:before="0" w:after="0"/>
        <w:jc w:val="center"/>
        <w:rPr>
          <w:rFonts w:ascii="Times New Roman;serif" w:hAnsi="Times New Roman;serif"/>
          <w:b/>
          <w:color w:val="231F20"/>
          <w:sz w:val="36"/>
        </w:rPr>
      </w:pPr>
      <w:r>
        <w:rPr>
          <w:rFonts w:ascii="Times New Roman;serif" w:hAnsi="Times New Roman;serif"/>
          <w:b/>
          <w:color w:val="231F20"/>
          <w:sz w:val="36"/>
        </w:rPr>
        <w:t>SECURITIES AND EXCHANGE COMMISSION</w:t>
      </w:r>
    </w:p>
    <w:p>
      <w:pPr>
        <w:pStyle w:val="TextBody"/>
        <w:bidi w:val="0"/>
        <w:spacing w:lineRule="auto" w:line="288" w:before="0" w:after="0"/>
        <w:jc w:val="center"/>
        <w:rPr>
          <w:rFonts w:ascii="Times New Roman;serif" w:hAnsi="Times New Roman;serif"/>
          <w:b/>
          <w:color w:val="231F20"/>
          <w:sz w:val="28"/>
        </w:rPr>
      </w:pPr>
      <w:r>
        <w:rPr>
          <w:rFonts w:ascii="Times New Roman;serif" w:hAnsi="Times New Roman;serif"/>
          <w:b/>
          <w:color w:val="231F2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Times New Roman;serif" w:hAnsi="Times New Roman;serif"/>
          <w:b/>
          <w:color w:val="231F20"/>
          <w:sz w:val="36"/>
        </w:rPr>
      </w:pPr>
      <w:r>
        <w:rPr>
          <w:rFonts w:ascii="Times New Roman;serif" w:hAnsi="Times New Roman;serif"/>
          <w:b/>
          <w:color w:val="231F2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57" w:after="283"/>
        <w:jc w:val="center"/>
        <w:rPr/>
      </w:pPr>
      <w:r>
        <w:rPr>
          <w:rFonts w:ascii="Times New Roman;serif" w:hAnsi="Times New Roman;serif"/>
          <w:b/>
          <w:color w:val="000000"/>
          <w:sz w:val="18"/>
        </w:rPr>
        <w:t>For the quarterly period ended September 30, 2025</w:t>
      </w:r>
      <w:r>
        <w:rPr>
          <w:color w:val="000000"/>
        </w:rPr>
        <w:t> </w:t>
      </w:r>
    </w:p>
    <w:p>
      <w:pPr>
        <w:pStyle w:val="TextBody"/>
        <w:bidi w:val="0"/>
        <w:spacing w:lineRule="auto" w:line="288" w:before="57" w:after="283"/>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color w:val="000000"/>
          <w:sz w:val="18"/>
        </w:rPr>
        <w:t>For the transition period from __________ to</w:t>
      </w:r>
      <w:r>
        <w:rPr>
          <w:color w:val="000000"/>
        </w:rPr>
        <w:t> </w:t>
      </w:r>
      <w:r>
        <w:rPr>
          <w:rFonts w:ascii="Times New Roman;serif" w:hAnsi="Times New Roman;serif"/>
          <w:b/>
          <w:color w:val="000000"/>
          <w:sz w:val="18"/>
        </w:rPr>
        <w:t>__________.</w:t>
      </w:r>
    </w:p>
    <w:p>
      <w:pPr>
        <w:pStyle w:val="TextBody"/>
        <w:bidi w:val="0"/>
        <w:spacing w:lineRule="auto" w:line="288" w:before="57" w:after="283"/>
        <w:jc w:val="center"/>
        <w:rPr/>
      </w:pPr>
      <w:r>
        <w:rPr>
          <w:rFonts w:ascii="Times New Roman;serif" w:hAnsi="Times New Roman;serif"/>
          <w:b/>
          <w:color w:val="000000"/>
          <w:sz w:val="18"/>
        </w:rPr>
        <w:t>Commission File Number: 001-39565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color w:val="000000"/>
          <w:sz w:val="40"/>
        </w:rPr>
        <w:t>The Beauty Health Company</w:t>
      </w:r>
      <w:r>
        <w:rPr>
          <w:color w:val="231F20"/>
        </w:rPr>
        <w:t xml:space="preserv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9551" w:type="dxa"/>
        <w:jc w:val="center"/>
        <w:tblInd w:w="0" w:type="dxa"/>
        <w:tblLayout w:type="fixed"/>
        <w:tblCellMar>
          <w:top w:w="28" w:type="dxa"/>
          <w:left w:w="28" w:type="dxa"/>
          <w:bottom w:w="28" w:type="dxa"/>
          <w:right w:w="28" w:type="dxa"/>
        </w:tblCellMar>
      </w:tblPr>
      <w:tblGrid>
        <w:gridCol w:w="1780"/>
        <w:gridCol w:w="1566"/>
        <w:gridCol w:w="1573"/>
        <w:gridCol w:w="109"/>
        <w:gridCol w:w="109"/>
        <w:gridCol w:w="109"/>
        <w:gridCol w:w="1257"/>
        <w:gridCol w:w="1257"/>
        <w:gridCol w:w="1791"/>
      </w:tblGrid>
      <w:tr>
        <w:trPr/>
        <w:tc>
          <w:tcPr>
            <w:tcW w:w="178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2165 Spring Street</w:t>
            </w:r>
          </w:p>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Long Beach, CA 90806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231F20"/>
                <w:sz w:val="20"/>
              </w:rPr>
            </w:pPr>
            <w:r>
              <w:rPr>
                <w:rFonts w:ascii="Times New Roman;serif" w:hAnsi="Times New Roman;serif"/>
                <w:b/>
                <w:color w:val="231F20"/>
                <w:sz w:val="20"/>
              </w:rPr>
              <w:t>(800) 603-4996</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231F20"/>
          <w:sz w:val="20"/>
        </w:rPr>
      </w:pPr>
      <w:r>
        <w:rPr>
          <w:rFonts w:ascii="Times New Roman;serif" w:hAnsi="Times New Roman;serif"/>
          <w:b/>
          <w:color w:val="231F20"/>
          <w:sz w:val="20"/>
        </w:rPr>
        <w:t xml:space="preserve">Securities registered pursuant to Section 12(b) of the Act: </w:t>
      </w:r>
    </w:p>
    <w:tbl>
      <w:tblPr>
        <w:tblW w:w="9966"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November 3, 2025, there were 127,503,059 shares of Class A Common Stock, par value $0.0001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BEAUTY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FOR THE QUARTER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tbl>
      <w:tblPr>
        <w:tblW w:w="9562" w:type="dxa"/>
        <w:jc w:val="left"/>
        <w:tblInd w:w="0" w:type="dxa"/>
        <w:tblLayout w:type="fixed"/>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13">
              <w:r>
                <w:rPr>
                  <w:rStyle w:val="InternetLink"/>
                  <w:rFonts w:ascii="Times New Roman;serif" w:hAnsi="Times New Roman;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13">
              <w:r>
                <w:rPr>
                  <w:rStyle w:val="InternetLink"/>
                  <w:rFonts w:ascii="Times New Roman;serif" w:hAnsi="Times New Roman;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16">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16">
              <w:r>
                <w:rPr>
                  <w:rStyle w:val="InternetLink"/>
                  <w:rFonts w:ascii="Times New Roman;serif" w:hAnsi="Times New Roman;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19">
              <w:r>
                <w:rPr>
                  <w:rStyle w:val="InternetLink"/>
                  <w:rFonts w:ascii="Times New Roman;serif" w:hAnsi="Times New Roman;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19">
              <w:r>
                <w:rPr>
                  <w:rStyle w:val="InternetLink"/>
                  <w:rFonts w:ascii="Times New Roman;serif" w:hAnsi="Times New Roman;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2">
              <w:r>
                <w:rPr>
                  <w:rStyle w:val="InternetLink"/>
                  <w:rFonts w:ascii="Times New Roman;serif" w:hAnsi="Times New Roman;serif"/>
                  <w:b w:val="false"/>
                  <w:color w:val="0000FF"/>
                  <w:sz w:val="20"/>
                  <w:u w:val="single"/>
                </w:rPr>
                <w:t>Condensed Consolidated Statements of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2">
              <w:r>
                <w:rPr>
                  <w:rStyle w:val="InternetLink"/>
                  <w:rFonts w:ascii="Times New Roman;serif" w:hAnsi="Times New Roman;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8">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8">
              <w:r>
                <w:rPr>
                  <w:rStyle w:val="InternetLink"/>
                  <w:rFonts w:ascii="Times New Roman;serif" w:hAnsi="Times New Roman;serif"/>
                  <w:b w:val="false"/>
                  <w:color w:val="0000FF"/>
                  <w:sz w:val="20"/>
                  <w:u w:val="single"/>
                </w:rPr>
                <w:t>7</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31">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31">
              <w:r>
                <w:rPr>
                  <w:rStyle w:val="InternetLink"/>
                  <w:rFonts w:ascii="Times New Roman;serif" w:hAnsi="Times New Roman;serif"/>
                  <w:b w:val="false"/>
                  <w:color w:val="0000FF"/>
                  <w:sz w:val="20"/>
                  <w:u w:val="single"/>
                </w:rPr>
                <w:t>8</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0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08">
              <w:r>
                <w:rPr>
                  <w:rStyle w:val="InternetLink"/>
                  <w:rFonts w:ascii="Times New Roman;serif" w:hAnsi="Times New Roman;serif"/>
                  <w:b w:val="false"/>
                  <w:color w:val="0000FF"/>
                  <w:sz w:val="20"/>
                  <w:u w:val="single"/>
                </w:rPr>
                <w:t>24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59">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59">
              <w:r>
                <w:rPr>
                  <w:rStyle w:val="InternetLink"/>
                  <w:rFonts w:ascii="Times New Roman;serif" w:hAnsi="Times New Roman;serif"/>
                  <w:b w:val="false"/>
                  <w:color w:val="0000FF"/>
                  <w:sz w:val="20"/>
                  <w:u w:val="single"/>
                </w:rPr>
                <w:t>34</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62">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62">
              <w:r>
                <w:rPr>
                  <w:rStyle w:val="InternetLink"/>
                  <w:rFonts w:ascii="Times New Roman;serif" w:hAnsi="Times New Roman;serif"/>
                  <w:b w:val="false"/>
                  <w:color w:val="0000FF"/>
                  <w:sz w:val="20"/>
                  <w:u w:val="single"/>
                </w:rPr>
                <w:t>34</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68">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68">
              <w:r>
                <w:rPr>
                  <w:rStyle w:val="InternetLink"/>
                  <w:rFonts w:ascii="Times New Roman;serif" w:hAnsi="Times New Roman;serif"/>
                  <w:b w:val="false"/>
                  <w:color w:val="0000FF"/>
                  <w:sz w:val="20"/>
                  <w:u w:val="single"/>
                </w:rPr>
                <w:t>36</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71">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71">
              <w:r>
                <w:rPr>
                  <w:rStyle w:val="InternetLink"/>
                  <w:rFonts w:ascii="Times New Roman;serif" w:hAnsi="Times New Roman;serif"/>
                  <w:b w:val="false"/>
                  <w:color w:val="0000FF"/>
                  <w:sz w:val="20"/>
                  <w:u w:val="single"/>
                </w:rPr>
                <w:t>42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74">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74">
              <w:r>
                <w:rPr>
                  <w:rStyle w:val="InternetLink"/>
                  <w:rFonts w:ascii="Times New Roman;serif" w:hAnsi="Times New Roman;serif"/>
                  <w:b w:val="false"/>
                  <w:color w:val="0000FF"/>
                  <w:sz w:val="20"/>
                  <w:u w:val="single"/>
                </w:rPr>
                <w:t>43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80">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80">
              <w:r>
                <w:rPr>
                  <w:rStyle w:val="InternetLink"/>
                  <w:rFonts w:ascii="Times New Roman;serif" w:hAnsi="Times New Roman;serif"/>
                  <w:b w:val="false"/>
                  <w:color w:val="0000FF"/>
                  <w:sz w:val="20"/>
                  <w:u w:val="single"/>
                </w:rPr>
                <w:t>43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83">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83">
              <w:r>
                <w:rPr>
                  <w:rStyle w:val="InternetLink"/>
                  <w:rFonts w:ascii="Times New Roman;serif" w:hAnsi="Times New Roman;serif"/>
                  <w:b w:val="false"/>
                  <w:color w:val="0000FF"/>
                  <w:sz w:val="20"/>
                  <w:u w:val="single"/>
                </w:rPr>
                <w:t>43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86">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86">
              <w:r>
                <w:rPr>
                  <w:rStyle w:val="InternetLink"/>
                  <w:rFonts w:ascii="Times New Roman;serif" w:hAnsi="Times New Roman;serif"/>
                  <w:b w:val="false"/>
                  <w:color w:val="0000FF"/>
                  <w:sz w:val="20"/>
                  <w:u w:val="single"/>
                </w:rPr>
                <w:t>43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89">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d97ceade30429b8e2816647032a2c3_289">
              <w:r>
                <w:rPr>
                  <w:rStyle w:val="InternetLink"/>
                  <w:rFonts w:ascii="Times New Roman;serif" w:hAnsi="Times New Roman;serif"/>
                  <w:b w:val="false"/>
                  <w:color w:val="0000FF"/>
                  <w:sz w:val="20"/>
                  <w:u w:val="single"/>
                </w:rPr>
                <w:t>44</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d97ceade30429b8e2816647032a2c3_292">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BEAUTY HEALTH COMPANY</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28"/>
        <w:gridCol w:w="2173"/>
        <w:gridCol w:w="2115"/>
        <w:gridCol w:w="242"/>
        <w:gridCol w:w="951"/>
        <w:gridCol w:w="125"/>
        <w:gridCol w:w="109"/>
        <w:gridCol w:w="109"/>
        <w:gridCol w:w="109"/>
        <w:gridCol w:w="237"/>
        <w:gridCol w:w="930"/>
        <w:gridCol w:w="177"/>
      </w:tblGrid>
      <w:tr>
        <w:trPr/>
        <w:tc>
          <w:tcPr>
            <w:tcW w:w="292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assets: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370,063</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231F20"/>
                <w:sz w:val="20"/>
              </w:rPr>
            </w:pPr>
            <w:r>
              <w:rPr>
                <w:rFonts w:ascii="Times New Roman;serif" w:hAnsi="Times New Roman;serif"/>
                <w:b w:val="false"/>
                <w:color w:val="231F20"/>
                <w:sz w:val="20"/>
              </w:rPr>
              <w:t>Accounts receivable, net of allowances for estimated credit losses of $7,429 and $9,597 at September 30, 2025 and December 31, 2024, respectively</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27,643</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Inventories </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69,113</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Income tax receivable </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818</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 and other current assets</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9,487</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308,367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477,124</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5,978</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net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13,590</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Intangible assets, net </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47,512</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123,499</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assets, net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3,894</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Other assets </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14,086</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503,636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685,683</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erif" w:hAnsi="Times New Roman;serif"/>
                <w:b/>
                <w:color w:val="231F20"/>
                <w:sz w:val="20"/>
              </w:rPr>
            </w:pPr>
            <w:r>
              <w:rPr>
                <w:rFonts w:ascii="Times New Roman;serif" w:hAnsi="Times New Roman;serif"/>
                <w:b/>
                <w:color w:val="231F20"/>
                <w:sz w:val="20"/>
              </w:rPr>
              <w:t>LIABILITIES AND STOCKHOLDERS’ EQUITY</w:t>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liabilities: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21,941</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17,636</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current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5,147</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payable</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3,426</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accrued expenses</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20,002</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current liabilities </w:t>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68,152</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non-current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10,813</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Deferred income tax liabilities, net </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396</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Warrant liabilities </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488</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Convertible senior notes, net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363,388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552,198</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1,833</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437,976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633,880</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(Note 6) </w:t>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Class A Common Stock, $0.0001 par value; 320,000,000 shares authorized; 127,301,264 and 124,924,185 shares issued and outstanding at September 30, 2025 and December 31, 2024, respectively</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Additional paid-in capital </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576,802 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566,709 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other comprehensive loss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deficit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(509,380)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(507,965)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65,660 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51,803 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color w:val="231F20"/>
                <w:sz w:val="20"/>
              </w:rPr>
            </w:pPr>
            <w:r>
              <w:rPr>
                <w:rFonts w:ascii="Times New Roman;serif" w:hAnsi="Times New Roman;serif"/>
                <w:b/>
                <w:color w:val="231F20"/>
                <w:sz w:val="20"/>
              </w:rPr>
              <w:t>TOTAL LIABILITIES AND STOCKHOLDERS’ EQUITY</w:t>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503,636 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685,683 </w:t>
            </w:r>
          </w:p>
        </w:tc>
        <w:tc>
          <w:tcPr>
            <w:tcW w:w="1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BEAUTY HEALTH COMPANY</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COMPREHENSIVE INCOME (LOSS)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73"/>
        <w:gridCol w:w="1173"/>
        <w:gridCol w:w="1178"/>
        <w:gridCol w:w="268"/>
        <w:gridCol w:w="918"/>
        <w:gridCol w:w="120"/>
        <w:gridCol w:w="120"/>
        <w:gridCol w:w="120"/>
        <w:gridCol w:w="120"/>
        <w:gridCol w:w="268"/>
        <w:gridCol w:w="918"/>
        <w:gridCol w:w="120"/>
        <w:gridCol w:w="109"/>
        <w:gridCol w:w="109"/>
        <w:gridCol w:w="109"/>
        <w:gridCol w:w="241"/>
        <w:gridCol w:w="945"/>
        <w:gridCol w:w="109"/>
        <w:gridCol w:w="109"/>
        <w:gridCol w:w="109"/>
        <w:gridCol w:w="109"/>
        <w:gridCol w:w="241"/>
        <w:gridCol w:w="945"/>
        <w:gridCol w:w="109"/>
        <w:gridCol w:w="109"/>
        <w:gridCol w:w="156"/>
      </w:tblGrid>
      <w:tr>
        <w:trPr/>
        <w:tc>
          <w:tcPr>
            <w:tcW w:w="13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70,655 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78,802 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218,422 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38,153 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40,649 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20,928 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27,620 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29,250 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62,164 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164,291 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(6,242)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(21,515)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6,311 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(10,645)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(16,343)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(11,031)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(18,291)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Comprehensive (loss) income, net of tax:</w:t>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Comprehensive (loss) income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(10,610)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(19,444)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per share</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Weighted average common stock outstanding </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126,890,888 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124,057,602 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126,020,956 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123,630,811 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126,890,888 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124,057,602 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137,294,187 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142,667,209 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THE BEAUTY HEALTH COMPANY</w:t>
      </w:r>
    </w:p>
    <w:p>
      <w:pPr>
        <w:pStyle w:val="TextBody"/>
        <w:bidi w:val="0"/>
        <w:spacing w:lineRule="auto" w:line="288" w:before="0" w:after="0"/>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STOCKHOLDERS’ EQUITY</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7"/>
        <w:gridCol w:w="457"/>
        <w:gridCol w:w="458"/>
        <w:gridCol w:w="525"/>
        <w:gridCol w:w="526"/>
        <w:gridCol w:w="196"/>
        <w:gridCol w:w="109"/>
        <w:gridCol w:w="109"/>
        <w:gridCol w:w="109"/>
        <w:gridCol w:w="212"/>
        <w:gridCol w:w="359"/>
        <w:gridCol w:w="120"/>
        <w:gridCol w:w="109"/>
        <w:gridCol w:w="109"/>
        <w:gridCol w:w="109"/>
        <w:gridCol w:w="215"/>
        <w:gridCol w:w="810"/>
        <w:gridCol w:w="119"/>
        <w:gridCol w:w="109"/>
        <w:gridCol w:w="109"/>
        <w:gridCol w:w="109"/>
        <w:gridCol w:w="109"/>
        <w:gridCol w:w="109"/>
        <w:gridCol w:w="315"/>
        <w:gridCol w:w="918"/>
        <w:gridCol w:w="176"/>
        <w:gridCol w:w="109"/>
        <w:gridCol w:w="109"/>
        <w:gridCol w:w="109"/>
        <w:gridCol w:w="204"/>
        <w:gridCol w:w="792"/>
        <w:gridCol w:w="113"/>
        <w:gridCol w:w="109"/>
        <w:gridCol w:w="109"/>
        <w:gridCol w:w="109"/>
        <w:gridCol w:w="244"/>
        <w:gridCol w:w="806"/>
        <w:gridCol w:w="200"/>
      </w:tblGrid>
      <w:tr>
        <w:trPr/>
        <w:tc>
          <w:tcPr>
            <w:tcW w:w="58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122,899,002 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(478,867)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6,636 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123,453,419 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(479,546)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123,993,785 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553,420 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(479,344)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124,111,434 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(497,635)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62"/>
        <w:gridCol w:w="434"/>
        <w:gridCol w:w="435"/>
        <w:gridCol w:w="525"/>
        <w:gridCol w:w="526"/>
        <w:gridCol w:w="196"/>
        <w:gridCol w:w="109"/>
        <w:gridCol w:w="109"/>
        <w:gridCol w:w="109"/>
        <w:gridCol w:w="212"/>
        <w:gridCol w:w="359"/>
        <w:gridCol w:w="120"/>
        <w:gridCol w:w="109"/>
        <w:gridCol w:w="109"/>
        <w:gridCol w:w="109"/>
        <w:gridCol w:w="213"/>
        <w:gridCol w:w="801"/>
        <w:gridCol w:w="118"/>
        <w:gridCol w:w="109"/>
        <w:gridCol w:w="109"/>
        <w:gridCol w:w="109"/>
        <w:gridCol w:w="109"/>
        <w:gridCol w:w="109"/>
        <w:gridCol w:w="324"/>
        <w:gridCol w:w="945"/>
        <w:gridCol w:w="181"/>
        <w:gridCol w:w="109"/>
        <w:gridCol w:w="109"/>
        <w:gridCol w:w="109"/>
        <w:gridCol w:w="203"/>
        <w:gridCol w:w="787"/>
        <w:gridCol w:w="113"/>
        <w:gridCol w:w="109"/>
        <w:gridCol w:w="109"/>
        <w:gridCol w:w="109"/>
        <w:gridCol w:w="253"/>
        <w:gridCol w:w="837"/>
        <w:gridCol w:w="208"/>
      </w:tblGrid>
      <w:tr>
        <w:trPr/>
        <w:tc>
          <w:tcPr>
            <w:tcW w:w="5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124,924,185 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566,709 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(507,965)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125,246,286 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(518,061)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19,712 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2,091,026 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126,764,562 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(498,349)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774,465 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127,301,264 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576,802 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(509,380)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THE BEAUTY HEALTH COMPANY</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72" w:type="dxa"/>
        <w:jc w:val="center"/>
        <w:tblInd w:w="0" w:type="dxa"/>
        <w:tblLayout w:type="fixed"/>
        <w:tblCellMar>
          <w:top w:w="28" w:type="dxa"/>
          <w:left w:w="28" w:type="dxa"/>
          <w:bottom w:w="28" w:type="dxa"/>
          <w:right w:w="28" w:type="dxa"/>
        </w:tblCellMar>
      </w:tblPr>
      <w:tblGrid>
        <w:gridCol w:w="1815"/>
        <w:gridCol w:w="1591"/>
        <w:gridCol w:w="1603"/>
        <w:gridCol w:w="228"/>
        <w:gridCol w:w="857"/>
        <w:gridCol w:w="126"/>
        <w:gridCol w:w="126"/>
        <w:gridCol w:w="126"/>
        <w:gridCol w:w="126"/>
        <w:gridCol w:w="228"/>
        <w:gridCol w:w="857"/>
        <w:gridCol w:w="126"/>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operating activities: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Adjustments to reconcile net loss to net cash from operating activities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Share-based compensation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intangible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Depreciation of property and equipment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other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debt issuance costs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Inventory write-down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Provision for estimated credit losses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 in fair value of warrant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Gain on exchange and repurchases of convertible senior notes,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income taxes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Changes in operating assets and liabilities: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receivable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Prepaid expenses, other current assets, and income tax receivable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payable, accrued expenses, and income tax payable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provided by (used for) operating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22,289 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(338)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investing activities:</w:t>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intangible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property and equipment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investing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(3,781)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(5,932)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financing activities:</w:t>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 in connection with exchange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(392,583)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Issuance of 2028 Notes in connection with exchange,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Payment of tax withholdings on vested stock awards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financing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(174,414)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(157,571)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change in cash, cash equivalents, and restricted cash</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(155,906)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(163,841)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Effect of foreign currency translation on cash</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beginning of period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end of period</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358,892 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BEAUTY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Beauty Health Company (the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w:t>
      </w:r>
      <w:r>
        <w:rPr>
          <w:color w:val="231F20"/>
        </w:rPr>
        <w:t xml:space="preserve"> </w:t>
      </w:r>
      <w:r>
        <w:rPr>
          <w:rFonts w:ascii="Times New Roman;serif" w:hAnsi="Times New Roman;serif"/>
          <w:b w:val="false"/>
          <w:color w:val="231F20"/>
          <w:sz w:val="20"/>
        </w:rPr>
        <w:t>The Company’s brands are pioneers: Hydrafacial in hydradermabrasion; SkinStylus in nanoneedling and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interim financial statements should be read in conjunction with the audited consolidated financial statements and notes thereto included in, or presented as exhibits to,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Balance Sheet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Inventories consist of the following as of the periods indicated:</w:t>
      </w:r>
    </w:p>
    <w:p>
      <w:pPr>
        <w:pStyle w:val="TextBody"/>
        <w:bidi w:val="0"/>
        <w:spacing w:before="0" w:after="0"/>
        <w:jc w:val="left"/>
        <w:rPr/>
      </w:pPr>
      <w:r>
        <w:rPr/>
      </w:r>
    </w:p>
    <w:tbl>
      <w:tblPr>
        <w:tblW w:w="4975" w:type="dxa"/>
        <w:jc w:val="left"/>
        <w:tblInd w:w="0" w:type="dxa"/>
        <w:tblLayout w:type="fixed"/>
        <w:tblCellMar>
          <w:top w:w="28" w:type="dxa"/>
          <w:left w:w="28" w:type="dxa"/>
          <w:bottom w:w="28" w:type="dxa"/>
          <w:right w:w="28" w:type="dxa"/>
        </w:tblCellMar>
      </w:tblPr>
      <w:tblGrid>
        <w:gridCol w:w="564"/>
        <w:gridCol w:w="497"/>
        <w:gridCol w:w="498"/>
        <w:gridCol w:w="313"/>
        <w:gridCol w:w="1070"/>
        <w:gridCol w:w="161"/>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Raw materials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23,001 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Finished goods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43,094 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inventories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56,146 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69,113 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 consist of the following as of the periods indicated:</w:t>
      </w:r>
    </w:p>
    <w:p>
      <w:pPr>
        <w:pStyle w:val="TextBody"/>
        <w:bidi w:val="0"/>
        <w:spacing w:before="0" w:after="0"/>
        <w:jc w:val="left"/>
        <w:rPr/>
      </w:pPr>
      <w:r>
        <w:rPr/>
      </w:r>
    </w:p>
    <w:tbl>
      <w:tblPr>
        <w:tblW w:w="6835" w:type="dxa"/>
        <w:jc w:val="left"/>
        <w:tblInd w:w="0" w:type="dxa"/>
        <w:tblLayout w:type="fixed"/>
        <w:tblCellMar>
          <w:top w:w="28" w:type="dxa"/>
          <w:left w:w="28" w:type="dxa"/>
          <w:bottom w:w="28" w:type="dxa"/>
          <w:right w:w="28" w:type="dxa"/>
        </w:tblCellMar>
      </w:tblPr>
      <w:tblGrid>
        <w:gridCol w:w="1234"/>
        <w:gridCol w:w="1087"/>
        <w:gridCol w:w="1098"/>
        <w:gridCol w:w="313"/>
        <w:gridCol w:w="1070"/>
        <w:gridCol w:w="161"/>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and payroll taxes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commissions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payroll-related expenses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Other accrued expenses consist of the following as of the periods indicated:</w:t>
      </w:r>
    </w:p>
    <w:p>
      <w:pPr>
        <w:pStyle w:val="TextBody"/>
        <w:bidi w:val="0"/>
        <w:spacing w:before="0" w:after="0"/>
        <w:jc w:val="left"/>
        <w:rPr/>
      </w:pPr>
      <w:r>
        <w:rPr/>
      </w:r>
    </w:p>
    <w:tbl>
      <w:tblPr>
        <w:tblW w:w="5890" w:type="dxa"/>
        <w:jc w:val="left"/>
        <w:tblInd w:w="0" w:type="dxa"/>
        <w:tblLayout w:type="fixed"/>
        <w:tblCellMar>
          <w:top w:w="28" w:type="dxa"/>
          <w:left w:w="28" w:type="dxa"/>
          <w:bottom w:w="28" w:type="dxa"/>
          <w:right w:w="28" w:type="dxa"/>
        </w:tblCellMar>
      </w:tblPr>
      <w:tblGrid>
        <w:gridCol w:w="895"/>
        <w:gridCol w:w="788"/>
        <w:gridCol w:w="791"/>
        <w:gridCol w:w="313"/>
        <w:gridCol w:w="1070"/>
        <w:gridCol w:w="161"/>
        <w:gridCol w:w="109"/>
        <w:gridCol w:w="109"/>
        <w:gridCol w:w="109"/>
        <w:gridCol w:w="300"/>
        <w:gridCol w:w="1026"/>
        <w:gridCol w:w="2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Sales and VAT tax payables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interest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Royalty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revenue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other accrued expenses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19,315 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20,002 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September 30, 2025 and December 31, 2024,</w:t>
      </w:r>
      <w:r>
        <w:rPr>
          <w:color w:val="000000"/>
        </w:rPr>
        <w:t xml:space="preserve"> </w:t>
      </w:r>
      <w:r>
        <w:rPr>
          <w:rFonts w:ascii="Times New Roman;serif" w:hAnsi="Times New Roman;serif"/>
          <w:b w:val="false"/>
          <w:color w:val="000000"/>
          <w:sz w:val="20"/>
        </w:rPr>
        <w:t>total warranty reserve was approximately $2 million and $4 million, respectively, which was included in other accrued expenses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September 30, 2025 and December 31, 2024, the Company has approximately $2 million in restricted cash held as collateral for the Company’s credit cards, which was included in cash, cash equivalents and restricted cash on the </w:t>
      </w:r>
      <w:r>
        <w:rPr>
          <w:rFonts w:ascii="Times New Roman;serif" w:hAnsi="Times New Roman;serif"/>
          <w:b w:val="false"/>
          <w:color w:val="000000"/>
          <w:sz w:val="20"/>
        </w:rPr>
        <w:t>Condensed Consolidated</w:t>
      </w:r>
      <w:r>
        <w:rPr>
          <w:color w:val="231F20"/>
        </w:rPr>
        <w:t xml:space="preserve"> </w:t>
      </w:r>
      <w:r>
        <w:rPr>
          <w:rFonts w:ascii="Times New Roman;serif" w:hAnsi="Times New Roman;serif"/>
          <w:b w:val="false"/>
          <w:color w:val="231F20"/>
          <w:sz w:val="20"/>
        </w:rPr>
        <w:t>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as of the periods indicated:</w:t>
      </w:r>
    </w:p>
    <w:tbl>
      <w:tblPr>
        <w:tblW w:w="10205" w:type="dxa"/>
        <w:jc w:val="left"/>
        <w:tblInd w:w="0" w:type="dxa"/>
        <w:tblLayout w:type="fixed"/>
        <w:tblCellMar>
          <w:top w:w="28" w:type="dxa"/>
          <w:left w:w="28" w:type="dxa"/>
          <w:bottom w:w="28" w:type="dxa"/>
          <w:right w:w="28" w:type="dxa"/>
        </w:tblCellMar>
      </w:tblPr>
      <w:tblGrid>
        <w:gridCol w:w="1483"/>
        <w:gridCol w:w="1307"/>
        <w:gridCol w:w="1317"/>
        <w:gridCol w:w="780"/>
        <w:gridCol w:w="780"/>
        <w:gridCol w:w="791"/>
        <w:gridCol w:w="109"/>
        <w:gridCol w:w="109"/>
        <w:gridCol w:w="109"/>
        <w:gridCol w:w="758"/>
        <w:gridCol w:w="392"/>
        <w:gridCol w:w="393"/>
        <w:gridCol w:w="109"/>
        <w:gridCol w:w="109"/>
        <w:gridCol w:w="109"/>
        <w:gridCol w:w="299"/>
        <w:gridCol w:w="1025"/>
        <w:gridCol w:w="226"/>
      </w:tblGrid>
      <w:tr>
        <w:trPr/>
        <w:tc>
          <w:tcPr>
            <w:tcW w:w="148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2351"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Useful life</w:t>
            </w:r>
          </w:p>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Leasehold improvements</w:t>
            </w:r>
          </w:p>
        </w:tc>
        <w:tc>
          <w:tcPr>
            <w:tcW w:w="2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Machinery and equipment</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Furniture and fixtures</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Computers and equipment</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Tooling</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Autos and trucks</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Construction in progress </w:t>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property and equipment </w:t>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31,478 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Less: accumulated depreciation and amortization</w:t>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(25,063)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(25,500)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5,978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changes in the carrying value of goodwill for the </w:t>
      </w:r>
      <w:r>
        <w:rPr>
          <w:rFonts w:ascii="Times New Roman;serif" w:hAnsi="Times New Roman;serif"/>
          <w:b w:val="false"/>
          <w:color w:val="000000"/>
          <w:sz w:val="20"/>
        </w:rPr>
        <w:t>nine months ended September 30, 2025</w:t>
      </w:r>
      <w:r>
        <w:rPr>
          <w:color w:val="231F20"/>
        </w:rPr>
        <w:t xml:space="preserve"> </w:t>
      </w:r>
      <w:r>
        <w:rPr>
          <w:rFonts w:ascii="Times New Roman;serif" w:hAnsi="Times New Roman;serif"/>
          <w:b w:val="false"/>
          <w:color w:val="231F20"/>
          <w:sz w:val="20"/>
        </w:rPr>
        <w:t>is as follows (in thousands):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September 30, 2025 were as follows:</w:t>
      </w:r>
    </w:p>
    <w:tbl>
      <w:tblPr>
        <w:tblW w:w="7762"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447"/>
        <w:gridCol w:w="453"/>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(77,995)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158,135 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37,981 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December 31, 2024 were as follows:</w:t>
      </w:r>
    </w:p>
    <w:tbl>
      <w:tblPr>
        <w:tblW w:w="7545"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901"/>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1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16,974</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47,512 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1.25% Convertible Senior Notes due October 1, 2026 (the “2026 Notes”). The 2026 Notes were issued pursuant to, and are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2024, there were no repurchases related to the 2026 Notes. During the nine months ended September 30, 2024, the Company repurchased $192.3 million principal amount of the 2026 Notes for $156.1 million and recognized a net gain of $33.4 million, which includes $2.8 million of unamortized debt issuance costs related to the repurchase.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repurchases related to the 2026 Notes. During the nine months ended September 30, 2025, the Company repurchased $20.0 million principal amount of the 2026 Notes for $18.4 million and recognized a net gain of $1.5 million, which includes $0.1 million of unamortized debt issuance costs related to the repurchase.</w:t>
      </w:r>
    </w:p>
    <w:p>
      <w:pPr>
        <w:pStyle w:val="TextBody"/>
        <w:bidi w:val="0"/>
        <w:spacing w:before="0" w:after="0"/>
        <w:jc w:val="left"/>
        <w:rPr/>
      </w:pPr>
      <w:r>
        <w:rPr/>
      </w:r>
    </w:p>
    <w:p>
      <w:pPr>
        <w:pStyle w:val="TextBody"/>
        <w:bidi w:val="0"/>
        <w:spacing w:lineRule="auto" w:line="288" w:before="0" w:after="120"/>
        <w:ind w:left="0" w:right="0" w:firstLine="180"/>
        <w:jc w:val="left"/>
        <w:rPr/>
      </w:pPr>
      <w:r>
        <w:rPr>
          <w:rFonts w:ascii="Times New Roman;serif" w:hAnsi="Times New Roman;serif"/>
          <w:b w:val="false"/>
          <w:i/>
          <w:color w:val="000000"/>
          <w:sz w:val="20"/>
          <w:shd w:fill="FFFFFF" w:val="clear"/>
        </w:rPr>
        <w:t>Convertible Senior Secured Notes - 2028</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privately negotiated exchange agreements (the “Exchange Agreements”) with certain holders (the “Exchanging Holders”) of the 2026 Notes (the “Existing Notes”). Pursuant to the Exchange Agreements, the Company exchanged and repurchased $413.2 million aggregate principal amount of the Existing Notes. Of the $413.2 million aggregate principal amount of the Existing Notes, $263.2 million principal amount were exchanged at a weighted-average price equal to 95% for $250.0 million principal amount of new 7.95% Convertible Senior Secured Notes due November 15, 2028 (the “2028 Notes”, and together with the 2026 Notes, the “Notes”), and $150.1 million principal amount were repurchased at a weighted-average price equal to 95% for $142.6 million. The exchange and repurchase resulted in a net gain of $16.6 million, which includes $3.1 million of unamortized debt issuance costs and $0.9 million of other related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27, 2025, the Company issued the 2028 Notes to the Exchanging Holders. The 2028 Notes were issued pursuant to, and are governed by, an indenture (the “2028 Indenture”), dated as of May 27, 2025, between the Company, the guarantors party thereto, and U.S. Bank Trust Company, National Association, as trustee and collateral agent.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are the Company’s senior, secured obligations and are guaranteed by certain of the Company’s subsidiaries (including the Company’s material domestic, wholly-owned subsidiaries) and are secured on a first-priority basis by substantially all assets of the Company and such guarantors, subject to certain exceptions. The 2028 Notes will accrue interest at a rate of 7.95% per annum, payable semi-annually in arrears on May 15 and November 15 of each year, beginning on November 15, 2025. The 2028 Notes will mature on November 15, 2028 (the “Maturity Date”), unless earlier repurchased, redeemed or converted. Subject to certain restrictions, noteholders may convert their 2028 Notes at any time at their election until the close of business on the second scheduled trading day immediately before the Maturity Date. The initial conversion rate is 349.6503 shares of Class A Common Stock per $1,000 principal amount of 2028 Notes, which represents an initial conversion price of approximately $2.86 per share of Class A Common Stock. The conversion rate and conversion price is subject to adjustment upon the occurrence of certain events. The Company will settle conversions by paying or delivering, as applicable, cash, shares of its Class A Common Stock or a combination of cash and shares of its Class A Common Stock, at the Company’s election. In addition, if certain corporate events that constitute a “Make-Whole Fundamental Change” (as defined in the 2028 Indenture) occur, then the conversion rate will, in certain circumstances, be increased for a specified period of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will be redeemable, in whole or in part (subject to certain limitations described below), at the Company’s option at any time, and from time to time, on or after September 1, 2028, and on or before the 40th scheduled trading day immediately before the Maturity Date, but only if certain liquidity conditions are satisfied. The redemption price will be a cash amount equal to the principal amount of the 2028 Notes to be redeemed, plus accrued and unpaid interest, if any, to, but excluding, the redemption date. In addition, the calling of any 2028 Notes for redemption will constitute a Make-Whole Fundamental Change with respect to that 2028 Note, in which case the conversion rate applicable to the conversion of that 2028 Note will be increased in certain circumstances if it is converted after it is called for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certain corporate events that constitute a “Fundamental Change” (as defined in the 2028 Indenture) occur, then, subject to a limited exception, noteholders may require the Company to repurchase their 2028 Notes at a cash repurchase price equal to the principal amount of the 2028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Class A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2028 Indenture also contains a number of restrictive covenants and limitations, including restrictions on the Company’s ability to incur certain indebtedness and other limitations on liens, investments and restricted payments, as further described in the 2028 Indenture.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incurred $11.4 million of debt issuance costs related to the exchange and repurchase of the Existing Notes, which was recorded as a reduction to convertible senior notes, net on the Condensed Consolidated Balance Sheets. The debt issuance costs are being amortized over the term of the 2028 Notes using the effective interest method. Additionally, the Company incurred $0.9 million of other fees related to the exchange and repurchase of the Existing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is a summary of the Company’s Notes for the periods indicated:</w:t>
      </w:r>
    </w:p>
    <w:tbl>
      <w:tblPr>
        <w:tblW w:w="6176" w:type="dxa"/>
        <w:jc w:val="left"/>
        <w:tblInd w:w="0" w:type="dxa"/>
        <w:tblLayout w:type="fixed"/>
        <w:tblCellMar>
          <w:top w:w="28" w:type="dxa"/>
          <w:left w:w="28" w:type="dxa"/>
          <w:bottom w:w="28" w:type="dxa"/>
          <w:right w:w="28" w:type="dxa"/>
        </w:tblCellMar>
      </w:tblPr>
      <w:tblGrid>
        <w:gridCol w:w="997"/>
        <w:gridCol w:w="879"/>
        <w:gridCol w:w="884"/>
        <w:gridCol w:w="284"/>
        <w:gridCol w:w="1114"/>
        <w:gridCol w:w="147"/>
        <w:gridCol w:w="109"/>
        <w:gridCol w:w="109"/>
        <w:gridCol w:w="109"/>
        <w:gridCol w:w="273"/>
        <w:gridCol w:w="1072"/>
        <w:gridCol w:w="199"/>
      </w:tblGrid>
      <w:tr>
        <w:trPr/>
        <w:tc>
          <w:tcPr>
            <w:tcW w:w="9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363,388 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552,198 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231F20"/>
          <w:sz w:val="20"/>
        </w:rPr>
        <w:t xml:space="preserve">As of September 30, 2025 and </w:t>
      </w:r>
      <w:r>
        <w:rPr>
          <w:rFonts w:ascii="Times New Roman;serif" w:hAnsi="Times New Roman;serif"/>
          <w:b w:val="false"/>
          <w:color w:val="000000"/>
          <w:sz w:val="20"/>
        </w:rPr>
        <w:t>December 31, 2024</w:t>
      </w:r>
      <w:r>
        <w:rPr>
          <w:rFonts w:ascii="Times New Roman;serif" w:hAnsi="Times New Roman;serif"/>
          <w:b w:val="false"/>
          <w:color w:val="231F20"/>
          <w:sz w:val="20"/>
        </w:rPr>
        <w:t xml:space="preserve">, the estimated fair value of the Notes were $390.9 million (compared to a carrying amount of </w:t>
      </w:r>
      <w:r>
        <w:rPr>
          <w:rFonts w:ascii="Times New Roman;serif" w:hAnsi="Times New Roman;serif"/>
          <w:b w:val="false"/>
          <w:color w:val="000000"/>
          <w:sz w:val="20"/>
        </w:rPr>
        <w:t>$374.5 million</w:t>
      </w:r>
      <w:r>
        <w:rPr>
          <w:rFonts w:ascii="Times New Roman;serif" w:hAnsi="Times New Roman;serif"/>
          <w:b w:val="false"/>
          <w:color w:val="231F20"/>
          <w:sz w:val="20"/>
        </w:rPr>
        <w:t xml:space="preserve">) and $446.2 million (compared to a carrying amount of </w:t>
      </w:r>
      <w:r>
        <w:rPr>
          <w:rFonts w:ascii="Times New Roman;serif" w:hAnsi="Times New Roman;serif"/>
          <w:b w:val="false"/>
          <w:color w:val="000000"/>
          <w:sz w:val="20"/>
        </w:rPr>
        <w:t>$557.7 million</w:t>
      </w:r>
      <w:r>
        <w:rPr>
          <w:rFonts w:ascii="Times New Roman;serif" w:hAnsi="Times New Roman;serif"/>
          <w:b w:val="false"/>
          <w:color w:val="231F20"/>
          <w:sz w:val="20"/>
        </w:rPr>
        <w:t xml:space="preserve">), respectively. The estimated fair value of the Notes was determined based on the actual bid price of the Notes on September 30, 2025 and </w:t>
      </w:r>
      <w:r>
        <w:rPr>
          <w:rFonts w:ascii="Times New Roman;serif" w:hAnsi="Times New Roman;serif"/>
          <w:b w:val="false"/>
          <w:color w:val="000000"/>
          <w:sz w:val="20"/>
        </w:rPr>
        <w:t>December 31, 2024, and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gain recognized related to the exchange and repurchases is included in other income, net in the Condensed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if the Company determines a loss is probable and its amount can be reasonably estimated, the Company accrues an amount equal to the estimated loss. The assessment of whether a loss is probable or reasonably possible, and whether the loss or a range of loss is estimable, often involves a series of complex judgments about future events. In all instances, management has assessed the matter based on current information and made a judgment concerning its potential outcome, giving due consideration to the nature of the claim, the amount and nature of damages sought and the probability of success, and taking into account, among other things, negotiations with claimants, discovery, settlements and payments, judicial rulings, arbitration and mediation decisions, advice of internal and external legal counsel, and other information and events pertaining to a particular matter. Costs incurred for litigation are expensed as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 </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filed their opposition brief on November 22, 2024, and the Company filed its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can complete a private mediation. The parties conducted the private mediation on March 27, 2025. The parties were unable to reach a settlement at the mediation. On April 16, 2025, the court so-ordered the parties’ stipulation. On May 5, 2025, the plaintiffs filed an amended complaint. On July 11, 2025, Defendants filed a motion to dismiss the amended complaint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xml:space="preserve">. On September 25, 2025, the Court denied Defendants’ motion to dismiss. Defendants’ answer to the amended complaint is due November 24,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“Customer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2024, the Class Action Defendants filed a motion to dismiss the Customer Class Action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 On June 2, 2025, Plaintiff and fifteen other alleged purchasers of the Syndeo machines filed an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On June 23, 2025, Defendants moved to (i) dismiss Counts I, II, IV, and V in full; (ii) partially dismiss Count III to the extent it alleges design defects; (iii) dismiss all claims brought by plaintiff Jennifer Skuratov d/b/a Spa Thirsty in full; (iv) dismiss all claims against the Company in full; and (v) dismiss Plaintiffs’ claim for injunctive relief. The parties are currently engaged in discovery while they await the Court’s ruling on Defendants’ partial motion to dismiss.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Class Action Defendants intend to vigorously defend them.</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Although oral argument before the Delaware Court of Chancery on the Motion to Dismiss is scheduled for January 7, 2026, the parties held a mediation on November 4, 2025 and have reached agreement on certain terms of a mutually agreeable resolution. However, the settlement discussions are ongoing and any final resolution is subject to the parties’ execution of a final settlement agreement and the Delaware Court of Chancery’s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Consolidated Derivative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information related to its investigation. The Company is in the process of responding to the subpoenas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Company is authorized to issue 320,000,000 shares of Class A Common Stock, par value of $0.0001 per share. Holders of Class A Common Stock are entitled to </w:t>
      </w:r>
      <w:r>
        <w:rPr>
          <w:rFonts w:ascii="Times New Roman;serif" w:hAnsi="Times New Roman;serif"/>
          <w:b w:val="false"/>
          <w:color w:val="000000"/>
          <w:sz w:val="20"/>
        </w:rPr>
        <w:t>one</w:t>
      </w:r>
      <w:r>
        <w:rPr>
          <w:color w:val="231F20"/>
        </w:rPr>
        <w:t xml:space="preserve"> </w:t>
      </w:r>
      <w:r>
        <w:rPr>
          <w:rFonts w:ascii="Times New Roman;serif" w:hAnsi="Times New Roman;serif"/>
          <w:b w:val="false"/>
          <w:color w:val="231F20"/>
          <w:sz w:val="20"/>
        </w:rPr>
        <w:t>vote for each share. As of September 30, 2025 and December 31, 2024, there were 127,301,264 and 124,924,185, respectively, of Class A Common Stock issued and outstanding. The Company has not declared or paid any dividends with respect to its Class A Common Stock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September 30, 2025 and </w:t>
      </w:r>
      <w:r>
        <w:rPr>
          <w:rFonts w:ascii="Times New Roman;serif" w:hAnsi="Times New Roman;serif"/>
          <w:b w:val="false"/>
          <w:color w:val="231F20"/>
          <w:sz w:val="20"/>
        </w:rPr>
        <w:t>December 31, 2024</w:t>
      </w:r>
      <w:r>
        <w:rPr>
          <w:rFonts w:ascii="Times New Roman;serif" w:hAnsi="Times New Roman;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assets and liabilities that are measured at fair value on a recurring basis as of September 30, 2025 and December 31, 2024, and indicate the fair value hierarchy of the valuation inputs the Company utilized to determine such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three levels of the fair value hierarchy are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based on our assessment of the assumptions that market participants would use in pricing the asset or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13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September 30,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3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December 31, 2024</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2020, in connection with the consummation of Vesper Healthcare’s initial public offering, the Company issued 9,333,333 warrants to purchase shares of the Company’s Class A Common Stock at $11.50 per share (the “Private Placement Warrants”), to BLS Investor Group LLC, which will expire five years after the Business Combination. As of September 30, 2025 and December 31, 2024, the Company had approximately 7 million Private Placement Warrants outstanding for which the fair value was determined using a Monte Carlo simulation.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and serums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Net sales disaggregated by major product line were as follows for the periods indicated:</w:t>
      </w:r>
    </w:p>
    <w:tbl>
      <w:tblPr>
        <w:tblW w:w="7419" w:type="dxa"/>
        <w:jc w:val="left"/>
        <w:tblInd w:w="0" w:type="dxa"/>
        <w:tblLayout w:type="fixed"/>
        <w:tblCellMar>
          <w:top w:w="28" w:type="dxa"/>
          <w:left w:w="28" w:type="dxa"/>
          <w:bottom w:w="28" w:type="dxa"/>
          <w:right w:w="28" w:type="dxa"/>
        </w:tblCellMar>
      </w:tblPr>
      <w:tblGrid>
        <w:gridCol w:w="553"/>
        <w:gridCol w:w="487"/>
        <w:gridCol w:w="48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720"/>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20,819 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27,613 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49,836 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51,189 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70,655 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78,802 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218,422 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geographic region were as follows for the periods indicated:</w:t>
      </w:r>
    </w:p>
    <w:p>
      <w:pPr>
        <w:pStyle w:val="TextBody"/>
        <w:bidi w:val="0"/>
        <w:spacing w:before="0" w:after="0"/>
        <w:jc w:val="left"/>
        <w:rPr/>
      </w:pPr>
      <w:r>
        <w:rPr/>
      </w:r>
    </w:p>
    <w:tbl>
      <w:tblPr>
        <w:tblW w:w="8859" w:type="dxa"/>
        <w:jc w:val="left"/>
        <w:tblInd w:w="0" w:type="dxa"/>
        <w:tblLayout w:type="fixed"/>
        <w:tblCellMar>
          <w:top w:w="28" w:type="dxa"/>
          <w:left w:w="28" w:type="dxa"/>
          <w:bottom w:w="28" w:type="dxa"/>
          <w:right w:w="28" w:type="dxa"/>
        </w:tblCellMar>
      </w:tblPr>
      <w:tblGrid>
        <w:gridCol w:w="1074"/>
        <w:gridCol w:w="946"/>
        <w:gridCol w:w="94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Americas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48,263 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146,568 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Europe, the Middle East and Africa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16,056 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16,095 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Asia-Pacific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10,829 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70,655 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78,802 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218,422 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Share-Based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stock compensation plans, which are more fully described in Part II, Item 8 “Financial Statements and Supplementary Data—Note 12 to the Consolidated Financial Statements—Share-Based Compensation” in the Company’s 2024 Annual Report on Form 10-K. Under the Beauty Health Company 2021 Incentive Award Plan, the Company may grant stock options, stock appreciation rights, restricted stock, restricted stock units, dividend equivalents, other stock or cash-based awards to eligible service providers.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was as follows for the periods indicated:</w:t>
      </w:r>
    </w:p>
    <w:p>
      <w:pPr>
        <w:pStyle w:val="TextBody"/>
        <w:bidi w:val="0"/>
        <w:spacing w:before="0" w:after="0"/>
        <w:jc w:val="left"/>
        <w:rPr/>
      </w:pPr>
      <w:r>
        <w:rPr/>
      </w:r>
    </w:p>
    <w:tbl>
      <w:tblPr>
        <w:tblW w:w="8377" w:type="dxa"/>
        <w:jc w:val="left"/>
        <w:tblInd w:w="0" w:type="dxa"/>
        <w:tblLayout w:type="fixed"/>
        <w:tblCellMar>
          <w:top w:w="28" w:type="dxa"/>
          <w:left w:w="28" w:type="dxa"/>
          <w:bottom w:w="28" w:type="dxa"/>
          <w:right w:w="28" w:type="dxa"/>
        </w:tblCellMar>
      </w:tblPr>
      <w:tblGrid>
        <w:gridCol w:w="987"/>
        <w:gridCol w:w="871"/>
        <w:gridCol w:w="872"/>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for the three and nine months ended September 30, 2025 includes reversal of expense related to the forfeiture of unvested awards of $2.6 million and $5.1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September 30, 2025</w:t>
      </w:r>
      <w:r>
        <w:rPr>
          <w:rFonts w:ascii="Times New Roman;serif" w:hAnsi="Times New Roman;serif"/>
          <w:b w:val="false"/>
          <w:color w:val="000000"/>
          <w:sz w:val="20"/>
        </w:rPr>
        <w:t>, total unrecognized compensation expense related to unvested share-based compensation totaled $19.4 million and is expected to be recognized over a weighted-average period of 1.9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Restricted Stock Units (“RSU”) and </w:t>
      </w:r>
      <w:r>
        <w:rPr>
          <w:rFonts w:ascii="Times New Roman;serif" w:hAnsi="Times New Roman;serif"/>
          <w:b w:val="false"/>
          <w:i/>
          <w:color w:val="231F20"/>
          <w:sz w:val="20"/>
        </w:rPr>
        <w:t>Performance-based Restricted Stock Units (“PSU”)</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and PSU activity:</w:t>
      </w:r>
    </w:p>
    <w:tbl>
      <w:tblPr>
        <w:tblW w:w="9853" w:type="dxa"/>
        <w:jc w:val="left"/>
        <w:tblInd w:w="0" w:type="dxa"/>
        <w:tblLayout w:type="fixed"/>
        <w:tblCellMar>
          <w:top w:w="28" w:type="dxa"/>
          <w:left w:w="28" w:type="dxa"/>
          <w:bottom w:w="28" w:type="dxa"/>
          <w:right w:w="28" w:type="dxa"/>
        </w:tblCellMar>
      </w:tblPr>
      <w:tblGrid>
        <w:gridCol w:w="1049"/>
        <w:gridCol w:w="920"/>
        <w:gridCol w:w="926"/>
        <w:gridCol w:w="109"/>
        <w:gridCol w:w="109"/>
        <w:gridCol w:w="109"/>
        <w:gridCol w:w="540"/>
        <w:gridCol w:w="541"/>
        <w:gridCol w:w="321"/>
        <w:gridCol w:w="109"/>
        <w:gridCol w:w="109"/>
        <w:gridCol w:w="109"/>
        <w:gridCol w:w="524"/>
        <w:gridCol w:w="526"/>
        <w:gridCol w:w="316"/>
        <w:gridCol w:w="109"/>
        <w:gridCol w:w="109"/>
        <w:gridCol w:w="109"/>
        <w:gridCol w:w="333"/>
        <w:gridCol w:w="806"/>
        <w:gridCol w:w="172"/>
        <w:gridCol w:w="172"/>
        <w:gridCol w:w="172"/>
        <w:gridCol w:w="172"/>
        <w:gridCol w:w="333"/>
        <w:gridCol w:w="806"/>
        <w:gridCol w:w="243"/>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Grant Date Fair Value</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PSU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RSU</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PSU</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7,254,391 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1,237,822 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10,396,409 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1,676,134 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(2,907,129)</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(441,558)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(3,994,026)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(1,007,055)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10,749,645 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1,465,343 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Stock </w:t>
      </w:r>
      <w:r>
        <w:rPr>
          <w:rFonts w:ascii="Times New Roman;serif" w:hAnsi="Times New Roman;serif"/>
          <w:b w:val="false"/>
          <w:i/>
          <w:color w:val="231F20"/>
          <w:sz w:val="20"/>
        </w:rPr>
        <w:t>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9"/>
        <w:gridCol w:w="982"/>
        <w:gridCol w:w="989"/>
        <w:gridCol w:w="109"/>
        <w:gridCol w:w="109"/>
        <w:gridCol w:w="109"/>
        <w:gridCol w:w="488"/>
        <w:gridCol w:w="488"/>
        <w:gridCol w:w="196"/>
        <w:gridCol w:w="109"/>
        <w:gridCol w:w="109"/>
        <w:gridCol w:w="109"/>
        <w:gridCol w:w="401"/>
        <w:gridCol w:w="1171"/>
        <w:gridCol w:w="207"/>
        <w:gridCol w:w="109"/>
        <w:gridCol w:w="109"/>
        <w:gridCol w:w="109"/>
        <w:gridCol w:w="931"/>
        <w:gridCol w:w="931"/>
        <w:gridCol w:w="934"/>
        <w:gridCol w:w="109"/>
        <w:gridCol w:w="158"/>
      </w:tblGrid>
      <w:tr>
        <w:trPr/>
        <w:tc>
          <w:tcPr>
            <w:tcW w:w="123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Remaining Contractual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3,483,070 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(867,750)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2,540,845 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Vested and Exercisable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2,528,490 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Options vested and expected to vest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2,540,845 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calculate its interim income tax provision using the estimated annual effective tax rate (“AETR”) method prescribed by Accounting Standards Codification (“ASC”) 740-270, and as such, excludes losses in jurisdictions where the Company cannot benefit in computing its worldwide AETR. A separate AETR is computed and applied to ordinary losses in the U.S. jurisdiction as required by ASC 740-270-30-36(a). For the three and nine months ended September 30, 2025, the Company recorded income tax expense of $0.4 million and $0.3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AETR differed from the U.S. federal statutory tax rate of 21% due primarily to a full valuation allowance against the Company's U.S. deferred tax assets,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2024, the Company recorded income tax expense of $1.9 million and $0.9 million, respectively. The estimated worldwide AETR differed from the U.S. federal statutory tax rate of 21% due primarily to a full valuation allowance against the Company's U.S. deferred tax assets,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valuation allowance in the U.S. against its deferred tax assets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of $1.5 million and $1.2 million as of September 30, 2025 and December 31, 2024,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 the United States. The Act includes corporate tax provisions that make 100% bonus depreciation permanent, allow for the expensing of domestic research costs, and modify the business interest expense limitation calculation. The Company has completed its initial assessment of the provisions relevant to its U.S. operations. Based on this assessment, the Act is expected to reduce the Company’s U.S. federal income taxes. The Company has incorporated the Act's changes in its income tax provision for the nine months ended September 30, 2025, which did not have a material impact on the U.S. effective tax rate and net deferred tax assets as the Company maintains a full valuation allowance in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Net Loss Attributable to Common Stockholders</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231F20"/>
          <w:sz w:val="20"/>
        </w:rPr>
        <w:t xml:space="preserve">The following table sets forth the calculation of both basic and diluted net </w:t>
      </w:r>
      <w:r>
        <w:rPr>
          <w:rFonts w:ascii="Times New Roman;serif" w:hAnsi="Times New Roman;serif"/>
          <w:b w:val="false"/>
          <w:color w:val="000000"/>
          <w:sz w:val="20"/>
        </w:rPr>
        <w:t>loss</w:t>
      </w:r>
      <w:r>
        <w:rPr>
          <w:color w:val="231F20"/>
        </w:rPr>
        <w:t xml:space="preserve"> </w:t>
      </w:r>
      <w:r>
        <w:rPr>
          <w:rFonts w:ascii="Times New Roman;serif" w:hAnsi="Times New Roman;serif"/>
          <w:b w:val="false"/>
          <w:color w:val="231F20"/>
          <w:sz w:val="20"/>
        </w:rPr>
        <w:t xml:space="preserve">per share as follows for the periods indicated: </w:t>
      </w:r>
    </w:p>
    <w:tbl>
      <w:tblPr>
        <w:tblW w:w="10205" w:type="dxa"/>
        <w:jc w:val="left"/>
        <w:tblInd w:w="0" w:type="dxa"/>
        <w:tblLayout w:type="fixed"/>
        <w:tblCellMar>
          <w:top w:w="28" w:type="dxa"/>
          <w:left w:w="28" w:type="dxa"/>
          <w:bottom w:w="28" w:type="dxa"/>
          <w:right w:w="28" w:type="dxa"/>
        </w:tblCellMar>
      </w:tblPr>
      <w:tblGrid>
        <w:gridCol w:w="1403"/>
        <w:gridCol w:w="1174"/>
        <w:gridCol w:w="1180"/>
        <w:gridCol w:w="264"/>
        <w:gridCol w:w="922"/>
        <w:gridCol w:w="112"/>
        <w:gridCol w:w="112"/>
        <w:gridCol w:w="112"/>
        <w:gridCol w:w="112"/>
        <w:gridCol w:w="264"/>
        <w:gridCol w:w="922"/>
        <w:gridCol w:w="112"/>
        <w:gridCol w:w="109"/>
        <w:gridCol w:w="109"/>
        <w:gridCol w:w="109"/>
        <w:gridCol w:w="264"/>
        <w:gridCol w:w="922"/>
        <w:gridCol w:w="109"/>
        <w:gridCol w:w="109"/>
        <w:gridCol w:w="109"/>
        <w:gridCol w:w="109"/>
        <w:gridCol w:w="264"/>
        <w:gridCol w:w="922"/>
        <w:gridCol w:w="109"/>
        <w:gridCol w:w="109"/>
        <w:gridCol w:w="163"/>
      </w:tblGrid>
      <w:tr>
        <w:trPr/>
        <w:tc>
          <w:tcPr>
            <w:tcW w:w="140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 except share and per share amounts)</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available to common stockholders - basic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(11,031)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(18,291)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Adjustments related to the 2026 Notes </w:t>
            </w:r>
            <w:r>
              <w:rPr>
                <w:rFonts w:ascii="Times New Roman;serif" w:hAnsi="Times New Roman;serif"/>
                <w:b w:val="false"/>
                <w:color w:val="231F2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available to common stockholders - diluted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(11,031)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(18,291)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126,890,888 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124,057,602 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126,020,956 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123,630,811 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dilutive shares: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11,273,231 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19,036,398 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126,890,888 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124,057,602 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137,294,187 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142,667,209 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Basic net loss per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Dilutive net loss per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nine months ended September 30, 2025 and 2024, the adjustments related to the 2026 Notes include the net gain related to the exchange and repurchases offset by interest expense and amortization of debt issuance costs related to the 2026 Notes (net of taxes).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9017" w:type="dxa"/>
        <w:jc w:val="left"/>
        <w:tblInd w:w="0" w:type="dxa"/>
        <w:tblLayout w:type="fixed"/>
        <w:tblCellMar>
          <w:top w:w="28" w:type="dxa"/>
          <w:left w:w="28" w:type="dxa"/>
          <w:bottom w:w="28" w:type="dxa"/>
          <w:right w:w="28" w:type="dxa"/>
        </w:tblCellMar>
      </w:tblPr>
      <w:tblGrid>
        <w:gridCol w:w="461"/>
        <w:gridCol w:w="404"/>
        <w:gridCol w:w="409"/>
        <w:gridCol w:w="750"/>
        <w:gridCol w:w="331"/>
        <w:gridCol w:w="298"/>
        <w:gridCol w:w="298"/>
        <w:gridCol w:w="298"/>
        <w:gridCol w:w="298"/>
        <w:gridCol w:w="750"/>
        <w:gridCol w:w="331"/>
        <w:gridCol w:w="298"/>
        <w:gridCol w:w="109"/>
        <w:gridCol w:w="109"/>
        <w:gridCol w:w="109"/>
        <w:gridCol w:w="766"/>
        <w:gridCol w:w="315"/>
        <w:gridCol w:w="288"/>
        <w:gridCol w:w="288"/>
        <w:gridCol w:w="288"/>
        <w:gridCol w:w="288"/>
        <w:gridCol w:w="692"/>
        <w:gridCol w:w="288"/>
        <w:gridCol w:w="288"/>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3,919,522 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17,559,686 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2028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10,749,645 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7,827,861 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10,749,645 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7,827,861 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2,540,845 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3,571,820 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2,540,845 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3,571,820 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1,465,343 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2,302,162 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1,465,343 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2,302,162 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income and shares related to the Private Placement Warrants were excluded from the calculation of diluted net loss per share of Class A Common Stock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also reviews the disaggregation of total operating expenses, of which significant segment expenses are related to personnel-related expenses, which includes sales commission and share-based compensation expense. Other segment expenses included in total operating expenses primarily consist of fees for professional services principally comprising legal, audit, tax and accounting services, depreciation and amortization expenses, advertising and marketing related expenses, software, facilities-related costs, credit card and wire fees, and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components of operating expenses for the periods indicated: </w:t>
      </w:r>
    </w:p>
    <w:p>
      <w:pPr>
        <w:pStyle w:val="TextBody"/>
        <w:bidi w:val="0"/>
        <w:spacing w:before="0" w:after="0"/>
        <w:jc w:val="left"/>
        <w:rPr/>
      </w:pPr>
      <w:r>
        <w:rPr/>
      </w:r>
    </w:p>
    <w:tbl>
      <w:tblPr>
        <w:tblW w:w="8200" w:type="dxa"/>
        <w:jc w:val="left"/>
        <w:tblInd w:w="0" w:type="dxa"/>
        <w:tblLayout w:type="fixed"/>
        <w:tblCellMar>
          <w:top w:w="28" w:type="dxa"/>
          <w:left w:w="28" w:type="dxa"/>
          <w:bottom w:w="28" w:type="dxa"/>
          <w:right w:w="28" w:type="dxa"/>
        </w:tblCellMar>
      </w:tblPr>
      <w:tblGrid>
        <w:gridCol w:w="836"/>
        <w:gridCol w:w="736"/>
        <w:gridCol w:w="738"/>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72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Personnel-related expenses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25,645 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31,101 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Other segment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31,063 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51,876 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62,164 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164,291 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190,567 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Standards Accounting Board (“FASB”) issued Accounting Standards Update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annual consolidated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ASU 2024-03 is effective for annual periods beginning after December 15, 2026 and interim reporting periods beginning after December 15, 2027, which was clarified in ASU 2025-01. The standard allows for early adoption of these requirements. The Company is currently evaluating the potential effect that the updated standard will have on its consolidated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with Conversion and Other Options (Subtopic 470-20): Induced Conversions of Convertible Debt Instruments” which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ASU 2024-04 is effective for annual periods beginning after December 15, 2025, and interim reporting periods within those annual reporting periods, with early adoption permitted, and should be applied either prospectively or retrospectively.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simplifies the application of the current expected credit loss model for current accounts receivable and current contract assets under ASC 606. ASU 2025-05 is effective for annual reporting periods beginning after December 15, 2025, and interim reporting periods within those annual reporting periods, with early adoption permitted, and should be applied prospectively.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Goodwill and Other - Internal-Use Software (Subtopic 350-40): Targeted Improvements to the Accounting for Internal-Use Software” which modernizes the accounting for internal-use software to current development practices, clarifies when to begin capitalizing costs, and enhances disclosure requirements. ASU 2025-06 is effective for interim and annual periods beginning after December 15, 2027, with early adoption permitted, and should be applied either prospectively, retrospectively, or under a modified prospective transition approach.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three months ended September 30, 2025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2024 filed with the Securities and Exchange Commission (the “SEC”) on March 12,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Important factors, among others, that may affect actual results or outcomes include the inability to recognize the benefits of the business combination consummated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to the “Company”, “Hydrafacial”, “we”, “us”, and “our” in this section are intended to mean the business and operations of The Beauty Health Company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Beauty Health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nanoneedling and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three and nine months ended</w:t>
      </w:r>
      <w:r>
        <w:rPr>
          <w:color w:val="231F20"/>
        </w:rPr>
        <w:t xml:space="preserve"> </w:t>
      </w:r>
      <w:r>
        <w:rPr>
          <w:rFonts w:ascii="Times New Roman;serif" w:hAnsi="Times New Roman;serif"/>
          <w:b w:val="false"/>
          <w:color w:val="000000"/>
          <w:sz w:val="20"/>
        </w:rPr>
        <w:t>September 30, 2025</w:t>
      </w:r>
      <w:r>
        <w:rPr>
          <w:rFonts w:ascii="Times New Roman;serif" w:hAnsi="Times New Roman;serif"/>
          <w:b w:val="false"/>
          <w:color w:val="231F20"/>
          <w:sz w:val="20"/>
        </w:rPr>
        <w:t>, we continued to execute against our plan to expand our footprint by selling and placing our patented hydradermabrasion delivery systems (“Delivery Systems”) worldwide, drive consumables, which consist of single-use tips, solutions, serums and other consumables used to provide a Hydrafacial treatment that cleanses, extracts, and hydrates the skin (collectively “Consumables”), invest in our community of providers, partners, and consumers, drive brand awareness, and optimize our global infrastructure. Although we believe we can be successful in our current operating environment, various factors may impact our business in unpredictable ways such as: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Global economic conditions, including inflation, recession, changes in foreign currency exchange rates, higher interest rates, and other changes in economic conditions;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The imposition of tariffs and/or trade restrictions may impact material costs and pricing;</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Disruptions in transportation and other supply chain related constraints, such as labor strife in the transportation industry; and</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Issues related to older models of Syndeo and our actions to remediate such issues.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231F20"/>
          <w:sz w:val="20"/>
        </w:rPr>
      </w:pPr>
      <w:r>
        <w:rPr>
          <w:rFonts w:ascii="Times New Roman;serif" w:hAnsi="Times New Roman;serif"/>
          <w:b w:val="false"/>
          <w:i/>
          <w:color w:val="231F20"/>
          <w:sz w:val="20"/>
        </w:rPr>
        <w:t>China Market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Company evaluated its global distribution strategy to align its go-to-market strategy with in-market partner capabilities and market opportunity. </w:t>
      </w:r>
      <w:r>
        <w:rPr>
          <w:rFonts w:ascii="Times New Roman;serif" w:hAnsi="Times New Roman;serif"/>
          <w:b w:val="false"/>
          <w:color w:val="000000"/>
          <w:sz w:val="20"/>
        </w:rPr>
        <w:t xml:space="preserve">During the second quarter of 2025, the Company transitioned sales in the China market to a distributor partner, and as a result, the Company has discontinued direct sales to customers in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Comparison of Three Months Ended September 30, 2025 to Three Months Ended September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September 30, 2025 and September 30, 2024, have been derived from the condensed consolidated financial statements included elsewhere in this Quarterly Report on Form 10-Q. Amounts and percentages may not foot due to rounding.</w:t>
      </w:r>
    </w:p>
    <w:p>
      <w:pPr>
        <w:pStyle w:val="TextBody"/>
        <w:bidi w:val="0"/>
        <w:spacing w:before="0" w:after="0"/>
        <w:jc w:val="left"/>
        <w:rPr/>
      </w:pPr>
      <w:r>
        <w:rPr/>
      </w:r>
    </w:p>
    <w:tbl>
      <w:tblPr>
        <w:tblW w:w="9066" w:type="dxa"/>
        <w:jc w:val="left"/>
        <w:tblInd w:w="0" w:type="dxa"/>
        <w:tblLayout w:type="fixed"/>
        <w:tblCellMar>
          <w:top w:w="28" w:type="dxa"/>
          <w:left w:w="28" w:type="dxa"/>
          <w:bottom w:w="28" w:type="dxa"/>
          <w:right w:w="28" w:type="dxa"/>
        </w:tblCellMar>
      </w:tblPr>
      <w:tblGrid>
        <w:gridCol w:w="1330"/>
        <w:gridCol w:w="1169"/>
        <w:gridCol w:w="1175"/>
        <w:gridCol w:w="211"/>
        <w:gridCol w:w="586"/>
        <w:gridCol w:w="109"/>
        <w:gridCol w:w="109"/>
        <w:gridCol w:w="109"/>
        <w:gridCol w:w="109"/>
        <w:gridCol w:w="308"/>
        <w:gridCol w:w="308"/>
        <w:gridCol w:w="648"/>
        <w:gridCol w:w="109"/>
        <w:gridCol w:w="109"/>
        <w:gridCol w:w="109"/>
        <w:gridCol w:w="211"/>
        <w:gridCol w:w="586"/>
        <w:gridCol w:w="109"/>
        <w:gridCol w:w="109"/>
        <w:gridCol w:w="109"/>
        <w:gridCol w:w="109"/>
        <w:gridCol w:w="308"/>
        <w:gridCol w:w="308"/>
        <w:gridCol w:w="719"/>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64.6 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51.6 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29.6 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35.0 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42.4 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operating expenses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73.4 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78.9 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from operations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(8.8)</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(27.3)</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8.9 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(0.9)</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before provision for income taxes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(15.1)</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(20.7)</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(15.6)</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Net Sales</w:t>
      </w:r>
    </w:p>
    <w:tbl>
      <w:tblPr>
        <w:tblW w:w="6989" w:type="dxa"/>
        <w:jc w:val="left"/>
        <w:tblInd w:w="0" w:type="dxa"/>
        <w:tblLayout w:type="fixed"/>
        <w:tblCellMar>
          <w:top w:w="28" w:type="dxa"/>
          <w:left w:w="28" w:type="dxa"/>
          <w:bottom w:w="28" w:type="dxa"/>
          <w:right w:w="28" w:type="dxa"/>
        </w:tblCellMar>
      </w:tblPr>
      <w:tblGrid>
        <w:gridCol w:w="706"/>
        <w:gridCol w:w="621"/>
        <w:gridCol w:w="622"/>
        <w:gridCol w:w="284"/>
        <w:gridCol w:w="690"/>
        <w:gridCol w:w="147"/>
        <w:gridCol w:w="147"/>
        <w:gridCol w:w="147"/>
        <w:gridCol w:w="147"/>
        <w:gridCol w:w="284"/>
        <w:gridCol w:w="690"/>
        <w:gridCol w:w="147"/>
        <w:gridCol w:w="109"/>
        <w:gridCol w:w="109"/>
        <w:gridCol w:w="109"/>
        <w:gridCol w:w="211"/>
        <w:gridCol w:w="481"/>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Percentage of net sales</w:t>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11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sales for the three months ended September 30, 2025 decreased $8.1 million, or 10.3%, compared to the three months ended September 30, 2024. Delivery Systems net sales for the three months ended September 30, 2025 decreased $6.8 million, or 24.6%, compared to the three months ended September 30, 2024, with decreases across all regions. Delivery Systems net sales were negatively impacted globally by unfavorable macroeconomic and credit conditions.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 net sales for the three months ended September 30, 2025 decreased $1.4 million, or 2.6%, compared to the three months ended September 30, 2024. The slight decrease in Consumables net sales includes declines related to the China transition to a distributor partner. Excluding the impact of the China transition, Consumables net sales increased slightly, with price increases offset by lower volume.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 Gross Profit, and Gross Margin</w:t>
      </w:r>
    </w:p>
    <w:tbl>
      <w:tblPr>
        <w:tblW w:w="6220" w:type="dxa"/>
        <w:jc w:val="left"/>
        <w:tblInd w:w="0" w:type="dxa"/>
        <w:tblLayout w:type="fixed"/>
        <w:tblCellMar>
          <w:top w:w="28" w:type="dxa"/>
          <w:left w:w="28" w:type="dxa"/>
          <w:bottom w:w="28" w:type="dxa"/>
          <w:right w:w="28" w:type="dxa"/>
        </w:tblCellMar>
      </w:tblPr>
      <w:tblGrid>
        <w:gridCol w:w="429"/>
        <w:gridCol w:w="377"/>
        <w:gridCol w:w="378"/>
        <w:gridCol w:w="245"/>
        <w:gridCol w:w="593"/>
        <w:gridCol w:w="314"/>
        <w:gridCol w:w="126"/>
        <w:gridCol w:w="126"/>
        <w:gridCol w:w="126"/>
        <w:gridCol w:w="245"/>
        <w:gridCol w:w="593"/>
        <w:gridCol w:w="314"/>
        <w:gridCol w:w="109"/>
        <w:gridCol w:w="109"/>
        <w:gridCol w:w="109"/>
        <w:gridCol w:w="211"/>
        <w:gridCol w:w="586"/>
        <w:gridCol w:w="109"/>
        <w:gridCol w:w="109"/>
        <w:gridCol w:w="109"/>
        <w:gridCol w:w="109"/>
        <w:gridCol w:w="232"/>
        <w:gridCol w:w="232"/>
        <w:gridCol w:w="33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38.2 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(34.4)%</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12.3%</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64.6 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51.6 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for the three months ended September 30, 2025 decreased $13.1 million, compared to the three months ended September 30, 2024 primarily due to lower inventory related charges and net sales. Cost of sales for the three months ended September 30, 2024 include approximately $8 million of manufacturing optimization related costs. Gross margin increased to 64.6% for the three months ended September 30, 2025 from 51.6% for the three months ended September 30, 2024 primarily due to lower inventory related charges and favorable mix shift towards consumable net sales, partially offset by lower average selling price of equipment net sales.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i/>
          <w:color w:val="231F20"/>
          <w:sz w:val="20"/>
        </w:rPr>
      </w:pPr>
      <w:r>
        <w:rPr>
          <w:rFonts w:ascii="Times New Roman;serif" w:hAnsi="Times New Roman;serif"/>
          <w:b/>
          <w:i/>
          <w:color w:val="231F20"/>
          <w:sz w:val="20"/>
        </w:rPr>
        <w:t>Selling and Marketing</w:t>
      </w:r>
    </w:p>
    <w:tbl>
      <w:tblPr>
        <w:tblW w:w="7423" w:type="dxa"/>
        <w:jc w:val="left"/>
        <w:tblInd w:w="0" w:type="dxa"/>
        <w:tblLayout w:type="fixed"/>
        <w:tblCellMar>
          <w:top w:w="28" w:type="dxa"/>
          <w:left w:w="28" w:type="dxa"/>
          <w:bottom w:w="28" w:type="dxa"/>
          <w:right w:w="28" w:type="dxa"/>
        </w:tblCellMar>
      </w:tblPr>
      <w:tblGrid>
        <w:gridCol w:w="864"/>
        <w:gridCol w:w="759"/>
        <w:gridCol w:w="761"/>
        <w:gridCol w:w="245"/>
        <w:gridCol w:w="593"/>
        <w:gridCol w:w="314"/>
        <w:gridCol w:w="126"/>
        <w:gridCol w:w="126"/>
        <w:gridCol w:w="126"/>
        <w:gridCol w:w="245"/>
        <w:gridCol w:w="593"/>
        <w:gridCol w:w="314"/>
        <w:gridCol w:w="109"/>
        <w:gridCol w:w="109"/>
        <w:gridCol w:w="109"/>
        <w:gridCol w:w="211"/>
        <w:gridCol w:w="481"/>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20.9 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27.6 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As a percentage of net sales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29.6 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 for the three months ended September 30, 2025 decreased $6.7 million, or 24.2%, compared to the three months ended September 30, 2024. The decrease is primarily driven by lower personnel-related expenses, including share-based compensation expense, and lower depreciation and amortization expense.</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7319" w:type="dxa"/>
        <w:jc w:val="left"/>
        <w:tblInd w:w="0" w:type="dxa"/>
        <w:tblLayout w:type="fixed"/>
        <w:tblCellMar>
          <w:top w:w="28" w:type="dxa"/>
          <w:left w:w="28" w:type="dxa"/>
          <w:bottom w:w="28" w:type="dxa"/>
          <w:right w:w="28" w:type="dxa"/>
        </w:tblCellMar>
      </w:tblPr>
      <w:tblGrid>
        <w:gridCol w:w="879"/>
        <w:gridCol w:w="772"/>
        <w:gridCol w:w="778"/>
        <w:gridCol w:w="269"/>
        <w:gridCol w:w="518"/>
        <w:gridCol w:w="346"/>
        <w:gridCol w:w="139"/>
        <w:gridCol w:w="139"/>
        <w:gridCol w:w="139"/>
        <w:gridCol w:w="269"/>
        <w:gridCol w:w="518"/>
        <w:gridCol w:w="346"/>
        <w:gridCol w:w="109"/>
        <w:gridCol w:w="109"/>
        <w:gridCol w:w="109"/>
        <w:gridCol w:w="211"/>
        <w:gridCol w:w="406"/>
        <w:gridCol w:w="109"/>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three months ended September 30, 2025 increased $0.6 million, or 53.2%, compared to the three months ended September 30, 2024. The increase is primarily driven by higher other professional services expenses.</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469" w:type="dxa"/>
        <w:jc w:val="left"/>
        <w:tblInd w:w="0" w:type="dxa"/>
        <w:tblLayout w:type="fixed"/>
        <w:tblCellMar>
          <w:top w:w="28" w:type="dxa"/>
          <w:left w:w="28" w:type="dxa"/>
          <w:bottom w:w="28" w:type="dxa"/>
          <w:right w:w="28" w:type="dxa"/>
        </w:tblCellMar>
      </w:tblPr>
      <w:tblGrid>
        <w:gridCol w:w="879"/>
        <w:gridCol w:w="772"/>
        <w:gridCol w:w="779"/>
        <w:gridCol w:w="245"/>
        <w:gridCol w:w="593"/>
        <w:gridCol w:w="314"/>
        <w:gridCol w:w="126"/>
        <w:gridCol w:w="126"/>
        <w:gridCol w:w="126"/>
        <w:gridCol w:w="245"/>
        <w:gridCol w:w="593"/>
        <w:gridCol w:w="314"/>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General and administrative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for the three months ended September 30, 2025 decreased $4.2 million, or 12.5%, compared to the three months ended September 30, 2024. The decrease is primarily driven by lower share-based compensation expense and other general corporate spend, and bad debt recoveries. The decrease was partially offset by higher amortization expense, severance expense, and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Interest Expense, Interest Income, Change in Fair Value of Warrant Liabilities, and Other Income, Net</w:t>
      </w:r>
    </w:p>
    <w:tbl>
      <w:tblPr>
        <w:tblW w:w="8515" w:type="dxa"/>
        <w:jc w:val="left"/>
        <w:tblInd w:w="0" w:type="dxa"/>
        <w:tblLayout w:type="fixed"/>
        <w:tblCellMar>
          <w:top w:w="28" w:type="dxa"/>
          <w:left w:w="28" w:type="dxa"/>
          <w:bottom w:w="28" w:type="dxa"/>
          <w:right w:w="28" w:type="dxa"/>
        </w:tblCellMar>
      </w:tblPr>
      <w:tblGrid>
        <w:gridCol w:w="1250"/>
        <w:gridCol w:w="1097"/>
        <w:gridCol w:w="1102"/>
        <w:gridCol w:w="293"/>
        <w:gridCol w:w="669"/>
        <w:gridCol w:w="151"/>
        <w:gridCol w:w="151"/>
        <w:gridCol w:w="151"/>
        <w:gridCol w:w="151"/>
        <w:gridCol w:w="293"/>
        <w:gridCol w:w="669"/>
        <w:gridCol w:w="151"/>
        <w:gridCol w:w="109"/>
        <w:gridCol w:w="109"/>
        <w:gridCol w:w="109"/>
        <w:gridCol w:w="211"/>
        <w:gridCol w:w="481"/>
        <w:gridCol w:w="109"/>
        <w:gridCol w:w="109"/>
        <w:gridCol w:w="109"/>
        <w:gridCol w:w="109"/>
        <w:gridCol w:w="308"/>
        <w:gridCol w:w="308"/>
        <w:gridCol w:w="316"/>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N/M - Not meaningful</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increased $3.8 million compared to the three months ended September 30, 2024, primarily due to interest and amortization of debt issuance costs related to the 2028 Notes, partially offset by lower outstanding balances related to the 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September 30, 2025 decreased $3.6 million compared to the three months ended September 30, 2024 primarily due to lower average invested balances and interest rates during the three months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Times New Roman;serif" w:hAnsi="Times New Roman;serif"/>
          <w:b/>
          <w:color w:val="231F20"/>
          <w:sz w:val="20"/>
        </w:rPr>
        <w:t xml:space="preserve">Comparison of </w:t>
      </w:r>
      <w:r>
        <w:rPr>
          <w:rFonts w:ascii="Times New Roman;serif" w:hAnsi="Times New Roman;serif"/>
          <w:b/>
          <w:color w:val="000000"/>
          <w:sz w:val="20"/>
        </w:rPr>
        <w:t>Nine Months Ended</w:t>
      </w:r>
      <w:r>
        <w:rPr>
          <w:color w:val="231F20"/>
        </w:rPr>
        <w:t xml:space="preserve"> </w:t>
      </w:r>
      <w:r>
        <w:rPr>
          <w:rFonts w:ascii="Times New Roman;serif" w:hAnsi="Times New Roman;serif"/>
          <w:b/>
          <w:color w:val="231F20"/>
          <w:sz w:val="20"/>
        </w:rPr>
        <w:t xml:space="preserve">September 30, 2025 to </w:t>
      </w:r>
      <w:r>
        <w:rPr>
          <w:rFonts w:ascii="Times New Roman;serif" w:hAnsi="Times New Roman;serif"/>
          <w:b/>
          <w:color w:val="000000"/>
          <w:sz w:val="20"/>
        </w:rPr>
        <w:t>Nine Months Ended</w:t>
      </w:r>
      <w:r>
        <w:rPr>
          <w:color w:val="231F20"/>
        </w:rPr>
        <w:t xml:space="preserve"> </w:t>
      </w:r>
      <w:r>
        <w:rPr>
          <w:rFonts w:ascii="Times New Roman;serif" w:hAnsi="Times New Roman;serif"/>
          <w:b/>
          <w:color w:val="231F20"/>
          <w:sz w:val="20"/>
        </w:rPr>
        <w:t>September 30,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September 30, 2025 and September 30, 2024 have been derived from the condensed consolidated financial statements included elsewhere in this Form 10-Q. Amounts and percentages may not foot due to rounding.</w:t>
      </w:r>
    </w:p>
    <w:tbl>
      <w:tblPr>
        <w:tblW w:w="9126" w:type="dxa"/>
        <w:jc w:val="left"/>
        <w:tblInd w:w="0" w:type="dxa"/>
        <w:tblLayout w:type="fixed"/>
        <w:tblCellMar>
          <w:top w:w="28" w:type="dxa"/>
          <w:left w:w="28" w:type="dxa"/>
          <w:bottom w:w="28" w:type="dxa"/>
          <w:right w:w="28" w:type="dxa"/>
        </w:tblCellMar>
      </w:tblPr>
      <w:tblGrid>
        <w:gridCol w:w="1330"/>
        <w:gridCol w:w="1169"/>
        <w:gridCol w:w="1175"/>
        <w:gridCol w:w="211"/>
        <w:gridCol w:w="616"/>
        <w:gridCol w:w="109"/>
        <w:gridCol w:w="109"/>
        <w:gridCol w:w="109"/>
        <w:gridCol w:w="109"/>
        <w:gridCol w:w="308"/>
        <w:gridCol w:w="308"/>
        <w:gridCol w:w="648"/>
        <w:gridCol w:w="109"/>
        <w:gridCol w:w="109"/>
        <w:gridCol w:w="109"/>
        <w:gridCol w:w="211"/>
        <w:gridCol w:w="616"/>
        <w:gridCol w:w="109"/>
        <w:gridCol w:w="109"/>
        <w:gridCol w:w="109"/>
        <w:gridCol w:w="109"/>
        <w:gridCol w:w="308"/>
        <w:gridCol w:w="308"/>
        <w:gridCol w:w="719"/>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65.6 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32.1 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36.6 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37.4 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operating expenses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75.2 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76.0 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(9.6)</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(24.2)</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(8.6)</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(13.3)</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(gain) loss,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(0.6)</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Net Sales</w:t>
      </w:r>
    </w:p>
    <w:tbl>
      <w:tblPr>
        <w:tblW w:w="7005" w:type="dxa"/>
        <w:jc w:val="left"/>
        <w:tblInd w:w="0" w:type="dxa"/>
        <w:tblLayout w:type="fixed"/>
        <w:tblCellMar>
          <w:top w:w="28" w:type="dxa"/>
          <w:left w:w="28" w:type="dxa"/>
          <w:bottom w:w="28" w:type="dxa"/>
          <w:right w:w="28" w:type="dxa"/>
        </w:tblCellMar>
      </w:tblPr>
      <w:tblGrid>
        <w:gridCol w:w="706"/>
        <w:gridCol w:w="621"/>
        <w:gridCol w:w="622"/>
        <w:gridCol w:w="249"/>
        <w:gridCol w:w="728"/>
        <w:gridCol w:w="128"/>
        <w:gridCol w:w="128"/>
        <w:gridCol w:w="128"/>
        <w:gridCol w:w="128"/>
        <w:gridCol w:w="249"/>
        <w:gridCol w:w="728"/>
        <w:gridCol w:w="128"/>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Percentage of net sales</w:t>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11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231F20"/>
          <w:sz w:val="20"/>
        </w:rPr>
        <w:t xml:space="preserve">Total net sales 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 xml:space="preserve">September 30, 2025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$32.4 million</w:t>
      </w:r>
      <w:r>
        <w:rPr>
          <w:rFonts w:ascii="Times New Roman;serif" w:hAnsi="Times New Roman;serif"/>
          <w:b w:val="false"/>
          <w:color w:val="231F20"/>
          <w:sz w:val="20"/>
        </w:rPr>
        <w:t xml:space="preserve">, or </w:t>
      </w:r>
      <w:r>
        <w:rPr>
          <w:rFonts w:ascii="Times New Roman;serif" w:hAnsi="Times New Roman;serif"/>
          <w:b w:val="false"/>
          <w:color w:val="000000"/>
          <w:sz w:val="20"/>
        </w:rPr>
        <w:t>12.9%</w:t>
      </w:r>
      <w:r>
        <w:rPr>
          <w:rFonts w:ascii="Times New Roman;serif" w:hAnsi="Times New Roman;serif"/>
          <w:b w:val="false"/>
          <w:color w:val="231F20"/>
          <w:sz w:val="20"/>
        </w:rPr>
        <w:t xml:space="preserve">, compared to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 xml:space="preserve">September 30, 2024. Delivery System net sales 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 xml:space="preserve">September 30, 2025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$35.2 million</w:t>
      </w:r>
      <w:r>
        <w:rPr>
          <w:rFonts w:ascii="Times New Roman;serif" w:hAnsi="Times New Roman;serif"/>
          <w:b w:val="false"/>
          <w:color w:val="231F20"/>
          <w:sz w:val="20"/>
        </w:rPr>
        <w:t xml:space="preserve">, or </w:t>
      </w:r>
      <w:r>
        <w:rPr>
          <w:rFonts w:ascii="Times New Roman;serif" w:hAnsi="Times New Roman;serif"/>
          <w:b w:val="false"/>
          <w:color w:val="000000"/>
          <w:sz w:val="20"/>
        </w:rPr>
        <w:t>35.7%</w:t>
      </w:r>
      <w:r>
        <w:rPr>
          <w:rFonts w:ascii="Times New Roman;serif" w:hAnsi="Times New Roman;serif"/>
          <w:b w:val="false"/>
          <w:color w:val="231F20"/>
          <w:sz w:val="20"/>
        </w:rPr>
        <w:t xml:space="preserve">, compared to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September 30, 2024, with decreases across all regions. Delivery Systems net sales were negatively impacted globally by unfavorable macroeconomic and credit conditions.</w:t>
      </w:r>
    </w:p>
    <w:p>
      <w:pPr>
        <w:pStyle w:val="TextBody"/>
        <w:bidi w:val="0"/>
        <w:spacing w:lineRule="auto" w:line="288" w:before="240" w:after="283"/>
        <w:jc w:val="left"/>
        <w:rPr/>
      </w:pPr>
      <w:r>
        <w:rPr>
          <w:rFonts w:ascii="Times New Roman;serif" w:hAnsi="Times New Roman;serif"/>
          <w:b w:val="false"/>
          <w:color w:val="231F20"/>
          <w:sz w:val="20"/>
        </w:rPr>
        <w:t xml:space="preserve">Consumables net sales for the </w:t>
      </w:r>
      <w:r>
        <w:rPr>
          <w:rFonts w:ascii="Times New Roman;serif" w:hAnsi="Times New Roman;serif"/>
          <w:b w:val="false"/>
          <w:color w:val="000000"/>
          <w:sz w:val="20"/>
        </w:rPr>
        <w:t xml:space="preserve">nine months ended </w:t>
      </w:r>
      <w:r>
        <w:rPr>
          <w:rFonts w:ascii="Times New Roman;serif" w:hAnsi="Times New Roman;serif"/>
          <w:b w:val="false"/>
          <w:color w:val="231F20"/>
          <w:sz w:val="20"/>
        </w:rPr>
        <w:t xml:space="preserve">September 30, 2025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000000"/>
          <w:sz w:val="20"/>
        </w:rPr>
        <w:t>$2.8 million</w:t>
      </w:r>
      <w:r>
        <w:rPr>
          <w:rFonts w:ascii="Times New Roman;serif" w:hAnsi="Times New Roman;serif"/>
          <w:b w:val="false"/>
          <w:color w:val="231F20"/>
          <w:sz w:val="20"/>
        </w:rPr>
        <w:t xml:space="preserve">, or </w:t>
      </w:r>
      <w:r>
        <w:rPr>
          <w:rFonts w:ascii="Times New Roman;serif" w:hAnsi="Times New Roman;serif"/>
          <w:b w:val="false"/>
          <w:color w:val="000000"/>
          <w:sz w:val="20"/>
        </w:rPr>
        <w:t>1.9%</w:t>
      </w:r>
      <w:r>
        <w:rPr>
          <w:rFonts w:ascii="Times New Roman;serif" w:hAnsi="Times New Roman;serif"/>
          <w:b w:val="false"/>
          <w:color w:val="231F20"/>
          <w:sz w:val="20"/>
        </w:rPr>
        <w:t xml:space="preserve">, compared to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 xml:space="preserve">September 30, 2024. The increase in Consumables net sales was primarily attributable to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placements of Delivery Systems and the adjoining consumption of Consumables during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 Gross Profit, and Gross Margin</w:t>
      </w:r>
    </w:p>
    <w:tbl>
      <w:tblPr>
        <w:tblW w:w="6130" w:type="dxa"/>
        <w:jc w:val="left"/>
        <w:tblInd w:w="0" w:type="dxa"/>
        <w:tblLayout w:type="fixed"/>
        <w:tblCellMar>
          <w:top w:w="28" w:type="dxa"/>
          <w:left w:w="28" w:type="dxa"/>
          <w:bottom w:w="28" w:type="dxa"/>
          <w:right w:w="28" w:type="dxa"/>
        </w:tblCellMar>
      </w:tblPr>
      <w:tblGrid>
        <w:gridCol w:w="429"/>
        <w:gridCol w:w="377"/>
        <w:gridCol w:w="378"/>
        <w:gridCol w:w="217"/>
        <w:gridCol w:w="633"/>
        <w:gridCol w:w="278"/>
        <w:gridCol w:w="112"/>
        <w:gridCol w:w="112"/>
        <w:gridCol w:w="112"/>
        <w:gridCol w:w="217"/>
        <w:gridCol w:w="633"/>
        <w:gridCol w:w="278"/>
        <w:gridCol w:w="109"/>
        <w:gridCol w:w="109"/>
        <w:gridCol w:w="109"/>
        <w:gridCol w:w="211"/>
        <w:gridCol w:w="586"/>
        <w:gridCol w:w="109"/>
        <w:gridCol w:w="109"/>
        <w:gridCol w:w="109"/>
        <w:gridCol w:w="109"/>
        <w:gridCol w:w="232"/>
        <w:gridCol w:w="232"/>
        <w:gridCol w:w="33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(37.9)%</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10.3%</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65.6 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231F20"/>
          <w:sz w:val="20"/>
        </w:rPr>
        <w:t xml:space="preserve">Cost of sales 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 xml:space="preserve">September 30, 2025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 xml:space="preserve">$45.8 million, compared to the nine months ended September 30, 2024 primarily due to lower inventory related charges and net sales. Cost of sales for the nine months ended September 30, 2024 include $22.7 million of inventory charges for discontinued, excess, obsolete inventory, including the write-down of Delivery System inventory to its net realizable value and the write-off of excess raw materials and approximately $8 million of manufacturing optimization related costs. </w:t>
      </w:r>
      <w:r>
        <w:rPr>
          <w:rFonts w:ascii="Times New Roman;serif" w:hAnsi="Times New Roman;serif"/>
          <w:b w:val="false"/>
          <w:color w:val="231F20"/>
          <w:sz w:val="20"/>
        </w:rPr>
        <w:t xml:space="preserve">Gross margin increased to </w:t>
      </w:r>
      <w:r>
        <w:rPr>
          <w:rFonts w:ascii="Times New Roman;serif" w:hAnsi="Times New Roman;serif"/>
          <w:b w:val="false"/>
          <w:color w:val="000000"/>
          <w:sz w:val="20"/>
        </w:rPr>
        <w:t>65.6%</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 xml:space="preserve">September 30, 2025 from </w:t>
      </w:r>
      <w:r>
        <w:rPr>
          <w:rFonts w:ascii="Times New Roman;serif" w:hAnsi="Times New Roman;serif"/>
          <w:b w:val="false"/>
          <w:color w:val="000000"/>
          <w:sz w:val="20"/>
        </w:rPr>
        <w:t>51.8%</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2024</w:t>
      </w:r>
      <w:r>
        <w:rPr>
          <w:color w:val="231F20"/>
        </w:rPr>
        <w:t xml:space="preserve"> </w:t>
      </w:r>
      <w:r>
        <w:rPr>
          <w:rFonts w:ascii="Times New Roman;serif" w:hAnsi="Times New Roman;serif"/>
          <w:b w:val="false"/>
          <w:color w:val="231F20"/>
          <w:sz w:val="20"/>
        </w:rPr>
        <w:t>primarily due to lower inventory related charges and favorable mix shift towards consumable net sales, partially offset by lower average selling price of equipment net sales.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i/>
          <w:color w:val="231F20"/>
          <w:sz w:val="20"/>
        </w:rPr>
      </w:pPr>
      <w:r>
        <w:rPr>
          <w:rFonts w:ascii="Times New Roman;serif" w:hAnsi="Times New Roman;serif"/>
          <w:b/>
          <w:i/>
          <w:color w:val="231F20"/>
          <w:sz w:val="20"/>
        </w:rPr>
        <w:t>Selling and Marketing</w:t>
      </w:r>
    </w:p>
    <w:tbl>
      <w:tblPr>
        <w:tblW w:w="7438" w:type="dxa"/>
        <w:jc w:val="left"/>
        <w:tblInd w:w="0" w:type="dxa"/>
        <w:tblLayout w:type="fixed"/>
        <w:tblCellMar>
          <w:top w:w="28" w:type="dxa"/>
          <w:left w:w="28" w:type="dxa"/>
          <w:bottom w:w="28" w:type="dxa"/>
          <w:right w:w="28" w:type="dxa"/>
        </w:tblCellMar>
      </w:tblPr>
      <w:tblGrid>
        <w:gridCol w:w="864"/>
        <w:gridCol w:w="759"/>
        <w:gridCol w:w="761"/>
        <w:gridCol w:w="236"/>
        <w:gridCol w:w="573"/>
        <w:gridCol w:w="304"/>
        <w:gridCol w:w="122"/>
        <w:gridCol w:w="122"/>
        <w:gridCol w:w="122"/>
        <w:gridCol w:w="236"/>
        <w:gridCol w:w="573"/>
        <w:gridCol w:w="304"/>
        <w:gridCol w:w="109"/>
        <w:gridCol w:w="109"/>
        <w:gridCol w:w="109"/>
        <w:gridCol w:w="211"/>
        <w:gridCol w:w="586"/>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As a percentage of net sales</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32.1 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 for the nine months ended September 30, 2025 decreased $21.7 million, or 23.7%, compared to the nine months ended September 30, 2024. The decrease is primarily driven by lower personnel-related expenses, including share-based compensation expense and sales commission expense, and lower marketing related spend and depreciation and amortization expense.</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7378" w:type="dxa"/>
        <w:jc w:val="left"/>
        <w:tblInd w:w="0" w:type="dxa"/>
        <w:tblLayout w:type="fixed"/>
        <w:tblCellMar>
          <w:top w:w="28" w:type="dxa"/>
          <w:left w:w="28" w:type="dxa"/>
          <w:bottom w:w="28" w:type="dxa"/>
          <w:right w:w="28" w:type="dxa"/>
        </w:tblCellMar>
      </w:tblPr>
      <w:tblGrid>
        <w:gridCol w:w="879"/>
        <w:gridCol w:w="772"/>
        <w:gridCol w:w="778"/>
        <w:gridCol w:w="260"/>
        <w:gridCol w:w="501"/>
        <w:gridCol w:w="334"/>
        <w:gridCol w:w="134"/>
        <w:gridCol w:w="134"/>
        <w:gridCol w:w="134"/>
        <w:gridCol w:w="260"/>
        <w:gridCol w:w="501"/>
        <w:gridCol w:w="334"/>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nine months ended September 30, 2025 decreased $1.1 million, or 22.2%, compared to the nine months ended September 30, 2024. The decrease is primarily driven by lower personnel-related expenses, partially offset by higher other professional services expenses.</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273" w:type="dxa"/>
        <w:jc w:val="left"/>
        <w:tblInd w:w="0" w:type="dxa"/>
        <w:tblLayout w:type="fixed"/>
        <w:tblCellMar>
          <w:top w:w="28" w:type="dxa"/>
          <w:left w:w="28" w:type="dxa"/>
          <w:bottom w:w="28" w:type="dxa"/>
          <w:right w:w="28" w:type="dxa"/>
        </w:tblCellMar>
      </w:tblPr>
      <w:tblGrid>
        <w:gridCol w:w="879"/>
        <w:gridCol w:w="772"/>
        <w:gridCol w:w="779"/>
        <w:gridCol w:w="236"/>
        <w:gridCol w:w="573"/>
        <w:gridCol w:w="304"/>
        <w:gridCol w:w="122"/>
        <w:gridCol w:w="122"/>
        <w:gridCol w:w="122"/>
        <w:gridCol w:w="236"/>
        <w:gridCol w:w="573"/>
        <w:gridCol w:w="304"/>
        <w:gridCol w:w="109"/>
        <w:gridCol w:w="109"/>
        <w:gridCol w:w="109"/>
        <w:gridCol w:w="211"/>
        <w:gridCol w:w="481"/>
        <w:gridCol w:w="109"/>
        <w:gridCol w:w="109"/>
        <w:gridCol w:w="109"/>
        <w:gridCol w:w="109"/>
        <w:gridCol w:w="239"/>
        <w:gridCol w:w="241"/>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General and administrative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93.7 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37.4 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231F20"/>
          <w:sz w:val="20"/>
        </w:rPr>
        <w:t xml:space="preserve">General and administrative expense 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 xml:space="preserve">decreased </w:t>
      </w:r>
      <w:r>
        <w:rPr>
          <w:rFonts w:ascii="Times New Roman;serif" w:hAnsi="Times New Roman;serif"/>
          <w:b w:val="false"/>
          <w:color w:val="000000"/>
          <w:sz w:val="20"/>
        </w:rPr>
        <w:t>$3.4 million, or 3.7%, compared</w:t>
      </w:r>
      <w:r>
        <w:rPr>
          <w:color w:val="231F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231F20"/>
          <w:sz w:val="20"/>
        </w:rPr>
        <w:t>September 30, 2024. The decrease is primarily driven by lower share-based compensation expense, depreciation expense, and other general corporate spend, and bad debt recoveries. The decrease is partially offset by higher legal fees, amortization expense, and severance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Interest Expense, Interest Income, Change in Fair Value of Warrant Liabilities, and Other Income, Net</w:t>
      </w:r>
    </w:p>
    <w:tbl>
      <w:tblPr>
        <w:tblW w:w="8429" w:type="dxa"/>
        <w:jc w:val="left"/>
        <w:tblInd w:w="0" w:type="dxa"/>
        <w:tblLayout w:type="fixed"/>
        <w:tblCellMar>
          <w:top w:w="28" w:type="dxa"/>
          <w:left w:w="28" w:type="dxa"/>
          <w:bottom w:w="28" w:type="dxa"/>
          <w:right w:w="28" w:type="dxa"/>
        </w:tblCellMar>
      </w:tblPr>
      <w:tblGrid>
        <w:gridCol w:w="1250"/>
        <w:gridCol w:w="1097"/>
        <w:gridCol w:w="1102"/>
        <w:gridCol w:w="256"/>
        <w:gridCol w:w="711"/>
        <w:gridCol w:w="132"/>
        <w:gridCol w:w="132"/>
        <w:gridCol w:w="132"/>
        <w:gridCol w:w="132"/>
        <w:gridCol w:w="256"/>
        <w:gridCol w:w="711"/>
        <w:gridCol w:w="132"/>
        <w:gridCol w:w="109"/>
        <w:gridCol w:w="109"/>
        <w:gridCol w:w="109"/>
        <w:gridCol w:w="211"/>
        <w:gridCol w:w="511"/>
        <w:gridCol w:w="109"/>
        <w:gridCol w:w="109"/>
        <w:gridCol w:w="109"/>
        <w:gridCol w:w="109"/>
        <w:gridCol w:w="291"/>
        <w:gridCol w:w="294"/>
        <w:gridCol w:w="316"/>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N/M - Not meaningful</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for the nine months ended September 30, 2025 increased $5.0 million compared to the nine months ended September 30, 2024, primarily due to interest and amortization of debt issuance costs related to the 2028 Notes, partially offset by lower outstanding balances related to the 2026 Notes.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Interest income 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$7.0 million</w:t>
      </w:r>
      <w:r>
        <w:rPr>
          <w:color w:val="231F20"/>
        </w:rPr>
        <w:t xml:space="preserve"> </w:t>
      </w:r>
      <w:r>
        <w:rPr>
          <w:rFonts w:ascii="Times New Roman;serif" w:hAnsi="Times New Roman;serif"/>
          <w:b w:val="false"/>
          <w:color w:val="231F20"/>
          <w:sz w:val="20"/>
        </w:rPr>
        <w:t xml:space="preserve">compared to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2024</w:t>
      </w:r>
      <w:r>
        <w:rPr>
          <w:color w:val="231F20"/>
        </w:rPr>
        <w:t xml:space="preserve"> </w:t>
      </w:r>
      <w:r>
        <w:rPr>
          <w:rFonts w:ascii="Times New Roman;serif" w:hAnsi="Times New Roman;serif"/>
          <w:b w:val="false"/>
          <w:color w:val="231F20"/>
          <w:sz w:val="20"/>
        </w:rPr>
        <w:t xml:space="preserve">primarily due to lower average invested balances and interest rates during the </w:t>
      </w:r>
      <w:r>
        <w:rPr>
          <w:rFonts w:ascii="Times New Roman;serif" w:hAnsi="Times New Roman;serif"/>
          <w:b w:val="false"/>
          <w:color w:val="000000"/>
          <w:sz w:val="20"/>
        </w:rPr>
        <w:t>nine months</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September 30, 2025</w:t>
      </w:r>
      <w:r>
        <w:rPr>
          <w:rFonts w:ascii="Times New Roman;serif" w:hAnsi="Times New Roman;serif"/>
          <w:b w:val="false"/>
          <w:color w:val="231F2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the Company recognized </w:t>
      </w:r>
      <w:r>
        <w:rPr>
          <w:rFonts w:ascii="Times New Roman;serif" w:hAnsi="Times New Roman;serif"/>
          <w:b w:val="false"/>
          <w:color w:val="000000"/>
          <w:sz w:val="20"/>
        </w:rPr>
        <w:t>income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$0.3 million</w:t>
      </w:r>
      <w:r>
        <w:rPr>
          <w:color w:val="231F20"/>
        </w:rPr>
        <w:t xml:space="preserve"> </w:t>
      </w:r>
      <w:r>
        <w:rPr>
          <w:rFonts w:ascii="Times New Roman;serif" w:hAnsi="Times New Roman;serif"/>
          <w:b w:val="false"/>
          <w:color w:val="231F20"/>
          <w:sz w:val="20"/>
        </w:rPr>
        <w:t xml:space="preserve">related to the change in the fair value of the warrant liabilities, as compared to </w:t>
      </w:r>
      <w:r>
        <w:rPr>
          <w:rFonts w:ascii="Times New Roman;serif" w:hAnsi="Times New Roman;serif"/>
          <w:b w:val="false"/>
          <w:color w:val="000000"/>
          <w:sz w:val="20"/>
        </w:rPr>
        <w:t>income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$3.0 million</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2024</w:t>
      </w:r>
      <w:r>
        <w:rPr>
          <w:rFonts w:ascii="Times New Roman;serif" w:hAnsi="Times New Roman;serif"/>
          <w:b w:val="false"/>
          <w:color w:val="231F20"/>
          <w:sz w:val="20"/>
        </w:rPr>
        <w:t xml:space="preserve">, driven primarily by the fluctuation of the price of the Company’s Class A common stock, </w:t>
      </w:r>
      <w:r>
        <w:rPr>
          <w:rFonts w:ascii="Times New Roman;serif" w:hAnsi="Times New Roman;serif"/>
          <w:b w:val="false"/>
          <w:color w:val="000000"/>
          <w:sz w:val="20"/>
        </w:rPr>
        <w:t>par value $0.0001 per share (the “Class A Common Stock”)</w:t>
      </w:r>
      <w:r>
        <w:rPr>
          <w:rFonts w:ascii="Times New Roman;serif" w:hAnsi="Times New Roman;serif"/>
          <w:b w:val="false"/>
          <w:color w:val="231F2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 for the nine months ended September 30, 2025 included $18.1 million net gain related to the exchange and repurchases of the 2026 Notes. Other income, net for the nine months ended September 30, 2024 included $33.4 million net gain related to the repurchases of the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sources of capital have been (i) cash flow from operating activities, (ii) net proceeds received from the consummation of the Business Combination, (iii) net proceeds received from the 2026 Notes, and (iv) net proceeds received from the exercise of public and private placement warrants. As of September 30, 2025, we had cash, cash equivalents, and restricted cash of $219.4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Convertible Senior Notes, Net</w:t>
      </w:r>
    </w:p>
    <w:p>
      <w:pPr>
        <w:pStyle w:val="TextBody"/>
        <w:bidi w:val="0"/>
        <w:spacing w:before="0" w:after="0"/>
        <w:ind w:left="0" w:right="0" w:firstLine="18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2026 Notes. The 2026 Notes were issued pursuant to, and are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2024, there were no repurchases related to the 2026 Notes. During the nine months ended September 30, 2024, the Company repurchased $192.3 million principal amount of the 2026 Notes for $156.1 million and recognized a net gain of $33.4 million, which includes $2.8 million of unamortized debt issuance costs related to the repurchase.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there were no repurchases related to the 2026 Notes. During the nine months ended September 30, 2025, the Company repurchased $20.0 million principal amount of the 2026 Notes for $18.4 million and recognized a net gain of $1.5 million, which includes $0.1 million of unamortized debt issuance costs related to the repurchase. The net gain is included in other income, net in the Condensed Consolidated Statements of Comprehensive Income (Loss). </w: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Senior Secured Notes - 2028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privately negotiated exchange agreements (the “Exchange Agreements”) with certain holders (the “Exchanging Holders”) of the 2026 Notes (the “Existing Notes”). Pursuant to the Exchange Agreements, the Company exchanged and repurchased $413.2 million aggregate principal amount of the Existing Notes. Of the $413.2 million aggregate principal amount of the Existing Notes, $263.2 million principal amount were exchanged at a weighted-average price equal to 95% for $250.0 million principal amount of new 7.95% Convertible Senior Secured Notes due November 15, 2028 (the “2028 Notes”), and $150.1 million principal amount were repurchased at a weighted-average price equal to 95% for $142.6 million. The exchange and repurchase resulted in a net gain of $16.6 million, which includes $3.1 million of unamortized debt issuance costs and $0.9 million of other related fees. The Company incurred $11.4 million of debt issuance costs related to the exchange and repurchase of its Existing Notes which are being amortized over the term of the 2028 Notes using the effective interest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27, 2025, the Company issued the 2028 Notes to the Exchanging Holders. The 2028 Notes were issued pursuant to, and are governed by, an indenture (the “2028 Indenture”), dated as of May 27, 2025, between the Company, the guarantors party thereto, and U.S. Bank Trust Company, National Association, as trustee and collateral agent.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2028 Notes are the Company’s senior, secured obligations and are guaranteed by certain of the Company’s subsidiaries (including the Company’s material domestic, wholly-owned subsidiaries) and are secured on a first-priority basis by substantially all assets of the Company and such guarantors, subject to certain exceptions. The 2028 Indenture also contains a number of restrictive covenants and limitations, including restrictions on the Company’s ability to incur certain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other limitations on liens, investments and restricted payments, as further described in the 2028 Indenture. For more information, see Part I, Item 1 “Financial Statements — Note 5 - “Long-term Debt” in this Quarterly Report on Form 10-Q.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gain recognized related to the exchange and repurchases is included in other income, net in the Condensed Consolidated Statements of Comprehensive Income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Known Trends or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continue to face macroeconomic challenges such as the possibility of recession or financial market instability, and the impact of any governmental actions on the economy, such as tariffs and/or trade restrictions. These factors may adversely impact consumers, business, and government spending as well as our customers' ability to pay for our products and services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2025.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from our statements of cash flows. Amounts may not foot due to rounding.</w:t>
      </w:r>
    </w:p>
    <w:tbl>
      <w:tblPr>
        <w:tblW w:w="8051" w:type="dxa"/>
        <w:jc w:val="left"/>
        <w:tblInd w:w="0" w:type="dxa"/>
        <w:tblLayout w:type="fixed"/>
        <w:tblCellMar>
          <w:top w:w="28" w:type="dxa"/>
          <w:left w:w="28" w:type="dxa"/>
          <w:bottom w:w="28" w:type="dxa"/>
          <w:right w:w="28" w:type="dxa"/>
        </w:tblCellMar>
      </w:tblPr>
      <w:tblGrid>
        <w:gridCol w:w="1957"/>
        <w:gridCol w:w="1725"/>
        <w:gridCol w:w="1732"/>
        <w:gridCol w:w="248"/>
        <w:gridCol w:w="724"/>
        <w:gridCol w:w="128"/>
        <w:gridCol w:w="128"/>
        <w:gridCol w:w="128"/>
        <w:gridCol w:w="128"/>
        <w:gridCol w:w="248"/>
        <w:gridCol w:w="724"/>
        <w:gridCol w:w="181"/>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Nine Months Ended September 30,</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beginning of period</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activities: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Non-cash adjustments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working capital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provided by (used for) operating activities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investing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financing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Net change in cash, cash equivalents, and restricted cash</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foreign currency translation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end of period</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nine months ended September 30, 2025 was $22.3 million, as compared to net cash used for operating activities of $0.3 million for the nine months ended September 30, 2024. The change in cash provided by operating activities was primarily related to lower working capital usage and changes in net loss and non-cash adjustments. The current year net loss and non-cash adjustments include $18.1 million of net gain related to the exchange and repurchases of the 2026 Notes. The prior year net loss and non-cash adjustments include $33.4 million of net gain related to the repurchases of the 2026 Notes and the prior year changes in working capital includes the impact of the costs associated with the Syndeo Program of $21.0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nine months ended September 30, 2025 was $3.8 million, as compared to $5.9 million for the nine months ended September 30, 2024. The change in cash used for investing activities was due to lower capital expenditures during the nine months ended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nine months ended September 30, 2025 was $174.4 million, as compared to $157.6 million for the nine months ended September 30, 2024. The cash used for financing activities for the nine months ended September 30, 2025 was primarily related to the exchange and repurchases of the Company’s 2026 Notes. The cash used for financing activities for the nine months ended September 30, 2024 was primarily related to the repurchases of the Company’s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since our Annual Report on Form 10-K for the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Part I, Item 1 "Financial Statements—Note 15 to the Consolidated Financial Statements—New Accounting Pronouncements"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risks relating to our operations result primarily from changes in interest rates, foreign currency, and inflation risk. There were no material changes to our market risks disclosed in our Annual Report on Form 10-K for the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as a result of the material weakness in our internal control over financial reporting related to the Company’s inventory process as described in Part II, Item 9A of our Annual Report on Form 10-K for the year ended December 31, 2024, the Company’s disclosure controls and procedures were not effective as of September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Remediation Plan for Material Weakness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with oversight from our Audit Committee, has made progress on its remediation plan specific to the material weakness, with the completion of the following remediation activities as of September 30,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appointed new individuals in key roles including the Chief Supply Chain and Operations Officer and other operational leadership roles;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Enhanced training and operational guidelines resulting in the successful completion of the Company’s annual physical inventory counts;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Designed and implemented controls with regards to excess and obsolete inventory and inventory pricing and purchase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the remediation steps detailed above; however, the Company is unable to conclude that these controls are operating effectively until the applicable controls operate for a sufficient period of time and are subject to testing to conclude that remediation has been achieved. The Company anticipates that remediation activities will be completed during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(as such term is defined in the Exchange Act) that occurred during the three months ended September 30, 2025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8, 2024, Hydrafacial filed an appeal in the Federal Circuit Court of Appeals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parties exchanged their opening briefs on March 12, 2025 and June 20, 2025. Hydrafacial expects the hearing for this appeal to be scheduled in the later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has asserted that Cartessa and Eunsung infringe Hydrafacial’s U.S. Patent No. 11,865,287, which relates to hydrodermabrasion systems but was not asserted in the Cartessa Case. Eunsung has consented to an exclusion order during the term of the Hydrafacial patent-in-suit. In the ITC Cartessa Matter, the parties concluded the evidentiary hearing on April 9-15, 2025. The parties filed post-hearing briefs in May 2025 and the judge issued an initial determination on August 26, 2025, finding that the patent is valid and infringed by Cartessa’s products. The initial determination recommended an exclusion order and cease and desist order against Cartessa that would prevent importation or sale of Cartessa’s hydrodermabrasion systems within the United States. The initial determination has been certified to the Commission and it is expected to issue a final determination by the end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 - Second Complaint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and there will be no activity until the conclusion of the ITC Cartessa Matter. After conclusion of the ITC Cartessa Matter, Hydrafacial plans to reopen the Second Cartessa Case to seek monetary damages and plans to vigorously pursue its claims against Cartessa.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Eunsung Global Corp (and Sinclair Pharma Ltd. and Aesthetic Management Partners, Inc.) - IPRs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2024, Eunsung filed a Petition for inter partes review (“IPR”), IPR2024-01491, challenging the validity of Hydrafacial’s U.S. Patent No. 11,865, 287 (the “’287 Patent”). On November 25, 2024, Sinclair Pharma Ltd and Aesthetic Management Partners, Inc. (“AMP”) filed a similar IPR Petition, IPR2025-00145, challenging the same patent and relying on the same arguments. On January 10, 2025, Eunsung filed an IPR Petition, IPR2025-00445, challenging the validity of Hydrafacial’s U.S. Patent No. 9,550,052 (the “’052 Patent”). On January 13, 2025, Eunsung filed an IPR Petition, IPR2025-00452, challenging the validity of Hydrafacial’s U.S. Patent No. 12,053,607. On January 14, 2025, Eunsung filed an IPR Petition, IPR2025-00453, challenging the validity of Hydrafacial’s U.S. Patent No. 11,446,477 (the “’477 Patent”). On April 11, 2025, the U.S.P.T.O. Board denied institution of the first IPR challenging the ’287 Patent (IPR2024-01491). On June 2, 2025, the U.S.P.T.O. Board granted institution of the second IPR challenging the ’287 Patent (IPR2025-00145). In July 2025, Sinclair and AMP filed copycat IPR Petitions challenging the ’052 Patent and ’477 Patent (IPR2025-01169 and IPR2025-01217, respectively) based on the same arguments as Eunsung’s corresponding IPR Petitions. In July 2025, Eunsung terminated each of its IPR proceedings against Hydrafacial. The only IPR proceedings still pending against Hydrafacial are the three Sinclair and AMP IPRs (IPR2025-00145, IPR2025-01169, and IPR2025-01217). These remaining IPR proceedings are in their early stages, with one being instituted in June 2025, and the others still awaiting institution decisions that are expected to come in the first half of 2026. Hydrafacial plans to vigorously defend its patents against each of these challenges.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Medicreations LLC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On March 3, 2025, the court issued an order dismissing a few of Hydrafacial’s claims to specific remedies, but the majority of the case and claims will move forward. On May 13, 2025, Hydrafacial filed a Motion for Preliminary Injunction that was denied in October 2025. The Medicreations Case is proceeding through discovery with depositions being scheduled. Hydrafacial is seeking monetary damages and plans to vigorously pursue its claims against Medicreations.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Sinclair Pharma US,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was stayed pending the resolution of an ITC investigation against Sinclair. The ITC investigation was terminated in February 2025, and the district court judge lifted the stay in the Sinclair Case. This case is now proceeding into the discovery phase. Hydrafacial will seek monetary damages and plans to vigorously pursue its claims against Sinclair and Viora.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Aesthetic Management Partners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was stayed due to a corresponding ITC investigation. The ITC investigation was terminated in February 2025, and the judge lifted the stay.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13, 2025, Hydrafacial filed a motion for preliminary injunction for which the judge held a hearing on July 25, 2025, but the judge has not yet issued an order. On June 23, 2025, AMP filed a partial motion to dismiss which only addresses a small portion of Hydrafacial’s claims and remedies in this case, but a hearing has not been scheduled for this motion yet. Hydrafacial will continue to seek monetary damages, and plans to vigorously pursue its claims against AMP.</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Medical Purchasing Resource,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On April 3, 2025, the parties participated in a mediation and came to a tentative agreement to settle the case. In the mediation, the parties reached a settlement agreement and ultimately agreed that Medical Purchasing Resource will stop using Hydrafacial’s trademarks and any marks that are confusingly similar to those marks. Medical Purchasing Resource also agreed to stop the other activities identified by Hydrafacial in its complaint, including selling products to known Hydrafacial customers. Medical Purchasing Resource also agreed to take additional measures to ensure that customers are aware that Medical Purchasing Resource and its products have no relation or affiliation with Hydrafacial. Medical Purchasing Resource also agreed to pay Hydrafacial a total of $105,000 for past damages which will be paid to Hydrafacial in four quarterly payments of $26,250 starting in July 2025, and the parties filed a consent judgment with the court to end the lawsuit. As a result, the MPR Case has been dismissed.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Luvo Medical Technologies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was stayed due to the corresponding ITC Luvo Matter, but pursuant to the ITC settlement agreement, the parties filed a consent judgment in the Luvo Case that terminated the case as to Luvo and Healthcare Markets. This case continued against Eunsung until the parties achieved a settlement in July 2025, wherein Eunsung agreed to a consent judgment as well. As a result, the Luvo Case has been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After a mediation between the parties, on March 17, 2025, Hydrafacial signed a settlement agreement with Luvo and Healthcare Markets. As a result, the ITC has terminated the investigation as to Luvo and Healthcare Markets, and issued default judgment against the remaining respondents.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eMIRAmed USA,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Hydrafacial is seeking monetary damages and plans to vigorously pursue its claims against eMIRAmed and MIRAmedtech. On January 22, 2025, Hydrafacial moved for default judgment against eMIRAmed and MIRAmedtech. On January 30, 2025, eMIRAmed filed notice of Chapter 7 bankruptcy. On March 21, 2025, the court granted default judgment against MIRAmedtech but denied default judgment against eMIRAmed due to its bankruptcy filing. As a result, the eMIRAmed Case has been closed.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 Spa Essentials,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6, 2025, Hydrafacial filed a complaint against Med Spa Essentials, LLC (“MS Essentials”) in the United States District Court for the Central District of California, Case No. 2:25-cv-01994 (the “MS Essentials Case”), for trademark infringement, false designation of origin, unfair competition, tortious interference, and other causes of action relating to Hydrafacial’s trademark rights. Before filing any response to the complaint, MS Essentials agreed to shut down its business and stop all unlawful acts alleged in the complaint. The parties entered into a settlement agreement and filed a consent judgment, dismissing this case in July 2025.</w:t>
      </w:r>
    </w:p>
    <w:p>
      <w:pPr>
        <w:pStyle w:val="TextBody"/>
        <w:bidi w:val="0"/>
        <w:spacing w:before="0" w:after="0"/>
        <w:jc w:val="left"/>
        <w:rPr/>
      </w:pPr>
      <w:r>
        <w:rPr/>
      </w:r>
    </w:p>
    <w:p>
      <w:pPr>
        <w:pStyle w:val="TextBody"/>
        <w:bidi w:val="0"/>
        <w:spacing w:lineRule="auto" w:line="276"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Candela Corp.</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 2025, Hydrafacial filed a complaint against Candela Corp. (“Candela”), and its manufacturer Termosalud S.L. (“Termosalud”), in the United States District Court for the District of Delaware, Case No. 1:25-cv-00418-JLH (the “Candela Case”), for patent infringement arising from Candela’s sale of hydrodermabrasion systems that Hydrafacial alleged to have infringed five of Hydrafacial’s patents on its device. The Candela Case is in its early stages of discovery and Hydrafacial is seeking monetary damages and plans to vigorously pursue its claims against Candela and Termosalud.</w:t>
      </w:r>
    </w:p>
    <w:p>
      <w:pPr>
        <w:pStyle w:val="TextBody"/>
        <w:bidi w:val="0"/>
        <w:spacing w:before="0" w:after="0"/>
        <w:jc w:val="left"/>
        <w:rPr/>
      </w:pPr>
      <w:r>
        <w:rPr/>
      </w:r>
    </w:p>
    <w:p>
      <w:pPr>
        <w:pStyle w:val="TextBody"/>
        <w:bidi w:val="0"/>
        <w:spacing w:lineRule="auto" w:line="276"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BQ Aesthetix &amp; Co.,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24, 2025, Hydrafacial filed a complaint against BQ Aesthetix &amp; Co., LLC d/b/a Bellatrix USA (“Bellatrix”) in the United States District Court for the Southern District of Florida, Case No. 0:25-cv-61262-AHS (the “Bellatrix Case”), for patent infringement arising from Bellatrix’s sale of hydrodermabrasion systems that Hydrafacial alleged to have infringed seven of Hydrafacial’s patents on its device. The Bellatrix Case is in its early stages of discovery and Hydrafacial is seeking monetary damages and plans to vigorously pursue its claims against Bellatrix.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filed their opposition brief on November 22, 2024, and the Company filed its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can complete a private mediation. The parties conducted the private mediation on March 27, 2025. The parties were unable to reach a settlement at the mediation. On April 16, 2025, the court so-ordered the parties’ stipulation. On May 5, 2025, the plaintiffs filed an amended complaint. On July 11, 2025, Defendants filed a motion to dismiss the amended complaint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xml:space="preserve">. On September 25, 2025, the Court denied Defendants’ motion to dismiss. Defendants’ answer to the amended complaint is due November 24,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“Customer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2024, the Class Action Defendants filed a motion to dismiss the Customer Class Action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 On June 2, 2025, Plaintiff and fifteen other alleged purchasers of the Syndeo machines filed an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On June 23, 2025, Defendants moved to (i) dismiss Counts I, II, IV, and V in full; (ii) partially dismiss Count III to the extent it alleges design defects; (iii) dismiss all claims brought by plaintiff Jennifer Skuratov d/b/a Spa Thirsty in full; (iv) dismiss all claims against the Company in full; and (v) dismiss Plaintiffs’ claim for injunctive relief. The parties are currently engaged in discovery while they await the Court’s ruling on Defendants’ partial motion to dismiss.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Class Action Defendants intend to vigorously defend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Although oral argument before the Delaware Court of Chancery on the Motion to Dismiss is scheduled for January 7, 2026, the parties held a mediation on November 4, 2025 and have reached agreement on certain terms of a mutually agreeable resolution. However, the settlement discussions are ongoing and any final resolution is subject to the parties’ execution of a final settlement agreement and the Delaware Court of Chancery’s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Consolidated Derivative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information related to its investigation. The Company is in the process of responding to the subpoenas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 other than as set forth below, which should be read in conjunction with the risks described in our Annual Report on Form 10-K.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terms of our 2028 Notes contains certain restrictive covenants which may restrict our current and future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2028 Indenture governing the 2028 Notes contains certain restrictive covenants including, but not limited to, restricting our ability to raise additional capital through debt financing, certain transactions involving the assets of guarantors, limitations on certain transaction types, including but not limited to, the ability to incur certain indebtedness, liens, investments and restricted payments, mergers, acquisitions, and dividends and/or repurchases of the Company’s Class A Common Stock. These covenants may restrict our current and future operations, particularly our ability to respond to certain changes in our business or industry, or take future actions. Furthermore, a failure to satisfy these covenants would constitute an event of default under the 2028 Notes.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Company did not issue any shares of its Class A Common Stock or other equity securities that were not registered under the Securities Act of 1933, as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of Equity Securities by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Company and its affiliated purchasers did not make any purchases of the Company’s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as part of, or incorporated by reference into, this Quarterly Report on Form 10-Q. </w:t>
      </w:r>
    </w:p>
    <w:tbl>
      <w:tblPr>
        <w:tblW w:w="10205"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1438"/>
        <w:gridCol w:w="1144"/>
        <w:gridCol w:w="1148"/>
        <w:gridCol w:w="109"/>
        <w:gridCol w:w="109"/>
        <w:gridCol w:w="109"/>
        <w:gridCol w:w="196"/>
        <w:gridCol w:w="196"/>
        <w:gridCol w:w="197"/>
        <w:gridCol w:w="109"/>
        <w:gridCol w:w="109"/>
        <w:gridCol w:w="109"/>
        <w:gridCol w:w="262"/>
        <w:gridCol w:w="242"/>
        <w:gridCol w:w="166"/>
        <w:gridCol w:w="109"/>
        <w:gridCol w:w="109"/>
        <w:gridCol w:w="109"/>
        <w:gridCol w:w="246"/>
        <w:gridCol w:w="246"/>
        <w:gridCol w:w="247"/>
        <w:gridCol w:w="109"/>
        <w:gridCol w:w="109"/>
        <w:gridCol w:w="109"/>
        <w:gridCol w:w="413"/>
        <w:gridCol w:w="373"/>
        <w:gridCol w:w="257"/>
        <w:gridCol w:w="109"/>
        <w:gridCol w:w="109"/>
        <w:gridCol w:w="109"/>
        <w:gridCol w:w="287"/>
        <w:gridCol w:w="287"/>
        <w:gridCol w:w="417"/>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FF"/>
                  <w:sz w:val="20"/>
                  <w:u w:val="single"/>
                </w:rPr>
                <w:t>Certificate of Amendment to the 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p>
            <w:pPr>
              <w:pStyle w:val="TableContents"/>
              <w:bidi w:val="0"/>
              <w:spacing w:lineRule="auto" w:line="268" w:before="0" w:after="0"/>
              <w:jc w:val="left"/>
              <w:rPr/>
            </w:pPr>
            <w:hyperlink r:id="rId9">
              <w:r>
                <w:rPr>
                  <w:rStyle w:val="InternetLink"/>
                  <w:rFonts w:ascii="Times New Roman;serif" w:hAnsi="Times New Roman;serif"/>
                  <w:b w:val="false"/>
                  <w:color w:val="0000FF"/>
                  <w:sz w:val="20"/>
                  <w:u w:val="single"/>
                </w:rPr>
                <w:t>Second Certificate of Amendment to the 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20"/>
                  <w:u w:val="single"/>
                </w:rPr>
                <w:t>Certificate of Correction to 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Amended and Restated Bylaws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Indenture, dated as of September 14, 2021, between The Beauty Health Company and U.S.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Warrant Agreement, dated September 29, 2020, between the Company and Continental Stock Transfer &amp; Trust Company, as warrant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Indenture, dated May 27, 2025, between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Note representing the 7.95% Convertible Senior Secured Notes due 2028 (included as Exhibit A to Exhibit 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Supplemental Indenture No. 1, dated September 4, 2025, among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Employment Agreement with Pedro Malha, dated September 29,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Indemnification Agreement (incorporated by reference to Exhibit 10.13 to the Company's Current Report on Form 8-K filed on May 10,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Separation Agreement, by and between The Beauty Health Company and Marla Beck, dated October 13,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
        <w:gridCol w:w="187"/>
        <w:gridCol w:w="190"/>
        <w:gridCol w:w="109"/>
        <w:gridCol w:w="109"/>
        <w:gridCol w:w="109"/>
        <w:gridCol w:w="1386"/>
        <w:gridCol w:w="1142"/>
        <w:gridCol w:w="1145"/>
        <w:gridCol w:w="109"/>
        <w:gridCol w:w="109"/>
        <w:gridCol w:w="109"/>
        <w:gridCol w:w="197"/>
        <w:gridCol w:w="197"/>
        <w:gridCol w:w="198"/>
        <w:gridCol w:w="109"/>
        <w:gridCol w:w="109"/>
        <w:gridCol w:w="109"/>
        <w:gridCol w:w="268"/>
        <w:gridCol w:w="250"/>
        <w:gridCol w:w="181"/>
        <w:gridCol w:w="109"/>
        <w:gridCol w:w="109"/>
        <w:gridCol w:w="109"/>
        <w:gridCol w:w="247"/>
        <w:gridCol w:w="247"/>
        <w:gridCol w:w="248"/>
        <w:gridCol w:w="109"/>
        <w:gridCol w:w="109"/>
        <w:gridCol w:w="109"/>
        <w:gridCol w:w="370"/>
        <w:gridCol w:w="260"/>
        <w:gridCol w:w="262"/>
        <w:gridCol w:w="109"/>
        <w:gridCol w:w="109"/>
        <w:gridCol w:w="109"/>
        <w:gridCol w:w="298"/>
        <w:gridCol w:w="298"/>
        <w:gridCol w:w="434"/>
      </w:tblGrid>
      <w:tr>
        <w:trPr/>
        <w:tc>
          <w:tcPr>
            <w:tcW w:w="2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General Release of all Claims, by and between The Beauty Health Company and Marla Beck, dated October 10,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5q310q.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5q310q.htm">
              <w:r>
                <w:rPr>
                  <w:rStyle w:val="InternetLink"/>
                  <w:rFonts w:ascii="Times New Roman;serif" w:hAnsi="Times New Roman;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5q310q.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5q310q.htm">
              <w:r>
                <w:rPr>
                  <w:rStyle w:val="InternetLink"/>
                  <w:rFonts w:ascii="Times New Roman;serif" w:hAnsi="Times New Roman;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5q310q.htm">
              <w:r>
                <w:rPr>
                  <w:rStyle w:val="InternetLink"/>
                  <w:rFonts w:ascii="Times New Roman;serif" w:hAnsi="Times New Roman;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5q3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5q310q.htm">
              <w:r>
                <w:rPr>
                  <w:rStyle w:val="InternetLink"/>
                  <w:rFonts w:ascii="Times New Roman;serif" w:hAnsi="Times New Roman;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5q3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 attachments)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16"/>
        </w:rPr>
        <w:t xml:space="preserve">Confidential portions of this exhibit were redacted pursuant to Item 601(b)(10) of Regulation S-K, and the Company agrees to furnish to the SEC a copy of any omitted schedule and/or exhibit upon request.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081"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519"/>
        <w:gridCol w:w="519"/>
        <w:gridCol w:w="519"/>
        <w:gridCol w:w="1267"/>
        <w:gridCol w:w="1267"/>
        <w:gridCol w:w="18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BEAUTY HEALTH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Pedro Malha,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96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25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The Beauty Health Company (the “Company”) on Form 10-Q for the quarterly period ended September 30, 2025, as filed with the Securities and Exchange Commission (the “Report”), I, Pedro Malha,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96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The Beauty Health Company (the “Company”) on Form 10-Q for the quarterly period ended September 30, 2025,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25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093/000121390020041690/ea131234ex2-1_vesperhealth.htm" TargetMode="External"/><Relationship Id="rId3" Type="http://schemas.openxmlformats.org/officeDocument/2006/relationships/hyperlink" Target="https://www.sec.gov/Archives/edgar/data/1818093/000121390020041690/ea131234ex2-1_vesperhealth.htm" TargetMode="External"/><Relationship Id="rId4" Type="http://schemas.openxmlformats.org/officeDocument/2006/relationships/hyperlink" Target="https://www.sec.gov/Archives/edgar/data/1818093/000119312521156433/d422189dex31.htm" TargetMode="External"/><Relationship Id="rId5" Type="http://schemas.openxmlformats.org/officeDocument/2006/relationships/hyperlink" Target="https://www.sec.gov/Archives/edgar/data/1818093/000119312521156433/d422189dex31.htm" TargetMode="External"/><Relationship Id="rId6" Type="http://schemas.openxmlformats.org/officeDocument/2006/relationships/hyperlink" Target="https://www.sec.gov/Archives/edgar/data/1818093/000162828024027695/exhibit31-amendmenttocoide.htm" TargetMode="External"/><Relationship Id="rId7" Type="http://schemas.openxmlformats.org/officeDocument/2006/relationships/hyperlink" Target="https://www.sec.gov/Archives/edgar/data/1818093/000162828024027695/exhibit31-amendmenttocoide.htm" TargetMode="External"/><Relationship Id="rId8" Type="http://schemas.openxmlformats.org/officeDocument/2006/relationships/hyperlink" Target="https://www.sec.gov/Archives/edgar/data/1818093/000162828024027695/exhibit32-amendmenttocoiel.htm" TargetMode="External"/><Relationship Id="rId9" Type="http://schemas.openxmlformats.org/officeDocument/2006/relationships/hyperlink" Target="https://www.sec.gov/Archives/edgar/data/1818093/000162828024027695/exhibit32-amendmenttocoiel.htm" TargetMode="External"/><Relationship Id="rId10" Type="http://schemas.openxmlformats.org/officeDocument/2006/relationships/hyperlink" Target="https://www.sec.gov/Archives/edgar/data/1818093/000162828025037230/ex31-beautyhealthxcertific.htm" TargetMode="External"/><Relationship Id="rId11" Type="http://schemas.openxmlformats.org/officeDocument/2006/relationships/hyperlink" Target="https://www.sec.gov/Archives/edgar/data/1818093/000162828025037230/ex31-beautyhealthxcertific.htm" TargetMode="External"/><Relationship Id="rId12" Type="http://schemas.openxmlformats.org/officeDocument/2006/relationships/hyperlink" Target="https://www.sec.gov/Archives/edgar/data/1818093/000119312521156433/d422189dex32.htm" TargetMode="External"/><Relationship Id="rId13" Type="http://schemas.openxmlformats.org/officeDocument/2006/relationships/hyperlink" Target="https://www.sec.gov/Archives/edgar/data/1818093/000119312521156433/d422189dex32.htm" TargetMode="External"/><Relationship Id="rId14" Type="http://schemas.openxmlformats.org/officeDocument/2006/relationships/hyperlink" Target="https://www.sec.gov/Archives/edgar/data/1818093/000181809321000062/exhibit41-convdebtclosing.htm" TargetMode="External"/><Relationship Id="rId15" Type="http://schemas.openxmlformats.org/officeDocument/2006/relationships/hyperlink" Target="https://www.sec.gov/Archives/edgar/data/1818093/000181809321000062/exhibit41-convdebtclosing.htm" TargetMode="External"/><Relationship Id="rId16" Type="http://schemas.openxmlformats.org/officeDocument/2006/relationships/hyperlink" Target="https://www.sec.gov/Archives/edgar/data/1818093/000181809321000062/exhibit41-convdebtclosing.htm" TargetMode="External"/><Relationship Id="rId17" Type="http://schemas.openxmlformats.org/officeDocument/2006/relationships/hyperlink" Target="https://www.sec.gov/Archives/edgar/data/1818093/000181809321000062/exhibit41-convdebtclosing.htm" TargetMode="External"/><Relationship Id="rId18" Type="http://schemas.openxmlformats.org/officeDocument/2006/relationships/hyperlink" Target="https://www.sec.gov/Archives/edgar/data/1818093/000121390020030149/ea127784ex4-1_vesper.htm" TargetMode="External"/><Relationship Id="rId19" Type="http://schemas.openxmlformats.org/officeDocument/2006/relationships/hyperlink" Target="https://www.sec.gov/Archives/edgar/data/1818093/000121390020030149/ea127784ex4-1_vesper.htm" TargetMode="External"/><Relationship Id="rId20" Type="http://schemas.openxmlformats.org/officeDocument/2006/relationships/hyperlink" Target="https://www.sec.gov/Archives/edgar/data/1818093/000162828025038993/beautyhealth-indenturedate.htm" TargetMode="External"/><Relationship Id="rId21" Type="http://schemas.openxmlformats.org/officeDocument/2006/relationships/hyperlink" Target="https://www.sec.gov/Archives/edgar/data/1818093/000162828025038993/beautyhealth-indenturedate.htm" TargetMode="External"/><Relationship Id="rId22" Type="http://schemas.openxmlformats.org/officeDocument/2006/relationships/hyperlink" Target="https://www.sec.gov/Archives/edgar/data/1818093/000162828025038993/beautyhealth-indenturedate.htm" TargetMode="External"/><Relationship Id="rId23" Type="http://schemas.openxmlformats.org/officeDocument/2006/relationships/hyperlink" Target="https://www.sec.gov/Archives/edgar/data/1818093/000162828025038993/beautyhealth-indenturedate.htm" TargetMode="External"/><Relationship Id="rId24" Type="http://schemas.openxmlformats.org/officeDocument/2006/relationships/hyperlink" Target="https://www.sec.gov/Archives/edgar/data/1818093/000168316825006690/skin_ex0401.htm" TargetMode="External"/><Relationship Id="rId25" Type="http://schemas.openxmlformats.org/officeDocument/2006/relationships/hyperlink" Target="https://www.sec.gov/Archives/edgar/data/1818093/000168316825006690/skin_ex0401.htm" TargetMode="External"/><Relationship Id="rId26" Type="http://schemas.openxmlformats.org/officeDocument/2006/relationships/hyperlink" Target="https://www.sec.gov/Archives/edgar/data/1818093/000162828025012407/exhibit44-descriptionofsec.htm" TargetMode="External"/><Relationship Id="rId27" Type="http://schemas.openxmlformats.org/officeDocument/2006/relationships/hyperlink" Target="https://www.sec.gov/Archives/edgar/data/1818093/000162828025012407/exhibit44-descriptionofsec.htm" TargetMode="External"/><Relationship Id="rId28" Type="http://schemas.openxmlformats.org/officeDocument/2006/relationships/hyperlink" Target="https://www.sec.gov/Archives/edgar/data/1818093/000162828025043256/ex101-employmentagreemen.htm" TargetMode="External"/><Relationship Id="rId29" Type="http://schemas.openxmlformats.org/officeDocument/2006/relationships/hyperlink" Target="https://www.sec.gov/Archives/edgar/data/1818093/000162828025043256/ex101-employmentagreemen.htm" TargetMode="External"/><Relationship Id="rId30" Type="http://schemas.openxmlformats.org/officeDocument/2006/relationships/hyperlink" Target="https://www.sec.gov/Archives/edgar/data/1818093/000119312521156433/d422189dex1013.htm" TargetMode="External"/><Relationship Id="rId31" Type="http://schemas.openxmlformats.org/officeDocument/2006/relationships/hyperlink" Target="https://www.sec.gov/Archives/edgar/data/1818093/000119312521156433/d422189dex1013.htm" TargetMode="External"/><Relationship Id="rId32" Type="http://schemas.openxmlformats.org/officeDocument/2006/relationships/hyperlink" Target="https://www.sec.gov/Archives/edgar/data/1818093/000162828025045385/exhibit101-20251009beautyh.htm" TargetMode="External"/><Relationship Id="rId33" Type="http://schemas.openxmlformats.org/officeDocument/2006/relationships/hyperlink" Target="https://www.sec.gov/Archives/edgar/data/1818093/000162828025045385/exhibit101-20251009beautyh.htm" TargetMode="External"/><Relationship Id="rId34" Type="http://schemas.openxmlformats.org/officeDocument/2006/relationships/hyperlink" Target="https://www.sec.gov/Archives/edgar/data/1818093/000162828025045385/exhibit102-20251009mbeckre.htm" TargetMode="External"/><Relationship Id="rId35" Type="http://schemas.openxmlformats.org/officeDocument/2006/relationships/hyperlink" Target="https://www.sec.gov/Archives/edgar/data/1818093/000162828025045385/exhibit102-20251009mbeckre.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23962</Words>
  <Characters>133568</Characters>
  <CharactersWithSpaces>155934</CharactersWithSpaces>
  <Paragraphs>2522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