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231F20"/>
        </w:rPr>
        <w:drawing>
          <wp:anchor simplePos="0" relativeHeight="251657728" behindDoc="1" locked="0" layoutInCell="0" allowOverlap="1">
            <wp:simplePos x="0" y="0"/>
            <wp:positionH relativeFrom="page">
              <wp:posOffset>193675</wp:posOffset>
            </wp:positionH>
            <wp:positionV relativeFrom="page">
              <wp:posOffset>641350</wp:posOffset>
            </wp:positionV>
            <wp:extent cx="70002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024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661670</wp:posOffset>
            </wp:positionV>
            <wp:extent cx="70002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024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2536190</wp:posOffset>
            </wp:positionH>
            <wp:positionV relativeFrom="paragraph">
              <wp:posOffset>108585</wp:posOffset>
            </wp:positionV>
            <wp:extent cx="20955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5500" cy="698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31F2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2536190</wp:posOffset>
            </wp:positionH>
            <wp:positionV relativeFrom="paragraph">
              <wp:posOffset>30480</wp:posOffset>
            </wp:positionV>
            <wp:extent cx="20955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5500" cy="6985"/>
                    </a:xfrm>
                    <a:prstGeom prst="rect">
                      <a:avLst/>
                    </a:prstGeom>
                    <a:noFill/>
                  </pic:spPr>
                </pic:pic>
              </a:graphicData>
            </a:graphic>
          </wp:anchor>
        </w:drawing>
      </w:r>
    </w:p>
    <w:p>
      <w:pPr>
        <w:spacing w:after="0" w:line="132" w:lineRule="exact"/>
        <w:rPr>
          <w:sz w:val="24"/>
          <w:szCs w:val="24"/>
          <w:color w:val="auto"/>
        </w:rPr>
      </w:pPr>
    </w:p>
    <w:p>
      <w:pPr>
        <w:ind w:left="2500" w:hanging="176"/>
        <w:spacing w:after="0"/>
        <w:tabs>
          <w:tab w:leader="none" w:pos="25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2024</w:t>
      </w:r>
    </w:p>
    <w:p>
      <w:pPr>
        <w:spacing w:after="0" w:line="41" w:lineRule="exact"/>
        <w:rPr>
          <w:sz w:val="24"/>
          <w:szCs w:val="24"/>
          <w:color w:val="auto"/>
        </w:rPr>
      </w:pPr>
    </w:p>
    <w:p>
      <w:pPr>
        <w:jc w:val="center"/>
        <w:ind w:left="4080" w:right="2320" w:hanging="1750"/>
        <w:spacing w:after="0" w:line="267" w:lineRule="auto"/>
        <w:tabs>
          <w:tab w:leader="none" w:pos="2474"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 __________ to __________.</w:t>
      </w:r>
    </w:p>
    <w:p>
      <w:pPr>
        <w:spacing w:after="0" w:line="7" w:lineRule="exact"/>
        <w:rPr>
          <w:sz w:val="24"/>
          <w:szCs w:val="24"/>
          <w:color w:val="auto"/>
        </w:rPr>
      </w:pPr>
    </w:p>
    <w:tbl>
      <w:tblPr>
        <w:tblLayout w:type="fixed"/>
        <w:tblInd w:w="1040" w:type="dxa"/>
        <w:tblCellMar>
          <w:top w:w="0" w:type="dxa"/>
          <w:left w:w="0" w:type="dxa"/>
          <w:bottom w:w="0" w:type="dxa"/>
          <w:right w:w="0" w:type="dxa"/>
        </w:tblCellMar>
      </w:tblPr>
      <w:tr>
        <w:trPr>
          <w:trHeight w:val="167"/>
        </w:trPr>
        <w:tc>
          <w:tcPr>
            <w:tcW w:w="2960" w:type="dxa"/>
            <w:vAlign w:val="bottom"/>
          </w:tcPr>
          <w:p>
            <w:pPr>
              <w:spacing w:after="0"/>
              <w:rPr>
                <w:sz w:val="14"/>
                <w:szCs w:val="14"/>
                <w:color w:val="auto"/>
              </w:rPr>
            </w:pPr>
          </w:p>
        </w:tc>
        <w:tc>
          <w:tcPr>
            <w:tcW w:w="34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001-39565</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60" w:type="dxa"/>
            <w:vAlign w:val="bottom"/>
          </w:tcPr>
          <w:p>
            <w:pPr>
              <w:spacing w:after="0"/>
              <w:rPr>
                <w:sz w:val="14"/>
                <w:szCs w:val="14"/>
                <w:color w:val="auto"/>
              </w:rPr>
            </w:pPr>
          </w:p>
        </w:tc>
        <w:tc>
          <w:tcPr>
            <w:tcW w:w="3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6400" w:type="dxa"/>
            <w:vAlign w:val="bottom"/>
            <w:gridSpan w:val="3"/>
          </w:tcPr>
          <w:p>
            <w:pPr>
              <w:jc w:val="center"/>
              <w:ind w:left="2719"/>
              <w:spacing w:after="0"/>
              <w:rPr>
                <w:sz w:val="20"/>
                <w:szCs w:val="20"/>
                <w:color w:val="auto"/>
              </w:rPr>
            </w:pPr>
            <w:r>
              <w:rPr>
                <w:rFonts w:ascii="Times New Roman" w:cs="Times New Roman" w:eastAsia="Times New Roman" w:hAnsi="Times New Roman"/>
                <w:sz w:val="28"/>
                <w:szCs w:val="28"/>
                <w:b w:val="1"/>
                <w:bCs w:val="1"/>
                <w:color w:val="auto"/>
              </w:rPr>
              <w:t>The Beauty Health Company</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3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231F20"/>
              </w:rPr>
              <w:t>(Exact name of registrant as specified in its charter)</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960" w:type="dxa"/>
            <w:vAlign w:val="bottom"/>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7"/>
        </w:trPr>
        <w:tc>
          <w:tcPr>
            <w:tcW w:w="6400" w:type="dxa"/>
            <w:vAlign w:val="bottom"/>
            <w:gridSpan w:val="3"/>
          </w:tcPr>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900" w:type="dxa"/>
            <w:vAlign w:val="bottom"/>
          </w:tcPr>
          <w:p>
            <w:pPr>
              <w:jc w:val="right"/>
              <w:ind w:right="1049"/>
              <w:spacing w:after="0"/>
              <w:rPr>
                <w:sz w:val="20"/>
                <w:szCs w:val="20"/>
                <w:color w:val="auto"/>
              </w:rPr>
            </w:pPr>
            <w:r>
              <w:rPr>
                <w:rFonts w:ascii="Times New Roman" w:cs="Times New Roman" w:eastAsia="Times New Roman" w:hAnsi="Times New Roman"/>
                <w:sz w:val="14"/>
                <w:szCs w:val="14"/>
                <w:b w:val="1"/>
                <w:bCs w:val="1"/>
                <w:color w:val="auto"/>
              </w:rPr>
              <w:t>85-1908962</w:t>
            </w:r>
          </w:p>
        </w:tc>
        <w:tc>
          <w:tcPr>
            <w:tcW w:w="0" w:type="dxa"/>
            <w:vAlign w:val="bottom"/>
          </w:tcPr>
          <w:p>
            <w:pPr>
              <w:spacing w:after="0"/>
              <w:rPr>
                <w:sz w:val="1"/>
                <w:szCs w:val="1"/>
                <w:color w:val="auto"/>
              </w:rPr>
            </w:pPr>
          </w:p>
        </w:tc>
      </w:tr>
      <w:tr>
        <w:trPr>
          <w:trHeight w:val="142"/>
        </w:trPr>
        <w:tc>
          <w:tcPr>
            <w:tcW w:w="6400" w:type="dxa"/>
            <w:vAlign w:val="bottom"/>
            <w:gridSpan w:val="3"/>
          </w:tcPr>
          <w:p>
            <w:pPr>
              <w:jc w:val="center"/>
              <w:ind w:right="3240"/>
              <w:spacing w:after="0" w:line="142"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4"/>
        </w:trPr>
        <w:tc>
          <w:tcPr>
            <w:tcW w:w="6400" w:type="dxa"/>
            <w:vAlign w:val="bottom"/>
            <w:gridSpan w:val="3"/>
          </w:tcPr>
          <w:p>
            <w:pPr>
              <w:jc w:val="center"/>
              <w:ind w:right="322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00" w:type="dxa"/>
            <w:vAlign w:val="bottom"/>
            <w:gridSpan w:val="3"/>
          </w:tcPr>
          <w:p>
            <w:pPr>
              <w:jc w:val="center"/>
              <w:ind w:right="3040"/>
              <w:spacing w:after="0"/>
              <w:rPr>
                <w:sz w:val="20"/>
                <w:szCs w:val="20"/>
                <w:color w:val="auto"/>
              </w:rPr>
            </w:pPr>
            <w:r>
              <w:rPr>
                <w:rFonts w:ascii="Times New Roman" w:cs="Times New Roman" w:eastAsia="Times New Roman" w:hAnsi="Times New Roman"/>
                <w:sz w:val="14"/>
                <w:szCs w:val="14"/>
                <w:b w:val="1"/>
                <w:bCs w:val="1"/>
                <w:color w:val="231F20"/>
              </w:rPr>
              <w:t>2165 Spring Street</w:t>
            </w:r>
          </w:p>
        </w:tc>
        <w:tc>
          <w:tcPr>
            <w:tcW w:w="2900" w:type="dxa"/>
            <w:vAlign w:val="bottom"/>
            <w:vMerge w:val="restart"/>
          </w:tcPr>
          <w:p>
            <w:pPr>
              <w:jc w:val="right"/>
              <w:ind w:right="929"/>
              <w:spacing w:after="0"/>
              <w:rPr>
                <w:sz w:val="20"/>
                <w:szCs w:val="20"/>
                <w:color w:val="auto"/>
              </w:rPr>
            </w:pPr>
            <w:r>
              <w:rPr>
                <w:rFonts w:ascii="Times New Roman" w:cs="Times New Roman" w:eastAsia="Times New Roman" w:hAnsi="Times New Roman"/>
                <w:sz w:val="14"/>
                <w:szCs w:val="14"/>
                <w:b w:val="1"/>
                <w:bCs w:val="1"/>
                <w:color w:val="231F20"/>
              </w:rPr>
              <w:t>(800) 603-4996</w:t>
            </w:r>
          </w:p>
        </w:tc>
        <w:tc>
          <w:tcPr>
            <w:tcW w:w="0" w:type="dxa"/>
            <w:vAlign w:val="bottom"/>
          </w:tcPr>
          <w:p>
            <w:pPr>
              <w:spacing w:after="0"/>
              <w:rPr>
                <w:sz w:val="1"/>
                <w:szCs w:val="1"/>
                <w:color w:val="auto"/>
              </w:rPr>
            </w:pPr>
          </w:p>
        </w:tc>
      </w:tr>
      <w:tr>
        <w:trPr>
          <w:trHeight w:val="182"/>
        </w:trPr>
        <w:tc>
          <w:tcPr>
            <w:tcW w:w="6400" w:type="dxa"/>
            <w:vAlign w:val="bottom"/>
            <w:gridSpan w:val="3"/>
          </w:tcPr>
          <w:p>
            <w:pPr>
              <w:jc w:val="center"/>
              <w:ind w:right="3020"/>
              <w:spacing w:after="0"/>
              <w:rPr>
                <w:sz w:val="20"/>
                <w:szCs w:val="20"/>
                <w:color w:val="auto"/>
              </w:rPr>
            </w:pPr>
            <w:r>
              <w:rPr>
                <w:rFonts w:ascii="Times New Roman" w:cs="Times New Roman" w:eastAsia="Times New Roman" w:hAnsi="Times New Roman"/>
                <w:sz w:val="14"/>
                <w:szCs w:val="14"/>
                <w:b w:val="1"/>
                <w:bCs w:val="1"/>
                <w:color w:val="231F20"/>
              </w:rPr>
              <w:t>Long Beach, CA 90806</w:t>
            </w: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00" w:type="dxa"/>
            <w:vAlign w:val="bottom"/>
            <w:gridSpan w:val="3"/>
          </w:tcPr>
          <w:p>
            <w:pPr>
              <w:jc w:val="center"/>
              <w:ind w:right="3040"/>
              <w:spacing w:after="0"/>
              <w:rPr>
                <w:sz w:val="20"/>
                <w:szCs w:val="20"/>
                <w:color w:val="auto"/>
              </w:rPr>
            </w:pPr>
            <w:r>
              <w:rPr>
                <w:rFonts w:ascii="Times New Roman" w:cs="Times New Roman" w:eastAsia="Times New Roman" w:hAnsi="Times New Roman"/>
                <w:sz w:val="14"/>
                <w:szCs w:val="14"/>
                <w:color w:val="231F20"/>
              </w:rPr>
              <w:t>(Address of principal executive offices, including zip code)</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Registrant's telephone number, including area code</w:t>
            </w:r>
          </w:p>
        </w:tc>
        <w:tc>
          <w:tcPr>
            <w:tcW w:w="0" w:type="dxa"/>
            <w:vAlign w:val="bottom"/>
          </w:tcPr>
          <w:p>
            <w:pPr>
              <w:spacing w:after="0"/>
              <w:rPr>
                <w:sz w:val="1"/>
                <w:szCs w:val="1"/>
                <w:color w:val="auto"/>
              </w:rPr>
            </w:pPr>
          </w:p>
        </w:tc>
      </w:tr>
    </w:tbl>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2536190</wp:posOffset>
            </wp:positionH>
            <wp:positionV relativeFrom="paragraph">
              <wp:posOffset>73025</wp:posOffset>
            </wp:positionV>
            <wp:extent cx="20955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5500" cy="698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58"/>
        </w:trPr>
        <w:tc>
          <w:tcPr>
            <w:tcW w:w="54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86"/>
        </w:trPr>
        <w:tc>
          <w:tcPr>
            <w:tcW w:w="5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80" w:type="dxa"/>
            <w:vAlign w:val="bottom"/>
          </w:tcPr>
          <w:p>
            <w:pPr>
              <w:spacing w:after="0"/>
              <w:rPr>
                <w:sz w:val="16"/>
                <w:szCs w:val="16"/>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SKIN</w:t>
            </w:r>
          </w:p>
        </w:tc>
        <w:tc>
          <w:tcPr>
            <w:tcW w:w="100" w:type="dxa"/>
            <w:vAlign w:val="bottom"/>
          </w:tcPr>
          <w:p>
            <w:pPr>
              <w:spacing w:after="0"/>
              <w:rPr>
                <w:sz w:val="16"/>
                <w:szCs w:val="16"/>
                <w:color w:val="auto"/>
              </w:rPr>
            </w:pPr>
          </w:p>
        </w:tc>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Capital Market</w:t>
            </w:r>
          </w:p>
        </w:tc>
      </w:tr>
    </w:tbl>
    <w:p>
      <w:pPr>
        <w:spacing w:after="0" w:line="107" w:lineRule="exact"/>
        <w:rPr>
          <w:sz w:val="24"/>
          <w:szCs w:val="24"/>
          <w:color w:val="auto"/>
        </w:rPr>
      </w:pPr>
    </w:p>
    <w:p>
      <w:pPr>
        <w:ind w:right="1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4" w:lineRule="exact"/>
        <w:rPr>
          <w:sz w:val="24"/>
          <w:szCs w:val="24"/>
          <w:color w:val="auto"/>
        </w:rPr>
      </w:pPr>
    </w:p>
    <w:p>
      <w:pPr>
        <w:ind w:right="320"/>
        <w:spacing w:after="0" w:line="17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4" w:lineRule="exact"/>
        <w:rPr>
          <w:sz w:val="24"/>
          <w:szCs w:val="24"/>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0"/>
        </w:trPr>
        <w:tc>
          <w:tcPr>
            <w:tcW w:w="16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Large accelerated filer</w:t>
            </w:r>
          </w:p>
        </w:tc>
        <w:tc>
          <w:tcPr>
            <w:tcW w:w="27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200"/>
              <w:spacing w:after="0" w:line="160" w:lineRule="exact"/>
              <w:rPr>
                <w:sz w:val="20"/>
                <w:szCs w:val="20"/>
                <w:color w:val="auto"/>
              </w:rPr>
            </w:pPr>
            <w:r>
              <w:rPr>
                <w:rFonts w:ascii="Times New Roman" w:cs="Times New Roman" w:eastAsia="Times New Roman" w:hAnsi="Times New Roman"/>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6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740" w:type="dxa"/>
            <w:vAlign w:val="bottom"/>
          </w:tcPr>
          <w:p>
            <w:pPr>
              <w:ind w:left="22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0" w:lineRule="exact"/>
        <w:rPr>
          <w:sz w:val="24"/>
          <w:szCs w:val="24"/>
          <w:color w:val="auto"/>
        </w:rPr>
      </w:pPr>
    </w:p>
    <w:p>
      <w:pPr>
        <w:ind w:right="220"/>
        <w:spacing w:after="0" w:line="17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6, 2024, there were 123,632,222 shares of Class A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520700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41910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THE BEAUTY HEALTH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10-Q FOR THE QUARTER ENDED MARCH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8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0"/>
        </w:trPr>
        <w:tc>
          <w:tcPr>
            <w:tcW w:w="10660" w:type="dxa"/>
            <w:vAlign w:val="bottom"/>
            <w:tcBorders>
              <w:left w:val="single" w:sz="8" w:color="CCEEFF"/>
            </w:tcBorders>
            <w:gridSpan w:val="15"/>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PART I—FINANCIAL INFORMATION</w:t>
            </w:r>
          </w:p>
        </w:tc>
        <w:tc>
          <w:tcPr>
            <w:tcW w:w="3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940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w:t>
            </w:r>
          </w:p>
        </w:tc>
        <w:tc>
          <w:tcPr>
            <w:tcW w:w="38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color w:val="0000FF"/>
                <w:w w:val="85"/>
              </w:rPr>
              <w:t>3</w:t>
            </w:r>
          </w:p>
        </w:tc>
        <w:tc>
          <w:tcPr>
            <w:tcW w:w="240" w:type="dxa"/>
            <w:vAlign w:val="bottom"/>
          </w:tcPr>
          <w:p>
            <w:pPr>
              <w:spacing w:after="0"/>
              <w:rPr>
                <w:sz w:val="12"/>
                <w:szCs w:val="12"/>
                <w:color w:val="auto"/>
              </w:rPr>
            </w:pPr>
          </w:p>
        </w:tc>
      </w:tr>
      <w:tr>
        <w:trPr>
          <w:trHeight w:val="26"/>
        </w:trPr>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54"/>
        </w:trPr>
        <w:tc>
          <w:tcPr>
            <w:tcW w:w="880" w:type="dxa"/>
            <w:vAlign w:val="bottom"/>
            <w:tcBorders>
              <w:lef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Balance Sheets (Unaudited)</w:t>
            </w:r>
          </w:p>
        </w:tc>
        <w:tc>
          <w:tcPr>
            <w:tcW w:w="380" w:type="dxa"/>
            <w:vAlign w:val="bottom"/>
            <w:tcBorders>
              <w:right w:val="single" w:sz="8" w:color="CCEEFF"/>
            </w:tcBorders>
            <w:shd w:val="clear" w:color="auto" w:fill="CCEEFF"/>
          </w:tcPr>
          <w:p>
            <w:pPr>
              <w:jc w:val="center"/>
              <w:ind w:left="169"/>
              <w:spacing w:after="0" w:line="155" w:lineRule="exact"/>
              <w:rPr>
                <w:sz w:val="20"/>
                <w:szCs w:val="20"/>
                <w:color w:val="auto"/>
              </w:rPr>
            </w:pPr>
            <w:r>
              <w:rPr>
                <w:rFonts w:ascii="Times New Roman" w:cs="Times New Roman" w:eastAsia="Times New Roman" w:hAnsi="Times New Roman"/>
                <w:sz w:val="14"/>
                <w:szCs w:val="14"/>
                <w:color w:val="0000FF"/>
                <w:w w:val="85"/>
              </w:rPr>
              <w:t>3</w:t>
            </w:r>
          </w:p>
        </w:tc>
        <w:tc>
          <w:tcPr>
            <w:tcW w:w="240" w:type="dxa"/>
            <w:vAlign w:val="bottom"/>
            <w:shd w:val="clear" w:color="auto" w:fill="CCEEFF"/>
          </w:tcPr>
          <w:p>
            <w:pPr>
              <w:spacing w:after="0"/>
              <w:rPr>
                <w:sz w:val="13"/>
                <w:szCs w:val="13"/>
                <w:color w:val="auto"/>
              </w:rPr>
            </w:pPr>
          </w:p>
        </w:tc>
      </w:tr>
      <w:tr>
        <w:trPr>
          <w:trHeight w:val="32"/>
        </w:trPr>
        <w:tc>
          <w:tcPr>
            <w:tcW w:w="88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149"/>
        </w:trPr>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72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(Loss) (Unaudited)</w:t>
            </w:r>
          </w:p>
        </w:tc>
        <w:tc>
          <w:tcPr>
            <w:tcW w:w="4680" w:type="dxa"/>
            <w:vAlign w:val="bottom"/>
            <w:gridSpan w:val="2"/>
          </w:tcPr>
          <w:p>
            <w:pPr>
              <w:spacing w:after="0"/>
              <w:rPr>
                <w:sz w:val="12"/>
                <w:szCs w:val="12"/>
                <w:color w:val="auto"/>
              </w:rPr>
            </w:pPr>
          </w:p>
        </w:tc>
        <w:tc>
          <w:tcPr>
            <w:tcW w:w="38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color w:val="0000FF"/>
                <w:w w:val="85"/>
              </w:rPr>
              <w:t>4</w:t>
            </w:r>
          </w:p>
        </w:tc>
        <w:tc>
          <w:tcPr>
            <w:tcW w:w="240" w:type="dxa"/>
            <w:vAlign w:val="bottom"/>
          </w:tcPr>
          <w:p>
            <w:pPr>
              <w:spacing w:after="0"/>
              <w:rPr>
                <w:sz w:val="12"/>
                <w:szCs w:val="12"/>
                <w:color w:val="auto"/>
              </w:rPr>
            </w:pPr>
          </w:p>
        </w:tc>
      </w:tr>
      <w:tr>
        <w:trPr>
          <w:trHeight w:val="26"/>
        </w:trPr>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54"/>
        </w:trPr>
        <w:tc>
          <w:tcPr>
            <w:tcW w:w="880" w:type="dxa"/>
            <w:vAlign w:val="bottom"/>
            <w:tcBorders>
              <w:lef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720" w:type="dxa"/>
            <w:vAlign w:val="bottom"/>
            <w:tcBorders>
              <w:right w:val="single" w:sz="8" w:color="CCEEFF"/>
            </w:tcBorders>
            <w:gridSpan w:val="1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Condensed Consolidated Statements of Stockholders’ Equity (Deficit) (Unaudited)</w:t>
            </w:r>
          </w:p>
        </w:tc>
        <w:tc>
          <w:tcPr>
            <w:tcW w:w="4680" w:type="dxa"/>
            <w:vAlign w:val="bottom"/>
            <w:gridSpan w:val="2"/>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center"/>
              <w:ind w:left="169"/>
              <w:spacing w:after="0" w:line="155" w:lineRule="exact"/>
              <w:rPr>
                <w:sz w:val="20"/>
                <w:szCs w:val="20"/>
                <w:color w:val="auto"/>
              </w:rPr>
            </w:pPr>
            <w:r>
              <w:rPr>
                <w:rFonts w:ascii="Times New Roman" w:cs="Times New Roman" w:eastAsia="Times New Roman" w:hAnsi="Times New Roman"/>
                <w:sz w:val="14"/>
                <w:szCs w:val="14"/>
                <w:color w:val="0000FF"/>
                <w:w w:val="85"/>
              </w:rPr>
              <w:t>5</w:t>
            </w:r>
          </w:p>
        </w:tc>
        <w:tc>
          <w:tcPr>
            <w:tcW w:w="240" w:type="dxa"/>
            <w:vAlign w:val="bottom"/>
            <w:shd w:val="clear" w:color="auto" w:fill="CCEEFF"/>
          </w:tcPr>
          <w:p>
            <w:pPr>
              <w:spacing w:after="0"/>
              <w:rPr>
                <w:sz w:val="13"/>
                <w:szCs w:val="13"/>
                <w:color w:val="auto"/>
              </w:rPr>
            </w:pPr>
          </w:p>
        </w:tc>
      </w:tr>
      <w:tr>
        <w:trPr>
          <w:trHeight w:val="32"/>
        </w:trPr>
        <w:tc>
          <w:tcPr>
            <w:tcW w:w="88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60" w:type="dxa"/>
            <w:vAlign w:val="bottom"/>
            <w:tcBorders>
              <w:right w:val="single" w:sz="8" w:color="CCEEFF"/>
            </w:tcBorders>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149"/>
        </w:trPr>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4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Cash Flows (Unaudited)</w:t>
            </w:r>
          </w:p>
        </w:tc>
        <w:tc>
          <w:tcPr>
            <w:tcW w:w="1080" w:type="dxa"/>
            <w:vAlign w:val="bottom"/>
            <w:gridSpan w:val="2"/>
          </w:tcPr>
          <w:p>
            <w:pPr>
              <w:spacing w:after="0"/>
              <w:rPr>
                <w:sz w:val="12"/>
                <w:szCs w:val="12"/>
                <w:color w:val="auto"/>
              </w:rPr>
            </w:pPr>
          </w:p>
        </w:tc>
        <w:tc>
          <w:tcPr>
            <w:tcW w:w="4680" w:type="dxa"/>
            <w:vAlign w:val="bottom"/>
            <w:gridSpan w:val="2"/>
          </w:tcPr>
          <w:p>
            <w:pPr>
              <w:spacing w:after="0"/>
              <w:rPr>
                <w:sz w:val="12"/>
                <w:szCs w:val="12"/>
                <w:color w:val="auto"/>
              </w:rPr>
            </w:pPr>
          </w:p>
        </w:tc>
        <w:tc>
          <w:tcPr>
            <w:tcW w:w="38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color w:val="0000FF"/>
                <w:w w:val="85"/>
              </w:rPr>
              <w:t>6</w:t>
            </w:r>
          </w:p>
        </w:tc>
        <w:tc>
          <w:tcPr>
            <w:tcW w:w="240" w:type="dxa"/>
            <w:vAlign w:val="bottom"/>
          </w:tcPr>
          <w:p>
            <w:pPr>
              <w:spacing w:after="0"/>
              <w:rPr>
                <w:sz w:val="12"/>
                <w:szCs w:val="12"/>
                <w:color w:val="auto"/>
              </w:rPr>
            </w:pPr>
          </w:p>
        </w:tc>
      </w:tr>
      <w:tr>
        <w:trPr>
          <w:trHeight w:val="26"/>
        </w:trPr>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54"/>
        </w:trPr>
        <w:tc>
          <w:tcPr>
            <w:tcW w:w="880" w:type="dxa"/>
            <w:vAlign w:val="bottom"/>
            <w:tcBorders>
              <w:lef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60" w:type="dxa"/>
            <w:vAlign w:val="bottom"/>
            <w:gridSpan w:val="10"/>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5540" w:type="dxa"/>
            <w:vAlign w:val="bottom"/>
            <w:gridSpan w:val="3"/>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jc w:val="center"/>
              <w:ind w:left="169"/>
              <w:spacing w:after="0" w:line="155" w:lineRule="exact"/>
              <w:rPr>
                <w:sz w:val="20"/>
                <w:szCs w:val="20"/>
                <w:color w:val="auto"/>
              </w:rPr>
            </w:pPr>
            <w:r>
              <w:rPr>
                <w:rFonts w:ascii="Times New Roman" w:cs="Times New Roman" w:eastAsia="Times New Roman" w:hAnsi="Times New Roman"/>
                <w:sz w:val="14"/>
                <w:szCs w:val="14"/>
                <w:color w:val="0000FF"/>
                <w:w w:val="85"/>
              </w:rPr>
              <w:t>7</w:t>
            </w:r>
          </w:p>
        </w:tc>
        <w:tc>
          <w:tcPr>
            <w:tcW w:w="240" w:type="dxa"/>
            <w:vAlign w:val="bottom"/>
            <w:shd w:val="clear" w:color="auto" w:fill="CCEEFF"/>
          </w:tcPr>
          <w:p>
            <w:pPr>
              <w:spacing w:after="0"/>
              <w:rPr>
                <w:sz w:val="13"/>
                <w:szCs w:val="13"/>
                <w:color w:val="auto"/>
              </w:rPr>
            </w:pPr>
          </w:p>
        </w:tc>
      </w:tr>
      <w:tr>
        <w:trPr>
          <w:trHeight w:val="32"/>
        </w:trPr>
        <w:tc>
          <w:tcPr>
            <w:tcW w:w="88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508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3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21</w:t>
            </w:r>
          </w:p>
        </w:tc>
      </w:tr>
      <w:tr>
        <w:trPr>
          <w:trHeight w:val="26"/>
        </w:trPr>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6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54"/>
        </w:trPr>
        <w:tc>
          <w:tcPr>
            <w:tcW w:w="1260" w:type="dxa"/>
            <w:vAlign w:val="bottom"/>
            <w:tcBorders>
              <w:left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Item 3.</w:t>
            </w:r>
          </w:p>
        </w:tc>
        <w:tc>
          <w:tcPr>
            <w:tcW w:w="5080" w:type="dxa"/>
            <w:vAlign w:val="bottom"/>
            <w:gridSpan w:val="1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43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28</w:t>
            </w:r>
          </w:p>
        </w:tc>
      </w:tr>
      <w:tr>
        <w:trPr>
          <w:trHeight w:val="32"/>
        </w:trPr>
        <w:tc>
          <w:tcPr>
            <w:tcW w:w="88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4.</w:t>
            </w:r>
          </w:p>
        </w:tc>
        <w:tc>
          <w:tcPr>
            <w:tcW w:w="14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2020" w:type="dxa"/>
            <w:vAlign w:val="bottom"/>
            <w:gridSpan w:val="3"/>
          </w:tcPr>
          <w:p>
            <w:pPr>
              <w:spacing w:after="0"/>
              <w:rPr>
                <w:sz w:val="12"/>
                <w:szCs w:val="12"/>
                <w:color w:val="auto"/>
              </w:rPr>
            </w:pPr>
          </w:p>
        </w:tc>
        <w:tc>
          <w:tcPr>
            <w:tcW w:w="5980" w:type="dxa"/>
            <w:vAlign w:val="bottom"/>
            <w:gridSpan w:val="5"/>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28</w:t>
            </w:r>
          </w:p>
        </w:tc>
      </w:tr>
      <w:tr>
        <w:trPr>
          <w:trHeight w:val="26"/>
        </w:trPr>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76"/>
        </w:trPr>
        <w:tc>
          <w:tcPr>
            <w:tcW w:w="10660" w:type="dxa"/>
            <w:vAlign w:val="bottom"/>
            <w:tcBorders>
              <w:left w:val="single" w:sz="8" w:color="CCEEFF"/>
            </w:tcBorders>
            <w:gridSpan w:val="1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PART II—OTHER INFORMATION</w:t>
            </w:r>
          </w:p>
        </w:tc>
        <w:tc>
          <w:tcPr>
            <w:tcW w:w="38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9400" w:type="dxa"/>
            <w:vAlign w:val="bottom"/>
            <w:gridSpan w:val="13"/>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30</w:t>
            </w:r>
          </w:p>
        </w:tc>
      </w:tr>
      <w:tr>
        <w:trPr>
          <w:trHeight w:val="26"/>
        </w:trPr>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54"/>
        </w:trPr>
        <w:tc>
          <w:tcPr>
            <w:tcW w:w="1260" w:type="dxa"/>
            <w:vAlign w:val="bottom"/>
            <w:tcBorders>
              <w:left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Risk Factors</w:t>
            </w:r>
          </w:p>
        </w:tc>
        <w:tc>
          <w:tcPr>
            <w:tcW w:w="320" w:type="dxa"/>
            <w:vAlign w:val="bottom"/>
            <w:shd w:val="clear" w:color="auto" w:fill="CCEEFF"/>
          </w:tcPr>
          <w:p>
            <w:pPr>
              <w:spacing w:after="0"/>
              <w:rPr>
                <w:sz w:val="13"/>
                <w:szCs w:val="13"/>
                <w:color w:val="auto"/>
              </w:rPr>
            </w:pPr>
          </w:p>
        </w:tc>
        <w:tc>
          <w:tcPr>
            <w:tcW w:w="8360" w:type="dxa"/>
            <w:vAlign w:val="bottom"/>
            <w:gridSpan w:val="10"/>
            <w:shd w:val="clear" w:color="auto" w:fill="CCEEFF"/>
          </w:tcPr>
          <w:p>
            <w:pPr>
              <w:spacing w:after="0"/>
              <w:rPr>
                <w:sz w:val="13"/>
                <w:szCs w:val="13"/>
                <w:color w:val="auto"/>
              </w:rPr>
            </w:pPr>
          </w:p>
        </w:tc>
        <w:tc>
          <w:tcPr>
            <w:tcW w:w="620" w:type="dxa"/>
            <w:vAlign w:val="bottom"/>
            <w:gridSpan w:val="2"/>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30</w:t>
            </w:r>
          </w:p>
        </w:tc>
      </w:tr>
      <w:tr>
        <w:trPr>
          <w:trHeight w:val="32"/>
        </w:trPr>
        <w:tc>
          <w:tcPr>
            <w:tcW w:w="88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342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980" w:type="dxa"/>
            <w:vAlign w:val="bottom"/>
            <w:gridSpan w:val="5"/>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30</w:t>
            </w:r>
          </w:p>
        </w:tc>
      </w:tr>
      <w:tr>
        <w:trPr>
          <w:trHeight w:val="26"/>
        </w:trPr>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54"/>
        </w:trPr>
        <w:tc>
          <w:tcPr>
            <w:tcW w:w="1260" w:type="dxa"/>
            <w:vAlign w:val="bottom"/>
            <w:tcBorders>
              <w:left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Item 3.</w:t>
            </w:r>
          </w:p>
        </w:tc>
        <w:tc>
          <w:tcPr>
            <w:tcW w:w="342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5980" w:type="dxa"/>
            <w:vAlign w:val="bottom"/>
            <w:gridSpan w:val="5"/>
            <w:shd w:val="clear" w:color="auto" w:fill="CCEEFF"/>
          </w:tcPr>
          <w:p>
            <w:pPr>
              <w:spacing w:after="0"/>
              <w:rPr>
                <w:sz w:val="13"/>
                <w:szCs w:val="13"/>
                <w:color w:val="auto"/>
              </w:rPr>
            </w:pPr>
          </w:p>
        </w:tc>
        <w:tc>
          <w:tcPr>
            <w:tcW w:w="620" w:type="dxa"/>
            <w:vAlign w:val="bottom"/>
            <w:gridSpan w:val="2"/>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30</w:t>
            </w:r>
          </w:p>
        </w:tc>
      </w:tr>
      <w:tr>
        <w:trPr>
          <w:trHeight w:val="32"/>
        </w:trPr>
        <w:tc>
          <w:tcPr>
            <w:tcW w:w="88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149"/>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4.</w:t>
            </w:r>
          </w:p>
        </w:tc>
        <w:tc>
          <w:tcPr>
            <w:tcW w:w="14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420" w:type="dxa"/>
            <w:vAlign w:val="bottom"/>
          </w:tcPr>
          <w:p>
            <w:pPr>
              <w:spacing w:after="0"/>
              <w:rPr>
                <w:sz w:val="12"/>
                <w:szCs w:val="12"/>
                <w:color w:val="auto"/>
              </w:rPr>
            </w:pPr>
          </w:p>
        </w:tc>
        <w:tc>
          <w:tcPr>
            <w:tcW w:w="7580" w:type="dxa"/>
            <w:vAlign w:val="bottom"/>
            <w:gridSpan w:val="7"/>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30</w:t>
            </w:r>
          </w:p>
        </w:tc>
      </w:tr>
      <w:tr>
        <w:trPr>
          <w:trHeight w:val="26"/>
        </w:trPr>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240" w:type="dxa"/>
            <w:vAlign w:val="bottom"/>
          </w:tcPr>
          <w:p>
            <w:pPr>
              <w:spacing w:after="0"/>
              <w:rPr>
                <w:sz w:val="2"/>
                <w:szCs w:val="2"/>
                <w:color w:val="auto"/>
              </w:rPr>
            </w:pPr>
          </w:p>
        </w:tc>
      </w:tr>
      <w:tr>
        <w:trPr>
          <w:trHeight w:val="154"/>
        </w:trPr>
        <w:tc>
          <w:tcPr>
            <w:tcW w:w="1260" w:type="dxa"/>
            <w:vAlign w:val="bottom"/>
            <w:tcBorders>
              <w:left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Item 5.</w:t>
            </w:r>
          </w:p>
        </w:tc>
        <w:tc>
          <w:tcPr>
            <w:tcW w:w="10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Other Information</w:t>
            </w:r>
          </w:p>
        </w:tc>
        <w:tc>
          <w:tcPr>
            <w:tcW w:w="360" w:type="dxa"/>
            <w:vAlign w:val="bottom"/>
            <w:gridSpan w:val="2"/>
            <w:shd w:val="clear" w:color="auto" w:fill="CCEEFF"/>
          </w:tcPr>
          <w:p>
            <w:pPr>
              <w:spacing w:after="0"/>
              <w:rPr>
                <w:sz w:val="13"/>
                <w:szCs w:val="13"/>
                <w:color w:val="auto"/>
              </w:rPr>
            </w:pPr>
          </w:p>
        </w:tc>
        <w:tc>
          <w:tcPr>
            <w:tcW w:w="8000" w:type="dxa"/>
            <w:vAlign w:val="bottom"/>
            <w:gridSpan w:val="8"/>
            <w:shd w:val="clear" w:color="auto" w:fill="CCEEFF"/>
          </w:tcPr>
          <w:p>
            <w:pPr>
              <w:spacing w:after="0"/>
              <w:rPr>
                <w:sz w:val="13"/>
                <w:szCs w:val="13"/>
                <w:color w:val="auto"/>
              </w:rPr>
            </w:pPr>
          </w:p>
        </w:tc>
        <w:tc>
          <w:tcPr>
            <w:tcW w:w="620" w:type="dxa"/>
            <w:vAlign w:val="bottom"/>
            <w:gridSpan w:val="2"/>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30</w:t>
            </w:r>
          </w:p>
        </w:tc>
      </w:tr>
      <w:tr>
        <w:trPr>
          <w:trHeight w:val="32"/>
        </w:trPr>
        <w:tc>
          <w:tcPr>
            <w:tcW w:w="88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154"/>
        </w:trPr>
        <w:tc>
          <w:tcPr>
            <w:tcW w:w="1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Item 6.</w:t>
            </w:r>
          </w:p>
        </w:tc>
        <w:tc>
          <w:tcPr>
            <w:tcW w:w="10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Exhibits</w:t>
            </w:r>
          </w:p>
        </w:tc>
        <w:tc>
          <w:tcPr>
            <w:tcW w:w="8360" w:type="dxa"/>
            <w:vAlign w:val="bottom"/>
            <w:gridSpan w:val="10"/>
          </w:tcPr>
          <w:p>
            <w:pPr>
              <w:spacing w:after="0"/>
              <w:rPr>
                <w:sz w:val="13"/>
                <w:szCs w:val="13"/>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31</w:t>
            </w:r>
          </w:p>
        </w:tc>
      </w:tr>
      <w:tr>
        <w:trPr>
          <w:trHeight w:val="154"/>
        </w:trPr>
        <w:tc>
          <w:tcPr>
            <w:tcW w:w="1260" w:type="dxa"/>
            <w:vAlign w:val="bottom"/>
            <w:tcBorders>
              <w:left w:val="single" w:sz="8" w:color="CCEEFF"/>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32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32"/>
        </w:trPr>
        <w:tc>
          <w:tcPr>
            <w:tcW w:w="880" w:type="dxa"/>
            <w:vAlign w:val="bottom"/>
            <w:tcBorders>
              <w:left w:val="single" w:sz="8" w:color="CCEEFF"/>
            </w:tcBorders>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0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231F20"/>
        </w:rPr>
        <w:t>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260" w:type="dxa"/>
            <w:vAlign w:val="bottom"/>
          </w:tcPr>
          <w:p>
            <w:pPr>
              <w:spacing w:after="0"/>
              <w:rPr>
                <w:sz w:val="14"/>
                <w:szCs w:val="14"/>
                <w:color w:val="auto"/>
              </w:rPr>
            </w:pPr>
          </w:p>
        </w:tc>
        <w:tc>
          <w:tcPr>
            <w:tcW w:w="16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63"/>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ASSETS</w:t>
            </w:r>
          </w:p>
        </w:tc>
        <w:tc>
          <w:tcPr>
            <w:tcW w:w="32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Current assets:</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Cash, cash equivalents, and restricted cash</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444,634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523,025</w:t>
            </w:r>
          </w:p>
        </w:tc>
        <w:tc>
          <w:tcPr>
            <w:tcW w:w="0" w:type="dxa"/>
            <w:vAlign w:val="bottom"/>
          </w:tcPr>
          <w:p>
            <w:pPr>
              <w:spacing w:after="0"/>
              <w:rPr>
                <w:sz w:val="1"/>
                <w:szCs w:val="1"/>
                <w:color w:val="auto"/>
              </w:rPr>
            </w:pPr>
          </w:p>
        </w:tc>
      </w:tr>
      <w:tr>
        <w:trPr>
          <w:trHeight w:val="138"/>
        </w:trPr>
        <w:tc>
          <w:tcPr>
            <w:tcW w:w="7300" w:type="dxa"/>
            <w:vAlign w:val="bottom"/>
          </w:tcPr>
          <w:p>
            <w:pPr>
              <w:ind w:left="280"/>
              <w:spacing w:after="0" w:line="138" w:lineRule="exact"/>
              <w:rPr>
                <w:sz w:val="20"/>
                <w:szCs w:val="20"/>
                <w:color w:val="auto"/>
              </w:rPr>
            </w:pPr>
            <w:r>
              <w:rPr>
                <w:rFonts w:ascii="Times New Roman" w:cs="Times New Roman" w:eastAsia="Times New Roman" w:hAnsi="Times New Roman"/>
                <w:sz w:val="14"/>
                <w:szCs w:val="14"/>
                <w:color w:val="231F20"/>
              </w:rPr>
              <w:t>Accounts receivable, net of allowances for estimated credit losses of $7,228 and $6,604 at March 31, 2024 and</w:t>
            </w: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300" w:type="dxa"/>
            <w:vAlign w:val="bottom"/>
          </w:tcPr>
          <w:p>
            <w:pPr>
              <w:ind w:left="460"/>
              <w:spacing w:after="0"/>
              <w:rPr>
                <w:sz w:val="20"/>
                <w:szCs w:val="20"/>
                <w:color w:val="auto"/>
              </w:rPr>
            </w:pPr>
            <w:r>
              <w:rPr>
                <w:rFonts w:ascii="Times New Roman" w:cs="Times New Roman" w:eastAsia="Times New Roman" w:hAnsi="Times New Roman"/>
                <w:sz w:val="14"/>
                <w:szCs w:val="14"/>
                <w:color w:val="231F20"/>
              </w:rPr>
              <w:t>December 31, 2023, respectively</w:t>
            </w:r>
          </w:p>
        </w:tc>
        <w:tc>
          <w:tcPr>
            <w:tcW w:w="3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47,666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54,697</w:t>
            </w:r>
          </w:p>
        </w:tc>
        <w:tc>
          <w:tcPr>
            <w:tcW w:w="0" w:type="dxa"/>
            <w:vAlign w:val="bottom"/>
          </w:tcPr>
          <w:p>
            <w:pPr>
              <w:spacing w:after="0"/>
              <w:rPr>
                <w:sz w:val="1"/>
                <w:szCs w:val="1"/>
                <w:color w:val="auto"/>
              </w:rPr>
            </w:pPr>
          </w:p>
        </w:tc>
      </w:tr>
      <w:tr>
        <w:trPr>
          <w:trHeight w:val="18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Inventories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95,721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91,321</w:t>
            </w:r>
          </w:p>
        </w:tc>
        <w:tc>
          <w:tcPr>
            <w:tcW w:w="0" w:type="dxa"/>
            <w:vAlign w:val="bottom"/>
          </w:tcPr>
          <w:p>
            <w:pPr>
              <w:spacing w:after="0"/>
              <w:rPr>
                <w:sz w:val="1"/>
                <w:szCs w:val="1"/>
                <w:color w:val="auto"/>
              </w:rPr>
            </w:pPr>
          </w:p>
        </w:tc>
      </w:tr>
      <w:tr>
        <w:trPr>
          <w:trHeight w:val="180"/>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Income tax receivable</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332</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Prepaid expenses and other current assets</w:t>
            </w: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25,599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28,877</w:t>
            </w:r>
          </w:p>
        </w:tc>
        <w:tc>
          <w:tcPr>
            <w:tcW w:w="0" w:type="dxa"/>
            <w:vAlign w:val="bottom"/>
          </w:tcPr>
          <w:p>
            <w:pPr>
              <w:spacing w:after="0"/>
              <w:rPr>
                <w:sz w:val="1"/>
                <w:szCs w:val="1"/>
                <w:color w:val="auto"/>
              </w:rPr>
            </w:pPr>
          </w:p>
        </w:tc>
      </w:tr>
      <w:tr>
        <w:trPr>
          <w:trHeight w:val="171"/>
        </w:trPr>
        <w:tc>
          <w:tcPr>
            <w:tcW w:w="73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Total current assets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614,824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698,252</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Property and equipment, net</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12,048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14,226</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Right-of-use assets, net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16,383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12,120</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Intangible assets, net</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58,405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62,123</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Goodwill</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125,365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125,818</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Deferred income tax assets, net</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1,932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531</w:t>
            </w:r>
          </w:p>
        </w:tc>
        <w:tc>
          <w:tcPr>
            <w:tcW w:w="0" w:type="dxa"/>
            <w:vAlign w:val="bottom"/>
          </w:tcPr>
          <w:p>
            <w:pPr>
              <w:spacing w:after="0"/>
              <w:rPr>
                <w:sz w:val="1"/>
                <w:szCs w:val="1"/>
                <w:color w:val="auto"/>
              </w:rPr>
            </w:pPr>
          </w:p>
        </w:tc>
      </w:tr>
      <w:tr>
        <w:trPr>
          <w:trHeight w:val="18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Other assets</w:t>
            </w: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15,784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16,043</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TOTAL ASSETS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844,741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929,113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3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Current liabilities:</w:t>
            </w: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Accounts payable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37,312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44,768</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Accrued payroll-related expenses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15,456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22,028</w:t>
            </w:r>
          </w:p>
        </w:tc>
        <w:tc>
          <w:tcPr>
            <w:tcW w:w="0" w:type="dxa"/>
            <w:vAlign w:val="bottom"/>
          </w:tcPr>
          <w:p>
            <w:pPr>
              <w:spacing w:after="0"/>
              <w:rPr>
                <w:sz w:val="1"/>
                <w:szCs w:val="1"/>
                <w:color w:val="auto"/>
              </w:rPr>
            </w:pPr>
          </w:p>
        </w:tc>
      </w:tr>
      <w:tr>
        <w:trPr>
          <w:trHeight w:val="180"/>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Syndeo Program reserves</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8,314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21,009</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Lease liabilities, current</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4,648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4,598</w:t>
            </w:r>
          </w:p>
        </w:tc>
        <w:tc>
          <w:tcPr>
            <w:tcW w:w="0" w:type="dxa"/>
            <w:vAlign w:val="bottom"/>
          </w:tcPr>
          <w:p>
            <w:pPr>
              <w:spacing w:after="0"/>
              <w:rPr>
                <w:sz w:val="1"/>
                <w:szCs w:val="1"/>
                <w:color w:val="auto"/>
              </w:rPr>
            </w:pPr>
          </w:p>
        </w:tc>
      </w:tr>
      <w:tr>
        <w:trPr>
          <w:trHeight w:val="180"/>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Income tax payable</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2,759</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Other accrued expenses</w:t>
            </w: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24,395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19,846</w:t>
            </w:r>
          </w:p>
        </w:tc>
        <w:tc>
          <w:tcPr>
            <w:tcW w:w="0" w:type="dxa"/>
            <w:vAlign w:val="bottom"/>
          </w:tcPr>
          <w:p>
            <w:pPr>
              <w:spacing w:after="0"/>
              <w:rPr>
                <w:sz w:val="1"/>
                <w:szCs w:val="1"/>
                <w:color w:val="auto"/>
              </w:rPr>
            </w:pPr>
          </w:p>
        </w:tc>
      </w:tr>
      <w:tr>
        <w:trPr>
          <w:trHeight w:val="171"/>
        </w:trPr>
        <w:tc>
          <w:tcPr>
            <w:tcW w:w="73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Total current liabilities</w:t>
            </w:r>
          </w:p>
        </w:tc>
        <w:tc>
          <w:tcPr>
            <w:tcW w:w="3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93,568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115,008</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Lease liabilities, non-current</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13,688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9,319</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Deferred income tax liabilities, net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1,068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702</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Warrant liabilities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5,019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3,555</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Convertible senior notes, net</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665,486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738,372</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Other long-term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2,617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2,767</w:t>
            </w:r>
          </w:p>
        </w:tc>
        <w:tc>
          <w:tcPr>
            <w:tcW w:w="0" w:type="dxa"/>
            <w:vAlign w:val="bottom"/>
          </w:tcPr>
          <w:p>
            <w:pPr>
              <w:spacing w:after="0"/>
              <w:rPr>
                <w:sz w:val="1"/>
                <w:szCs w:val="1"/>
                <w:color w:val="auto"/>
              </w:rPr>
            </w:pPr>
          </w:p>
        </w:tc>
      </w:tr>
      <w:tr>
        <w:trPr>
          <w:trHeight w:val="171"/>
        </w:trPr>
        <w:tc>
          <w:tcPr>
            <w:tcW w:w="73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231F20"/>
              </w:rPr>
              <w:t>Total liabilities</w:t>
            </w: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781,446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869,723</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(Note 10)</w:t>
            </w:r>
          </w:p>
        </w:tc>
        <w:tc>
          <w:tcPr>
            <w:tcW w:w="3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Stockholders’ equity:</w:t>
            </w:r>
          </w:p>
        </w:tc>
        <w:tc>
          <w:tcPr>
            <w:tcW w:w="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300" w:type="dxa"/>
            <w:vAlign w:val="bottom"/>
            <w:shd w:val="clear" w:color="auto" w:fill="CCEEFF"/>
          </w:tcPr>
          <w:p>
            <w:pPr>
              <w:ind w:left="280"/>
              <w:spacing w:after="0" w:line="138" w:lineRule="exact"/>
              <w:rPr>
                <w:sz w:val="20"/>
                <w:szCs w:val="20"/>
                <w:color w:val="auto"/>
              </w:rPr>
            </w:pPr>
            <w:r>
              <w:rPr>
                <w:rFonts w:ascii="Times New Roman" w:cs="Times New Roman" w:eastAsia="Times New Roman" w:hAnsi="Times New Roman"/>
                <w:sz w:val="14"/>
                <w:szCs w:val="14"/>
                <w:color w:val="231F20"/>
              </w:rPr>
              <w:t>Class A Common Stock, $0.0001 par value; 320,000,000 shares authorized; 123,453,419 and 122,899,002 shares issued</w:t>
            </w:r>
          </w:p>
        </w:tc>
        <w:tc>
          <w:tcPr>
            <w:tcW w:w="3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231F20"/>
              </w:rPr>
              <w:t>and outstanding at March 31, 2024 and December 31, 2023, respectively</w:t>
            </w:r>
          </w:p>
        </w:tc>
        <w:tc>
          <w:tcPr>
            <w:tcW w:w="3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w:t>
            </w:r>
          </w:p>
        </w:tc>
        <w:tc>
          <w:tcPr>
            <w:tcW w:w="0" w:type="dxa"/>
            <w:vAlign w:val="bottom"/>
          </w:tcPr>
          <w:p>
            <w:pPr>
              <w:spacing w:after="0"/>
              <w:rPr>
                <w:sz w:val="1"/>
                <w:szCs w:val="1"/>
                <w:color w:val="auto"/>
              </w:rPr>
            </w:pPr>
          </w:p>
        </w:tc>
      </w:tr>
      <w:tr>
        <w:trPr>
          <w:trHeight w:val="180"/>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Additional paid-in capital</w:t>
            </w:r>
          </w:p>
        </w:tc>
        <w:tc>
          <w:tcPr>
            <w:tcW w:w="3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546,912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541,281</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Accumulated other comprehensive loss</w:t>
            </w:r>
          </w:p>
        </w:tc>
        <w:tc>
          <w:tcPr>
            <w:tcW w:w="3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(4,083)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(3,036)</w:t>
            </w:r>
          </w:p>
        </w:tc>
        <w:tc>
          <w:tcPr>
            <w:tcW w:w="0" w:type="dxa"/>
            <w:vAlign w:val="bottom"/>
          </w:tcPr>
          <w:p>
            <w:pPr>
              <w:spacing w:after="0"/>
              <w:rPr>
                <w:sz w:val="1"/>
                <w:szCs w:val="1"/>
                <w:color w:val="auto"/>
              </w:rPr>
            </w:pPr>
          </w:p>
        </w:tc>
      </w:tr>
      <w:tr>
        <w:trPr>
          <w:trHeight w:val="180"/>
        </w:trPr>
        <w:tc>
          <w:tcPr>
            <w:tcW w:w="7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231F20"/>
              </w:rPr>
              <w:t>Accumulated deficit</w:t>
            </w: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(479,546)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(478,867)</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231F20"/>
              </w:rPr>
              <w:t>Total stockholders’ equity</w:t>
            </w:r>
          </w:p>
        </w:tc>
        <w:tc>
          <w:tcPr>
            <w:tcW w:w="3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63,295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59,390</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TOTAL 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00" w:type="dxa"/>
            <w:vAlign w:val="bottom"/>
            <w:vMerge w:val="continue"/>
          </w:tcPr>
          <w:p>
            <w:pPr>
              <w:spacing w:after="0"/>
              <w:rPr>
                <w:sz w:val="12"/>
                <w:szCs w:val="12"/>
                <w:color w:val="auto"/>
              </w:rPr>
            </w:pPr>
          </w:p>
        </w:tc>
        <w:tc>
          <w:tcPr>
            <w:tcW w:w="320" w:type="dxa"/>
            <w:vAlign w:val="bottom"/>
            <w:tcBorders>
              <w:bottom w:val="single" w:sz="8" w:color="auto"/>
            </w:tcBorders>
          </w:tcPr>
          <w:p>
            <w:pPr>
              <w:jc w:val="right"/>
              <w:ind w:right="169"/>
              <w:spacing w:after="0" w:line="143" w:lineRule="exact"/>
              <w:rPr>
                <w:sz w:val="20"/>
                <w:szCs w:val="20"/>
                <w:color w:val="auto"/>
              </w:rPr>
            </w:pPr>
            <w:r>
              <w:rPr>
                <w:rFonts w:ascii="Times New Roman" w:cs="Times New Roman" w:eastAsia="Times New Roman" w:hAnsi="Times New Roman"/>
                <w:sz w:val="14"/>
                <w:szCs w:val="14"/>
                <w:color w:val="231F20"/>
                <w:w w:val="85"/>
              </w:rPr>
              <w:t>$</w:t>
            </w:r>
          </w:p>
        </w:tc>
        <w:tc>
          <w:tcPr>
            <w:tcW w:w="16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231F20"/>
              </w:rPr>
              <w:t>844,741</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231F20"/>
              </w:rPr>
              <w:t>929,113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60" w:type="dxa"/>
            <w:vAlign w:val="bottom"/>
            <w:gridSpan w:val="4"/>
          </w:tcPr>
          <w:p>
            <w:pPr>
              <w:jc w:val="right"/>
              <w:ind w:right="710"/>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r>
      <w:tr>
        <w:trPr>
          <w:trHeight w:val="30"/>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5"/>
        </w:trPr>
        <w:tc>
          <w:tcPr>
            <w:tcW w:w="8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231F20"/>
              </w:rPr>
              <w:t>2023</w:t>
            </w:r>
          </w:p>
        </w:tc>
      </w:tr>
      <w:tr>
        <w:trPr>
          <w:trHeight w:val="17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Net sales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81,403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86,278</w:t>
            </w:r>
          </w:p>
        </w:tc>
      </w:tr>
      <w:tr>
        <w:trPr>
          <w:trHeight w:val="18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Cost of sales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33,042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32,174</w:t>
            </w:r>
          </w:p>
        </w:tc>
      </w:tr>
      <w:tr>
        <w:trPr>
          <w:trHeight w:val="182"/>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31F20"/>
              </w:rPr>
              <w:t>Gross profit</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48,361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54,104</w:t>
            </w:r>
          </w:p>
        </w:tc>
      </w:tr>
      <w:tr>
        <w:trPr>
          <w:trHeight w:val="16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Operating expenses: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2"/>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Selling and marketing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33,684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38,699</w:t>
            </w:r>
          </w:p>
        </w:tc>
      </w:tr>
      <w:tr>
        <w:trPr>
          <w:trHeight w:val="201"/>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Research and development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2,807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2,336</w:t>
            </w:r>
          </w:p>
        </w:tc>
      </w:tr>
      <w:tr>
        <w:trPr>
          <w:trHeight w:val="202"/>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General and administrative</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28,861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30,379</w:t>
            </w:r>
          </w:p>
        </w:tc>
      </w:tr>
      <w:tr>
        <w:trPr>
          <w:trHeight w:val="171"/>
        </w:trPr>
        <w:tc>
          <w:tcPr>
            <w:tcW w:w="81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231F20"/>
              </w:rPr>
              <w:t>Total operating expenses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65,352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71,414</w:t>
            </w:r>
          </w:p>
        </w:tc>
      </w:tr>
      <w:tr>
        <w:trPr>
          <w:trHeight w:val="23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Loss from operations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(16,991)</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(17,310)</w:t>
            </w:r>
          </w:p>
        </w:tc>
      </w:tr>
      <w:tr>
        <w:trPr>
          <w:trHeight w:val="181"/>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Interest expense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3,029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3,417</w:t>
            </w:r>
          </w:p>
        </w:tc>
      </w:tr>
      <w:tr>
        <w:trPr>
          <w:trHeight w:val="202"/>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Interest income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(5,356)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(4,315)</w:t>
            </w:r>
          </w:p>
        </w:tc>
      </w:tr>
      <w:tr>
        <w:trPr>
          <w:trHeight w:val="201"/>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Other income, net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(16,087)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(418)</w:t>
            </w:r>
          </w:p>
        </w:tc>
      </w:tr>
      <w:tr>
        <w:trPr>
          <w:trHeight w:val="202"/>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Change in fair value of warrant liabilities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1,464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9,076</w:t>
            </w:r>
          </w:p>
        </w:tc>
      </w:tr>
      <w:tr>
        <w:trPr>
          <w:trHeight w:val="201"/>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231F20"/>
              </w:rPr>
              <w:t>Foreign currency transaction loss (gain), net</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1,297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(1,149)</w:t>
            </w:r>
          </w:p>
        </w:tc>
      </w:tr>
      <w:tr>
        <w:trPr>
          <w:trHeight w:val="18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Loss before provision for income taxes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(1,338)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(23,921)</w:t>
            </w:r>
          </w:p>
        </w:tc>
      </w:tr>
      <w:tr>
        <w:trPr>
          <w:trHeight w:val="201"/>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231F20"/>
              </w:rPr>
              <w:t>Income tax benefit</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(659)</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(3,662)</w:t>
            </w:r>
          </w:p>
        </w:tc>
      </w:tr>
      <w:tr>
        <w:trPr>
          <w:trHeight w:val="19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loss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(679)</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(20,259)</w:t>
            </w:r>
          </w:p>
        </w:tc>
      </w:tr>
      <w:tr>
        <w:trPr>
          <w:trHeight w:val="16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31F20"/>
              </w:rPr>
              <w:t>Comprehensive loss, net of tax:</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Foreign currency translation adjustments</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(1,047)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888</w:t>
            </w:r>
          </w:p>
        </w:tc>
      </w:tr>
      <w:tr>
        <w:trPr>
          <w:trHeight w:val="171"/>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31F20"/>
              </w:rPr>
              <w:t>Comprehensive loss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(1,726)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(19,371)</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loss per share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01"/>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Basic</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(0.01)</w:t>
            </w:r>
          </w:p>
        </w:tc>
        <w:tc>
          <w:tcPr>
            <w:tcW w:w="8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(0.15)</w:t>
            </w:r>
          </w:p>
        </w:tc>
      </w:tr>
      <w:tr>
        <w:trPr>
          <w:trHeight w:val="202"/>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Diluted</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(0.10)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(0.15)</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Weighted average common shares outstanding</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Basic</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123,120,426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132,420,762</w:t>
            </w:r>
          </w:p>
        </w:tc>
      </w:tr>
      <w:tr>
        <w:trPr>
          <w:trHeight w:val="201"/>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Diluted</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144,477,208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132,420,762</w:t>
            </w: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(in thousands, except for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80" w:type="dxa"/>
            <w:vAlign w:val="bottom"/>
          </w:tcPr>
          <w:p>
            <w:pPr>
              <w:spacing w:after="0"/>
              <w:rPr>
                <w:sz w:val="11"/>
                <w:szCs w:val="11"/>
                <w:color w:val="auto"/>
              </w:rPr>
            </w:pPr>
          </w:p>
        </w:tc>
        <w:tc>
          <w:tcPr>
            <w:tcW w:w="1700" w:type="dxa"/>
            <w:vAlign w:val="bottom"/>
            <w:gridSpan w:val="5"/>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98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10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4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2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3980" w:type="dxa"/>
            <w:vAlign w:val="bottom"/>
          </w:tcPr>
          <w:p>
            <w:pPr>
              <w:spacing w:after="0"/>
              <w:rPr>
                <w:sz w:val="6"/>
                <w:szCs w:val="6"/>
                <w:color w:val="auto"/>
              </w:rPr>
            </w:pPr>
          </w:p>
        </w:tc>
        <w:tc>
          <w:tcPr>
            <w:tcW w:w="1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6"/>
                <w:szCs w:val="6"/>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6"/>
                <w:szCs w:val="6"/>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300" w:type="dxa"/>
            <w:vAlign w:val="bottom"/>
          </w:tcPr>
          <w:p>
            <w:pPr>
              <w:spacing w:after="0"/>
              <w:rPr>
                <w:sz w:val="6"/>
                <w:szCs w:val="6"/>
                <w:color w:val="auto"/>
              </w:rPr>
            </w:pPr>
          </w:p>
        </w:tc>
        <w:tc>
          <w:tcPr>
            <w:tcW w:w="1140" w:type="dxa"/>
            <w:vAlign w:val="bottom"/>
            <w:vMerge w:val="restart"/>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70"/>
        </w:trPr>
        <w:tc>
          <w:tcPr>
            <w:tcW w:w="39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132,214,695</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550,320</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(378,751)</w:t>
            </w: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167,053</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(20,259)</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(20,259)</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pursuant to equity compensation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473,049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withheld for tax withholdings on vested stock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(2,195)</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relating to employee stock purchase plan</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3,577</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relating to asset acquisition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109,625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0" w:type="dxa"/>
            <w:vAlign w:val="bottom"/>
          </w:tcPr>
          <w:p>
            <w:pPr>
              <w:spacing w:after="0"/>
              <w:rPr>
                <w:sz w:val="1"/>
                <w:szCs w:val="1"/>
                <w:color w:val="auto"/>
              </w:rPr>
            </w:pPr>
          </w:p>
        </w:tc>
      </w:tr>
      <w:tr>
        <w:trPr>
          <w:trHeight w:val="18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March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132,626,954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555,046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(399,010)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152,408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122,899,002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541,281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(478,867)</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59,390</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pursuant to equity compensation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843,950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withheld for tax withholdings on vested stock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(289,533)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0" w:type="dxa"/>
            <w:vAlign w:val="bottom"/>
          </w:tcPr>
          <w:p>
            <w:pPr>
              <w:spacing w:after="0"/>
              <w:rPr>
                <w:sz w:val="1"/>
                <w:szCs w:val="1"/>
                <w:color w:val="auto"/>
              </w:rPr>
            </w:pPr>
          </w:p>
        </w:tc>
      </w:tr>
      <w:tr>
        <w:trPr>
          <w:trHeight w:val="17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6,636</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0" w:type="dxa"/>
            <w:vAlign w:val="bottom"/>
          </w:tcPr>
          <w:p>
            <w:pPr>
              <w:spacing w:after="0"/>
              <w:rPr>
                <w:sz w:val="1"/>
                <w:szCs w:val="1"/>
                <w:color w:val="auto"/>
              </w:rPr>
            </w:pPr>
          </w:p>
        </w:tc>
      </w:tr>
      <w:tr>
        <w:trPr>
          <w:trHeight w:val="18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123,453,419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546,912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(479,546)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63,295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340"/>
          </w:cols>
          <w:pgMar w:left="780" w:top="770" w:right="7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6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3"/>
                <w:szCs w:val="13"/>
                <w:b w:val="1"/>
                <w:bCs w:val="1"/>
                <w:color w:val="231F20"/>
              </w:rPr>
              <w:t>Three Months Ended March 31,</w:t>
            </w:r>
          </w:p>
        </w:tc>
        <w:tc>
          <w:tcPr>
            <w:tcW w:w="540" w:type="dxa"/>
            <w:vAlign w:val="bottom"/>
            <w:tcBorders>
              <w:bottom w:val="single" w:sz="8" w:color="auto"/>
            </w:tcBorders>
          </w:tcPr>
          <w:p>
            <w:pPr>
              <w:spacing w:after="0"/>
              <w:rPr>
                <w:sz w:val="14"/>
                <w:szCs w:val="14"/>
                <w:color w:val="auto"/>
              </w:rPr>
            </w:pPr>
          </w:p>
        </w:tc>
      </w:tr>
      <w:tr>
        <w:trPr>
          <w:trHeight w:val="161"/>
        </w:trPr>
        <w:tc>
          <w:tcPr>
            <w:tcW w:w="82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540" w:type="dxa"/>
            <w:vAlign w:val="bottom"/>
            <w:tcBorders>
              <w:bottom w:val="single" w:sz="8" w:color="auto"/>
            </w:tcBorders>
          </w:tcPr>
          <w:p>
            <w:pPr>
              <w:spacing w:after="0"/>
              <w:rPr>
                <w:sz w:val="14"/>
                <w:szCs w:val="14"/>
                <w:color w:val="auto"/>
              </w:rPr>
            </w:pPr>
          </w:p>
        </w:tc>
      </w:tr>
      <w:tr>
        <w:trPr>
          <w:trHeight w:val="15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231F20"/>
              </w:rPr>
              <w:t>Cash flows from operating activities: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68"/>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Net loss</w:t>
            </w: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6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(20,259)</w:t>
            </w:r>
          </w:p>
        </w:tc>
      </w:tr>
      <w:tr>
        <w:trPr>
          <w:trHeight w:val="17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Adjustments to reconcile net loss to net cash from operating activities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8"/>
        </w:trPr>
        <w:tc>
          <w:tcPr>
            <w:tcW w:w="826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Share-based compensation</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6,636</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3,577</w:t>
            </w:r>
          </w:p>
        </w:tc>
      </w:tr>
      <w:tr>
        <w:trPr>
          <w:trHeight w:val="17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Amortization of intangible assets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4,985</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3,874</w:t>
            </w:r>
          </w:p>
        </w:tc>
      </w:tr>
      <w:tr>
        <w:trPr>
          <w:trHeight w:val="168"/>
        </w:trPr>
        <w:tc>
          <w:tcPr>
            <w:tcW w:w="826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Depreciation of property and equipment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w:t>
            </w:r>
          </w:p>
        </w:tc>
      </w:tr>
      <w:tr>
        <w:trPr>
          <w:trHeight w:val="17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Amortization of other assets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r>
      <w:tr>
        <w:trPr>
          <w:trHeight w:val="168"/>
        </w:trPr>
        <w:tc>
          <w:tcPr>
            <w:tcW w:w="826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Amortization of debt issuance costs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w:t>
            </w:r>
          </w:p>
        </w:tc>
      </w:tr>
      <w:tr>
        <w:trPr>
          <w:trHeight w:val="17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Inventory write-down</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5,479</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3,337</w:t>
            </w:r>
          </w:p>
        </w:tc>
      </w:tr>
      <w:tr>
        <w:trPr>
          <w:trHeight w:val="168"/>
        </w:trPr>
        <w:tc>
          <w:tcPr>
            <w:tcW w:w="826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Provision for estimated credit losses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w:t>
            </w:r>
          </w:p>
        </w:tc>
      </w:tr>
      <w:tr>
        <w:trPr>
          <w:trHeight w:val="17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Change in fair value of warrant liabilities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9,076</w:t>
            </w:r>
          </w:p>
        </w:tc>
      </w:tr>
      <w:tr>
        <w:trPr>
          <w:trHeight w:val="168"/>
        </w:trPr>
        <w:tc>
          <w:tcPr>
            <w:tcW w:w="826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Gain on repurchase of convertible senior notes, net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(16,087)</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Deferred income taxes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r>
      <w:tr>
        <w:trPr>
          <w:trHeight w:val="168"/>
        </w:trPr>
        <w:tc>
          <w:tcPr>
            <w:tcW w:w="826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Other, net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3,108</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w:t>
            </w:r>
          </w:p>
        </w:tc>
      </w:tr>
      <w:tr>
        <w:trPr>
          <w:trHeight w:val="17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Changes in operating assets and liabilities: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8"/>
        </w:trPr>
        <w:tc>
          <w:tcPr>
            <w:tcW w:w="826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Accounts receivable</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5,879</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4,793</w:t>
            </w:r>
          </w:p>
        </w:tc>
      </w:tr>
      <w:tr>
        <w:trPr>
          <w:trHeight w:val="17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Inventories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(11,081)</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(13,905)</w:t>
            </w:r>
          </w:p>
        </w:tc>
      </w:tr>
      <w:tr>
        <w:trPr>
          <w:trHeight w:val="168"/>
        </w:trPr>
        <w:tc>
          <w:tcPr>
            <w:tcW w:w="826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Prepaid expenses, other current assets, and income tax receivable</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w:t>
            </w:r>
          </w:p>
        </w:tc>
      </w:tr>
      <w:tr>
        <w:trPr>
          <w:trHeight w:val="17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Accounts payable, accrued expenses, and income tax payable</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(20,786)</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(3,829)</w:t>
            </w:r>
          </w:p>
        </w:tc>
      </w:tr>
      <w:tr>
        <w:trPr>
          <w:trHeight w:val="168"/>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231F20"/>
              </w:rPr>
              <w:t>Other, net</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(1,948)</w:t>
            </w: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(2,088)</w:t>
            </w:r>
          </w:p>
        </w:tc>
      </w:tr>
      <w:tr>
        <w:trPr>
          <w:trHeight w:val="163"/>
        </w:trPr>
        <w:tc>
          <w:tcPr>
            <w:tcW w:w="8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231F20"/>
              </w:rPr>
              <w:t>Net cash used for operating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(16,854)</w:t>
            </w:r>
          </w:p>
        </w:tc>
        <w:tc>
          <w:tcPr>
            <w:tcW w:w="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(13,010)</w:t>
            </w:r>
          </w:p>
        </w:tc>
      </w:tr>
      <w:tr>
        <w:trPr>
          <w:trHeight w:val="149"/>
        </w:trPr>
        <w:tc>
          <w:tcPr>
            <w:tcW w:w="82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231F20"/>
              </w:rPr>
              <w:t>Cash flows from investing activities:</w:t>
            </w: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1"/>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Cash paid for intangible assets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w:t>
            </w:r>
          </w:p>
        </w:tc>
      </w:tr>
      <w:tr>
        <w:trPr>
          <w:trHeight w:val="168"/>
        </w:trPr>
        <w:tc>
          <w:tcPr>
            <w:tcW w:w="826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Cash paid for property and equipment</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(2,319)</w:t>
            </w:r>
          </w:p>
        </w:tc>
      </w:tr>
      <w:tr>
        <w:trPr>
          <w:trHeight w:val="17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Cash paid for asset acquisitions</w:t>
            </w:r>
          </w:p>
        </w:tc>
        <w:tc>
          <w:tcPr>
            <w:tcW w:w="9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(16,915)</w:t>
            </w:r>
          </w:p>
        </w:tc>
      </w:tr>
      <w:tr>
        <w:trPr>
          <w:trHeight w:val="158"/>
        </w:trPr>
        <w:tc>
          <w:tcPr>
            <w:tcW w:w="82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3"/>
                <w:szCs w:val="13"/>
                <w:color w:val="231F20"/>
              </w:rPr>
              <w:t>Net cash used for investing activities</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(1,802)</w:t>
            </w: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(21,684)</w:t>
            </w:r>
          </w:p>
        </w:tc>
      </w:tr>
      <w:tr>
        <w:trPr>
          <w:trHeight w:val="15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231F20"/>
              </w:rPr>
              <w:t>Cash flows from financing activities:</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68"/>
        </w:trPr>
        <w:tc>
          <w:tcPr>
            <w:tcW w:w="826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Repurchase of convertible senior notes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(57,750)</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Payment of tax withholdings on vested stock awards</w:t>
            </w: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(2,195)</w:t>
            </w:r>
          </w:p>
        </w:tc>
      </w:tr>
      <w:tr>
        <w:trPr>
          <w:trHeight w:val="158"/>
        </w:trPr>
        <w:tc>
          <w:tcPr>
            <w:tcW w:w="82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3"/>
                <w:szCs w:val="13"/>
                <w:color w:val="231F20"/>
              </w:rPr>
              <w:t>Net cash used for financing activities</w:t>
            </w: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(58,618)</w:t>
            </w: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(2,195)</w:t>
            </w:r>
          </w:p>
        </w:tc>
      </w:tr>
      <w:tr>
        <w:trPr>
          <w:trHeight w:val="163"/>
        </w:trPr>
        <w:tc>
          <w:tcPr>
            <w:tcW w:w="82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231F20"/>
              </w:rPr>
              <w:t>Net change in cash, cash equivalents, and restricted cash</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(77,274)</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(36,889)</w:t>
            </w:r>
          </w:p>
        </w:tc>
      </w:tr>
      <w:tr>
        <w:trPr>
          <w:trHeight w:val="168"/>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Effect of foreign currency translation on cash</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w:t>
            </w:r>
          </w:p>
        </w:tc>
      </w:tr>
      <w:tr>
        <w:trPr>
          <w:trHeight w:val="17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Cash, cash equivalents, and restricted cash beginning of period</w:t>
            </w: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523,025</w:t>
            </w:r>
          </w:p>
        </w:tc>
        <w:tc>
          <w:tcPr>
            <w:tcW w:w="6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568,197</w:t>
            </w:r>
          </w:p>
        </w:tc>
      </w:tr>
      <w:tr>
        <w:trPr>
          <w:trHeight w:val="158"/>
        </w:trPr>
        <w:tc>
          <w:tcPr>
            <w:tcW w:w="82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231F20"/>
              </w:rPr>
              <w:t>Cash, cash equivalents, and restricted cash end of period</w:t>
            </w: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444,634</w:t>
            </w:r>
          </w:p>
        </w:tc>
        <w:tc>
          <w:tcPr>
            <w:tcW w:w="60" w:type="dxa"/>
            <w:vAlign w:val="bottom"/>
          </w:tcPr>
          <w:p>
            <w:pPr>
              <w:spacing w:after="0"/>
              <w:rPr>
                <w:sz w:val="13"/>
                <w:szCs w:val="13"/>
                <w:color w:val="auto"/>
              </w:rPr>
            </w:pP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532,282</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97" w:right="31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Description of Business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231F20"/>
        </w:rPr>
        <w:t>The Beauty Health Company (the “Company”) is a global category-creating company focused on delivering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microneedling; and Keravive in scalp health. Together, with its powerful global community of estheticians, partners, and consumers, the Company is personalizing skin health for all ages, genders, skin tones, and skin types.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Historical Information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Company (f.k.a. Vesper Healthcare Acquisition Corp.) was incorporated in the State of Delaware on July 8, 2020. On May 4, 2021, we consummated the previously announced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20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w:t>
      </w:r>
    </w:p>
    <w:p>
      <w:pPr>
        <w:spacing w:after="0" w:line="33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These interim financial statements should be read in conjunction with the audited consolidated financial statements and notes thereto included in, or presented as exhibits to, the Company’s Annual Report on Form 10-K for the year ended December 31, 2023.</w:t>
      </w:r>
    </w:p>
    <w:p>
      <w:pPr>
        <w:spacing w:after="0" w:line="14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Subsequent to the issuance of the Company’s Quarterly Report on Form 10-Q for the three months ended March 31, 2023, during the quarter ended June 30, 2023, the Company identified prior period misstatements related to the elimination of intercompany balances and right of return assets. Although the Company concluded that these misstatements were not material, either individually or in the aggregate, the Company elected to revise its previously issued unaudited consolidated financial statements to correct for these misstatements.</w:t>
      </w:r>
    </w:p>
    <w:p>
      <w:pPr>
        <w:spacing w:after="0" w:line="15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revision of the previously issued unaudited consolidated financial statements is presented in the accompanying unaudited consolidated financial statements and related disclosures. For further detail, refer to Note 16 – Revision for Immaterial Misstatements.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Note 2 — Revenue</w:t>
      </w:r>
    </w:p>
    <w:p>
      <w:pPr>
        <w:spacing w:after="0" w:line="20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231F20"/>
        </w:rPr>
        <w:t>The Company generates revenue through manufacturing and selling its patented hydradermabrasion delivery systems (“Delivery Systems”). In conjunction with the sale of Delivery Systems, the Company also sells single-use tips, solutions, and serums used to provide a Hydrafacial treatment that cleanses, extracts, and hydrates the skin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spacing w:after="0" w:line="16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231F20"/>
        </w:rPr>
        <w:t>The Company manages its business on the basis of one operating segment and one reportable segment. As a result, the chief operating decision maker, who is the Chief Executive Officer, reviews financial information presented on a consolidated basis for purposes of making operating decisions, allocating resources and evaluating financial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Company’s revenue disaggregated by major product line consists of the following for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c>
          <w:tcPr>
            <w:tcW w:w="0" w:type="dxa"/>
            <w:vAlign w:val="bottom"/>
          </w:tcPr>
          <w:p>
            <w:pPr>
              <w:spacing w:after="0"/>
              <w:rPr>
                <w:sz w:val="1"/>
                <w:szCs w:val="1"/>
                <w:color w:val="auto"/>
              </w:rPr>
            </w:pPr>
          </w:p>
        </w:tc>
      </w:tr>
      <w:tr>
        <w:trPr>
          <w:trHeight w:val="154"/>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6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Sales</w:t>
            </w:r>
          </w:p>
        </w:tc>
        <w:tc>
          <w:tcPr>
            <w:tcW w:w="2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22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Delivery Systems</w:t>
            </w:r>
          </w:p>
        </w:tc>
        <w:tc>
          <w:tcPr>
            <w:tcW w:w="346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231F20"/>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35,783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45,353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Consumables</w:t>
            </w:r>
          </w:p>
        </w:tc>
        <w:tc>
          <w:tcPr>
            <w:tcW w:w="2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45,620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40,925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220" w:type="dxa"/>
            <w:vAlign w:val="bottom"/>
          </w:tcPr>
          <w:p>
            <w:pPr>
              <w:ind w:left="780"/>
              <w:spacing w:after="0"/>
              <w:rPr>
                <w:sz w:val="20"/>
                <w:szCs w:val="20"/>
                <w:color w:val="auto"/>
              </w:rPr>
            </w:pPr>
            <w:r>
              <w:rPr>
                <w:rFonts w:ascii="Times New Roman" w:cs="Times New Roman" w:eastAsia="Times New Roman" w:hAnsi="Times New Roman"/>
                <w:sz w:val="14"/>
                <w:szCs w:val="14"/>
                <w:color w:val="231F20"/>
              </w:rPr>
              <w:t>Total net sales</w:t>
            </w:r>
          </w:p>
        </w:tc>
        <w:tc>
          <w:tcPr>
            <w:tcW w:w="2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231F20"/>
              </w:rPr>
              <w:t>81,403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86,278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sales by geographic region were as follows for the periods indicated:</w:t>
            </w: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220" w:type="dxa"/>
            <w:vAlign w:val="bottom"/>
            <w:vMerge w:val="continue"/>
          </w:tcPr>
          <w:p>
            <w:pPr>
              <w:spacing w:after="0"/>
              <w:rPr>
                <w:sz w:val="24"/>
                <w:szCs w:val="24"/>
                <w:color w:val="auto"/>
              </w:rPr>
            </w:pP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c>
          <w:tcPr>
            <w:tcW w:w="0" w:type="dxa"/>
            <w:vAlign w:val="bottom"/>
          </w:tcPr>
          <w:p>
            <w:pPr>
              <w:spacing w:after="0"/>
              <w:rPr>
                <w:sz w:val="1"/>
                <w:szCs w:val="1"/>
                <w:color w:val="auto"/>
              </w:rPr>
            </w:pPr>
          </w:p>
        </w:tc>
      </w:tr>
      <w:tr>
        <w:trPr>
          <w:trHeight w:val="154"/>
        </w:trPr>
        <w:tc>
          <w:tcPr>
            <w:tcW w:w="5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6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Americas</w:t>
            </w:r>
          </w:p>
        </w:tc>
        <w:tc>
          <w:tcPr>
            <w:tcW w:w="2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50,326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52,978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Asia-Pacific (“APAC”)</w:t>
            </w:r>
          </w:p>
        </w:tc>
        <w:tc>
          <w:tcPr>
            <w:tcW w:w="2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11,972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13,620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Europe, the Middle East and Africa (“EMEA”)</w:t>
            </w:r>
          </w:p>
        </w:tc>
        <w:tc>
          <w:tcPr>
            <w:tcW w:w="2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19,105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19,680</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Total net sales</w:t>
            </w:r>
          </w:p>
        </w:tc>
        <w:tc>
          <w:tcPr>
            <w:tcW w:w="2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231F20"/>
              </w:rPr>
              <w:t>81,403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86,278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3 — Balance Sheet Components</w:t>
            </w: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220" w:type="dxa"/>
            <w:vAlign w:val="bottom"/>
            <w:vMerge w:val="continue"/>
          </w:tcPr>
          <w:p>
            <w:pPr>
              <w:spacing w:after="0"/>
              <w:rPr>
                <w:sz w:val="24"/>
                <w:szCs w:val="24"/>
                <w:color w:val="auto"/>
              </w:rPr>
            </w:pP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220" w:type="dxa"/>
            <w:vAlign w:val="bottom"/>
          </w:tcPr>
          <w:p>
            <w:pPr>
              <w:spacing w:after="0"/>
              <w:rPr>
                <w:sz w:val="20"/>
                <w:szCs w:val="20"/>
                <w:color w:val="auto"/>
              </w:rPr>
            </w:pPr>
            <w:r>
              <w:rPr>
                <w:rFonts w:ascii="Times New Roman" w:cs="Times New Roman" w:eastAsia="Times New Roman" w:hAnsi="Times New Roman"/>
                <w:sz w:val="14"/>
                <w:szCs w:val="14"/>
                <w:color w:val="231F20"/>
              </w:rPr>
              <w:t>Inventories consist of the following as of the periods indicated:</w:t>
            </w: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0" w:type="dxa"/>
            <w:vAlign w:val="bottom"/>
          </w:tcPr>
          <w:p>
            <w:pPr>
              <w:spacing w:after="0"/>
              <w:rPr>
                <w:sz w:val="24"/>
                <w:szCs w:val="24"/>
                <w:color w:val="auto"/>
              </w:rPr>
            </w:pPr>
          </w:p>
        </w:tc>
        <w:tc>
          <w:tcPr>
            <w:tcW w:w="176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231F20"/>
              </w:rPr>
              <w:t>March 31, 2024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231F20"/>
              </w:rPr>
              <w:t>December 31, 2023</w:t>
            </w:r>
          </w:p>
        </w:tc>
        <w:tc>
          <w:tcPr>
            <w:tcW w:w="0" w:type="dxa"/>
            <w:vAlign w:val="bottom"/>
          </w:tcPr>
          <w:p>
            <w:pPr>
              <w:spacing w:after="0"/>
              <w:rPr>
                <w:sz w:val="1"/>
                <w:szCs w:val="1"/>
                <w:color w:val="auto"/>
              </w:rPr>
            </w:pPr>
          </w:p>
        </w:tc>
      </w:tr>
      <w:tr>
        <w:trPr>
          <w:trHeight w:val="180"/>
        </w:trPr>
        <w:tc>
          <w:tcPr>
            <w:tcW w:w="5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Raw materials</w:t>
            </w:r>
          </w:p>
        </w:tc>
        <w:tc>
          <w:tcPr>
            <w:tcW w:w="26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231F20"/>
                <w:w w:val="85"/>
              </w:rPr>
              <w:t>$</w:t>
            </w: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23,793</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24,406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Finished goods</w:t>
            </w:r>
          </w:p>
        </w:tc>
        <w:tc>
          <w:tcPr>
            <w:tcW w:w="26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71,928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66,915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inventories</w:t>
            </w:r>
          </w:p>
        </w:tc>
        <w:tc>
          <w:tcPr>
            <w:tcW w:w="26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231F20"/>
                <w:w w:val="85"/>
              </w:rPr>
              <w:t>$</w:t>
            </w: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95,721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91,321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231F20"/>
              </w:rPr>
              <w:t>Accrued payroll-related expenses consist of the following as of the periods indicated:</w:t>
            </w:r>
          </w:p>
        </w:tc>
        <w:tc>
          <w:tcPr>
            <w:tcW w:w="2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220" w:type="dxa"/>
            <w:vAlign w:val="bottom"/>
            <w:vMerge w:val="continue"/>
          </w:tcPr>
          <w:p>
            <w:pPr>
              <w:spacing w:after="0"/>
              <w:rPr>
                <w:sz w:val="24"/>
                <w:szCs w:val="24"/>
                <w:color w:val="auto"/>
              </w:rPr>
            </w:pP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0" w:type="dxa"/>
            <w:vAlign w:val="bottom"/>
          </w:tcPr>
          <w:p>
            <w:pPr>
              <w:spacing w:after="0"/>
              <w:rPr>
                <w:sz w:val="24"/>
                <w:szCs w:val="24"/>
                <w:color w:val="auto"/>
              </w:rPr>
            </w:pPr>
          </w:p>
        </w:tc>
        <w:tc>
          <w:tcPr>
            <w:tcW w:w="176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8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 and payroll taxes</w:t>
            </w:r>
          </w:p>
        </w:tc>
        <w:tc>
          <w:tcPr>
            <w:tcW w:w="26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sales commissions</w:t>
            </w:r>
          </w:p>
        </w:tc>
        <w:tc>
          <w:tcPr>
            <w:tcW w:w="2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benefits</w:t>
            </w:r>
          </w:p>
        </w:tc>
        <w:tc>
          <w:tcPr>
            <w:tcW w:w="26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payroll-related expenses</w:t>
            </w:r>
          </w:p>
        </w:tc>
        <w:tc>
          <w:tcPr>
            <w:tcW w:w="2600" w:type="dxa"/>
            <w:vAlign w:val="bottom"/>
          </w:tcPr>
          <w:p>
            <w:pPr>
              <w:spacing w:after="0"/>
              <w:rPr>
                <w:sz w:val="14"/>
                <w:szCs w:val="14"/>
                <w:color w:val="auto"/>
              </w:rPr>
            </w:pPr>
          </w:p>
        </w:tc>
        <w:tc>
          <w:tcPr>
            <w:tcW w:w="5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15,456</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0" w:type="dxa"/>
            <w:vAlign w:val="bottom"/>
            <w:vMerge w:val="restart"/>
          </w:tcPr>
          <w:p>
            <w:pPr>
              <w:jc w:val="right"/>
              <w:ind w:right="2069"/>
              <w:spacing w:after="0"/>
              <w:rPr>
                <w:sz w:val="20"/>
                <w:szCs w:val="20"/>
                <w:color w:val="auto"/>
              </w:rPr>
            </w:pPr>
            <w:r>
              <w:rPr>
                <w:rFonts w:ascii="Times New Roman" w:cs="Times New Roman" w:eastAsia="Times New Roman" w:hAnsi="Times New Roman"/>
                <w:sz w:val="14"/>
                <w:szCs w:val="14"/>
                <w:color w:val="auto"/>
              </w:rPr>
              <w:t>8</w:t>
            </w: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52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2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231F20"/>
        </w:rPr>
        <w:t>Other accrued expenses consist of the following as of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8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231F20"/>
              </w:rPr>
              <w:t>March 31, 2024</w:t>
            </w:r>
          </w:p>
        </w:tc>
        <w:tc>
          <w:tcPr>
            <w:tcW w:w="240" w:type="dxa"/>
            <w:vAlign w:val="bottom"/>
          </w:tcPr>
          <w:p>
            <w:pPr>
              <w:spacing w:after="0"/>
              <w:rPr>
                <w:sz w:val="13"/>
                <w:szCs w:val="13"/>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231F20"/>
              </w:rPr>
              <w:t>December 31, 2023</w:t>
            </w:r>
          </w:p>
        </w:tc>
      </w:tr>
      <w:tr>
        <w:trPr>
          <w:trHeight w:val="180"/>
        </w:trPr>
        <w:tc>
          <w:tcPr>
            <w:tcW w:w="7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Sales and VAT tax payables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4,328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4,971</w:t>
            </w:r>
          </w:p>
        </w:tc>
      </w:tr>
      <w:tr>
        <w:trPr>
          <w:trHeight w:val="180"/>
        </w:trPr>
        <w:tc>
          <w:tcPr>
            <w:tcW w:w="7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Accrued interest</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4,219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2,344</w:t>
            </w:r>
          </w:p>
        </w:tc>
      </w:tr>
      <w:tr>
        <w:trPr>
          <w:trHeight w:val="180"/>
        </w:trPr>
        <w:tc>
          <w:tcPr>
            <w:tcW w:w="7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Royalty liabilities</w:t>
            </w:r>
          </w:p>
        </w:tc>
        <w:tc>
          <w:tcPr>
            <w:tcW w:w="2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3,783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3,914</w:t>
            </w:r>
          </w:p>
        </w:tc>
      </w:tr>
      <w:tr>
        <w:trPr>
          <w:trHeight w:val="180"/>
        </w:trPr>
        <w:tc>
          <w:tcPr>
            <w:tcW w:w="7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Other</w:t>
            </w: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12,065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8,617</w:t>
            </w:r>
          </w:p>
        </w:tc>
      </w:tr>
      <w:tr>
        <w:trPr>
          <w:trHeight w:val="196"/>
        </w:trPr>
        <w:tc>
          <w:tcPr>
            <w:tcW w:w="7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other accrued expenses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24,395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19,846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231F20"/>
        </w:rPr>
        <w:t>As of March 31, 2024 and December 31, 2023, the Company has approximately $12 million and $15 million, respectively, of non-trade receivables from certain of its manufacturing vendors resulting from the sale of components to these vendors who manufacture or assemble final products for the Company, which is included in prepaid expenses and other current assets on the Consolidated Balance Sheets. The Company purchases components directly from suppliers and do not reflect the sale of these components to the manufacturing vendors in net sales.</w:t>
      </w:r>
    </w:p>
    <w:p>
      <w:pPr>
        <w:spacing w:after="0" w:line="15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As of March 31, 2024 and December 31, 2023, total warranty reserve was approximately $7 million and $6 million, respectively. As of March 31, 2024, approximately $5 million was included in other accrued expenses and approximately $2 million was included in other long-term liabilities on the Condensed Consolidated Balance Sheets. As of December 31, 2023, approximately $4 million was included in other accrued expenses and approximately $2 million was included in other long-term liabilities on the Consolidated Balance Sheets.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As of </w:t>
      </w:r>
      <w:r>
        <w:rPr>
          <w:rFonts w:ascii="Times New Roman" w:cs="Times New Roman" w:eastAsia="Times New Roman" w:hAnsi="Times New Roman"/>
          <w:sz w:val="14"/>
          <w:szCs w:val="14"/>
          <w:color w:val="231F20"/>
        </w:rPr>
        <w:t>March 31, 2024, the Company has approximately $2 million in restricted cash held as collateral for the Company’s credit cards.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Fair Value Measurements</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assets and liabilities that are measured at fair value on a recurring basis as of March 31, 2024 and December 31, 2023, and indicate the fair value hierarchy of the valuation inputs the Company utilized to determine such fair value.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three levels of the fair value hierarchy are as follows:</w:t>
      </w:r>
    </w:p>
    <w:p>
      <w:pPr>
        <w:spacing w:after="0" w:line="189" w:lineRule="exact"/>
        <w:rPr>
          <w:sz w:val="20"/>
          <w:szCs w:val="20"/>
          <w:color w:val="auto"/>
        </w:rPr>
      </w:pPr>
    </w:p>
    <w:p>
      <w:pPr>
        <w:ind w:left="520" w:right="440"/>
        <w:spacing w:after="0" w:line="287" w:lineRule="auto"/>
        <w:rPr>
          <w:sz w:val="20"/>
          <w:szCs w:val="20"/>
          <w:color w:val="auto"/>
        </w:rPr>
      </w:pPr>
      <w:r>
        <w:rPr>
          <w:rFonts w:ascii="Times New Roman" w:cs="Times New Roman" w:eastAsia="Times New Roman" w:hAnsi="Times New Roman"/>
          <w:sz w:val="14"/>
          <w:szCs w:val="14"/>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5" w:lineRule="exact"/>
        <w:rPr>
          <w:sz w:val="20"/>
          <w:szCs w:val="20"/>
          <w:color w:val="auto"/>
        </w:rPr>
      </w:pPr>
    </w:p>
    <w:p>
      <w:pPr>
        <w:ind w:left="520" w:right="80"/>
        <w:spacing w:after="0" w:line="287" w:lineRule="auto"/>
        <w:rPr>
          <w:sz w:val="20"/>
          <w:szCs w:val="20"/>
          <w:color w:val="auto"/>
        </w:rPr>
      </w:pPr>
      <w:r>
        <w:rPr>
          <w:rFonts w:ascii="Times New Roman" w:cs="Times New Roman" w:eastAsia="Times New Roman" w:hAnsi="Times New Roman"/>
          <w:sz w:val="14"/>
          <w:szCs w:val="14"/>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Unobservable inputs based on our assessment of the assumptions that market participants would use in pricing the asset or liability.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right"/>
              <w:ind w:right="533"/>
              <w:spacing w:after="0"/>
              <w:rPr>
                <w:sz w:val="20"/>
                <w:szCs w:val="20"/>
                <w:color w:val="auto"/>
              </w:rPr>
            </w:pPr>
            <w:r>
              <w:rPr>
                <w:rFonts w:ascii="Times New Roman" w:cs="Times New Roman" w:eastAsia="Times New Roman" w:hAnsi="Times New Roman"/>
                <w:sz w:val="11"/>
                <w:szCs w:val="11"/>
                <w:b w:val="1"/>
                <w:bCs w:val="1"/>
                <w:color w:val="231F20"/>
              </w:rPr>
              <w:t>As of March 31, 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54"/>
        </w:trPr>
        <w:tc>
          <w:tcPr>
            <w:tcW w:w="46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32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231F20"/>
              </w:rPr>
              <w:t>Level 1</w:t>
            </w:r>
          </w:p>
        </w:tc>
        <w:tc>
          <w:tcPr>
            <w:tcW w:w="340" w:type="dxa"/>
            <w:vAlign w:val="bottom"/>
          </w:tcPr>
          <w:p>
            <w:pPr>
              <w:spacing w:after="0"/>
              <w:rPr>
                <w:sz w:val="13"/>
                <w:szCs w:val="13"/>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231F20"/>
              </w:rPr>
              <w:t>Level 2</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231F20"/>
              </w:rPr>
              <w:t>Level 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231F20"/>
              </w:rPr>
              <w:t>Total</w:t>
            </w:r>
          </w:p>
        </w:tc>
        <w:tc>
          <w:tcPr>
            <w:tcW w:w="220" w:type="dxa"/>
            <w:vAlign w:val="bottom"/>
          </w:tcPr>
          <w:p>
            <w:pPr>
              <w:spacing w:after="0"/>
              <w:rPr>
                <w:sz w:val="13"/>
                <w:szCs w:val="13"/>
                <w:color w:val="auto"/>
              </w:rPr>
            </w:pPr>
          </w:p>
        </w:tc>
      </w:tr>
      <w:tr>
        <w:trPr>
          <w:trHeight w:val="166"/>
        </w:trPr>
        <w:tc>
          <w:tcPr>
            <w:tcW w:w="46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231F20"/>
              </w:rPr>
              <w:t>Assets</w:t>
            </w:r>
          </w:p>
        </w:tc>
        <w:tc>
          <w:tcPr>
            <w:tcW w:w="3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20" w:type="dxa"/>
            <w:vAlign w:val="bottom"/>
          </w:tcPr>
          <w:p>
            <w:pPr>
              <w:spacing w:after="0"/>
              <w:rPr>
                <w:sz w:val="14"/>
                <w:szCs w:val="14"/>
                <w:color w:val="auto"/>
              </w:rPr>
            </w:pPr>
          </w:p>
        </w:tc>
      </w:tr>
      <w:tr>
        <w:trPr>
          <w:trHeight w:val="180"/>
        </w:trPr>
        <w:tc>
          <w:tcPr>
            <w:tcW w:w="46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Cash, cash equivalents, and restricted cash:</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0"/>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Money market funds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363,070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106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4"/>
                <w:szCs w:val="14"/>
                <w:color w:val="231F20"/>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363,070</w:t>
            </w:r>
          </w:p>
        </w:tc>
        <w:tc>
          <w:tcPr>
            <w:tcW w:w="220" w:type="dxa"/>
            <w:vAlign w:val="bottom"/>
          </w:tcPr>
          <w:p>
            <w:pPr>
              <w:spacing w:after="0"/>
              <w:rPr>
                <w:sz w:val="15"/>
                <w:szCs w:val="15"/>
                <w:color w:val="auto"/>
              </w:rPr>
            </w:pPr>
          </w:p>
        </w:tc>
      </w:tr>
      <w:tr>
        <w:trPr>
          <w:trHeight w:val="180"/>
        </w:trPr>
        <w:tc>
          <w:tcPr>
            <w:tcW w:w="46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International treasuries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3,740</w:t>
            </w:r>
          </w:p>
        </w:tc>
        <w:tc>
          <w:tcPr>
            <w:tcW w:w="120" w:type="dxa"/>
            <w:vAlign w:val="bottom"/>
          </w:tcPr>
          <w:p>
            <w:pPr>
              <w:spacing w:after="0"/>
              <w:rPr>
                <w:sz w:val="15"/>
                <w:szCs w:val="15"/>
                <w:color w:val="auto"/>
              </w:rPr>
            </w:pPr>
          </w:p>
        </w:tc>
        <w:tc>
          <w:tcPr>
            <w:tcW w:w="1060" w:type="dxa"/>
            <w:vAlign w:val="bottom"/>
          </w:tcPr>
          <w:p>
            <w:pPr>
              <w:jc w:val="right"/>
              <w:ind w:right="893"/>
              <w:spacing w:after="0"/>
              <w:rPr>
                <w:sz w:val="20"/>
                <w:szCs w:val="20"/>
                <w:color w:val="auto"/>
              </w:rPr>
            </w:pPr>
            <w:r>
              <w:rPr>
                <w:rFonts w:ascii="Times New Roman" w:cs="Times New Roman" w:eastAsia="Times New Roman" w:hAnsi="Times New Roman"/>
                <w:sz w:val="14"/>
                <w:szCs w:val="14"/>
                <w:color w:val="231F20"/>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3,740</w:t>
            </w:r>
          </w:p>
        </w:tc>
        <w:tc>
          <w:tcPr>
            <w:tcW w:w="220" w:type="dxa"/>
            <w:vAlign w:val="bottom"/>
          </w:tcPr>
          <w:p>
            <w:pPr>
              <w:spacing w:after="0"/>
              <w:rPr>
                <w:sz w:val="15"/>
                <w:szCs w:val="15"/>
                <w:color w:val="auto"/>
              </w:rPr>
            </w:pPr>
          </w:p>
        </w:tc>
      </w:tr>
      <w:tr>
        <w:trPr>
          <w:trHeight w:val="180"/>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231F20"/>
              </w:rPr>
              <w:t>Liabilities</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r>
      <w:tr>
        <w:trPr>
          <w:trHeight w:val="184"/>
        </w:trPr>
        <w:tc>
          <w:tcPr>
            <w:tcW w:w="46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Warrant liability — Private Placement Warrants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1060" w:type="dxa"/>
            <w:vAlign w:val="bottom"/>
          </w:tcPr>
          <w:p>
            <w:pPr>
              <w:jc w:val="right"/>
              <w:ind w:right="893"/>
              <w:spacing w:after="0"/>
              <w:rPr>
                <w:sz w:val="20"/>
                <w:szCs w:val="20"/>
                <w:color w:val="auto"/>
              </w:rPr>
            </w:pPr>
            <w:r>
              <w:rPr>
                <w:rFonts w:ascii="Times New Roman" w:cs="Times New Roman" w:eastAsia="Times New Roman" w:hAnsi="Times New Roman"/>
                <w:sz w:val="14"/>
                <w:szCs w:val="14"/>
                <w:color w:val="231F2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5,019</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5,019</w:t>
            </w:r>
          </w:p>
        </w:tc>
        <w:tc>
          <w:tcPr>
            <w:tcW w:w="220" w:type="dxa"/>
            <w:vAlign w:val="bottom"/>
          </w:tcPr>
          <w:p>
            <w:pPr>
              <w:spacing w:after="0"/>
              <w:rPr>
                <w:sz w:val="16"/>
                <w:szCs w:val="16"/>
                <w:color w:val="auto"/>
              </w:rPr>
            </w:pPr>
          </w:p>
        </w:tc>
      </w:tr>
      <w:tr>
        <w:trPr>
          <w:trHeight w:val="898"/>
        </w:trPr>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87"/>
        </w:trPr>
        <w:tc>
          <w:tcPr>
            <w:tcW w:w="46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8"/>
        </w:trPr>
        <w:tc>
          <w:tcPr>
            <w:tcW w:w="47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1"/>
                <w:szCs w:val="11"/>
                <w:b w:val="1"/>
                <w:bCs w:val="1"/>
                <w:color w:val="231F20"/>
              </w:rPr>
              <w:t>As of December 31, 2023</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47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340" w:type="dxa"/>
            <w:vAlign w:val="bottom"/>
          </w:tcPr>
          <w:p>
            <w:pPr>
              <w:spacing w:after="0"/>
              <w:rPr>
                <w:sz w:val="13"/>
                <w:szCs w:val="13"/>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231F20"/>
              </w:rPr>
              <w:t>Level 1</w:t>
            </w:r>
          </w:p>
        </w:tc>
        <w:tc>
          <w:tcPr>
            <w:tcW w:w="340" w:type="dxa"/>
            <w:vAlign w:val="bottom"/>
          </w:tcPr>
          <w:p>
            <w:pPr>
              <w:spacing w:after="0"/>
              <w:rPr>
                <w:sz w:val="13"/>
                <w:szCs w:val="13"/>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231F20"/>
              </w:rPr>
              <w:t>Level 2</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1"/>
                <w:szCs w:val="11"/>
                <w:b w:val="1"/>
                <w:bCs w:val="1"/>
                <w:color w:val="231F20"/>
              </w:rPr>
              <w:t>Level 3</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593"/>
              <w:spacing w:after="0"/>
              <w:rPr>
                <w:sz w:val="20"/>
                <w:szCs w:val="20"/>
                <w:color w:val="auto"/>
              </w:rPr>
            </w:pPr>
            <w:r>
              <w:rPr>
                <w:rFonts w:ascii="Times New Roman" w:cs="Times New Roman" w:eastAsia="Times New Roman" w:hAnsi="Times New Roman"/>
                <w:sz w:val="11"/>
                <w:szCs w:val="11"/>
                <w:b w:val="1"/>
                <w:bCs w:val="1"/>
                <w:color w:val="231F20"/>
              </w:rPr>
              <w:t>Total</w:t>
            </w:r>
          </w:p>
        </w:tc>
      </w:tr>
      <w:tr>
        <w:trPr>
          <w:trHeight w:val="166"/>
        </w:trPr>
        <w:tc>
          <w:tcPr>
            <w:tcW w:w="47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231F20"/>
              </w:rPr>
              <w:t>Assets</w:t>
            </w: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r>
      <w:tr>
        <w:trPr>
          <w:trHeight w:val="180"/>
        </w:trPr>
        <w:tc>
          <w:tcPr>
            <w:tcW w:w="47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Cash, cash equivalents, and restricted cash:</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0"/>
        </w:trPr>
        <w:tc>
          <w:tcPr>
            <w:tcW w:w="4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Money market funds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458,676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4"/>
                <w:szCs w:val="14"/>
                <w:color w:val="231F20"/>
                <w:w w:val="85"/>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458,676</w:t>
            </w:r>
          </w:p>
        </w:tc>
      </w:tr>
      <w:tr>
        <w:trPr>
          <w:trHeight w:val="180"/>
        </w:trPr>
        <w:tc>
          <w:tcPr>
            <w:tcW w:w="47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International treasuries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3,777</w:t>
            </w:r>
          </w:p>
        </w:tc>
        <w:tc>
          <w:tcPr>
            <w:tcW w:w="120" w:type="dxa"/>
            <w:vAlign w:val="bottom"/>
          </w:tcPr>
          <w:p>
            <w:pPr>
              <w:spacing w:after="0"/>
              <w:rPr>
                <w:sz w:val="15"/>
                <w:szCs w:val="15"/>
                <w:color w:val="auto"/>
              </w:rPr>
            </w:pPr>
          </w:p>
        </w:tc>
        <w:tc>
          <w:tcPr>
            <w:tcW w:w="1040" w:type="dxa"/>
            <w:vAlign w:val="bottom"/>
          </w:tcPr>
          <w:p>
            <w:pPr>
              <w:jc w:val="right"/>
              <w:ind w:right="893"/>
              <w:spacing w:after="0"/>
              <w:rPr>
                <w:sz w:val="20"/>
                <w:szCs w:val="20"/>
                <w:color w:val="auto"/>
              </w:rPr>
            </w:pPr>
            <w:r>
              <w:rPr>
                <w:rFonts w:ascii="Times New Roman" w:cs="Times New Roman" w:eastAsia="Times New Roman" w:hAnsi="Times New Roman"/>
                <w:sz w:val="14"/>
                <w:szCs w:val="14"/>
                <w:color w:val="231F20"/>
                <w:w w:val="85"/>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3,777</w:t>
            </w:r>
          </w:p>
        </w:tc>
      </w:tr>
      <w:tr>
        <w:trPr>
          <w:trHeight w:val="180"/>
        </w:trPr>
        <w:tc>
          <w:tcPr>
            <w:tcW w:w="4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231F20"/>
              </w:rPr>
              <w:t>Liabilities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4"/>
        </w:trPr>
        <w:tc>
          <w:tcPr>
            <w:tcW w:w="47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Warrant liability — Private Placement Warrants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31F20"/>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tcPr>
          <w:p>
            <w:pPr>
              <w:jc w:val="right"/>
              <w:ind w:right="893"/>
              <w:spacing w:after="0"/>
              <w:rPr>
                <w:sz w:val="20"/>
                <w:szCs w:val="20"/>
                <w:color w:val="auto"/>
              </w:rPr>
            </w:pPr>
            <w:r>
              <w:rPr>
                <w:rFonts w:ascii="Times New Roman" w:cs="Times New Roman" w:eastAsia="Times New Roman" w:hAnsi="Times New Roman"/>
                <w:sz w:val="14"/>
                <w:szCs w:val="14"/>
                <w:color w:val="231F20"/>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3,555</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3,555</w:t>
            </w:r>
          </w:p>
        </w:tc>
      </w:tr>
    </w:tbl>
    <w:p>
      <w:pPr>
        <w:spacing w:after="0" w:line="247" w:lineRule="exact"/>
        <w:rPr>
          <w:sz w:val="20"/>
          <w:szCs w:val="20"/>
          <w:color w:val="auto"/>
        </w:rPr>
      </w:pPr>
    </w:p>
    <w:p>
      <w:pPr>
        <w:ind w:right="260" w:firstLine="396"/>
        <w:spacing w:after="0" w:line="270" w:lineRule="auto"/>
        <w:rPr>
          <w:sz w:val="20"/>
          <w:szCs w:val="20"/>
          <w:color w:val="auto"/>
        </w:rPr>
      </w:pPr>
      <w:r>
        <w:rPr>
          <w:rFonts w:ascii="Times New Roman" w:cs="Times New Roman" w:eastAsia="Times New Roman" w:hAnsi="Times New Roman"/>
          <w:sz w:val="14"/>
          <w:szCs w:val="14"/>
          <w:color w:val="auto"/>
        </w:rPr>
        <w:t>In October 2020, in connection with the consummation of Vesper Healthcare’s initial public offering, the Company issued 9,333,333 warrants to purchase shares of the Company’s Class A Common Stock at $11.50 per share (the “Private Placement Warrants”), to BLS Investor Group LLC. As of March 31, 2024 and December 31, 2023, the Company had approximately 7 million Private Placement Warrants outstanding for which the fair value was determined using a Monte Carlo simulation.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Property and Equipment,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consist of the following as of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780" w:type="dxa"/>
            <w:vAlign w:val="bottom"/>
          </w:tcPr>
          <w:p>
            <w:pPr>
              <w:spacing w:after="0"/>
              <w:rPr>
                <w:sz w:val="11"/>
                <w:szCs w:val="11"/>
                <w:color w:val="auto"/>
              </w:rPr>
            </w:pPr>
          </w:p>
        </w:tc>
        <w:tc>
          <w:tcPr>
            <w:tcW w:w="3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Useful life</w:t>
            </w:r>
          </w:p>
        </w:tc>
        <w:tc>
          <w:tcPr>
            <w:tcW w:w="3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58"/>
        </w:trPr>
        <w:tc>
          <w:tcPr>
            <w:tcW w:w="47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31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231F20"/>
              </w:rPr>
              <w:t>(years)</w:t>
            </w:r>
          </w:p>
        </w:tc>
        <w:tc>
          <w:tcPr>
            <w:tcW w:w="300" w:type="dxa"/>
            <w:vAlign w:val="bottom"/>
          </w:tcPr>
          <w:p>
            <w:pPr>
              <w:spacing w:after="0"/>
              <w:rPr>
                <w:sz w:val="13"/>
                <w:szCs w:val="13"/>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231F20"/>
              </w:rPr>
              <w:t>March 31, 2024</w:t>
            </w:r>
          </w:p>
        </w:tc>
        <w:tc>
          <w:tcPr>
            <w:tcW w:w="220" w:type="dxa"/>
            <w:vAlign w:val="bottom"/>
          </w:tcPr>
          <w:p>
            <w:pPr>
              <w:spacing w:after="0"/>
              <w:rPr>
                <w:sz w:val="13"/>
                <w:szCs w:val="13"/>
                <w:color w:val="auto"/>
              </w:rPr>
            </w:pPr>
          </w:p>
        </w:tc>
        <w:tc>
          <w:tcPr>
            <w:tcW w:w="136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231F20"/>
              </w:rPr>
              <w:t>December 31, 2023</w:t>
            </w:r>
          </w:p>
        </w:tc>
      </w:tr>
      <w:tr>
        <w:trPr>
          <w:trHeight w:val="144"/>
        </w:trPr>
        <w:tc>
          <w:tcPr>
            <w:tcW w:w="478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231F20"/>
              </w:rPr>
              <w:t>Shorter of remaining lease</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r>
      <w:tr>
        <w:trPr>
          <w:trHeight w:val="195"/>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Leasehold improvements</w:t>
            </w:r>
          </w:p>
        </w:tc>
        <w:tc>
          <w:tcPr>
            <w:tcW w:w="31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231F20"/>
              </w:rPr>
              <w:t>term or estimated useful life</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12,399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12,323</w:t>
            </w:r>
          </w:p>
        </w:tc>
      </w:tr>
      <w:tr>
        <w:trPr>
          <w:trHeight w:val="180"/>
        </w:trPr>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Machinery and equipment</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6"/>
              </w:rPr>
              <w:t>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8,683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8,597</w:t>
            </w:r>
          </w:p>
        </w:tc>
      </w:tr>
      <w:tr>
        <w:trPr>
          <w:trHeight w:val="180"/>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Furniture and fixtures</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231F20"/>
                <w:w w:val="96"/>
              </w:rPr>
              <w:t>2-7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5,942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5,903</w:t>
            </w:r>
          </w:p>
        </w:tc>
      </w:tr>
      <w:tr>
        <w:trPr>
          <w:trHeight w:val="187"/>
        </w:trPr>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Computers and equipment</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96"/>
              </w:rPr>
              <w:t>3-5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5,530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5,479</w:t>
            </w:r>
          </w:p>
        </w:tc>
      </w:tr>
      <w:tr>
        <w:trPr>
          <w:trHeight w:val="184"/>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Tooling</w:t>
            </w: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231F20"/>
                <w:w w:val="85"/>
              </w:rPr>
              <w:t>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887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887</w:t>
            </w:r>
          </w:p>
        </w:tc>
      </w:tr>
      <w:tr>
        <w:trPr>
          <w:trHeight w:val="180"/>
        </w:trPr>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Autos and trucks</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231F20"/>
                <w:w w:val="85"/>
              </w:rPr>
              <w:t>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242</w:t>
            </w:r>
          </w:p>
        </w:tc>
      </w:tr>
      <w:tr>
        <w:trPr>
          <w:trHeight w:val="180"/>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Construction in progress</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765</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748</w:t>
            </w:r>
          </w:p>
        </w:tc>
      </w:tr>
      <w:tr>
        <w:trPr>
          <w:trHeight w:val="171"/>
        </w:trPr>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Total property and equipment</w:t>
            </w: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34,405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34,179</w:t>
            </w:r>
          </w:p>
        </w:tc>
      </w:tr>
      <w:tr>
        <w:trPr>
          <w:trHeight w:val="180"/>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Less: accumulated depreciation and amortization</w:t>
            </w:r>
          </w:p>
        </w:tc>
        <w:tc>
          <w:tcPr>
            <w:tcW w:w="3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(22,357)</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(19,953)</w:t>
            </w:r>
          </w:p>
        </w:tc>
      </w:tr>
      <w:tr>
        <w:trPr>
          <w:trHeight w:val="171"/>
        </w:trPr>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Property and equipment, net</w:t>
            </w: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231F2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12,048</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14,226</w:t>
            </w:r>
          </w:p>
        </w:tc>
      </w:tr>
      <w:tr>
        <w:trPr>
          <w:trHeight w:val="20"/>
        </w:trPr>
        <w:tc>
          <w:tcPr>
            <w:tcW w:w="47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Goodwill and Intangible Assets,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The changes in the carrying value of goodwill for the </w:t>
      </w:r>
      <w:r>
        <w:rPr>
          <w:rFonts w:ascii="Times New Roman" w:cs="Times New Roman" w:eastAsia="Times New Roman" w:hAnsi="Times New Roman"/>
          <w:sz w:val="14"/>
          <w:szCs w:val="14"/>
          <w:color w:val="000000"/>
        </w:rPr>
        <w:t>three months ended March 31, 2024</w:t>
      </w:r>
      <w:r>
        <w:rPr>
          <w:rFonts w:ascii="Times New Roman" w:cs="Times New Roman" w:eastAsia="Times New Roman" w:hAnsi="Times New Roman"/>
          <w:sz w:val="14"/>
          <w:szCs w:val="14"/>
          <w:color w:val="231F20"/>
        </w:rPr>
        <w:t xml:space="preserve"> is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6180" w:type="dxa"/>
            <w:vAlign w:val="bottom"/>
            <w:gridSpan w:val="2"/>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125,818</w:t>
            </w: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impact</w:t>
            </w:r>
          </w:p>
        </w:tc>
        <w:tc>
          <w:tcPr>
            <w:tcW w:w="53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5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125,365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bottom w:val="single" w:sz="8" w:color="CCEEFF"/>
            </w:tcBorders>
            <w:vMerge w:val="restart"/>
          </w:tcPr>
          <w:p>
            <w:pPr>
              <w:jc w:val="right"/>
              <w:ind w:right="3309"/>
              <w:spacing w:after="0"/>
              <w:rPr>
                <w:sz w:val="20"/>
                <w:szCs w:val="20"/>
                <w:color w:val="auto"/>
              </w:rPr>
            </w:pPr>
            <w:r>
              <w:rPr>
                <w:rFonts w:ascii="Times New Roman" w:cs="Times New Roman" w:eastAsia="Times New Roman" w:hAnsi="Times New Roman"/>
                <w:sz w:val="14"/>
                <w:szCs w:val="14"/>
                <w:color w:val="auto"/>
              </w:rPr>
              <w:t>10</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380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00" w:type="dxa"/>
            <w:vAlign w:val="bottom"/>
            <w:tcBorders>
              <w:bottom w:val="single" w:sz="8" w:color="9A9A9A"/>
            </w:tcBorders>
          </w:tcPr>
          <w:p>
            <w:pPr>
              <w:spacing w:after="0"/>
              <w:rPr>
                <w:sz w:val="7"/>
                <w:szCs w:val="7"/>
                <w:color w:val="auto"/>
              </w:rPr>
            </w:pPr>
          </w:p>
        </w:tc>
        <w:tc>
          <w:tcPr>
            <w:tcW w:w="53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color w:val="auto"/>
        </w:rPr>
        <w:t>Intangible Assets,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gross carrying amount and accumulated amortization of the Company’s intangible assets, net, as of March 31, 2024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231F20"/>
              </w:rPr>
              <w:t>Accumulated</w:t>
            </w:r>
          </w:p>
        </w:tc>
        <w:tc>
          <w:tcPr>
            <w:tcW w:w="220" w:type="dxa"/>
            <w:vAlign w:val="bottom"/>
          </w:tcPr>
          <w:p>
            <w:pPr>
              <w:spacing w:after="0"/>
              <w:rPr>
                <w:sz w:val="11"/>
                <w:szCs w:val="11"/>
                <w:color w:val="auto"/>
              </w:rPr>
            </w:pPr>
          </w:p>
        </w:tc>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11"/>
                <w:szCs w:val="11"/>
                <w:b w:val="1"/>
                <w:bCs w:val="1"/>
                <w:color w:val="231F20"/>
              </w:rPr>
              <w:t>Net Carrying</w:t>
            </w:r>
          </w:p>
        </w:tc>
        <w:tc>
          <w:tcPr>
            <w:tcW w:w="100" w:type="dxa"/>
            <w:vAlign w:val="bottom"/>
          </w:tcPr>
          <w:p>
            <w:pPr>
              <w:spacing w:after="0"/>
              <w:rPr>
                <w:sz w:val="11"/>
                <w:szCs w:val="1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231F20"/>
              </w:rPr>
              <w:t>Estimated</w:t>
            </w:r>
          </w:p>
        </w:tc>
        <w:tc>
          <w:tcPr>
            <w:tcW w:w="0" w:type="dxa"/>
            <w:vAlign w:val="bottom"/>
          </w:tcPr>
          <w:p>
            <w:pPr>
              <w:spacing w:after="0"/>
              <w:rPr>
                <w:sz w:val="1"/>
                <w:szCs w:val="1"/>
                <w:color w:val="auto"/>
              </w:rPr>
            </w:pPr>
          </w:p>
        </w:tc>
      </w:tr>
      <w:tr>
        <w:trPr>
          <w:trHeight w:val="11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80" w:type="dxa"/>
            <w:vAlign w:val="bottom"/>
          </w:tcPr>
          <w:p>
            <w:pPr>
              <w:spacing w:after="0"/>
              <w:rPr>
                <w:sz w:val="9"/>
                <w:szCs w:val="9"/>
                <w:color w:val="auto"/>
              </w:rPr>
            </w:pPr>
          </w:p>
        </w:tc>
        <w:tc>
          <w:tcPr>
            <w:tcW w:w="124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231F20"/>
              </w:rPr>
              <w:t>Useful Life</w:t>
            </w:r>
          </w:p>
        </w:tc>
        <w:tc>
          <w:tcPr>
            <w:tcW w:w="0" w:type="dxa"/>
            <w:vAlign w:val="bottom"/>
          </w:tcPr>
          <w:p>
            <w:pPr>
              <w:spacing w:after="0"/>
              <w:rPr>
                <w:sz w:val="1"/>
                <w:szCs w:val="1"/>
                <w:color w:val="auto"/>
              </w:rPr>
            </w:pPr>
          </w:p>
        </w:tc>
      </w:tr>
      <w:tr>
        <w:trPr>
          <w:trHeight w:val="155"/>
        </w:trPr>
        <w:tc>
          <w:tcPr>
            <w:tcW w:w="530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231F20"/>
            </w:tcBorders>
          </w:tcPr>
          <w:p>
            <w:pPr>
              <w:spacing w:after="0"/>
              <w:rPr>
                <w:sz w:val="13"/>
                <w:szCs w:val="13"/>
                <w:color w:val="auto"/>
              </w:rPr>
            </w:pPr>
          </w:p>
        </w:tc>
        <w:tc>
          <w:tcPr>
            <w:tcW w:w="1160" w:type="dxa"/>
            <w:vAlign w:val="bottom"/>
            <w:tcBorders>
              <w:bottom w:val="single" w:sz="8" w:color="231F20"/>
            </w:tcBorders>
          </w:tcPr>
          <w:p>
            <w:pPr>
              <w:jc w:val="center"/>
              <w:ind w:right="21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231F20"/>
            </w:tcBorders>
          </w:tcPr>
          <w:p>
            <w:pPr>
              <w:spacing w:after="0"/>
              <w:rPr>
                <w:sz w:val="13"/>
                <w:szCs w:val="13"/>
                <w:color w:val="auto"/>
              </w:rPr>
            </w:pPr>
          </w:p>
        </w:tc>
        <w:tc>
          <w:tcPr>
            <w:tcW w:w="1200" w:type="dxa"/>
            <w:vAlign w:val="bottom"/>
            <w:tcBorders>
              <w:bottom w:val="single" w:sz="8" w:color="231F20"/>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231F20"/>
              </w:rPr>
              <w:t>Amortization</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231F20"/>
              </w:rPr>
              <w:t>Value</w:t>
            </w: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1"/>
                <w:szCs w:val="11"/>
                <w:b w:val="1"/>
                <w:bCs w:val="1"/>
                <w:color w:val="231F20"/>
                <w:w w:val="97"/>
              </w:rPr>
              <w:t>(Years)</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Developed technology</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91,629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(67,186)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24,443</w:t>
            </w:r>
          </w:p>
        </w:tc>
        <w:tc>
          <w:tcPr>
            <w:tcW w:w="1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231F20"/>
              </w:rPr>
              <w:t>3 - 10</w:t>
            </w:r>
          </w:p>
        </w:tc>
        <w:tc>
          <w:tcPr>
            <w:tcW w:w="0" w:type="dxa"/>
            <w:vAlign w:val="bottom"/>
          </w:tcPr>
          <w:p>
            <w:pPr>
              <w:spacing w:after="0"/>
              <w:rPr>
                <w:sz w:val="1"/>
                <w:szCs w:val="1"/>
                <w:color w:val="auto"/>
              </w:rPr>
            </w:pPr>
          </w:p>
        </w:tc>
      </w:tr>
      <w:tr>
        <w:trPr>
          <w:trHeight w:val="180"/>
        </w:trPr>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Capitalized software</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19,782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(4,899)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14,883</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231F20"/>
              </w:rPr>
              <w:t>3 - 5</w:t>
            </w:r>
          </w:p>
        </w:tc>
        <w:tc>
          <w:tcPr>
            <w:tcW w:w="0" w:type="dxa"/>
            <w:vAlign w:val="bottom"/>
          </w:tcPr>
          <w:p>
            <w:pPr>
              <w:spacing w:after="0"/>
              <w:rPr>
                <w:sz w:val="1"/>
                <w:szCs w:val="1"/>
                <w:color w:val="auto"/>
              </w:rPr>
            </w:pPr>
          </w:p>
        </w:tc>
      </w:tr>
      <w:tr>
        <w:trPr>
          <w:trHeight w:val="191"/>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Customer relationships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18,620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(12,060)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6,560</w:t>
            </w:r>
          </w:p>
        </w:tc>
        <w:tc>
          <w:tcPr>
            <w:tcW w:w="1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231F20"/>
              </w:rPr>
              <w:t>5 - 10</w:t>
            </w:r>
          </w:p>
        </w:tc>
        <w:tc>
          <w:tcPr>
            <w:tcW w:w="0" w:type="dxa"/>
            <w:vAlign w:val="bottom"/>
          </w:tcPr>
          <w:p>
            <w:pPr>
              <w:spacing w:after="0"/>
              <w:rPr>
                <w:sz w:val="1"/>
                <w:szCs w:val="1"/>
                <w:color w:val="auto"/>
              </w:rPr>
            </w:pPr>
          </w:p>
        </w:tc>
      </w:tr>
      <w:tr>
        <w:trPr>
          <w:trHeight w:val="212"/>
        </w:trPr>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Trademarks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11,568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(5,571)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5,997</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231F20"/>
                <w:w w:val="99"/>
              </w:rPr>
              <w:t>15</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Non-compete agreement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5,863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4,029</w:t>
            </w:r>
          </w:p>
        </w:tc>
        <w:tc>
          <w:tcPr>
            <w:tcW w:w="1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231F20"/>
                <w:w w:val="85"/>
              </w:rPr>
              <w:t>3</w:t>
            </w: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Patents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3,068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(575)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2,493</w:t>
            </w:r>
          </w:p>
        </w:tc>
        <w:tc>
          <w:tcPr>
            <w:tcW w:w="1520" w:type="dxa"/>
            <w:vAlign w:val="bottom"/>
            <w:tcBorders>
              <w:bottom w:val="single" w:sz="8" w:color="CCEEFF"/>
            </w:tcBorders>
            <w:gridSpan w:val="2"/>
          </w:tcPr>
          <w:p>
            <w:pPr>
              <w:jc w:val="center"/>
              <w:ind w:left="29"/>
              <w:spacing w:after="0"/>
              <w:rPr>
                <w:sz w:val="20"/>
                <w:szCs w:val="20"/>
                <w:color w:val="auto"/>
              </w:rPr>
            </w:pPr>
            <w:r>
              <w:rPr>
                <w:rFonts w:ascii="Times New Roman" w:cs="Times New Roman" w:eastAsia="Times New Roman" w:hAnsi="Times New Roman"/>
                <w:sz w:val="14"/>
                <w:szCs w:val="14"/>
                <w:color w:val="231F20"/>
              </w:rPr>
              <w:t>3 - 19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intangible assets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150,530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(92,125)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58,405</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gross carrying amount and accumulated amortization of the Company’s intangible assets, net, as of December 31, 2023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231F20"/>
              </w:rPr>
              <w:t>Accumulated</w:t>
            </w:r>
          </w:p>
        </w:tc>
        <w:tc>
          <w:tcPr>
            <w:tcW w:w="220" w:type="dxa"/>
            <w:vAlign w:val="bottom"/>
          </w:tcPr>
          <w:p>
            <w:pPr>
              <w:spacing w:after="0"/>
              <w:rPr>
                <w:sz w:val="11"/>
                <w:szCs w:val="11"/>
                <w:color w:val="auto"/>
              </w:rPr>
            </w:pPr>
          </w:p>
        </w:tc>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11"/>
                <w:szCs w:val="11"/>
                <w:b w:val="1"/>
                <w:bCs w:val="1"/>
                <w:color w:val="231F20"/>
              </w:rPr>
              <w:t>Net Carrying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231F20"/>
              </w:rPr>
              <w:t>Estimated</w:t>
            </w:r>
          </w:p>
        </w:tc>
        <w:tc>
          <w:tcPr>
            <w:tcW w:w="0" w:type="dxa"/>
            <w:vAlign w:val="bottom"/>
          </w:tcPr>
          <w:p>
            <w:pPr>
              <w:spacing w:after="0"/>
              <w:rPr>
                <w:sz w:val="1"/>
                <w:szCs w:val="1"/>
                <w:color w:val="auto"/>
              </w:rPr>
            </w:pPr>
          </w:p>
        </w:tc>
      </w:tr>
      <w:tr>
        <w:trPr>
          <w:trHeight w:val="117"/>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80" w:type="dxa"/>
            <w:vAlign w:val="bottom"/>
          </w:tcPr>
          <w:p>
            <w:pPr>
              <w:spacing w:after="0"/>
              <w:rPr>
                <w:sz w:val="10"/>
                <w:szCs w:val="10"/>
                <w:color w:val="auto"/>
              </w:rPr>
            </w:pPr>
          </w:p>
        </w:tc>
        <w:tc>
          <w:tcPr>
            <w:tcW w:w="124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5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231F20"/>
              </w:rPr>
              <w:t>Useful Life</w:t>
            </w:r>
          </w:p>
        </w:tc>
        <w:tc>
          <w:tcPr>
            <w:tcW w:w="0" w:type="dxa"/>
            <w:vAlign w:val="bottom"/>
          </w:tcPr>
          <w:p>
            <w:pPr>
              <w:spacing w:after="0"/>
              <w:rPr>
                <w:sz w:val="1"/>
                <w:szCs w:val="1"/>
                <w:color w:val="auto"/>
              </w:rPr>
            </w:pPr>
          </w:p>
        </w:tc>
      </w:tr>
      <w:tr>
        <w:trPr>
          <w:trHeight w:val="154"/>
        </w:trPr>
        <w:tc>
          <w:tcPr>
            <w:tcW w:w="53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2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231F20"/>
              </w:rPr>
              <w:t>Amortization</w:t>
            </w:r>
          </w:p>
        </w:tc>
        <w:tc>
          <w:tcPr>
            <w:tcW w:w="220" w:type="dxa"/>
            <w:vAlign w:val="bottom"/>
          </w:tcPr>
          <w:p>
            <w:pPr>
              <w:spacing w:after="0"/>
              <w:rPr>
                <w:sz w:val="13"/>
                <w:szCs w:val="13"/>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1"/>
                <w:szCs w:val="11"/>
                <w:b w:val="1"/>
                <w:bCs w:val="1"/>
                <w:color w:val="231F20"/>
              </w:rPr>
              <w:t>Value</w:t>
            </w:r>
          </w:p>
        </w:tc>
        <w:tc>
          <w:tcPr>
            <w:tcW w:w="1520" w:type="dxa"/>
            <w:vAlign w:val="bottom"/>
          </w:tcPr>
          <w:p>
            <w:pPr>
              <w:jc w:val="center"/>
              <w:ind w:left="34"/>
              <w:spacing w:after="0"/>
              <w:rPr>
                <w:sz w:val="20"/>
                <w:szCs w:val="20"/>
                <w:color w:val="auto"/>
              </w:rPr>
            </w:pPr>
            <w:r>
              <w:rPr>
                <w:rFonts w:ascii="Times New Roman" w:cs="Times New Roman" w:eastAsia="Times New Roman" w:hAnsi="Times New Roman"/>
                <w:sz w:val="11"/>
                <w:szCs w:val="11"/>
                <w:b w:val="1"/>
                <w:bCs w:val="1"/>
                <w:color w:val="231F20"/>
                <w:w w:val="97"/>
              </w:rPr>
              <w:t>(Years)</w:t>
            </w:r>
          </w:p>
        </w:tc>
        <w:tc>
          <w:tcPr>
            <w:tcW w:w="0" w:type="dxa"/>
            <w:vAlign w:val="bottom"/>
          </w:tcPr>
          <w:p>
            <w:pPr>
              <w:spacing w:after="0"/>
              <w:rPr>
                <w:sz w:val="1"/>
                <w:szCs w:val="1"/>
                <w:color w:val="auto"/>
              </w:rPr>
            </w:pPr>
          </w:p>
        </w:tc>
      </w:tr>
      <w:tr>
        <w:trPr>
          <w:trHeight w:val="208"/>
        </w:trPr>
        <w:tc>
          <w:tcPr>
            <w:tcW w:w="53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Developed technology</w:t>
            </w:r>
          </w:p>
        </w:tc>
        <w:tc>
          <w:tcPr>
            <w:tcW w:w="280" w:type="dxa"/>
            <w:vAlign w:val="bottom"/>
            <w:tcBorders>
              <w:top w:val="single" w:sz="8" w:color="231F20"/>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91,629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231F20"/>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(64,453)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231F20"/>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27,176</w:t>
            </w:r>
          </w:p>
        </w:tc>
        <w:tc>
          <w:tcPr>
            <w:tcW w:w="1520" w:type="dxa"/>
            <w:vAlign w:val="bottom"/>
            <w:tcBorders>
              <w:top w:val="single" w:sz="8" w:color="231F20"/>
            </w:tcBorders>
            <w:shd w:val="clear" w:color="auto" w:fill="CCEEFF"/>
          </w:tcPr>
          <w:p>
            <w:pPr>
              <w:jc w:val="center"/>
              <w:ind w:left="34"/>
              <w:spacing w:after="0"/>
              <w:rPr>
                <w:sz w:val="20"/>
                <w:szCs w:val="20"/>
                <w:color w:val="auto"/>
              </w:rPr>
            </w:pPr>
            <w:r>
              <w:rPr>
                <w:rFonts w:ascii="Times New Roman" w:cs="Times New Roman" w:eastAsia="Times New Roman" w:hAnsi="Times New Roman"/>
                <w:sz w:val="14"/>
                <w:szCs w:val="14"/>
                <w:color w:val="231F20"/>
              </w:rPr>
              <w:t>3 - 10</w:t>
            </w:r>
          </w:p>
        </w:tc>
        <w:tc>
          <w:tcPr>
            <w:tcW w:w="0" w:type="dxa"/>
            <w:vAlign w:val="bottom"/>
          </w:tcPr>
          <w:p>
            <w:pPr>
              <w:spacing w:after="0"/>
              <w:rPr>
                <w:sz w:val="1"/>
                <w:szCs w:val="1"/>
                <w:color w:val="auto"/>
              </w:rPr>
            </w:pPr>
          </w:p>
        </w:tc>
      </w:tr>
      <w:tr>
        <w:trPr>
          <w:trHeight w:val="180"/>
        </w:trPr>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Capitalized software</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18,423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(4,078)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14,345</w:t>
            </w:r>
          </w:p>
        </w:tc>
        <w:tc>
          <w:tcPr>
            <w:tcW w:w="1520" w:type="dxa"/>
            <w:vAlign w:val="bottom"/>
          </w:tcPr>
          <w:p>
            <w:pPr>
              <w:jc w:val="center"/>
              <w:ind w:left="34"/>
              <w:spacing w:after="0"/>
              <w:rPr>
                <w:sz w:val="20"/>
                <w:szCs w:val="20"/>
                <w:color w:val="auto"/>
              </w:rPr>
            </w:pPr>
            <w:r>
              <w:rPr>
                <w:rFonts w:ascii="Times New Roman" w:cs="Times New Roman" w:eastAsia="Times New Roman" w:hAnsi="Times New Roman"/>
                <w:sz w:val="14"/>
                <w:szCs w:val="14"/>
                <w:color w:val="231F20"/>
              </w:rPr>
              <w:t>3 - 5</w:t>
            </w:r>
          </w:p>
        </w:tc>
        <w:tc>
          <w:tcPr>
            <w:tcW w:w="0" w:type="dxa"/>
            <w:vAlign w:val="bottom"/>
          </w:tcPr>
          <w:p>
            <w:pPr>
              <w:spacing w:after="0"/>
              <w:rPr>
                <w:sz w:val="1"/>
                <w:szCs w:val="1"/>
                <w:color w:val="auto"/>
              </w:rPr>
            </w:pPr>
          </w:p>
        </w:tc>
      </w:tr>
      <w:tr>
        <w:trPr>
          <w:trHeight w:val="191"/>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Customer relationships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18,809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(11,317)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7,492</w:t>
            </w:r>
          </w:p>
        </w:tc>
        <w:tc>
          <w:tcPr>
            <w:tcW w:w="152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4"/>
                <w:szCs w:val="14"/>
                <w:color w:val="231F20"/>
              </w:rPr>
              <w:t>5 - 10</w:t>
            </w:r>
          </w:p>
        </w:tc>
        <w:tc>
          <w:tcPr>
            <w:tcW w:w="0" w:type="dxa"/>
            <w:vAlign w:val="bottom"/>
          </w:tcPr>
          <w:p>
            <w:pPr>
              <w:spacing w:after="0"/>
              <w:rPr>
                <w:sz w:val="1"/>
                <w:szCs w:val="1"/>
                <w:color w:val="auto"/>
              </w:rPr>
            </w:pPr>
          </w:p>
        </w:tc>
      </w:tr>
      <w:tr>
        <w:trPr>
          <w:trHeight w:val="180"/>
        </w:trPr>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Trademarks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11,521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(5,367)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6,154</w:t>
            </w:r>
          </w:p>
        </w:tc>
        <w:tc>
          <w:tcPr>
            <w:tcW w:w="1520" w:type="dxa"/>
            <w:vAlign w:val="bottom"/>
          </w:tcPr>
          <w:p>
            <w:pPr>
              <w:jc w:val="center"/>
              <w:ind w:left="34"/>
              <w:spacing w:after="0"/>
              <w:rPr>
                <w:sz w:val="20"/>
                <w:szCs w:val="20"/>
                <w:color w:val="auto"/>
              </w:rPr>
            </w:pPr>
            <w:r>
              <w:rPr>
                <w:rFonts w:ascii="Times New Roman" w:cs="Times New Roman" w:eastAsia="Times New Roman" w:hAnsi="Times New Roman"/>
                <w:sz w:val="14"/>
                <w:szCs w:val="14"/>
                <w:color w:val="231F20"/>
                <w:w w:val="99"/>
              </w:rPr>
              <w:t>15</w:t>
            </w: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Non-compete agreement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5,878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4,348</w:t>
            </w:r>
          </w:p>
        </w:tc>
        <w:tc>
          <w:tcPr>
            <w:tcW w:w="152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4"/>
                <w:szCs w:val="14"/>
                <w:color w:val="231F20"/>
                <w:w w:val="85"/>
              </w:rPr>
              <w:t>3</w:t>
            </w: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Patents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3,132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(524)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2,608</w:t>
            </w:r>
          </w:p>
        </w:tc>
        <w:tc>
          <w:tcPr>
            <w:tcW w:w="152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4"/>
                <w:szCs w:val="14"/>
                <w:color w:val="231F20"/>
              </w:rPr>
              <w:t>3 - 19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intangible assets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149,392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(87,269)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62,123</w:t>
            </w: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of Esthetic Medical, Inc. and Anacapa Aesthetics LLC</w:t>
      </w:r>
    </w:p>
    <w:p>
      <w:pPr>
        <w:spacing w:after="0" w:line="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February 2023, Edge Systems Intermediate, LLC, an indirect, wholly-owned subsidiary of the Company, acquired all of the outstanding shares of Esthetic Medical, Inc. (“EMI”) in exchange for (i) a cash payment of $11.8 million and (ii) 109,625 shares of Class A Common Stock of the Company ($1.3 million). In addition, Dr. Lawrence Groop (the “Seller”) is entitled to receive up to an additional $3.2 million in contingent consideration based upon the achievement of certain conditions defined in the purchase agreement, of which $1.9 million was considered probable as of the acquisition date. Applicable tax guidance was used to apply the simultaneous equation method to incrementally assign $4.6 million to the book value of the intangible asset in excess of the purchase price. The Company accounted for this transaction as an asset acquisition and allocated substantially all of the purchase price and the tax basis difference totaling $19.9 million to intangible assets, primarily related to developed technology.</w:t>
      </w:r>
    </w:p>
    <w:p>
      <w:pPr>
        <w:spacing w:after="0" w:line="167"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In July 2023, EMI obtained clearance from the U.S. Food and Drug Administration that the SkinStylus Sterilock MicroSystem is cleared for use as a treatment to improve the appearance of facial acne scars in Fitzpatrick skin types I, II, and III in adults aged 22 years and older (the “Facial Indication Approval”). Obtaining the Facial Indication Approval triggered a $1.3 million contingent payment made in July 2023 by the Company to the Seller, which was previously not considered probable of payment.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March 2023, the Company acquired assets from Anacapa Aesthetics LLC and recognized approximately $5 million of intangible assets, primarily related to non-compete agreements.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Note 7 — Long-term Debt</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Amended and Restated Credit Facility</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On November 14, 2022, the Company, as successor by assumption to Hydrafacial, a California limited liability company, entered into an Amended and Restated Credit Agreement (as it may be further amended, restated, supplemented or modified from time to time, the “Credit Agreement”) with JPMorgan Chase Bank, N.A. (the “Administrative Agent”). The Credit Agreement provides for a $50 million revolving credit facility with a maturity date of November 14, 2027. In addition, the Company has the ability from time to time to increase the revolving commitments or enter into one or more tranches of term loans up to an additional aggregate amount not to exceed $50 million, subject to receipt of lender commitments and certain conditions precedent. As of March 31, 2024, the Credit Agreement remains undrawn and there is no outstanding balance under the revolving credit facility.</w:t>
      </w:r>
    </w:p>
    <w:p>
      <w:pPr>
        <w:spacing w:after="0" w:line="16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 As of March 31, 2024, the Company was in compliance with all restricted and financial covenants of the Credit Agreement.</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Convertible Senior Notes</w:t>
      </w:r>
    </w:p>
    <w:p>
      <w:pPr>
        <w:spacing w:after="0" w:line="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On September 14, 2021, the Company issued an aggregate of $750 million in principal amount of its 1.25% Convertible Senior Notes due 2026 (the “Notes”). The Notes were issued pursuant to, and are governed by, an indenture dated as of September 14, 2021, between the Company and U.S. Bank National Association, as trustee (the “Indenture”).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 million principal amount of Notes. The Notes issued on September 14, 2021 include the $100 million principal amount of Notes issued pursuant to the full exercise by the initial purchasers of such option.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following is a summary of the Company’s Notes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4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Pr>
          <w:p>
            <w:pPr>
              <w:spacing w:after="0"/>
              <w:rPr>
                <w:sz w:val="13"/>
                <w:szCs w:val="13"/>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1.25% Convertible Notes due 2026</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675,000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r>
      <w:tr>
        <w:trPr>
          <w:trHeight w:val="18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(11,628)</w:t>
            </w:r>
          </w:p>
        </w:tc>
      </w:tr>
      <w:tr>
        <w:trPr>
          <w:trHeight w:val="19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carrying value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665,486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738,372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January 2024, the Company repurchased $75.0 million principal amount of its Notes at a weighted-average price equal to 77% for $57.8 million resulting in a net gain of $16.1 million, which includes $1.2 million of unamortized debt issuance costs related to the repurchase. The net gain is included in other income, net in the Condensed Consolidated Statements of Comprehensive Income (Loss).</w:t>
      </w:r>
    </w:p>
    <w:p>
      <w:pPr>
        <w:spacing w:after="0" w:line="157"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Additionally, in April 2024, the Company repurchased $98.3 million principal amount of its Notes at a weighted-average price equal to 84% for $82.4 million. In the month of May, through May 8, 2024, the Company repurchased $19.0 million principal amount of its Notes at a weighted-average price equal to 84% for $15.9 million.</w:t>
      </w:r>
    </w:p>
    <w:p>
      <w:pPr>
        <w:spacing w:after="0" w:line="145"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231F20"/>
        </w:rPr>
        <w:t xml:space="preserve">As of March 31, 2024 and </w:t>
      </w:r>
      <w:r>
        <w:rPr>
          <w:rFonts w:ascii="Times New Roman" w:cs="Times New Roman" w:eastAsia="Times New Roman" w:hAnsi="Times New Roman"/>
          <w:sz w:val="14"/>
          <w:szCs w:val="14"/>
          <w:color w:val="000000"/>
        </w:rPr>
        <w:t>December 31, 2023</w:t>
      </w:r>
      <w:r>
        <w:rPr>
          <w:rFonts w:ascii="Times New Roman" w:cs="Times New Roman" w:eastAsia="Times New Roman" w:hAnsi="Times New Roman"/>
          <w:sz w:val="14"/>
          <w:szCs w:val="14"/>
          <w:color w:val="231F20"/>
        </w:rPr>
        <w:t xml:space="preserve">, the estimated fair value of the Notes was approximately $554 million and $558 million, respectively. The estimated fair value of the Notes was determined based on the actual bid price of the Notes on March 31, 2024 and </w:t>
      </w:r>
      <w:r>
        <w:rPr>
          <w:rFonts w:ascii="Times New Roman" w:cs="Times New Roman" w:eastAsia="Times New Roman" w:hAnsi="Times New Roman"/>
          <w:sz w:val="14"/>
          <w:szCs w:val="14"/>
          <w:color w:val="000000"/>
        </w:rPr>
        <w:t>December 31, 2023, and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 w:name="page13"/>
    <w:bookmarkEnd w:id="12"/>
    <w:p>
      <w:pPr>
        <w:ind w:left="140"/>
        <w:spacing w:after="0"/>
        <w:rPr>
          <w:sz w:val="20"/>
          <w:szCs w:val="20"/>
          <w:color w:val="auto"/>
        </w:rPr>
      </w:pPr>
      <w:r>
        <w:rPr>
          <w:rFonts w:ascii="Times New Roman" w:cs="Times New Roman" w:eastAsia="Times New Roman" w:hAnsi="Times New Roman"/>
          <w:sz w:val="14"/>
          <w:szCs w:val="14"/>
          <w:i w:val="1"/>
          <w:iCs w:val="1"/>
          <w:color w:val="auto"/>
        </w:rPr>
        <w:t>Capped Call Transactions</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September 9, 2021, in connection with the pricing of the offering of Notes, the Company entered into privately negotiated capped call transactions (the “Base Capped Call Transactions”) with Bank of Montreal, Credit Suisse Capital LLC, Deutsche Bank AG, London Branch, Goldman Sachs &amp; Co. LLC, JPMorgan Chase Bank, National Association, Mizuho Markets Americas LLC and Wells Fargo Bank, National Association (collectively,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$90.2 million.</w:t>
      </w:r>
    </w:p>
    <w:p>
      <w:pPr>
        <w:spacing w:after="0" w:line="16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income tax benefit for the three months ended March 31, 2024 is $0.7 million. The income tax benefit for the three months ended March 31, 2023 was $3.7 million.</w:t>
      </w:r>
    </w:p>
    <w:p>
      <w:pPr>
        <w:spacing w:after="0" w:line="20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231F20"/>
        </w:rPr>
        <w:t xml:space="preserve">The effective tax rate for the three months ended March 31, 2024 is </w:t>
      </w:r>
      <w:r>
        <w:rPr>
          <w:rFonts w:ascii="Times New Roman" w:cs="Times New Roman" w:eastAsia="Times New Roman" w:hAnsi="Times New Roman"/>
          <w:sz w:val="14"/>
          <w:szCs w:val="14"/>
          <w:color w:val="000000"/>
        </w:rPr>
        <w:t>49.3%</w:t>
      </w:r>
      <w:r>
        <w:rPr>
          <w:rFonts w:ascii="Times New Roman" w:cs="Times New Roman" w:eastAsia="Times New Roman" w:hAnsi="Times New Roman"/>
          <w:sz w:val="14"/>
          <w:szCs w:val="14"/>
          <w:color w:val="231F20"/>
        </w:rPr>
        <w:t xml:space="preserve">. The effective tax rate for the three months ended March 31, 2023 was </w:t>
      </w:r>
      <w:r>
        <w:rPr>
          <w:rFonts w:ascii="Times New Roman" w:cs="Times New Roman" w:eastAsia="Times New Roman" w:hAnsi="Times New Roman"/>
          <w:sz w:val="14"/>
          <w:szCs w:val="14"/>
          <w:color w:val="000000"/>
        </w:rPr>
        <w:t>15.3%</w:t>
      </w:r>
      <w:r>
        <w:rPr>
          <w:rFonts w:ascii="Times New Roman" w:cs="Times New Roman" w:eastAsia="Times New Roman" w:hAnsi="Times New Roman"/>
          <w:sz w:val="14"/>
          <w:szCs w:val="14"/>
          <w:color w:val="231F20"/>
        </w:rPr>
        <w:t>. The effective tax rate differs from the federal statutory rate of 21% due primarily to a full valuation allowance against the Company’s U.S. deferred tax assets, foreign jurisdictions that are taxed at different rates, state taxes, and the impact of discrete items that may occur in any given year but which are not consistent from year to year.</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231F20"/>
        </w:rPr>
        <w:t>The Company has established a valuation allowance in the U.S. against a portion of its remaining deferred tax assets because it is more likely than not that certain deferred tax assets will not be realized. In determining whether deferred tax assets are realizable, the Company considers numerous factors including historical profitability, the amount of future taxable income and the existence of taxable temporary differences that can be used to realize deferred tax assets.</w:t>
      </w:r>
    </w:p>
    <w:p>
      <w:pPr>
        <w:spacing w:after="0" w:line="15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231F20"/>
        </w:rPr>
        <w:t>The Company applies Accounting Standards Codification 740 – Income Taxes, the accounting standard addressing the accounting for uncertainty in income taxes, which prescribes rules for recognition, measurement and classification in the financial statements of tax positions taken or expected to be taken in a tax return. The Company has gross unrecognized tax benefits of $0.3 million and $1.1 million as of March 31, 2024 and December 31, 2023,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Share-Based Compensation</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has various stock compensation plans, which are more fully described in Part II, Item 8 "Financial Statements and Supplementary Data—Note 13 to the Consolidated Financial Statements—Equity-Based Compensation" in the Company’s 2023 Annual Report on Form 10-K. Under the Beauty Health Company 2021 Incentive Award Plan, the Company may grant stock options, stock appreciation rights, restricted stock, restricted stock units, dividend equivalents, other stock or cash-based awards to eligible service providers. Additionally, the Company maintains the Employee Stock Purchase Plan for employees located in the United States, whereby eligible employees can have up to 10% of their earnings withheld, subject to certain maximums, to be used to purchase shares of the Company’s Class A Common Stock at certain purchase dates.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Share-based compensation expense was as follows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8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8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sales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180"/>
        </w:trPr>
        <w:tc>
          <w:tcPr>
            <w:tcW w:w="8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Selling and marketing</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w:t>
            </w:r>
          </w:p>
        </w:tc>
      </w:tr>
      <w:tr>
        <w:trPr>
          <w:trHeight w:val="180"/>
        </w:trPr>
        <w:tc>
          <w:tcPr>
            <w:tcW w:w="8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w:t>
            </w:r>
          </w:p>
        </w:tc>
      </w:tr>
      <w:tr>
        <w:trPr>
          <w:trHeight w:val="196"/>
        </w:trPr>
        <w:tc>
          <w:tcPr>
            <w:tcW w:w="8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share-based compensation</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 xml:space="preserve">As of </w:t>
      </w:r>
      <w:r>
        <w:rPr>
          <w:rFonts w:ascii="Times New Roman" w:cs="Times New Roman" w:eastAsia="Times New Roman" w:hAnsi="Times New Roman"/>
          <w:sz w:val="14"/>
          <w:szCs w:val="14"/>
          <w:color w:val="231F20"/>
        </w:rPr>
        <w:t>March 31, 2024</w:t>
      </w:r>
      <w:r>
        <w:rPr>
          <w:rFonts w:ascii="Times New Roman" w:cs="Times New Roman" w:eastAsia="Times New Roman" w:hAnsi="Times New Roman"/>
          <w:sz w:val="14"/>
          <w:szCs w:val="14"/>
          <w:color w:val="auto"/>
        </w:rPr>
        <w:t>, total unrecognized compensation expense related to unvested share-based compensation totaled $36.7 million and is expected to be recognized over a weighted-average period of 1.5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Commitments and Contingencies</w:t>
      </w:r>
    </w:p>
    <w:p>
      <w:pPr>
        <w:spacing w:after="0" w:line="1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Ageless</w:t>
      </w:r>
    </w:p>
    <w:p>
      <w:pPr>
        <w:spacing w:after="0" w:line="19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On October 21, 2020, Hydrafacial filed a complaint (the “California Complaint”) against Ageless Serums LLC (“Ageless”) in the United States District Court for the Central District of California, Western Division, captioned Edge Systems LLC v. Ageless Serums LLC, Case No. 2:20-cv-09669-FMO-PVC (the “California Case”), for various claims, including contributory trademark infringement, false designation of origin, induced breach of contract, tortious interference with contractual relations, and unfair competition. In the California Complaint, Hydrafacial alleged that Ageless is selling its serums to Hydrafacial customers and intentionally encouraging those customers to market treatments performed by such customers as “Hydrafacial Treatments,” in violation of the customers’ license agreements with Hydrafacial and that Ageless is improperly marketing its products for use as part of the Hydrafacial treatment. Hydrafacial sought monetary damages and injunctive relief from Ageless in the California Case.</w:t>
      </w:r>
    </w:p>
    <w:p>
      <w:pPr>
        <w:spacing w:after="0" w:line="167"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Additionally, on December 22, 2020, Hydrafacial filed a complaint (the “Texas Complaint”) against Ageless in the United States District Court for the Southern District of Texas, Houston Division, captioned Edge Systems LLC v. Ageless Serums LLC, Case No. 4:20-cv 04335 (the “Texas Case”), alleging infringement of six of Hydrafacial’s patents. Hydrafacial sought monetary damages and injunctive relief from Ageless in the Texas Case.</w:t>
      </w:r>
    </w:p>
    <w:p>
      <w:pPr>
        <w:spacing w:after="0" w:line="15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4"/>
          <w:szCs w:val="14"/>
          <w:color w:val="auto"/>
        </w:rPr>
        <w:t>On November 30, 2020, Ageless answered the California Complaint and asserted counterclaims for violation of antitrust, California statutory and common law unfair competition, false advertising, defamation, and tortious interference with prospective and actual economic advantage. On July 12, 2021, Ageless answered the Texas Complaint and asserted similar counterclaims as those in the California Case. On May 5, 2022, Ageless filed a Chapter 11 bankruptcy petition in the United States Bankruptcy Court for the Southern District of Texas, Houston Division (the “Houston Bankruptcy Court”), and the California Case and Texas Case were thus stayed under 11 U.S.C. Section 362(a)(1). On September 7, 2022, Hydrafacial filed a proof of claim, asserting general unsecured claim for damages arising from claims alleged in the California Case and Texas Case. On January 4, 2023, Hydrafacial filed an Objection to the Confirmation of Debtor’s Subchapter V Plan of Reorganization and Brief in Support. On March 8, 2023, Hydrafacial and Ageless engaged in mediation to settle the claims alleged in the California Case and Texas Case. Ultimately, Hydrafacial and Ageless reached a tentative settlement agreement of all claims alleged in the California Case and Texas Case.</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September 18, 2023, Ageless filed the Debtor’s Third Amended Subchapter V Plan of Reorganization (the “Plan”). The Plan incorporated the material terms of the settlement that Hydrafacial and Ageless reached at the mediation. Under the Plan, Ageless was required to pay to Hydrafacial $0.1 million on or before October 15, 2023 and tender thirteen (13) subsequent quarterly payments, each consisting of $0.1 million, for a total of $1.4 million. Ageless also agreed to various sales and marketing conditions that restrict Ageless from selling to Hydrafacial’s customers that use Hydrafacial’s service mark to provide hydradermabrasion treatments. Ageless agreed to other covenants that are contained in Article VIII of the Plan. The Plan also includes mutual releases between Hydrafacial and Ageless. The Plan includes remedies for Hydrafacial’s benefit in the event that Ageless defaults on any of its material obligations under the Plan.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4" w:name="page15"/>
    <w:bookmarkEnd w:id="14"/>
    <w:p>
      <w:pPr>
        <w:ind w:right="120"/>
        <w:spacing w:after="0" w:line="264" w:lineRule="auto"/>
        <w:rPr>
          <w:sz w:val="20"/>
          <w:szCs w:val="20"/>
          <w:color w:val="auto"/>
        </w:rPr>
      </w:pPr>
      <w:r>
        <w:rPr>
          <w:rFonts w:ascii="Times New Roman" w:cs="Times New Roman" w:eastAsia="Times New Roman" w:hAnsi="Times New Roman"/>
          <w:sz w:val="14"/>
          <w:szCs w:val="14"/>
          <w:color w:val="auto"/>
        </w:rPr>
        <w:t>The Houston Bankruptcy Court considered confirmation of the Plan at a hearing held on September 22, 2023, and Hydrafacial expressed its support of the Plan at the hearing. The Houston Bankruptcy Court entered the Findings of Fact, Conclusions of Law, and Order Confirming Debtor’s Third Amended Plan of Reorganization on September 22, 2023. The Plan contains various conditions precedent to the effectiveness of the Plan that are contained in Article X of the Plan. The Plan required Hydrafacial to dismiss the California Case and the Texas Case within ten (10) days of the occurrence of the effective date of the Plan.</w:t>
      </w:r>
    </w:p>
    <w:p>
      <w:pPr>
        <w:spacing w:after="0" w:line="162"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On October 13, 2023, Ageless tendered its initial payment of $0.1 million to Hydrafacial pursuant to the terms and conditions of the Plan. On February 2, 2024, all claims, counterclaims, and defenses in the California Case and the Texas Case were dismissed with prejudice.</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Cartessa</w:t>
      </w:r>
    </w:p>
    <w:p>
      <w:pPr>
        <w:spacing w:after="0" w:line="1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On December 14, 2020, Hydrafacial filed a complaint (the “Cartessa Complaint”) against Cartessa Aesthetics, LLC (“Cartessa”) in the United States District Court for the Eastern District of New York (the “New York Court”), captioned Edge Systems LLC v. Cartessa Aesthetics, LLC, Case No. 1:20-cv-6082, for patent infringement arising from Cartessa’s sale of Cartessa’s hydradermabrasion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As of the date of this report, Hydrafacial and Cartessa are awaiting the New York Court to set a trial date on Hydrafacial’s remaining three patents-in-suit in the Cartessa Complaint.</w:t>
      </w:r>
    </w:p>
    <w:p>
      <w:pPr>
        <w:spacing w:after="0" w:line="168"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Hydrafacial is seeking monetary damages and plans to vigorously pursue its claims against Cartessa. Hydrafacial also plans to appeal the New York Court’s grant of Cartessa’s Motion for Summary Judgment.</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Securities Class Action</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complaint, styled, Abduladhim A. Alghazwi, individually and on behalf of all others similarly situated, v. The Beauty Healthy Company, Andrew Stanleick, Liyuan Woo, and Michael Monahan, Case No. 2:23-cv-09733 (C.D. Ca.) (the “Securities Class Action”), asserts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alleges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includes a request for compensatory damages suffered by the plaintiff and other members of the putative class for damages allegedly sustained as a result of the alleged securities violations.</w:t>
      </w:r>
    </w:p>
    <w:p>
      <w:pPr>
        <w:spacing w:after="0" w:line="15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4"/>
          <w:szCs w:val="14"/>
          <w:color w:val="auto"/>
        </w:rPr>
        <w:t>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May 8, 2024, the parties met and conferred to discuss a proposed schedule for the filing of a consolidated, amended complaint and defendants’ response(s) thereto. The Securities Class Action case is assigned to U.S. District Judge Sherilyn Peace Garnett.</w:t>
      </w:r>
    </w:p>
    <w:p>
      <w:pPr>
        <w:spacing w:after="0" w:line="16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believes that the claims asserted in the Securities Class Action have no merit and intends to vigorously defend them. The Company is unable to reasonably estimate the possible loss or range of loss, if any, associated with these claims, and, accordingly, it has not accrued any liability associated with the Securities Class Action.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5" w:name="page16"/>
    <w:bookmarkEnd w:id="15"/>
    <w:p>
      <w:pPr>
        <w:ind w:left="140"/>
        <w:spacing w:after="0"/>
        <w:rPr>
          <w:sz w:val="20"/>
          <w:szCs w:val="20"/>
          <w:color w:val="auto"/>
        </w:rPr>
      </w:pPr>
      <w:r>
        <w:rPr>
          <w:rFonts w:ascii="Times New Roman" w:cs="Times New Roman" w:eastAsia="Times New Roman" w:hAnsi="Times New Roman"/>
          <w:sz w:val="14"/>
          <w:szCs w:val="14"/>
          <w:i w:val="1"/>
          <w:iCs w:val="1"/>
          <w:color w:val="auto"/>
        </w:rPr>
        <w:t>Derivative Action - Margie Elstein</w:t>
      </w:r>
    </w:p>
    <w:p>
      <w:pPr>
        <w:spacing w:after="0" w:line="19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C.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The Elstein Derivative Action has been assigned to Vice Chancellor Lori Will.</w:t>
      </w:r>
    </w:p>
    <w:p>
      <w:pPr>
        <w:spacing w:after="0" w:line="16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believes that the claims asserted in the Elstein Derivative Action have no merit and intends to vigorously defend them. The Company is unable to reasonably estimate the possible loss or range of loss, if any, associated with these claims, and, accordingly, it has not accrued any liability associated with the Elstein Derivative Action.</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Derivative Action - Richard Montague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the Company as the nominal defendant. The complaint, styled Richard Montague, derivatively on behalf of The Beauty Health Company v. Andrew Stanleick, Liyuan Woo, Brent Saunders, Marla Beck, Michael Capellas, Julius Few, Desiree Gruber, Michelle C.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spacing w:after="0" w:line="24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The Company believes that the claims asserted in the Montague Derivative Action have no merit and intends to vigorously defend them. The Company is unable to reasonably estimate the possible loss or range of loss, if any, associated with these claims, and, accordingly, it has not accrued any liability associated with the Montague Derivative Action.</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 xml:space="preserve">Securities and Exchange Commission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 Subpoena</w:t>
      </w:r>
    </w:p>
    <w:p>
      <w:pPr>
        <w:spacing w:after="0" w:line="19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Division of Enforcement of the SEC has issued a subpoena in connection with a formal order of investigation of the Company seeking documents and information from us. The Company is in the process of responding to the subpoena and intends to fully cooperate with the SEC investigation. We cannot predict the duration, scope, or outcome of this matter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Note 11 — Related-Party Transactions</w:t>
      </w:r>
    </w:p>
    <w:p>
      <w:pPr>
        <w:spacing w:after="0" w:line="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Registration Rights Agreement</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spacing w:after="0" w:line="14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Registration Rights Agreement provides that the Company will, within 60 days after the consummation of the Business Combination,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Investor Rights Agreement</w:t>
      </w:r>
    </w:p>
    <w:p>
      <w:pPr>
        <w:spacing w:after="0" w:line="20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color w:val="auto"/>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w:t>
      </w:r>
    </w:p>
    <w:p>
      <w:pPr>
        <w:ind w:right="400" w:firstLine="5"/>
        <w:spacing w:after="0" w:line="259" w:lineRule="auto"/>
        <w:tabs>
          <w:tab w:leader="none" w:pos="24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Note 12 — Stockholders' Equity</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20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231F20"/>
        </w:rPr>
        <w:t xml:space="preserve">The Company is authorized to issue 320,000,000 shares of Class A Common Stock, par value of $0.0001 per share. Holders of Class A Common Stock are entitled to </w:t>
      </w:r>
      <w:r>
        <w:rPr>
          <w:rFonts w:ascii="Times New Roman" w:cs="Times New Roman" w:eastAsia="Times New Roman" w:hAnsi="Times New Roman"/>
          <w:sz w:val="14"/>
          <w:szCs w:val="14"/>
          <w:color w:val="000000"/>
        </w:rPr>
        <w:t>one</w:t>
      </w:r>
      <w:r>
        <w:rPr>
          <w:rFonts w:ascii="Times New Roman" w:cs="Times New Roman" w:eastAsia="Times New Roman" w:hAnsi="Times New Roman"/>
          <w:sz w:val="14"/>
          <w:szCs w:val="14"/>
          <w:color w:val="231F20"/>
        </w:rPr>
        <w:t xml:space="preserve"> vote for each share. As of March 31, 2024 and December 31, 2023, there were 123,453,419 and 122,899,002, respectively, of Class A Common Stock issued and outstanding. The Company has not declared or paid any dividends with respect to its Class A Common Stock</w:t>
      </w:r>
      <w:r>
        <w:rPr>
          <w:rFonts w:ascii="Times New Roman" w:cs="Times New Roman" w:eastAsia="Times New Roman" w:hAnsi="Times New Roman"/>
          <w:sz w:val="14"/>
          <w:szCs w:val="14"/>
          <w:color w:val="000000"/>
        </w:rPr>
        <w:t>.</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Common Stock Repurchases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On September 12, 2023, the Company’s Board of Directors approved a share repurchase program authorizing the Company to repurchase up to $100.0 million of the Company’s Class A Common Stock. Under the share repurchase program, repurchases can be made from time to time using a variety of methods, which may include open market purchases, privately negotiated transactions, transactions structured through investment banking institutions, or a combination of the foregoing. Under this share repurchase program, for the year ended December 31, 2023, the Company repurchased and retired 10.4 million shares for $30.2 million excluding taxes. During the three months ended March 31, 2024, the Company did not repurchase any shares of its common stock.</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231F20"/>
        </w:rPr>
        <w:t xml:space="preserve">The </w:t>
      </w:r>
      <w:r>
        <w:rPr>
          <w:rFonts w:ascii="Times New Roman" w:cs="Times New Roman" w:eastAsia="Times New Roman" w:hAnsi="Times New Roman"/>
          <w:sz w:val="14"/>
          <w:szCs w:val="14"/>
          <w:color w:val="000000"/>
        </w:rPr>
        <w:t>Company is authorized to issue 1,000,000 shares of preferred stock with a par value of $0.0001 per share with such designations, voting and other rights and preferences as may be determined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from time to time by the Company’s Board of Directors. At March 31, 2024 and </w:t>
      </w:r>
      <w:r>
        <w:rPr>
          <w:rFonts w:ascii="Times New Roman" w:cs="Times New Roman" w:eastAsia="Times New Roman" w:hAnsi="Times New Roman"/>
          <w:sz w:val="14"/>
          <w:szCs w:val="14"/>
          <w:color w:val="231F20"/>
        </w:rPr>
        <w:t>December 31, 2023</w:t>
      </w:r>
      <w:r>
        <w:rPr>
          <w:rFonts w:ascii="Times New Roman" w:cs="Times New Roman" w:eastAsia="Times New Roman" w:hAnsi="Times New Roman"/>
          <w:sz w:val="14"/>
          <w:szCs w:val="14"/>
          <w:color w:val="000000"/>
        </w:rPr>
        <w:t>, there were no shares of preferred stock issued or outstanding.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Net Loss Attributable to Common Stockholders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following table sets forth the calculation of both basic and diluted net loss per share as follows for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r>
      <w:tr>
        <w:trPr>
          <w:trHeight w:val="154"/>
        </w:trPr>
        <w:tc>
          <w:tcPr>
            <w:tcW w:w="84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 except share and per share amounts)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231F20"/>
              </w:rPr>
              <w:t>2023</w:t>
            </w:r>
          </w:p>
        </w:tc>
      </w:tr>
      <w:tr>
        <w:trPr>
          <w:trHeight w:val="197"/>
        </w:trPr>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Net loss available to common stockholders - basic</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(20,259)</w:t>
            </w:r>
          </w:p>
        </w:tc>
      </w:tr>
      <w:tr>
        <w:trPr>
          <w:trHeight w:val="180"/>
        </w:trPr>
        <w:tc>
          <w:tcPr>
            <w:tcW w:w="8400" w:type="dxa"/>
            <w:vAlign w:val="bottom"/>
            <w:tcBorders>
              <w:bottom w:val="single" w:sz="8" w:color="CCEEFF"/>
            </w:tcBorders>
          </w:tcPr>
          <w:p>
            <w:pPr>
              <w:ind w:left="60"/>
              <w:spacing w:after="0" w:line="181" w:lineRule="exact"/>
              <w:rPr>
                <w:sz w:val="20"/>
                <w:szCs w:val="20"/>
                <w:color w:val="auto"/>
              </w:rPr>
            </w:pPr>
            <w:r>
              <w:rPr>
                <w:rFonts w:ascii="Times New Roman" w:cs="Times New Roman" w:eastAsia="Times New Roman" w:hAnsi="Times New Roman"/>
                <w:sz w:val="14"/>
                <w:szCs w:val="14"/>
                <w:color w:val="231F20"/>
              </w:rPr>
              <w:t xml:space="preserve">Adjustments related to Convertible Notes </w:t>
            </w:r>
            <w:r>
              <w:rPr>
                <w:rFonts w:ascii="Times New Roman" w:cs="Times New Roman" w:eastAsia="Times New Roman" w:hAnsi="Times New Roman"/>
                <w:sz w:val="18"/>
                <w:szCs w:val="18"/>
                <w:color w:val="231F20"/>
                <w:vertAlign w:val="superscript"/>
              </w:rPr>
              <w:t>(1)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(13,072)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96"/>
        </w:trPr>
        <w:tc>
          <w:tcPr>
            <w:tcW w:w="8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Net loss available to common stockholders - diluted</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(13,751)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(20,259)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03"/>
        </w:trPr>
        <w:tc>
          <w:tcPr>
            <w:tcW w:w="8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Weighted average common shares outstanding - basic</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123,120,426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132,420,762</w:t>
            </w:r>
          </w:p>
        </w:tc>
      </w:tr>
      <w:tr>
        <w:trPr>
          <w:trHeight w:val="191"/>
        </w:trPr>
        <w:tc>
          <w:tcPr>
            <w:tcW w:w="84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Effect of dilutive shares: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Convertible Notes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21,356,782</w:t>
            </w: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71"/>
        </w:trPr>
        <w:tc>
          <w:tcPr>
            <w:tcW w:w="84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Weighted average common shares outstanding - diluted</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144,477,208</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132,420,762</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3"/>
        </w:trPr>
        <w:tc>
          <w:tcPr>
            <w:tcW w:w="8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84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Basic net loss per share:</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(0.01)</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(0.15)</w:t>
            </w:r>
          </w:p>
        </w:tc>
      </w:tr>
      <w:tr>
        <w:trPr>
          <w:trHeight w:val="180"/>
        </w:trPr>
        <w:tc>
          <w:tcPr>
            <w:tcW w:w="8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Diluted net loss per share:</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(0.10)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(0.15)</w:t>
            </w:r>
          </w:p>
        </w:tc>
      </w:tr>
    </w:tbl>
    <w:p>
      <w:pPr>
        <w:spacing w:after="0" w:line="144" w:lineRule="exact"/>
        <w:rPr>
          <w:sz w:val="20"/>
          <w:szCs w:val="20"/>
          <w:color w:val="auto"/>
        </w:rPr>
      </w:pPr>
    </w:p>
    <w:p>
      <w:pPr>
        <w:ind w:right="360" w:firstLine="5"/>
        <w:spacing w:after="0" w:line="254" w:lineRule="auto"/>
        <w:tabs>
          <w:tab w:leader="none" w:pos="142"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For the three months ended March 31, 2024, the adjustments related to Convertible Notes include the net gain on repurchase offset by interest expense and amortization of debt issuance costs related to our Notes (net of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The following shares have been excluded from the calculation of the weighted average diluted shares outstanding as the effect would have been anti-dilutive: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80" w:type="dxa"/>
            <w:vAlign w:val="bottom"/>
          </w:tcPr>
          <w:p>
            <w:pPr>
              <w:spacing w:after="0"/>
              <w:rPr>
                <w:sz w:val="13"/>
                <w:szCs w:val="13"/>
                <w:color w:val="auto"/>
              </w:rPr>
            </w:pPr>
          </w:p>
        </w:tc>
        <w:tc>
          <w:tcPr>
            <w:tcW w:w="290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r>
      <w:tr>
        <w:trPr>
          <w:trHeight w:val="154"/>
        </w:trPr>
        <w:tc>
          <w:tcPr>
            <w:tcW w:w="83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1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231F20"/>
              </w:rPr>
              <w:t>2023</w:t>
            </w:r>
          </w:p>
        </w:tc>
      </w:tr>
      <w:tr>
        <w:trPr>
          <w:trHeight w:val="176"/>
        </w:trPr>
        <w:tc>
          <w:tcPr>
            <w:tcW w:w="8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Convertible Notes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23,614,425</w:t>
            </w:r>
          </w:p>
        </w:tc>
      </w:tr>
      <w:tr>
        <w:trPr>
          <w:trHeight w:val="180"/>
        </w:trPr>
        <w:tc>
          <w:tcPr>
            <w:tcW w:w="83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Restricted Stock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4,133,118</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3,855,757</w:t>
            </w:r>
          </w:p>
        </w:tc>
      </w:tr>
      <w:tr>
        <w:trPr>
          <w:trHeight w:val="180"/>
        </w:trPr>
        <w:tc>
          <w:tcPr>
            <w:tcW w:w="8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Stock Options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3,671,120</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4,852,995</w:t>
            </w:r>
          </w:p>
        </w:tc>
      </w:tr>
      <w:tr>
        <w:trPr>
          <w:trHeight w:val="184"/>
        </w:trPr>
        <w:tc>
          <w:tcPr>
            <w:tcW w:w="83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Performance-based Restricted Stock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1,179,487</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1,997,512</w:t>
            </w:r>
          </w:p>
        </w:tc>
      </w:tr>
    </w:tbl>
    <w:p>
      <w:pPr>
        <w:spacing w:after="0" w:line="14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For the three months ended March 31, 2024 and 2023, income and shares related to the Private Placement Warrants were excluded from the calculation of diluted net loss per common share because their effect would be antidilutive.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New Accounting Pronouncements</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 November 2023, the Financial Standards Accounting Board (“FASB”) issued Accounting Standards Update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January 1, 2024, and for interim periods beginning January 1, 2025, with early adoption permitted. The Company is currently evaluating the potential effect that the updated standard will have on its financial statement disclosures.</w:t>
      </w:r>
    </w:p>
    <w:p>
      <w:pPr>
        <w:spacing w:after="0" w:line="16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to expand the disclosure requirements for income taxes, specifically related to the rate reconciliation and income taxes paid. ASU 2023-09 is effective for annual periods beginning January 1, 2025, with early adoption permitted. The Company is currently evaluating the potential effect that the updated standard will have on its financial statement disclosures.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Syndeo Program</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To stand behind its commitment to its customers and protect the Company’s brand reputation, during October 2023, the Company’s management decided that, with respect to Syndeo devices, the Company will only market and sell Syndeo 3.0 devices. The Company will provide, at no cost to the customer, the option of (i) a technician upgrade to their Syndeo 1.0 or 2.0 devices to 3.0 standards in the field; or (ii) a replacement Syndeo 3.0 device for their existing device (the “Syndeo Program”). Additionally, the Company will extend the customer’s warranty by one year for each system from the date it was either brought to the 3.0 standards or the customer received a Syndeo 3.0 device.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Company accrued costs of $21.0 million, primarily for the estimated cost to remediate, upgrade or exchange the remaining Syndeo 1.0 and 2.0 builds.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Syndeo Program charges and usage for the three months ended March 31, 2024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 liability as of December 31, 2023</w:t>
            </w:r>
          </w:p>
        </w:tc>
        <w:tc>
          <w:tcPr>
            <w:tcW w:w="604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Usage</w:t>
            </w:r>
          </w:p>
        </w:tc>
        <w:tc>
          <w:tcPr>
            <w:tcW w:w="56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(12,695)</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 liability as of March 31, 2024</w:t>
            </w:r>
          </w:p>
        </w:tc>
        <w:tc>
          <w:tcPr>
            <w:tcW w:w="56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jc w:val="right"/>
              <w:ind w:right="3849"/>
              <w:spacing w:after="0"/>
              <w:rPr>
                <w:sz w:val="20"/>
                <w:szCs w:val="20"/>
                <w:color w:val="auto"/>
              </w:rPr>
            </w:pPr>
            <w:r>
              <w:rPr>
                <w:rFonts w:ascii="Times New Roman" w:cs="Times New Roman" w:eastAsia="Times New Roman" w:hAnsi="Times New Roman"/>
                <w:sz w:val="14"/>
                <w:szCs w:val="14"/>
                <w:color w:val="auto"/>
              </w:rPr>
              <w:t>19</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400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00" w:type="dxa"/>
            <w:vAlign w:val="bottom"/>
            <w:tcBorders>
              <w:bottom w:val="single" w:sz="8" w:color="9A9A9A"/>
            </w:tcBorders>
          </w:tcPr>
          <w:p>
            <w:pPr>
              <w:spacing w:after="0"/>
              <w:rPr>
                <w:sz w:val="7"/>
                <w:szCs w:val="7"/>
                <w:color w:val="auto"/>
              </w:rPr>
            </w:pPr>
          </w:p>
        </w:tc>
        <w:tc>
          <w:tcPr>
            <w:tcW w:w="56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Note 16 — Revision for Immaterial Misstatements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As disclosed in Note 1 – Description of Business, subsequent to the issuance of the Company’s Quarterly Report on Form 10-Q for the three months ended March 31, 2023, during the quarter ended June 30, 2023, the Company identified misstatements related to the elimination of intercompany balances and right of return assets. Although the Company concluded that these misstatements were not material, either individually or in the aggregate, the Company elected to revise its previously issued consolidated financial statements to correct for these misstatements. The revision to the accompanying unaudited Condensed Consolidated Statements of Comprehensive Income (Loss) and Condensed Consolidated Statements of Cash Flows and related disclosures in Note 13 – Net Loss Attributable to Common Stockholders are detailed in the tables below.</w:t>
      </w:r>
    </w:p>
    <w:p>
      <w:pPr>
        <w:spacing w:after="0" w:line="16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As of December 31, 2022 and March 31, 2023, accumulated deficit was overstated $2.8 million and $4.7 million, respectively, and as such, previously reported stockholders’ equity of $164.3 million and $147.7 million was revised to $167.1 million and $152.4 million, respectively. There were no other changes to the unaudited Condensed Consolidated Statements of Stockholders’ Equity (Deficit) that have not otherwise been reflected in the unaudited Condensed Consolidated Statements of Comprehensive Income (Loss) as detailed in the tables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gridSpan w:val="5"/>
          </w:tcPr>
          <w:p>
            <w:pPr>
              <w:ind w:left="1520"/>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r>
      <w:tr>
        <w:trPr>
          <w:trHeight w:val="117"/>
        </w:trPr>
        <w:tc>
          <w:tcPr>
            <w:tcW w:w="55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w w:val="98"/>
              </w:rPr>
              <w:t>Condensed Consolidated Statement of Comprehensive Income (Loss) (in thousands, except per share</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69"/>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34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00" w:type="dxa"/>
            <w:vAlign w:val="bottom"/>
          </w:tcPr>
          <w:p>
            <w:pPr>
              <w:spacing w:after="0"/>
              <w:rPr>
                <w:sz w:val="14"/>
                <w:szCs w:val="14"/>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72"/>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loss (gain), net</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400" w:type="dxa"/>
            <w:vAlign w:val="bottom"/>
          </w:tcPr>
          <w:p>
            <w:pPr>
              <w:spacing w:after="0"/>
              <w:rPr>
                <w:sz w:val="14"/>
                <w:szCs w:val="14"/>
                <w:color w:val="auto"/>
              </w:rPr>
            </w:pP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3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(25,947)</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(23,921)</w:t>
            </w:r>
          </w:p>
        </w:tc>
        <w:tc>
          <w:tcPr>
            <w:tcW w:w="400" w:type="dxa"/>
            <w:vAlign w:val="bottom"/>
          </w:tcPr>
          <w:p>
            <w:pPr>
              <w:spacing w:after="0"/>
              <w:rPr>
                <w:sz w:val="15"/>
                <w:szCs w:val="15"/>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(20,259)</w:t>
            </w:r>
          </w:p>
        </w:tc>
        <w:tc>
          <w:tcPr>
            <w:tcW w:w="400" w:type="dxa"/>
            <w:vAlign w:val="bottom"/>
          </w:tcPr>
          <w:p>
            <w:pPr>
              <w:spacing w:after="0"/>
              <w:rPr>
                <w:sz w:val="15"/>
                <w:szCs w:val="15"/>
                <w:color w:val="auto"/>
              </w:rPr>
            </w:pP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3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(21,397)</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(19,371)</w:t>
            </w:r>
          </w:p>
        </w:tc>
        <w:tc>
          <w:tcPr>
            <w:tcW w:w="400" w:type="dxa"/>
            <w:vAlign w:val="bottom"/>
          </w:tcPr>
          <w:p>
            <w:pPr>
              <w:spacing w:after="0"/>
              <w:rPr>
                <w:sz w:val="15"/>
                <w:szCs w:val="15"/>
                <w:color w:val="auto"/>
              </w:rPr>
            </w:pPr>
          </w:p>
        </w:tc>
      </w:tr>
      <w:tr>
        <w:trPr>
          <w:trHeight w:val="18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 Basic</w:t>
            </w:r>
          </w:p>
        </w:tc>
        <w:tc>
          <w:tcPr>
            <w:tcW w:w="3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400" w:type="dxa"/>
            <w:vAlign w:val="bottom"/>
          </w:tcPr>
          <w:p>
            <w:pPr>
              <w:spacing w:after="0"/>
              <w:rPr>
                <w:sz w:val="15"/>
                <w:szCs w:val="15"/>
                <w:color w:val="auto"/>
              </w:rPr>
            </w:pPr>
          </w:p>
        </w:tc>
      </w:tr>
      <w:tr>
        <w:trPr>
          <w:trHeight w:val="184"/>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 Diluted</w:t>
            </w:r>
          </w:p>
        </w:tc>
        <w:tc>
          <w:tcPr>
            <w:tcW w:w="3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400" w:type="dxa"/>
            <w:vAlign w:val="bottom"/>
          </w:tcPr>
          <w:p>
            <w:pPr>
              <w:spacing w:after="0"/>
              <w:rPr>
                <w:sz w:val="16"/>
                <w:szCs w:val="16"/>
                <w:color w:val="auto"/>
              </w:rPr>
            </w:pPr>
          </w:p>
        </w:tc>
      </w:tr>
      <w:tr>
        <w:trPr>
          <w:trHeight w:val="433"/>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5"/>
          </w:tcPr>
          <w:p>
            <w:pPr>
              <w:ind w:left="1520"/>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157"/>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Condensed Consolidated Statement of Cash Flows (in 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340" w:type="dxa"/>
            <w:vAlign w:val="bottom"/>
          </w:tcPr>
          <w:p>
            <w:pPr>
              <w:spacing w:after="0"/>
              <w:rPr>
                <w:sz w:val="13"/>
                <w:szCs w:val="13"/>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00" w:type="dxa"/>
            <w:vAlign w:val="bottom"/>
          </w:tcPr>
          <w:p>
            <w:pPr>
              <w:spacing w:after="0"/>
              <w:rPr>
                <w:sz w:val="13"/>
                <w:szCs w:val="13"/>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As Revised</w:t>
            </w:r>
          </w:p>
        </w:tc>
        <w:tc>
          <w:tcPr>
            <w:tcW w:w="400" w:type="dxa"/>
            <w:vAlign w:val="bottom"/>
          </w:tcPr>
          <w:p>
            <w:pPr>
              <w:spacing w:after="0"/>
              <w:rPr>
                <w:sz w:val="13"/>
                <w:szCs w:val="13"/>
                <w:color w:val="auto"/>
              </w:rPr>
            </w:pPr>
          </w:p>
        </w:tc>
      </w:tr>
      <w:tr>
        <w:trPr>
          <w:trHeight w:val="17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(22,285)</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(20,259)</w:t>
            </w:r>
          </w:p>
        </w:tc>
        <w:tc>
          <w:tcPr>
            <w:tcW w:w="400" w:type="dxa"/>
            <w:vAlign w:val="bottom"/>
          </w:tcPr>
          <w:p>
            <w:pPr>
              <w:spacing w:after="0"/>
              <w:rPr>
                <w:sz w:val="15"/>
                <w:szCs w:val="15"/>
                <w:color w:val="auto"/>
              </w:rPr>
            </w:pP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from operating activities: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3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400" w:type="dxa"/>
            <w:vAlign w:val="bottom"/>
          </w:tcPr>
          <w:p>
            <w:pPr>
              <w:spacing w:after="0"/>
              <w:rPr>
                <w:sz w:val="15"/>
                <w:szCs w:val="15"/>
                <w:color w:val="auto"/>
              </w:rPr>
            </w:pPr>
          </w:p>
        </w:tc>
      </w:tr>
      <w:tr>
        <w:trPr>
          <w:trHeight w:val="180"/>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(13,905)</w:t>
            </w:r>
          </w:p>
        </w:tc>
        <w:tc>
          <w:tcPr>
            <w:tcW w:w="400" w:type="dxa"/>
            <w:vAlign w:val="bottom"/>
          </w:tcPr>
          <w:p>
            <w:pPr>
              <w:spacing w:after="0"/>
              <w:rPr>
                <w:sz w:val="15"/>
                <w:szCs w:val="15"/>
                <w:color w:val="auto"/>
              </w:rPr>
            </w:pPr>
          </w:p>
        </w:tc>
      </w:tr>
      <w:tr>
        <w:trPr>
          <w:trHeight w:val="180"/>
        </w:trPr>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expenses, other current assets, and income tax receivable</w:t>
            </w:r>
          </w:p>
        </w:tc>
        <w:tc>
          <w:tcPr>
            <w:tcW w:w="3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400" w:type="dxa"/>
            <w:vAlign w:val="bottom"/>
          </w:tcPr>
          <w:p>
            <w:pPr>
              <w:spacing w:after="0"/>
              <w:rPr>
                <w:sz w:val="15"/>
                <w:szCs w:val="15"/>
                <w:color w:val="auto"/>
              </w:rPr>
            </w:pPr>
          </w:p>
        </w:tc>
      </w:tr>
      <w:tr>
        <w:trPr>
          <w:trHeight w:val="18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accrued expenses, and income tax payable</w:t>
            </w:r>
          </w:p>
        </w:tc>
        <w:tc>
          <w:tcPr>
            <w:tcW w:w="34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400" w:type="dxa"/>
            <w:vAlign w:val="bottom"/>
          </w:tcPr>
          <w:p>
            <w:pPr>
              <w:spacing w:after="0"/>
              <w:rPr>
                <w:sz w:val="15"/>
                <w:szCs w:val="15"/>
                <w:color w:val="auto"/>
              </w:rPr>
            </w:pPr>
          </w:p>
        </w:tc>
      </w:tr>
      <w:tr>
        <w:trPr>
          <w:trHeight w:val="700"/>
        </w:trPr>
        <w:tc>
          <w:tcPr>
            <w:tcW w:w="5520" w:type="dxa"/>
            <w:vAlign w:val="bottom"/>
          </w:tcPr>
          <w:p>
            <w:pPr>
              <w:spacing w:after="0"/>
              <w:rPr>
                <w:sz w:val="24"/>
                <w:szCs w:val="24"/>
                <w:color w:val="auto"/>
              </w:rPr>
            </w:pPr>
          </w:p>
        </w:tc>
        <w:tc>
          <w:tcPr>
            <w:tcW w:w="34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20</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7"/>
        </w:trPr>
        <w:tc>
          <w:tcPr>
            <w:tcW w:w="55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This Quarterly Report on Form 10-Q for the three months ended March 31, 2024 (“the Quarterly Report on Form 10-Q”) contains “forward looking statements” within the meaning of the “safe harbor” provisions of the United States Private Securities Litigation Reform Act of 1995. When used in this Quarterly Report on Form 10-Q,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spacing w:after="0" w:line="162"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4"/>
          <w:szCs w:val="14"/>
          <w:color w:val="auto"/>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2023 filed with the Securities and Exchange Commission (the “SEC”) on March 12, 2024 (the “Annual Report on Form 10-K”).</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Important factors, among others, that may affect actual results or outcomes include the inability to recognize the anticipated benefits of the business combination consummated on May 4, 2021 pursuant to a certain Agreement and Plan of Merger entered into by and among the Company and other parties (the “Business Combination”); costs related to the Business Combination; the Company’s availability of cash for debt service and exposure to risk of default under debt obligations; the Company’s ability to manage growth; the Company’s ability to execute its business plan; potential litigation involving the Company; changes in applicable laws or regulations; and the possibility that the Company may be adversely affected by other economic, business, and/or competitive factors. The Company does not undertake any obligation to update or revise any forward-looking statements, whether as a result of new information, future events or otherwise, except as required by law.</w:t>
      </w:r>
    </w:p>
    <w:p>
      <w:pPr>
        <w:spacing w:after="0" w:line="16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w:t>
      </w:r>
    </w:p>
    <w:p>
      <w:pPr>
        <w:spacing w:after="0" w:line="14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Unless the context otherwise requires, references to the “Company”, “Hydrafacial”, “we”, “us”, and “our” in this section are intended to mean the business and operations of The Beauty Health Company and its consolidated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231F20"/>
        </w:rPr>
        <w:t>The Beauty Health Company is a global category-creating company delivering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microneedling; and Keravive in scalp health. Together, with its powerful global community of estheticians, partners and consumers, the Company is personalizing skin health for all ages, genders, skin tones, and skin types.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and Macroeconomic Conditions</w:t>
      </w:r>
    </w:p>
    <w:p>
      <w:pPr>
        <w:spacing w:after="0" w:line="2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4"/>
          <w:szCs w:val="14"/>
          <w:color w:val="231F20"/>
        </w:rPr>
        <w:t>During the three months ended March 31, 2024, we continued to execute against our plan to expand our footprint by selling and placing our patented hydradermabrasion delivery systems (“Delivery Systems”) worldwide, drive consumables, which consist of single-use tips, solutions, serums and other consumables used to provide a hydrafacial treatment that cleanses, extracts, and hydrates the skin (collectively “Consumables”), invest in our community of providers, partners, and consumers, drive brand awareness, and optimize our global infrastructure. Although we believe we can be successful in our current operating environment, various factors may impact our business in unpredictable ways such as:</w:t>
      </w:r>
    </w:p>
    <w:p>
      <w:pPr>
        <w:ind w:left="520" w:hanging="260"/>
        <w:spacing w:after="0" w:line="237" w:lineRule="auto"/>
        <w:tabs>
          <w:tab w:leader="none" w:pos="520"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Disruptions in transportation and other supply chain related constraints, such as labor strife in the transportation industry;</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Global economic conditions, including inflation, recession, changes in foreign currency exchange rates, higher interest rates, and other changes in economic conditions; and</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21" w:name="page22"/>
    <w:bookmarkEnd w:id="21"/>
    <w:p>
      <w:pPr>
        <w:ind w:left="520" w:right="80" w:hanging="260"/>
        <w:spacing w:after="0" w:line="248" w:lineRule="auto"/>
        <w:tabs>
          <w:tab w:leader="none" w:pos="516" w:val="left"/>
        </w:tabs>
        <w:numPr>
          <w:ilvl w:val="0"/>
          <w:numId w:val="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 xml:space="preserve">Ongoing issues related to new and older models of Hydrafacial’s current generation Delivery System, Syndeo (“Syndeo”), and our actions to remediate such ongoing issues. The Company has continued to execute replacements under the Syndeo Program and continues to address customer cases under warranty. The Company has accrued approximately </w:t>
      </w:r>
      <w:r>
        <w:rPr>
          <w:rFonts w:ascii="Times New Roman" w:cs="Times New Roman" w:eastAsia="Times New Roman" w:hAnsi="Times New Roman"/>
          <w:sz w:val="14"/>
          <w:szCs w:val="14"/>
          <w:color w:val="000000"/>
        </w:rPr>
        <w:t>$8 million</w:t>
      </w:r>
      <w:r>
        <w:rPr>
          <w:rFonts w:ascii="Times New Roman" w:cs="Times New Roman" w:eastAsia="Times New Roman" w:hAnsi="Times New Roman"/>
          <w:sz w:val="14"/>
          <w:szCs w:val="14"/>
          <w:color w:val="231F20"/>
        </w:rPr>
        <w:t xml:space="preserve"> as part of its Syndeo Program and approximately </w:t>
      </w:r>
      <w:r>
        <w:rPr>
          <w:rFonts w:ascii="Times New Roman" w:cs="Times New Roman" w:eastAsia="Times New Roman" w:hAnsi="Times New Roman"/>
          <w:sz w:val="14"/>
          <w:szCs w:val="14"/>
          <w:color w:val="000000"/>
        </w:rPr>
        <w:t>$7 million for its warranty reserve as of</w:t>
      </w:r>
      <w:r>
        <w:rPr>
          <w:rFonts w:ascii="Times New Roman" w:cs="Times New Roman" w:eastAsia="Times New Roman" w:hAnsi="Times New Roman"/>
          <w:sz w:val="14"/>
          <w:szCs w:val="14"/>
          <w:color w:val="231F20"/>
        </w:rPr>
        <w:t xml:space="preserve"> March 31, 2024 based on the Company’s estimated cost to replace older Syndeo models and address incidences for delivery systems under warranty.</w:t>
      </w:r>
    </w:p>
    <w:p>
      <w:pPr>
        <w:spacing w:after="0" w:line="173"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4"/>
          <w:szCs w:val="14"/>
          <w:color w:val="231F20"/>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231F20"/>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adopting to changing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Comparison of Three Months Ended March 31, 2024 to Three Months Ended March 31, 2023</w:t>
      </w:r>
    </w:p>
    <w:p>
      <w:pPr>
        <w:spacing w:after="0" w:line="20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4"/>
          <w:szCs w:val="14"/>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March 31, 2024 and March 31, 2023 have been derived from the condensed consolidated financial statements included elsewhere in this Form 10-Q. Amounts and percentages may not foot due to rounding.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millions)</w:t>
            </w:r>
          </w:p>
        </w:tc>
        <w:tc>
          <w:tcPr>
            <w:tcW w:w="280" w:type="dxa"/>
            <w:vAlign w:val="bottom"/>
          </w:tcPr>
          <w:p>
            <w:pPr>
              <w:spacing w:after="0"/>
              <w:rPr>
                <w:sz w:val="13"/>
                <w:szCs w:val="13"/>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140" w:type="dxa"/>
            <w:vAlign w:val="bottom"/>
          </w:tcPr>
          <w:p>
            <w:pPr>
              <w:spacing w:after="0"/>
              <w:rPr>
                <w:sz w:val="13"/>
                <w:szCs w:val="13"/>
                <w:color w:val="auto"/>
              </w:rPr>
            </w:pP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231F20"/>
              </w:rPr>
              <w:t>% of Net Sales</w:t>
            </w: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231F20"/>
              </w:rPr>
              <w:t>% of Net Sales</w:t>
            </w:r>
          </w:p>
        </w:tc>
      </w:tr>
      <w:tr>
        <w:trPr>
          <w:trHeight w:val="176"/>
        </w:trPr>
        <w:tc>
          <w:tcPr>
            <w:tcW w:w="51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Net sales</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81.4</w:t>
            </w:r>
          </w:p>
        </w:tc>
        <w:tc>
          <w:tcPr>
            <w:tcW w:w="14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231F20"/>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86.3</w:t>
            </w:r>
          </w:p>
        </w:tc>
        <w:tc>
          <w:tcPr>
            <w:tcW w:w="1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100.0 %</w:t>
            </w:r>
          </w:p>
        </w:tc>
      </w:tr>
      <w:tr>
        <w:trPr>
          <w:trHeight w:val="180"/>
        </w:trPr>
        <w:tc>
          <w:tcPr>
            <w:tcW w:w="5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Cost of sales</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33.0</w:t>
            </w:r>
          </w:p>
        </w:tc>
        <w:tc>
          <w:tcPr>
            <w:tcW w:w="14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231F20"/>
              </w:rPr>
              <w:t>40.6</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32.2</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231F20"/>
              </w:rPr>
              <w:t>37.3</w:t>
            </w:r>
          </w:p>
        </w:tc>
      </w:tr>
      <w:tr>
        <w:trPr>
          <w:trHeight w:val="171"/>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231F20"/>
              </w:rPr>
              <w:t>Gross profit</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48.4</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31F20"/>
              </w:rPr>
              <w:t>59.4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54.1</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231F20"/>
              </w:rPr>
              <w:t>62.7</w:t>
            </w:r>
          </w:p>
        </w:tc>
      </w:tr>
      <w:tr>
        <w:trPr>
          <w:trHeight w:val="180"/>
        </w:trPr>
        <w:tc>
          <w:tcPr>
            <w:tcW w:w="51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Operating expenses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231F20"/>
              </w:rPr>
              <w:t>Selling and marketing</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33.7</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31F20"/>
              </w:rPr>
              <w:t>41.4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38.7</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231F20"/>
              </w:rPr>
              <w:t>44.9</w:t>
            </w:r>
          </w:p>
        </w:tc>
      </w:tr>
      <w:tr>
        <w:trPr>
          <w:trHeight w:val="180"/>
        </w:trPr>
        <w:tc>
          <w:tcPr>
            <w:tcW w:w="51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Research and development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2.8</w:t>
            </w:r>
          </w:p>
        </w:tc>
        <w:tc>
          <w:tcPr>
            <w:tcW w:w="140" w:type="dxa"/>
            <w:vAlign w:val="bottom"/>
          </w:tcPr>
          <w:p>
            <w:pPr>
              <w:spacing w:after="0"/>
              <w:rPr>
                <w:sz w:val="15"/>
                <w:szCs w:val="15"/>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231F20"/>
              </w:rPr>
              <w:t>3.4</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w:t>
            </w:r>
          </w:p>
        </w:tc>
        <w:tc>
          <w:tcPr>
            <w:tcW w:w="160" w:type="dxa"/>
            <w:vAlign w:val="bottom"/>
          </w:tcPr>
          <w:p>
            <w:pPr>
              <w:spacing w:after="0"/>
              <w:rPr>
                <w:sz w:val="15"/>
                <w:szCs w:val="15"/>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231F20"/>
              </w:rPr>
              <w:t>2.7</w:t>
            </w:r>
          </w:p>
        </w:tc>
      </w:tr>
      <w:tr>
        <w:trPr>
          <w:trHeight w:val="18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231F20"/>
              </w:rPr>
              <w:t>General and administrative</w:t>
            </w: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28.9</w:t>
            </w:r>
          </w:p>
        </w:tc>
        <w:tc>
          <w:tcPr>
            <w:tcW w:w="14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31F20"/>
              </w:rPr>
              <w:t>35.5</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30.4</w:t>
            </w:r>
          </w:p>
        </w:tc>
        <w:tc>
          <w:tcPr>
            <w:tcW w:w="16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231F20"/>
              </w:rPr>
              <w:t>35.2</w:t>
            </w:r>
          </w:p>
        </w:tc>
      </w:tr>
      <w:tr>
        <w:trPr>
          <w:trHeight w:val="171"/>
        </w:trPr>
        <w:tc>
          <w:tcPr>
            <w:tcW w:w="5100" w:type="dxa"/>
            <w:vAlign w:val="bottom"/>
          </w:tcPr>
          <w:p>
            <w:pPr>
              <w:ind w:left="700"/>
              <w:spacing w:after="0"/>
              <w:rPr>
                <w:sz w:val="20"/>
                <w:szCs w:val="20"/>
                <w:color w:val="auto"/>
              </w:rPr>
            </w:pPr>
            <w:r>
              <w:rPr>
                <w:rFonts w:ascii="Times New Roman" w:cs="Times New Roman" w:eastAsia="Times New Roman" w:hAnsi="Times New Roman"/>
                <w:sz w:val="14"/>
                <w:szCs w:val="14"/>
                <w:color w:val="231F20"/>
              </w:rPr>
              <w:t>Total operating expenses</w:t>
            </w: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65.4</w:t>
            </w:r>
          </w:p>
        </w:tc>
        <w:tc>
          <w:tcPr>
            <w:tcW w:w="140" w:type="dxa"/>
            <w:vAlign w:val="bottom"/>
          </w:tcPr>
          <w:p>
            <w:pPr>
              <w:spacing w:after="0"/>
              <w:rPr>
                <w:sz w:val="14"/>
                <w:szCs w:val="14"/>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231F20"/>
              </w:rPr>
              <w:t>80.3</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71.4</w:t>
            </w:r>
          </w:p>
        </w:tc>
        <w:tc>
          <w:tcPr>
            <w:tcW w:w="160" w:type="dxa"/>
            <w:vAlign w:val="bottom"/>
          </w:tcPr>
          <w:p>
            <w:pPr>
              <w:spacing w:after="0"/>
              <w:rPr>
                <w:sz w:val="14"/>
                <w:szCs w:val="14"/>
                <w:color w:val="auto"/>
              </w:rPr>
            </w:pPr>
          </w:p>
        </w:tc>
        <w:tc>
          <w:tcPr>
            <w:tcW w:w="1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231F20"/>
              </w:rPr>
              <w:t>82.8</w:t>
            </w:r>
          </w:p>
        </w:tc>
      </w:tr>
      <w:tr>
        <w:trPr>
          <w:trHeight w:val="180"/>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Loss from operations</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(17.0)</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231F20"/>
              </w:rPr>
              <w:t>(20.9)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(17.3)</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231F20"/>
              </w:rPr>
              <w:t>(20.1)</w:t>
            </w:r>
          </w:p>
        </w:tc>
      </w:tr>
      <w:tr>
        <w:trPr>
          <w:trHeight w:val="180"/>
        </w:trPr>
        <w:tc>
          <w:tcPr>
            <w:tcW w:w="51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Interest expense</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w:t>
            </w:r>
          </w:p>
        </w:tc>
        <w:tc>
          <w:tcPr>
            <w:tcW w:w="140" w:type="dxa"/>
            <w:vAlign w:val="bottom"/>
          </w:tcPr>
          <w:p>
            <w:pPr>
              <w:spacing w:after="0"/>
              <w:rPr>
                <w:sz w:val="15"/>
                <w:szCs w:val="15"/>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231F20"/>
              </w:rPr>
              <w:t>3.7</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w:t>
            </w:r>
          </w:p>
        </w:tc>
        <w:tc>
          <w:tcPr>
            <w:tcW w:w="160" w:type="dxa"/>
            <w:vAlign w:val="bottom"/>
          </w:tcPr>
          <w:p>
            <w:pPr>
              <w:spacing w:after="0"/>
              <w:rPr>
                <w:sz w:val="15"/>
                <w:szCs w:val="15"/>
                <w:color w:val="auto"/>
              </w:rPr>
            </w:pPr>
          </w:p>
        </w:tc>
        <w:tc>
          <w:tcPr>
            <w:tcW w:w="15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231F20"/>
              </w:rPr>
              <w:t>4.0</w:t>
            </w:r>
          </w:p>
        </w:tc>
      </w:tr>
      <w:tr>
        <w:trPr>
          <w:trHeight w:val="180"/>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Interest income</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(5.4)</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231F20"/>
              </w:rPr>
              <w:t>(6.6)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(4.3)</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231F20"/>
              </w:rPr>
              <w:t>(5.0)</w:t>
            </w:r>
          </w:p>
        </w:tc>
      </w:tr>
      <w:tr>
        <w:trPr>
          <w:trHeight w:val="180"/>
        </w:trPr>
        <w:tc>
          <w:tcPr>
            <w:tcW w:w="51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Other income, net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(16.1)</w:t>
            </w:r>
          </w:p>
        </w:tc>
        <w:tc>
          <w:tcPr>
            <w:tcW w:w="140" w:type="dxa"/>
            <w:vAlign w:val="bottom"/>
          </w:tcPr>
          <w:p>
            <w:pPr>
              <w:spacing w:after="0"/>
              <w:rPr>
                <w:sz w:val="15"/>
                <w:szCs w:val="15"/>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231F20"/>
              </w:rPr>
              <w:t>(19.8)</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(0.4)</w:t>
            </w:r>
          </w:p>
        </w:tc>
        <w:tc>
          <w:tcPr>
            <w:tcW w:w="160" w:type="dxa"/>
            <w:vAlign w:val="bottom"/>
          </w:tcPr>
          <w:p>
            <w:pPr>
              <w:spacing w:after="0"/>
              <w:rPr>
                <w:sz w:val="15"/>
                <w:szCs w:val="15"/>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231F20"/>
              </w:rPr>
              <w:t>(0.5)</w:t>
            </w:r>
          </w:p>
        </w:tc>
      </w:tr>
      <w:tr>
        <w:trPr>
          <w:trHeight w:val="180"/>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Change in fair value of warrant liabilities</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31F20"/>
              </w:rPr>
              <w:t>1.8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9.1</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231F20"/>
              </w:rPr>
              <w:t>10.5</w:t>
            </w:r>
          </w:p>
        </w:tc>
      </w:tr>
      <w:tr>
        <w:trPr>
          <w:trHeight w:val="180"/>
        </w:trPr>
        <w:tc>
          <w:tcPr>
            <w:tcW w:w="5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Foreign currency transaction loss (gain), net</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1.3</w:t>
            </w:r>
          </w:p>
        </w:tc>
        <w:tc>
          <w:tcPr>
            <w:tcW w:w="14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231F20"/>
              </w:rPr>
              <w:t>1.6</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(1.1)</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231F20"/>
              </w:rPr>
              <w:t>(1.3)</w:t>
            </w:r>
          </w:p>
        </w:tc>
      </w:tr>
      <w:tr>
        <w:trPr>
          <w:trHeight w:val="171"/>
        </w:trPr>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Loss before provision for income tax</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w:t>
            </w: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231F20"/>
              </w:rPr>
              <w:t>(1.6)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(23.9)</w:t>
            </w:r>
          </w:p>
        </w:tc>
        <w:tc>
          <w:tcPr>
            <w:tcW w:w="16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231F20"/>
              </w:rPr>
              <w:t>(27.7)</w:t>
            </w:r>
          </w:p>
        </w:tc>
      </w:tr>
      <w:tr>
        <w:trPr>
          <w:trHeight w:val="180"/>
        </w:trPr>
        <w:tc>
          <w:tcPr>
            <w:tcW w:w="51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Income tax benefit</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(0.7)</w:t>
            </w:r>
          </w:p>
        </w:tc>
        <w:tc>
          <w:tcPr>
            <w:tcW w:w="14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231F20"/>
              </w:rPr>
              <w:t>(0.8)</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(3.7)</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231F20"/>
              </w:rPr>
              <w:t>(4.2)</w:t>
            </w:r>
          </w:p>
        </w:tc>
      </w:tr>
      <w:tr>
        <w:trPr>
          <w:trHeight w:val="196"/>
        </w:trPr>
        <w:tc>
          <w:tcPr>
            <w:tcW w:w="5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Net loss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(0.7)</w:t>
            </w:r>
          </w:p>
        </w:tc>
        <w:tc>
          <w:tcPr>
            <w:tcW w:w="1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(0.8)%</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231F20"/>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(20.3)</w:t>
            </w:r>
          </w:p>
        </w:tc>
        <w:tc>
          <w:tcPr>
            <w:tcW w:w="1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662"/>
        </w:trPr>
        <w:tc>
          <w:tcPr>
            <w:tcW w:w="5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231F20"/>
        </w:rPr>
        <w:t>Net Sales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00" w:type="dxa"/>
            <w:vAlign w:val="bottom"/>
          </w:tcPr>
          <w:p>
            <w:pPr>
              <w:spacing w:after="0"/>
              <w:rPr>
                <w:sz w:val="13"/>
                <w:szCs w:val="13"/>
                <w:color w:val="auto"/>
              </w:rPr>
            </w:pPr>
          </w:p>
        </w:tc>
        <w:tc>
          <w:tcPr>
            <w:tcW w:w="234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231F20"/>
              </w:rPr>
              <w:t>Change</w:t>
            </w:r>
          </w:p>
        </w:tc>
        <w:tc>
          <w:tcPr>
            <w:tcW w:w="1060" w:type="dxa"/>
            <w:vAlign w:val="bottom"/>
            <w:tcBorders>
              <w:bottom w:val="single" w:sz="8" w:color="auto"/>
            </w:tcBorders>
          </w:tcPr>
          <w:p>
            <w:pPr>
              <w:spacing w:after="0"/>
              <w:rPr>
                <w:sz w:val="13"/>
                <w:szCs w:val="13"/>
                <w:color w:val="auto"/>
              </w:rPr>
            </w:pPr>
          </w:p>
        </w:tc>
      </w:tr>
      <w:tr>
        <w:trPr>
          <w:trHeight w:val="154"/>
        </w:trPr>
        <w:tc>
          <w:tcPr>
            <w:tcW w:w="5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(in millions)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060" w:type="dxa"/>
            <w:vAlign w:val="bottom"/>
          </w:tcPr>
          <w:p>
            <w:pPr>
              <w:jc w:val="right"/>
              <w:ind w:right="633"/>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66"/>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sales</w:t>
            </w:r>
          </w:p>
        </w:tc>
        <w:tc>
          <w:tcPr>
            <w:tcW w:w="8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91"/>
        </w:trPr>
        <w:tc>
          <w:tcPr>
            <w:tcW w:w="5300" w:type="dxa"/>
            <w:vAlign w:val="bottom"/>
          </w:tcPr>
          <w:p>
            <w:pPr>
              <w:ind w:left="300"/>
              <w:spacing w:after="0"/>
              <w:rPr>
                <w:sz w:val="20"/>
                <w:szCs w:val="20"/>
                <w:color w:val="auto"/>
              </w:rPr>
            </w:pPr>
            <w:r>
              <w:rPr>
                <w:rFonts w:ascii="Times New Roman" w:cs="Times New Roman" w:eastAsia="Times New Roman" w:hAnsi="Times New Roman"/>
                <w:sz w:val="14"/>
                <w:szCs w:val="14"/>
                <w:color w:val="231F20"/>
              </w:rPr>
              <w:t>Delivery Systems</w:t>
            </w:r>
          </w:p>
        </w:tc>
        <w:tc>
          <w:tcPr>
            <w:tcW w:w="860" w:type="dxa"/>
            <w:vAlign w:val="bottom"/>
          </w:tcPr>
          <w:p>
            <w:pPr>
              <w:jc w:val="right"/>
              <w:ind w:right="696"/>
              <w:spacing w:after="0"/>
              <w:rPr>
                <w:sz w:val="20"/>
                <w:szCs w:val="20"/>
                <w:color w:val="auto"/>
              </w:rPr>
            </w:pPr>
            <w:r>
              <w:rPr>
                <w:rFonts w:ascii="Times New Roman" w:cs="Times New Roman" w:eastAsia="Times New Roman" w:hAnsi="Times New Roman"/>
                <w:sz w:val="14"/>
                <w:szCs w:val="14"/>
                <w:color w:val="231F2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35.8</w:t>
            </w:r>
          </w:p>
        </w:tc>
        <w:tc>
          <w:tcPr>
            <w:tcW w:w="80" w:type="dxa"/>
            <w:vAlign w:val="bottom"/>
          </w:tcPr>
          <w:p>
            <w:pPr>
              <w:spacing w:after="0"/>
              <w:rPr>
                <w:sz w:val="16"/>
                <w:szCs w:val="16"/>
                <w:color w:val="auto"/>
              </w:rPr>
            </w:pPr>
          </w:p>
        </w:tc>
        <w:tc>
          <w:tcPr>
            <w:tcW w:w="840" w:type="dxa"/>
            <w:vAlign w:val="bottom"/>
          </w:tcPr>
          <w:p>
            <w:pPr>
              <w:jc w:val="right"/>
              <w:ind w:right="694"/>
              <w:spacing w:after="0"/>
              <w:rPr>
                <w:sz w:val="20"/>
                <w:szCs w:val="20"/>
                <w:color w:val="auto"/>
              </w:rPr>
            </w:pPr>
            <w:r>
              <w:rPr>
                <w:rFonts w:ascii="Times New Roman" w:cs="Times New Roman" w:eastAsia="Times New Roman" w:hAnsi="Times New Roman"/>
                <w:sz w:val="14"/>
                <w:szCs w:val="14"/>
                <w:color w:val="231F20"/>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45.4</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center"/>
              <w:ind w:left="715"/>
              <w:spacing w:after="0"/>
              <w:rPr>
                <w:sz w:val="20"/>
                <w:szCs w:val="20"/>
                <w:color w:val="auto"/>
              </w:rPr>
            </w:pPr>
            <w:r>
              <w:rPr>
                <w:rFonts w:ascii="Times New Roman" w:cs="Times New Roman" w:eastAsia="Times New Roman" w:hAnsi="Times New Roman"/>
                <w:sz w:val="14"/>
                <w:szCs w:val="14"/>
                <w:color w:val="231F20"/>
              </w:rPr>
              <w:t>(9.6)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(21.1)%</w:t>
            </w:r>
          </w:p>
        </w:tc>
      </w:tr>
      <w:tr>
        <w:trPr>
          <w:trHeight w:val="22"/>
        </w:trPr>
        <w:tc>
          <w:tcPr>
            <w:tcW w:w="5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2"/>
        </w:trPr>
        <w:tc>
          <w:tcPr>
            <w:tcW w:w="5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231F20"/>
              </w:rPr>
              <w:t>Consumables</w:t>
            </w:r>
          </w:p>
        </w:tc>
        <w:tc>
          <w:tcPr>
            <w:tcW w:w="8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45.6</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40.9</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4"/>
                <w:szCs w:val="14"/>
                <w:color w:val="231F20"/>
              </w:rPr>
              <w:t>4.7</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231F20"/>
              </w:rPr>
              <w:t>11.5</w:t>
            </w:r>
          </w:p>
        </w:tc>
      </w:tr>
      <w:tr>
        <w:trPr>
          <w:trHeight w:val="171"/>
        </w:trPr>
        <w:tc>
          <w:tcPr>
            <w:tcW w:w="5300" w:type="dxa"/>
            <w:vAlign w:val="bottom"/>
          </w:tcPr>
          <w:p>
            <w:pPr>
              <w:ind w:left="620"/>
              <w:spacing w:after="0"/>
              <w:rPr>
                <w:sz w:val="20"/>
                <w:szCs w:val="20"/>
                <w:color w:val="auto"/>
              </w:rPr>
            </w:pPr>
            <w:r>
              <w:rPr>
                <w:rFonts w:ascii="Times New Roman" w:cs="Times New Roman" w:eastAsia="Times New Roman" w:hAnsi="Times New Roman"/>
                <w:sz w:val="14"/>
                <w:szCs w:val="14"/>
                <w:color w:val="231F20"/>
              </w:rPr>
              <w:t>Total net sales</w:t>
            </w:r>
          </w:p>
        </w:tc>
        <w:tc>
          <w:tcPr>
            <w:tcW w:w="8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231F2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81.4</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231F20"/>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86.3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bottom w:val="single" w:sz="8" w:color="auto"/>
            </w:tcBorders>
          </w:tcPr>
          <w:p>
            <w:pPr>
              <w:jc w:val="center"/>
              <w:ind w:left="715"/>
              <w:spacing w:after="0"/>
              <w:rPr>
                <w:sz w:val="20"/>
                <w:szCs w:val="20"/>
                <w:color w:val="auto"/>
              </w:rPr>
            </w:pPr>
            <w:r>
              <w:rPr>
                <w:rFonts w:ascii="Times New Roman" w:cs="Times New Roman" w:eastAsia="Times New Roman" w:hAnsi="Times New Roman"/>
                <w:sz w:val="14"/>
                <w:szCs w:val="14"/>
                <w:color w:val="231F20"/>
              </w:rPr>
              <w:t>(4.9)</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(5.7)%</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3"/>
        </w:trPr>
        <w:tc>
          <w:tcPr>
            <w:tcW w:w="5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Percentage of net sales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5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Delivery Systems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44.0%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231F20"/>
              </w:rPr>
              <w:t>52.6%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0"/>
        </w:trPr>
        <w:tc>
          <w:tcPr>
            <w:tcW w:w="5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231F20"/>
              </w:rPr>
              <w:t>Consumables</w:t>
            </w: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56.0%</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231F20"/>
              </w:rPr>
              <w:t>47.4%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r>
      <w:tr>
        <w:trPr>
          <w:trHeight w:val="196"/>
        </w:trPr>
        <w:tc>
          <w:tcPr>
            <w:tcW w:w="53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231F20"/>
              </w:rPr>
              <w:t>Total</w:t>
            </w:r>
          </w:p>
        </w:tc>
        <w:tc>
          <w:tcPr>
            <w:tcW w:w="8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100.0%</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231F20"/>
              </w:rPr>
              <w:t>100.0%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231F20"/>
        </w:rPr>
        <w:t xml:space="preserve">Total net sales for the three months ended March 31, 2024 </w:t>
      </w:r>
      <w:r>
        <w:rPr>
          <w:rFonts w:ascii="Times New Roman" w:cs="Times New Roman" w:eastAsia="Times New Roman" w:hAnsi="Times New Roman"/>
          <w:sz w:val="14"/>
          <w:szCs w:val="14"/>
          <w:color w:val="000000"/>
        </w:rPr>
        <w:t>decreased $4.9 million</w:t>
      </w:r>
      <w:r>
        <w:rPr>
          <w:rFonts w:ascii="Times New Roman" w:cs="Times New Roman" w:eastAsia="Times New Roman" w:hAnsi="Times New Roman"/>
          <w:sz w:val="14"/>
          <w:szCs w:val="14"/>
          <w:color w:val="231F20"/>
        </w:rPr>
        <w:t xml:space="preserve">, or </w:t>
      </w:r>
      <w:r>
        <w:rPr>
          <w:rFonts w:ascii="Times New Roman" w:cs="Times New Roman" w:eastAsia="Times New Roman" w:hAnsi="Times New Roman"/>
          <w:sz w:val="14"/>
          <w:szCs w:val="14"/>
          <w:color w:val="000000"/>
        </w:rPr>
        <w:t>5.7%</w:t>
      </w:r>
      <w:r>
        <w:rPr>
          <w:rFonts w:ascii="Times New Roman" w:cs="Times New Roman" w:eastAsia="Times New Roman" w:hAnsi="Times New Roman"/>
          <w:sz w:val="14"/>
          <w:szCs w:val="14"/>
          <w:color w:val="231F20"/>
        </w:rPr>
        <w:t xml:space="preserve">, compared to the three months ended March 31, 2023. Delivery System net sales for the three months ended March 31, 2024 </w:t>
      </w:r>
      <w:r>
        <w:rPr>
          <w:rFonts w:ascii="Times New Roman" w:cs="Times New Roman" w:eastAsia="Times New Roman" w:hAnsi="Times New Roman"/>
          <w:sz w:val="14"/>
          <w:szCs w:val="14"/>
          <w:color w:val="000000"/>
        </w:rPr>
        <w:t>decreased $9.6 million</w:t>
      </w:r>
      <w:r>
        <w:rPr>
          <w:rFonts w:ascii="Times New Roman" w:cs="Times New Roman" w:eastAsia="Times New Roman" w:hAnsi="Times New Roman"/>
          <w:sz w:val="14"/>
          <w:szCs w:val="14"/>
          <w:color w:val="231F20"/>
        </w:rPr>
        <w:t xml:space="preserve">, or </w:t>
      </w:r>
      <w:r>
        <w:rPr>
          <w:rFonts w:ascii="Times New Roman" w:cs="Times New Roman" w:eastAsia="Times New Roman" w:hAnsi="Times New Roman"/>
          <w:sz w:val="14"/>
          <w:szCs w:val="14"/>
          <w:color w:val="000000"/>
        </w:rPr>
        <w:t>21.1%</w:t>
      </w:r>
      <w:r>
        <w:rPr>
          <w:rFonts w:ascii="Times New Roman" w:cs="Times New Roman" w:eastAsia="Times New Roman" w:hAnsi="Times New Roman"/>
          <w:sz w:val="14"/>
          <w:szCs w:val="14"/>
          <w:color w:val="231F20"/>
        </w:rPr>
        <w:t>, compared to the three months ended March 31, 2023, with decreases across all regions. Delivery Systems net sales were impacted as the Company works to strengthen customer confidence in Syndeo.</w:t>
      </w:r>
    </w:p>
    <w:p>
      <w:pPr>
        <w:spacing w:after="0" w:line="136"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231F20"/>
        </w:rPr>
        <w:t xml:space="preserve">Consumables net sales for the three months ended March 31, 2024 </w:t>
      </w:r>
      <w:r>
        <w:rPr>
          <w:rFonts w:ascii="Times New Roman" w:cs="Times New Roman" w:eastAsia="Times New Roman" w:hAnsi="Times New Roman"/>
          <w:sz w:val="14"/>
          <w:szCs w:val="14"/>
          <w:color w:val="000000"/>
        </w:rPr>
        <w:t>increased $4.7 million</w:t>
      </w:r>
      <w:r>
        <w:rPr>
          <w:rFonts w:ascii="Times New Roman" w:cs="Times New Roman" w:eastAsia="Times New Roman" w:hAnsi="Times New Roman"/>
          <w:sz w:val="14"/>
          <w:szCs w:val="14"/>
          <w:color w:val="231F20"/>
        </w:rPr>
        <w:t xml:space="preserve">, or </w:t>
      </w:r>
      <w:r>
        <w:rPr>
          <w:rFonts w:ascii="Times New Roman" w:cs="Times New Roman" w:eastAsia="Times New Roman" w:hAnsi="Times New Roman"/>
          <w:sz w:val="14"/>
          <w:szCs w:val="14"/>
          <w:color w:val="000000"/>
        </w:rPr>
        <w:t>11.5%</w:t>
      </w:r>
      <w:r>
        <w:rPr>
          <w:rFonts w:ascii="Times New Roman" w:cs="Times New Roman" w:eastAsia="Times New Roman" w:hAnsi="Times New Roman"/>
          <w:sz w:val="14"/>
          <w:szCs w:val="14"/>
          <w:color w:val="231F20"/>
        </w:rPr>
        <w:t>, compared to the three months ended March 31, 2023. The increase in Consumables net sales was primarily attributable to increased placements of delivery systems and the adjoining consumption of consumables during the three months ended March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 Gross Profit, and Gross Margin</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231F20"/>
              </w:rPr>
              <w:t>Change</w:t>
            </w:r>
          </w:p>
        </w:tc>
        <w:tc>
          <w:tcPr>
            <w:tcW w:w="1000" w:type="dxa"/>
            <w:vAlign w:val="bottom"/>
            <w:tcBorders>
              <w:bottom w:val="single" w:sz="8" w:color="auto"/>
            </w:tcBorders>
          </w:tcPr>
          <w:p>
            <w:pPr>
              <w:spacing w:after="0"/>
              <w:rPr>
                <w:sz w:val="13"/>
                <w:szCs w:val="13"/>
                <w:color w:val="auto"/>
              </w:rPr>
            </w:pPr>
          </w:p>
        </w:tc>
      </w:tr>
      <w:tr>
        <w:trPr>
          <w:trHeight w:val="154"/>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(in millions)</w:t>
            </w: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00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97"/>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Cost of sales</w:t>
            </w:r>
          </w:p>
        </w:tc>
        <w:tc>
          <w:tcPr>
            <w:tcW w:w="98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231F20"/>
                <w:w w:val="85"/>
              </w:rPr>
              <w:t>$</w:t>
            </w:r>
          </w:p>
        </w:tc>
        <w:tc>
          <w:tcPr>
            <w:tcW w:w="5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231F20"/>
              </w:rPr>
              <w:t>33.0</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231F20"/>
              </w:rPr>
              <w:t>$</w:t>
            </w:r>
          </w:p>
        </w:tc>
        <w:tc>
          <w:tcPr>
            <w:tcW w:w="5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231F20"/>
              </w:rPr>
              <w:t>32.2</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0.9</w:t>
            </w: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w:t>
            </w: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Gross profit</w:t>
            </w:r>
          </w:p>
        </w:tc>
        <w:tc>
          <w:tcPr>
            <w:tcW w:w="980" w:type="dxa"/>
            <w:vAlign w:val="bottom"/>
          </w:tcPr>
          <w:p>
            <w:pPr>
              <w:jc w:val="right"/>
              <w:ind w:right="836"/>
              <w:spacing w:after="0"/>
              <w:rPr>
                <w:sz w:val="20"/>
                <w:szCs w:val="20"/>
                <w:color w:val="auto"/>
              </w:rPr>
            </w:pPr>
            <w:r>
              <w:rPr>
                <w:rFonts w:ascii="Times New Roman" w:cs="Times New Roman" w:eastAsia="Times New Roman" w:hAnsi="Times New Roman"/>
                <w:sz w:val="14"/>
                <w:szCs w:val="14"/>
                <w:color w:val="231F20"/>
                <w:w w:val="85"/>
              </w:rPr>
              <w:t>$</w:t>
            </w: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48.4</w:t>
            </w:r>
          </w:p>
        </w:tc>
        <w:tc>
          <w:tcPr>
            <w:tcW w:w="80" w:type="dxa"/>
            <w:vAlign w:val="bottom"/>
          </w:tcPr>
          <w:p>
            <w:pPr>
              <w:spacing w:after="0"/>
              <w:rPr>
                <w:sz w:val="16"/>
                <w:szCs w:val="16"/>
                <w:color w:val="auto"/>
              </w:rPr>
            </w:pP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4"/>
                <w:szCs w:val="14"/>
                <w:color w:val="231F20"/>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54.1</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(10.6)%</w:t>
            </w:r>
          </w:p>
        </w:tc>
      </w:tr>
      <w:tr>
        <w:trPr>
          <w:trHeight w:val="18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Gross margin</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231F20"/>
              </w:rPr>
              <w:t>59.4 %</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231F20"/>
              </w:rPr>
              <w:t>62.7 %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bl>
    <w:p>
      <w:pPr>
        <w:spacing w:after="0" w:line="19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231F20"/>
        </w:rPr>
        <w:t xml:space="preserve">Cost of sales for the three months ended March 31, 2024 </w:t>
      </w:r>
      <w:r>
        <w:rPr>
          <w:rFonts w:ascii="Times New Roman" w:cs="Times New Roman" w:eastAsia="Times New Roman" w:hAnsi="Times New Roman"/>
          <w:sz w:val="14"/>
          <w:szCs w:val="14"/>
          <w:color w:val="000000"/>
        </w:rPr>
        <w:t>increased $0.9 million, which was impacted</w:t>
      </w:r>
      <w:r>
        <w:rPr>
          <w:rFonts w:ascii="Times New Roman" w:cs="Times New Roman" w:eastAsia="Times New Roman" w:hAnsi="Times New Roman"/>
          <w:sz w:val="14"/>
          <w:szCs w:val="14"/>
          <w:color w:val="231F20"/>
        </w:rPr>
        <w:t xml:space="preserve"> by </w:t>
      </w:r>
      <w:r>
        <w:rPr>
          <w:rFonts w:ascii="Times New Roman" w:cs="Times New Roman" w:eastAsia="Times New Roman" w:hAnsi="Times New Roman"/>
          <w:sz w:val="14"/>
          <w:szCs w:val="14"/>
          <w:color w:val="000000"/>
        </w:rPr>
        <w:t>higher indirect product costs and inventory related charges</w:t>
      </w:r>
      <w:r>
        <w:rPr>
          <w:rFonts w:ascii="Times New Roman" w:cs="Times New Roman" w:eastAsia="Times New Roman" w:hAnsi="Times New Roman"/>
          <w:sz w:val="14"/>
          <w:szCs w:val="14"/>
          <w:color w:val="231F20"/>
        </w:rPr>
        <w:t xml:space="preserve">. Gross profit </w:t>
      </w:r>
      <w:r>
        <w:rPr>
          <w:rFonts w:ascii="Times New Roman" w:cs="Times New Roman" w:eastAsia="Times New Roman" w:hAnsi="Times New Roman"/>
          <w:sz w:val="14"/>
          <w:szCs w:val="14"/>
          <w:color w:val="000000"/>
        </w:rPr>
        <w:t>decreased</w:t>
      </w:r>
      <w:r>
        <w:rPr>
          <w:rFonts w:ascii="Times New Roman" w:cs="Times New Roman" w:eastAsia="Times New Roman" w:hAnsi="Times New Roman"/>
          <w:sz w:val="14"/>
          <w:szCs w:val="14"/>
          <w:color w:val="231F20"/>
        </w:rPr>
        <w:t xml:space="preserve"> from </w:t>
      </w:r>
      <w:r>
        <w:rPr>
          <w:rFonts w:ascii="Times New Roman" w:cs="Times New Roman" w:eastAsia="Times New Roman" w:hAnsi="Times New Roman"/>
          <w:sz w:val="14"/>
          <w:szCs w:val="14"/>
          <w:color w:val="000000"/>
        </w:rPr>
        <w:t>$54.1</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million </w:t>
      </w:r>
      <w:r>
        <w:rPr>
          <w:rFonts w:ascii="Times New Roman" w:cs="Times New Roman" w:eastAsia="Times New Roman" w:hAnsi="Times New Roman"/>
          <w:sz w:val="14"/>
          <w:szCs w:val="14"/>
          <w:color w:val="231F20"/>
        </w:rPr>
        <w:t>during the three months ended March 31, 2023 to</w:t>
      </w:r>
      <w:r>
        <w:rPr>
          <w:rFonts w:ascii="Times New Roman" w:cs="Times New Roman" w:eastAsia="Times New Roman" w:hAnsi="Times New Roman"/>
          <w:sz w:val="14"/>
          <w:szCs w:val="14"/>
          <w:color w:val="000000"/>
        </w:rPr>
        <w:t xml:space="preserve"> $48.4 million </w:t>
      </w:r>
      <w:r>
        <w:rPr>
          <w:rFonts w:ascii="Times New Roman" w:cs="Times New Roman" w:eastAsia="Times New Roman" w:hAnsi="Times New Roman"/>
          <w:sz w:val="14"/>
          <w:szCs w:val="14"/>
          <w:color w:val="231F20"/>
        </w:rPr>
        <w:t>during the three months ended March 31, 2024, which was impacted by higher indirect product costs and inventory related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charges.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Operating Expenses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231F20"/>
        </w:rPr>
        <w:t>Selling and Marketing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252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1"/>
                <w:szCs w:val="11"/>
                <w:b w:val="1"/>
                <w:bCs w:val="1"/>
                <w:color w:val="231F20"/>
              </w:rPr>
              <w:t>Change</w:t>
            </w:r>
          </w:p>
        </w:tc>
        <w:tc>
          <w:tcPr>
            <w:tcW w:w="1240" w:type="dxa"/>
            <w:vAlign w:val="bottom"/>
            <w:tcBorders>
              <w:bottom w:val="single" w:sz="8" w:color="auto"/>
            </w:tcBorders>
          </w:tcPr>
          <w:p>
            <w:pPr>
              <w:spacing w:after="0"/>
              <w:rPr>
                <w:sz w:val="13"/>
                <w:szCs w:val="13"/>
                <w:color w:val="auto"/>
              </w:rPr>
            </w:pPr>
          </w:p>
        </w:tc>
      </w:tr>
      <w:tr>
        <w:trPr>
          <w:trHeight w:val="151"/>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(in millions)</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240" w:type="dxa"/>
            <w:vAlign w:val="bottom"/>
          </w:tcPr>
          <w:p>
            <w:pPr>
              <w:jc w:val="right"/>
              <w:ind w:right="756"/>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30"/>
        </w:trPr>
        <w:tc>
          <w:tcPr>
            <w:tcW w:w="4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Selling and marketing</w:t>
            </w:r>
          </w:p>
        </w:tc>
        <w:tc>
          <w:tcPr>
            <w:tcW w:w="102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4"/>
                <w:szCs w:val="14"/>
                <w:color w:val="231F20"/>
                <w:w w:val="85"/>
              </w:rPr>
              <w:t>$</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231F20"/>
              </w:rPr>
              <w:t>33.7</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231F20"/>
              </w:rPr>
              <w:t>$</w:t>
            </w: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231F20"/>
              </w:rPr>
              <w:t>38.7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(5.0)</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8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231F20"/>
              </w:rPr>
              <w:t>As a percentage of net sales</w:t>
            </w:r>
          </w:p>
        </w:tc>
        <w:tc>
          <w:tcPr>
            <w:tcW w:w="1020" w:type="dxa"/>
            <w:vAlign w:val="bottom"/>
          </w:tcPr>
          <w:p>
            <w:pPr>
              <w:spacing w:after="0"/>
              <w:rPr>
                <w:sz w:val="16"/>
                <w:szCs w:val="16"/>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41.4 %</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44.9 %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Selling and marketing expense for the three months ended March 31, 2024 decreased $5.0 million, or 13.0%, compared to the three months ended March 31, 2023. The decrease is primarily driven by lower personnel-related expenses, including sales commission expense and lower marketing spend.</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231F20"/>
        </w:rPr>
        <w:t>Research and Development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1"/>
                <w:szCs w:val="11"/>
                <w:b w:val="1"/>
                <w:bCs w:val="1"/>
                <w:color w:val="231F20"/>
              </w:rPr>
              <w:t>Change</w:t>
            </w:r>
          </w:p>
        </w:tc>
        <w:tc>
          <w:tcPr>
            <w:tcW w:w="1240" w:type="dxa"/>
            <w:vAlign w:val="bottom"/>
            <w:tcBorders>
              <w:bottom w:val="single" w:sz="8" w:color="auto"/>
            </w:tcBorders>
          </w:tcPr>
          <w:p>
            <w:pPr>
              <w:spacing w:after="0"/>
              <w:rPr>
                <w:sz w:val="13"/>
                <w:szCs w:val="13"/>
                <w:color w:val="auto"/>
              </w:rPr>
            </w:pPr>
          </w:p>
        </w:tc>
      </w:tr>
      <w:tr>
        <w:trPr>
          <w:trHeight w:val="154"/>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(in millions)</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240" w:type="dxa"/>
            <w:vAlign w:val="bottom"/>
          </w:tcPr>
          <w:p>
            <w:pPr>
              <w:jc w:val="right"/>
              <w:ind w:right="756"/>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97"/>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Research and development</w:t>
            </w:r>
          </w:p>
        </w:tc>
        <w:tc>
          <w:tcPr>
            <w:tcW w:w="106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4"/>
                <w:szCs w:val="14"/>
                <w:color w:val="231F20"/>
                <w:w w:val="85"/>
              </w:rPr>
              <w:t>$</w:t>
            </w:r>
          </w:p>
        </w:tc>
        <w:tc>
          <w:tcPr>
            <w:tcW w:w="5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231F20"/>
              </w:rPr>
              <w:t>2.8</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231F20"/>
                <w:w w:val="85"/>
              </w:rPr>
              <w:t>$</w:t>
            </w:r>
          </w:p>
        </w:tc>
        <w:tc>
          <w:tcPr>
            <w:tcW w:w="4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231F20"/>
              </w:rPr>
              <w:t>2.3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0.5</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20.2 %</w:t>
            </w:r>
          </w:p>
        </w:tc>
      </w:tr>
      <w:tr>
        <w:trPr>
          <w:trHeight w:val="18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231F20"/>
              </w:rPr>
              <w:t>As a percentage of net sales</w:t>
            </w:r>
          </w:p>
        </w:tc>
        <w:tc>
          <w:tcPr>
            <w:tcW w:w="1060" w:type="dxa"/>
            <w:vAlign w:val="bottom"/>
          </w:tcPr>
          <w:p>
            <w:pPr>
              <w:spacing w:after="0"/>
              <w:rPr>
                <w:sz w:val="16"/>
                <w:szCs w:val="16"/>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3.4 %</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color w:val="231F20"/>
                <w:w w:val="97"/>
              </w:rPr>
              <w:t>2.7 %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Research and development expense for the three months ended March 31, 2024 increased $0.5 million, or 20.2%, compared to the three months ended March 31, 2023. The increase is primarily driven by higher share-based compensation expense.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sectPr>
      </w:pPr>
    </w:p>
    <w:bookmarkStart w:id="23" w:name="page24"/>
    <w:bookmarkEnd w:id="23"/>
    <w:p>
      <w:pPr>
        <w:ind w:left="380"/>
        <w:spacing w:after="0"/>
        <w:rPr>
          <w:sz w:val="20"/>
          <w:szCs w:val="20"/>
          <w:color w:val="auto"/>
        </w:rPr>
      </w:pPr>
      <w:r>
        <w:rPr>
          <w:rFonts w:ascii="Times New Roman" w:cs="Times New Roman" w:eastAsia="Times New Roman" w:hAnsi="Times New Roman"/>
          <w:sz w:val="14"/>
          <w:szCs w:val="14"/>
          <w:b w:val="1"/>
          <w:bCs w:val="1"/>
          <w:i w:val="1"/>
          <w:iCs w:val="1"/>
          <w:color w:val="231F20"/>
        </w:rPr>
        <w:t>General and Administrative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1"/>
                <w:szCs w:val="11"/>
                <w:b w:val="1"/>
                <w:bCs w:val="1"/>
                <w:color w:val="231F20"/>
              </w:rPr>
              <w:t>Change</w:t>
            </w:r>
          </w:p>
        </w:tc>
        <w:tc>
          <w:tcPr>
            <w:tcW w:w="1240" w:type="dxa"/>
            <w:vAlign w:val="bottom"/>
            <w:tcBorders>
              <w:bottom w:val="single" w:sz="8" w:color="auto"/>
            </w:tcBorders>
          </w:tcPr>
          <w:p>
            <w:pPr>
              <w:spacing w:after="0"/>
              <w:rPr>
                <w:sz w:val="13"/>
                <w:szCs w:val="13"/>
                <w:color w:val="auto"/>
              </w:rPr>
            </w:pPr>
          </w:p>
        </w:tc>
      </w:tr>
      <w:tr>
        <w:trPr>
          <w:trHeight w:val="154"/>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(in millions)</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240" w:type="dxa"/>
            <w:vAlign w:val="bottom"/>
          </w:tcPr>
          <w:p>
            <w:pPr>
              <w:jc w:val="right"/>
              <w:ind w:right="756"/>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97"/>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General and administrative</w:t>
            </w:r>
          </w:p>
        </w:tc>
        <w:tc>
          <w:tcPr>
            <w:tcW w:w="1020" w:type="dxa"/>
            <w:vAlign w:val="bottom"/>
            <w:tcBorders>
              <w:top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4"/>
                <w:szCs w:val="14"/>
                <w:color w:val="231F20"/>
                <w:w w:val="85"/>
              </w:rPr>
              <w:t>$</w:t>
            </w:r>
          </w:p>
        </w:tc>
        <w:tc>
          <w:tcPr>
            <w:tcW w:w="5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28.9</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231F20"/>
                <w:w w:val="85"/>
              </w:rPr>
              <w:t>$</w:t>
            </w:r>
          </w:p>
        </w:tc>
        <w:tc>
          <w:tcPr>
            <w:tcW w:w="4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30.4</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231F20"/>
              </w:rPr>
              <w:t>As a percentage of net sales</w:t>
            </w:r>
          </w:p>
        </w:tc>
        <w:tc>
          <w:tcPr>
            <w:tcW w:w="102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35.5 %</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35.2 %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231F20"/>
        </w:rPr>
        <w:t xml:space="preserve">General and administrative expense for the three months ended </w:t>
      </w:r>
      <w:r>
        <w:rPr>
          <w:rFonts w:ascii="Times New Roman" w:cs="Times New Roman" w:eastAsia="Times New Roman" w:hAnsi="Times New Roman"/>
          <w:sz w:val="14"/>
          <w:szCs w:val="14"/>
          <w:color w:val="000000"/>
        </w:rPr>
        <w:t>March 31, 2024 decreased</w:t>
      </w:r>
      <w:r>
        <w:rPr>
          <w:rFonts w:ascii="Times New Roman" w:cs="Times New Roman" w:eastAsia="Times New Roman" w:hAnsi="Times New Roman"/>
          <w:sz w:val="14"/>
          <w:szCs w:val="14"/>
          <w:color w:val="231F20"/>
        </w:rPr>
        <w:t xml:space="preserve"> $1.5 million, or 5.0%, compared to the three months ended March 31, 2023. The decrease is primarily driven by lower professional fees and software expenses, partially offset by higher share-based compensation expense.</w:t>
      </w:r>
    </w:p>
    <w:p>
      <w:pPr>
        <w:spacing w:after="0" w:line="3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231F20"/>
        </w:rPr>
        <w:t>Interest Income, Change in Fair Value of Warrant Liabilities, and Other Income, Net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8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1"/>
                <w:szCs w:val="11"/>
                <w:b w:val="1"/>
                <w:bCs w:val="1"/>
                <w:color w:val="231F20"/>
              </w:rPr>
              <w:t>Change</w:t>
            </w:r>
          </w:p>
        </w:tc>
        <w:tc>
          <w:tcPr>
            <w:tcW w:w="1260" w:type="dxa"/>
            <w:vAlign w:val="bottom"/>
            <w:tcBorders>
              <w:bottom w:val="single" w:sz="8" w:color="auto"/>
            </w:tcBorders>
          </w:tcPr>
          <w:p>
            <w:pPr>
              <w:spacing w:after="0"/>
              <w:rPr>
                <w:sz w:val="13"/>
                <w:szCs w:val="13"/>
                <w:color w:val="auto"/>
              </w:rPr>
            </w:pPr>
          </w:p>
        </w:tc>
      </w:tr>
      <w:tr>
        <w:trPr>
          <w:trHeight w:val="154"/>
        </w:trPr>
        <w:tc>
          <w:tcPr>
            <w:tcW w:w="4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(in millions)</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ind w:left="260"/>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260" w:type="dxa"/>
            <w:vAlign w:val="bottom"/>
          </w:tcPr>
          <w:p>
            <w:pPr>
              <w:jc w:val="right"/>
              <w:ind w:right="773"/>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97"/>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Interest income</w:t>
            </w:r>
          </w:p>
        </w:tc>
        <w:tc>
          <w:tcPr>
            <w:tcW w:w="1000" w:type="dxa"/>
            <w:vAlign w:val="bottom"/>
            <w:tcBorders>
              <w:top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231F2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(5.4)</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231F20"/>
                <w:w w:val="85"/>
              </w:rPr>
              <w:t>$</w:t>
            </w:r>
          </w:p>
        </w:tc>
        <w:tc>
          <w:tcPr>
            <w:tcW w:w="400" w:type="dxa"/>
            <w:vAlign w:val="bottom"/>
            <w:tcBorders>
              <w:top w:val="single" w:sz="8" w:color="auto"/>
            </w:tcBorders>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231F20"/>
                <w:w w:val="96"/>
              </w:rPr>
              <w:t>(4.3)</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24.1 %</w:t>
            </w:r>
          </w:p>
        </w:tc>
      </w:tr>
      <w:tr>
        <w:trPr>
          <w:trHeight w:val="193"/>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Change in fair value of warrant liabilities</w:t>
            </w:r>
          </w:p>
        </w:tc>
        <w:tc>
          <w:tcPr>
            <w:tcW w:w="1000" w:type="dxa"/>
            <w:vAlign w:val="bottom"/>
          </w:tcPr>
          <w:p>
            <w:pPr>
              <w:jc w:val="right"/>
              <w:ind w:right="835"/>
              <w:spacing w:after="0"/>
              <w:rPr>
                <w:sz w:val="20"/>
                <w:szCs w:val="20"/>
                <w:color w:val="auto"/>
              </w:rPr>
            </w:pPr>
            <w:r>
              <w:rPr>
                <w:rFonts w:ascii="Times New Roman" w:cs="Times New Roman" w:eastAsia="Times New Roman" w:hAnsi="Times New Roman"/>
                <w:sz w:val="14"/>
                <w:szCs w:val="14"/>
                <w:color w:val="231F2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w:t>
            </w:r>
          </w:p>
        </w:tc>
        <w:tc>
          <w:tcPr>
            <w:tcW w:w="80" w:type="dxa"/>
            <w:vAlign w:val="bottom"/>
          </w:tcPr>
          <w:p>
            <w:pPr>
              <w:spacing w:after="0"/>
              <w:rPr>
                <w:sz w:val="16"/>
                <w:szCs w:val="16"/>
                <w:color w:val="auto"/>
              </w:rPr>
            </w:pP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231F20"/>
                <w:w w:val="85"/>
              </w:rPr>
              <w:t>$</w:t>
            </w:r>
          </w:p>
        </w:tc>
        <w:tc>
          <w:tcPr>
            <w:tcW w:w="40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231F20"/>
                <w:w w:val="91"/>
              </w:rPr>
              <w:t>9.1</w:t>
            </w: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r>
      <w:tr>
        <w:trPr>
          <w:trHeight w:val="21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Other income, net</w:t>
            </w:r>
          </w:p>
        </w:tc>
        <w:tc>
          <w:tcPr>
            <w:tcW w:w="100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4"/>
                <w:szCs w:val="14"/>
                <w:color w:val="231F2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(16.1)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231F20"/>
                <w:w w:val="85"/>
              </w:rPr>
              <w:t>$</w:t>
            </w:r>
          </w:p>
        </w:tc>
        <w:tc>
          <w:tcPr>
            <w:tcW w:w="40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231F20"/>
                <w:w w:val="96"/>
              </w:rPr>
              <w:t>(0.4)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4"/>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N/M - Not meaningful</w:t>
            </w: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19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231F20"/>
        </w:rPr>
        <w:t xml:space="preserve">Interest income for the </w:t>
      </w:r>
      <w:r>
        <w:rPr>
          <w:rFonts w:ascii="Times New Roman" w:cs="Times New Roman" w:eastAsia="Times New Roman" w:hAnsi="Times New Roman"/>
          <w:sz w:val="14"/>
          <w:szCs w:val="14"/>
          <w:color w:val="000000"/>
        </w:rPr>
        <w:t>three months</w:t>
      </w:r>
      <w:r>
        <w:rPr>
          <w:rFonts w:ascii="Times New Roman" w:cs="Times New Roman" w:eastAsia="Times New Roman" w:hAnsi="Times New Roman"/>
          <w:sz w:val="14"/>
          <w:szCs w:val="14"/>
          <w:color w:val="231F20"/>
        </w:rPr>
        <w:t xml:space="preserve"> ended </w:t>
      </w:r>
      <w:r>
        <w:rPr>
          <w:rFonts w:ascii="Times New Roman" w:cs="Times New Roman" w:eastAsia="Times New Roman" w:hAnsi="Times New Roman"/>
          <w:sz w:val="14"/>
          <w:szCs w:val="14"/>
          <w:color w:val="000000"/>
        </w:rPr>
        <w:t>March 31, 2024 increased</w:t>
      </w:r>
      <w:r>
        <w:rPr>
          <w:rFonts w:ascii="Times New Roman" w:cs="Times New Roman" w:eastAsia="Times New Roman" w:hAnsi="Times New Roman"/>
          <w:sz w:val="14"/>
          <w:szCs w:val="14"/>
          <w:color w:val="231F20"/>
        </w:rPr>
        <w:t xml:space="preserve"> $1.0 million compared to the </w:t>
      </w:r>
      <w:r>
        <w:rPr>
          <w:rFonts w:ascii="Times New Roman" w:cs="Times New Roman" w:eastAsia="Times New Roman" w:hAnsi="Times New Roman"/>
          <w:sz w:val="14"/>
          <w:szCs w:val="14"/>
          <w:color w:val="000000"/>
        </w:rPr>
        <w:t>three months</w:t>
      </w:r>
      <w:r>
        <w:rPr>
          <w:rFonts w:ascii="Times New Roman" w:cs="Times New Roman" w:eastAsia="Times New Roman" w:hAnsi="Times New Roman"/>
          <w:sz w:val="14"/>
          <w:szCs w:val="14"/>
          <w:color w:val="231F20"/>
        </w:rPr>
        <w:t xml:space="preserve"> ended </w:t>
      </w:r>
      <w:r>
        <w:rPr>
          <w:rFonts w:ascii="Times New Roman" w:cs="Times New Roman" w:eastAsia="Times New Roman" w:hAnsi="Times New Roman"/>
          <w:sz w:val="14"/>
          <w:szCs w:val="14"/>
          <w:color w:val="000000"/>
        </w:rPr>
        <w:t>March 31, 2023</w:t>
      </w:r>
      <w:r>
        <w:rPr>
          <w:rFonts w:ascii="Times New Roman" w:cs="Times New Roman" w:eastAsia="Times New Roman" w:hAnsi="Times New Roman"/>
          <w:sz w:val="14"/>
          <w:szCs w:val="14"/>
          <w:color w:val="231F20"/>
        </w:rPr>
        <w:t xml:space="preserve"> primarily due to higher interest earned on our investment in money market funds.</w:t>
      </w:r>
    </w:p>
    <w:p>
      <w:pPr>
        <w:spacing w:after="0" w:line="145"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231F20"/>
        </w:rPr>
        <w:t xml:space="preserve">During the </w:t>
      </w:r>
      <w:r>
        <w:rPr>
          <w:rFonts w:ascii="Times New Roman" w:cs="Times New Roman" w:eastAsia="Times New Roman" w:hAnsi="Times New Roman"/>
          <w:sz w:val="14"/>
          <w:szCs w:val="14"/>
          <w:color w:val="000000"/>
        </w:rPr>
        <w:t>three months</w:t>
      </w:r>
      <w:r>
        <w:rPr>
          <w:rFonts w:ascii="Times New Roman" w:cs="Times New Roman" w:eastAsia="Times New Roman" w:hAnsi="Times New Roman"/>
          <w:sz w:val="14"/>
          <w:szCs w:val="14"/>
          <w:color w:val="231F20"/>
        </w:rPr>
        <w:t xml:space="preserve"> ended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the Company recognized income of $1.5 million related to the change in the fair value of the warrant liabilities, a decrease of $7.6 million, as compared to income of $9.1 million for the </w:t>
      </w:r>
      <w:r>
        <w:rPr>
          <w:rFonts w:ascii="Times New Roman" w:cs="Times New Roman" w:eastAsia="Times New Roman" w:hAnsi="Times New Roman"/>
          <w:sz w:val="14"/>
          <w:szCs w:val="14"/>
          <w:color w:val="000000"/>
        </w:rPr>
        <w:t>three months</w:t>
      </w:r>
      <w:r>
        <w:rPr>
          <w:rFonts w:ascii="Times New Roman" w:cs="Times New Roman" w:eastAsia="Times New Roman" w:hAnsi="Times New Roman"/>
          <w:sz w:val="14"/>
          <w:szCs w:val="14"/>
          <w:color w:val="231F20"/>
        </w:rPr>
        <w:t xml:space="preserve"> ended </w:t>
      </w:r>
      <w:r>
        <w:rPr>
          <w:rFonts w:ascii="Times New Roman" w:cs="Times New Roman" w:eastAsia="Times New Roman" w:hAnsi="Times New Roman"/>
          <w:sz w:val="14"/>
          <w:szCs w:val="14"/>
          <w:color w:val="000000"/>
        </w:rPr>
        <w:t>March 31, 2023</w:t>
      </w:r>
      <w:r>
        <w:rPr>
          <w:rFonts w:ascii="Times New Roman" w:cs="Times New Roman" w:eastAsia="Times New Roman" w:hAnsi="Times New Roman"/>
          <w:sz w:val="14"/>
          <w:szCs w:val="14"/>
          <w:color w:val="231F20"/>
        </w:rPr>
        <w:t>, driven primarily by the fluctuation of the Company’s stock price.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During the </w:t>
      </w:r>
      <w:r>
        <w:rPr>
          <w:rFonts w:ascii="Times New Roman" w:cs="Times New Roman" w:eastAsia="Times New Roman" w:hAnsi="Times New Roman"/>
          <w:sz w:val="14"/>
          <w:szCs w:val="14"/>
          <w:color w:val="000000"/>
        </w:rPr>
        <w:t>three months</w:t>
      </w:r>
      <w:r>
        <w:rPr>
          <w:rFonts w:ascii="Times New Roman" w:cs="Times New Roman" w:eastAsia="Times New Roman" w:hAnsi="Times New Roman"/>
          <w:sz w:val="14"/>
          <w:szCs w:val="14"/>
          <w:color w:val="231F20"/>
        </w:rPr>
        <w:t xml:space="preserve"> ended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the Company recognized </w:t>
      </w:r>
      <w:r>
        <w:rPr>
          <w:rFonts w:ascii="Times New Roman" w:cs="Times New Roman" w:eastAsia="Times New Roman" w:hAnsi="Times New Roman"/>
          <w:sz w:val="14"/>
          <w:szCs w:val="14"/>
          <w:color w:val="000000"/>
        </w:rPr>
        <w:t>$16.1 million net gain</w:t>
      </w:r>
      <w:r>
        <w:rPr>
          <w:rFonts w:ascii="Times New Roman" w:cs="Times New Roman" w:eastAsia="Times New Roman" w:hAnsi="Times New Roman"/>
          <w:sz w:val="14"/>
          <w:szCs w:val="14"/>
          <w:color w:val="231F20"/>
        </w:rPr>
        <w:t xml:space="preserve"> related to the repurchase of its Notes.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231F20"/>
        </w:rPr>
        <w:t xml:space="preserve">Our primary sources of capital have been (i) cash flow from operating activities, (ii) net proceeds received from the consummation of the Business Combination, (iii) net proceeds received from the 1.25% Convertible Senior Notes due 2026 (the “Notes”), and (iv) net proceeds received from the exercise of public and private placement warrants. As of </w:t>
      </w:r>
      <w:r>
        <w:rPr>
          <w:rFonts w:ascii="Times New Roman" w:cs="Times New Roman" w:eastAsia="Times New Roman" w:hAnsi="Times New Roman"/>
          <w:sz w:val="14"/>
          <w:szCs w:val="14"/>
          <w:color w:val="000000"/>
        </w:rPr>
        <w:t>March 31, 2024</w:t>
      </w:r>
      <w:r>
        <w:rPr>
          <w:rFonts w:ascii="Times New Roman" w:cs="Times New Roman" w:eastAsia="Times New Roman" w:hAnsi="Times New Roman"/>
          <w:sz w:val="14"/>
          <w:szCs w:val="14"/>
          <w:color w:val="231F20"/>
        </w:rPr>
        <w:t xml:space="preserve">, we had cash, cash equivalents, and restricted cash of approximately $444.6 million. A revolving credit facility of </w:t>
      </w:r>
      <w:r>
        <w:rPr>
          <w:rFonts w:ascii="Times New Roman" w:cs="Times New Roman" w:eastAsia="Times New Roman" w:hAnsi="Times New Roman"/>
          <w:sz w:val="14"/>
          <w:szCs w:val="14"/>
          <w:color w:val="000000"/>
        </w:rPr>
        <w:t>$50 million is also available to us as a source of capital. As of March 31, 2024, the revolving credit</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facility remains undrawn and there is no outstanding balance thereunder.</w:t>
      </w:r>
    </w:p>
    <w:p>
      <w:pPr>
        <w:spacing w:after="0" w:line="16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on our long-term obligations. Cash received from our customers and other activities generally corresponds to our net sales.</w:t>
      </w:r>
    </w:p>
    <w:p>
      <w:pPr>
        <w:spacing w:after="0" w:line="15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 xml:space="preserve">Our sources of liquidity and cash flows are used to fund ongoing operations, research and development projects for new products, services, and technologies, and provide ongoing support services for our providers and customers, </w:t>
      </w:r>
      <w:r>
        <w:rPr>
          <w:rFonts w:ascii="Times New Roman" w:cs="Times New Roman" w:eastAsia="Times New Roman" w:hAnsi="Times New Roman"/>
          <w:sz w:val="14"/>
          <w:szCs w:val="14"/>
          <w:color w:val="231F20"/>
        </w:rPr>
        <w:t>including liabilities associated with the Syndeo Program</w:t>
      </w:r>
      <w:r>
        <w:rPr>
          <w:rFonts w:ascii="Times New Roman" w:cs="Times New Roman" w:eastAsia="Times New Roman" w:hAnsi="Times New Roman"/>
          <w:sz w:val="14"/>
          <w:szCs w:val="14"/>
          <w:color w:val="auto"/>
        </w:rPr>
        <w:t>.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167"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sectPr>
      </w:pPr>
    </w:p>
    <w:bookmarkStart w:id="24" w:name="page25"/>
    <w:bookmarkEnd w:id="24"/>
    <w:p>
      <w:pPr>
        <w:ind w:right="420"/>
        <w:spacing w:after="0" w:line="287" w:lineRule="auto"/>
        <w:rPr>
          <w:sz w:val="20"/>
          <w:szCs w:val="20"/>
          <w:color w:val="auto"/>
        </w:rPr>
      </w:pPr>
      <w:r>
        <w:rPr>
          <w:rFonts w:ascii="Times New Roman" w:cs="Times New Roman" w:eastAsia="Times New Roman" w:hAnsi="Times New Roman"/>
          <w:sz w:val="14"/>
          <w:szCs w:val="14"/>
          <w:color w:val="auto"/>
        </w:rPr>
        <w:t>timing of new product launches, timing and investments needed for international expansion, the continuing market acceptance of the Company’s products and services, expansion, and overall economic conditions.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may also evaluate opportunities to repurchase and retire debt; the Company repurchased its Notes in both the first and second quarter of 2024.</w:t>
      </w:r>
    </w:p>
    <w:p>
      <w:pPr>
        <w:spacing w:after="0" w:line="20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Credit Agreement</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November 14, 2022, the Company, as successor by assumption to Hydrafacial (formerly known as Edge Systems LLC), a California limited liability company, entered into an Amended and Restated Credit Agreement (as it may be further amended, restated, supplemented or modified from time to time, the “Credit Agreement”) with JPMorgan Chase Bank, N.A. The Credit Agreement provides for a $50.0 million revolving credit facility with a maturity date of November 14, 2027. In addition, the Company has the ability from time to time to increase the revolving commitments or enter into one or more tranches of term loans up to an additional aggregate amount not to exceed $50.0 million, subject to receipt of lender commitments and certain conditions precedent. As of March 31, 2024, the Credit Agreement remains undrawn and there is no outstanding balance under the revolving credit facility.</w:t>
      </w:r>
    </w:p>
    <w:p>
      <w:pPr>
        <w:spacing w:after="0" w:line="1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 As of March 31, 2024, the Company was in compliance with all restrictive and financial covenants of the Credit Agreement.</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61" w:right="399" w:bottom="1440" w:gutter="0" w:footer="0" w:header="0"/>
        </w:sectPr>
      </w:pPr>
    </w:p>
    <w:bookmarkStart w:id="25" w:name="page26"/>
    <w:bookmarkEnd w:id="25"/>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Convertible Senior Notes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September 14, 2021, the Company issued an aggregate of $750.0 million in principal amount of its Notes. The Notes were issued pursuant to, and are governed by, an indenture dated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14, 2021, between the Company and U.S. Bank National Association, as trustee (the “Indenture”). Pursuant to the purchase agreement between the Company and the initial purchasers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Notes, the Company granted the initial purchasers an option to purchase, for settlement within a period of 13 days from, and including, the date the Notes were first issued, up to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 million principal amount of Notes. The Notes issued on September 14, 2021 include the $100.0 million principal amount of Notes issued pursuant to the full exercise by the initial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such option.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In January 2024, the Company repurchased </w:t>
      </w:r>
      <w:r>
        <w:rPr>
          <w:rFonts w:ascii="Times New Roman" w:cs="Times New Roman" w:eastAsia="Times New Roman" w:hAnsi="Times New Roman"/>
          <w:sz w:val="14"/>
          <w:szCs w:val="14"/>
          <w:color w:val="000000"/>
        </w:rPr>
        <w:t>$75.0 million</w:t>
      </w:r>
      <w:r>
        <w:rPr>
          <w:rFonts w:ascii="Times New Roman" w:cs="Times New Roman" w:eastAsia="Times New Roman" w:hAnsi="Times New Roman"/>
          <w:sz w:val="14"/>
          <w:szCs w:val="14"/>
          <w:color w:val="231F20"/>
        </w:rPr>
        <w:t xml:space="preserve"> principal amount of its Notes at a weighted-average price equal to 77% for </w:t>
      </w:r>
      <w:r>
        <w:rPr>
          <w:rFonts w:ascii="Times New Roman" w:cs="Times New Roman" w:eastAsia="Times New Roman" w:hAnsi="Times New Roman"/>
          <w:sz w:val="14"/>
          <w:szCs w:val="14"/>
          <w:color w:val="000000"/>
        </w:rPr>
        <w:t>$57.8 million</w:t>
      </w:r>
      <w:r>
        <w:rPr>
          <w:rFonts w:ascii="Times New Roman" w:cs="Times New Roman" w:eastAsia="Times New Roman" w:hAnsi="Times New Roman"/>
          <w:sz w:val="14"/>
          <w:szCs w:val="14"/>
          <w:color w:val="231F20"/>
        </w:rPr>
        <w:t>.</w:t>
      </w:r>
    </w:p>
    <w:p>
      <w:pPr>
        <w:spacing w:after="0" w:line="20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Additionally, in April 2024, the Company repurchased $98.3 million principal amount of its Notes at a weighted-average price equal to 84% for $82.4 million. In the month of May, through May 8, 2024, the Company repurchased $19.0 million principal amount of its Notes at a weighted-average price equal to 84% for $15.9 million.</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Capped Call Transactions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On September 9, 2021, in connection with the pricing of the offering of Notes, the Company entered into privately negotiated capped call transactions (the “Base Capped Call Transactions”) with the Bank of Montreal, Credit Suisse Capital LLC, Deutsche Bank AG, London Branch, Goldman Sachs &amp; Co. LLC, JPMorgan Chase Bank, National Association, Mizuho Markets Americas LLC and Wells Fargo Bank, National Association (collectively,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$90.2 million.</w:t>
      </w:r>
    </w:p>
    <w:p>
      <w:pPr>
        <w:spacing w:after="0" w:line="16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Known Trends or Uncertainties</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majority of our customers operate within the medical industry (dermatologists and plastic surgeons), esthetician, and beauty retail industry. Although we have not seen any significant reduction in revenues to date due to consolidations, we have seen some consolidation in our industry during economic downturns. These consolidations have not had a negative effect on our total sales; however, should consolidations and downsizing in the industry continue to occur, those events could adversely impact our revenues and earnings going forward.</w:t>
      </w:r>
    </w:p>
    <w:p>
      <w:pPr>
        <w:spacing w:after="0" w:line="16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231F20"/>
        </w:rPr>
        <w:t>In addition, we continue to face macro-economic challenges such as the possibility of recession or financial market instability, and the impact of any governmental actions on the economy. These factors may adversely impact consumer, business, and government spending as well as customers' ability to pay for our products and services on an ongoing basis.</w:t>
      </w:r>
    </w:p>
    <w:p>
      <w:pPr>
        <w:spacing w:after="0" w:line="1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231F20"/>
        </w:rPr>
        <w:t>As a result, if economic and social conditions or the degree of uncertainty or volatility worsen, or the adverse conditions previously described are further prolonged, our growth rate could be affected by consolidation and downsizing in the medical, esthetician, and beauty retail industry. We are continuing to monitor these and other risks that may affect our business so that we can respond appropriately.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color w:val="auto"/>
        </w:rPr>
        <w:t>Syndeo Program Costs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 xml:space="preserve">The Company has accrued $8.3 million </w:t>
      </w:r>
      <w:r>
        <w:rPr>
          <w:rFonts w:ascii="Times New Roman" w:cs="Times New Roman" w:eastAsia="Times New Roman" w:hAnsi="Times New Roman"/>
          <w:sz w:val="14"/>
          <w:szCs w:val="14"/>
          <w:color w:val="231F20"/>
        </w:rPr>
        <w:t>as of March 31, 2024 for</w:t>
      </w:r>
      <w:r>
        <w:rPr>
          <w:rFonts w:ascii="Times New Roman" w:cs="Times New Roman" w:eastAsia="Times New Roman" w:hAnsi="Times New Roman"/>
          <w:sz w:val="14"/>
          <w:szCs w:val="14"/>
          <w:color w:val="auto"/>
        </w:rPr>
        <w:t xml:space="preserve"> the estimated cost for its remediation plan to upgrade or exchange customer Syndeo devices to meet the Syndeo 3.0 device standard which is expected to be substantially complete by June 30, 2024 related to initial replacement devices.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31F20"/>
        </w:rPr>
        <w:t>Discontinuation of Trade-up Program in 2024</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has historically accepted Delivery Systems in trade-up transactions with the intent to refurbish and resell such Delivery Systems received from the customer. During the year ended December 31, 2023, the Company recognized approximately $17 million of revenue based on the estimated fair value of such Delivery Systems. The revenue recognized for such Delivery Systems during the three months ended March 31, 2023 was immaterial. While the Company still expects to resell Delivery Systems previously received in trade-up transactions, starting in 2024, the Company will discontinue the use of trade-up transactions and the ensuing revenue recognition for noncash consideration.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Cash Flows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activities from our statements of cash flows. Amounts may not foot due to rounding.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80" w:type="dxa"/>
            <w:vAlign w:val="bottom"/>
            <w:gridSpan w:val="4"/>
          </w:tcPr>
          <w:p>
            <w:pPr>
              <w:jc w:val="right"/>
              <w:ind w:right="831"/>
              <w:spacing w:after="0"/>
              <w:rPr>
                <w:sz w:val="20"/>
                <w:szCs w:val="20"/>
                <w:color w:val="auto"/>
              </w:rPr>
            </w:pPr>
            <w:r>
              <w:rPr>
                <w:rFonts w:ascii="Times New Roman" w:cs="Times New Roman" w:eastAsia="Times New Roman" w:hAnsi="Times New Roman"/>
                <w:sz w:val="11"/>
                <w:szCs w:val="11"/>
                <w:b w:val="1"/>
                <w:bCs w:val="1"/>
                <w:color w:val="231F20"/>
              </w:rPr>
              <w:t>Three Months Ended March 31,</w:t>
            </w:r>
          </w:p>
        </w:tc>
        <w:tc>
          <w:tcPr>
            <w:tcW w:w="0" w:type="dxa"/>
            <w:vAlign w:val="bottom"/>
          </w:tcPr>
          <w:p>
            <w:pPr>
              <w:spacing w:after="0"/>
              <w:rPr>
                <w:sz w:val="1"/>
                <w:szCs w:val="1"/>
                <w:color w:val="auto"/>
              </w:rPr>
            </w:pPr>
          </w:p>
        </w:tc>
      </w:tr>
      <w:tr>
        <w:trPr>
          <w:trHeight w:val="51"/>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231F20"/>
              </w:rPr>
              <w:t>(Dollars in millions)</w:t>
            </w: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7900" w:type="dxa"/>
            <w:vAlign w:val="bottom"/>
            <w:tcBorders>
              <w:bottom w:val="single" w:sz="8" w:color="CCEEFF"/>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231F20"/>
              </w:rPr>
              <w:t>2024</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0" w:type="dxa"/>
            <w:vAlign w:val="bottom"/>
          </w:tcPr>
          <w:p>
            <w:pPr>
              <w:spacing w:after="0"/>
              <w:rPr>
                <w:sz w:val="1"/>
                <w:szCs w:val="1"/>
                <w:color w:val="auto"/>
              </w:rPr>
            </w:pPr>
          </w:p>
        </w:tc>
      </w:tr>
      <w:tr>
        <w:trPr>
          <w:trHeight w:val="17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Cash, cash equivalents, and restricted cash at beginning of period</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Operating activities: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loss</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Non-cash adjustments</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Changes in working capital</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Net cash used for operating activities</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(13.0)</w:t>
            </w: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cash used for investing activities</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Net cash used for financing activities</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change in cash, cash equivalents, and restricted cash</w:t>
            </w: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Effect of foreign currency translation</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Cash, cash equivalents, and restricted cash at end of period</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Operating Activities</w:t>
      </w:r>
    </w:p>
    <w:p>
      <w:pPr>
        <w:spacing w:after="0" w:line="20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4"/>
          <w:szCs w:val="14"/>
          <w:color w:val="231F20"/>
        </w:rPr>
        <w:t xml:space="preserve">Net cash used for operating activities for the </w:t>
      </w:r>
      <w:r>
        <w:rPr>
          <w:rFonts w:ascii="Times New Roman" w:cs="Times New Roman" w:eastAsia="Times New Roman" w:hAnsi="Times New Roman"/>
          <w:sz w:val="14"/>
          <w:szCs w:val="14"/>
          <w:color w:val="000000"/>
        </w:rPr>
        <w:t>three months ended March 31, 2024</w:t>
      </w:r>
      <w:r>
        <w:rPr>
          <w:rFonts w:ascii="Times New Roman" w:cs="Times New Roman" w:eastAsia="Times New Roman" w:hAnsi="Times New Roman"/>
          <w:sz w:val="14"/>
          <w:szCs w:val="14"/>
          <w:color w:val="231F20"/>
        </w:rPr>
        <w:t xml:space="preserve"> was $16.9 million, as compared to net cash used for operating activities of $13.0 million for the </w:t>
      </w:r>
      <w:r>
        <w:rPr>
          <w:rFonts w:ascii="Times New Roman" w:cs="Times New Roman" w:eastAsia="Times New Roman" w:hAnsi="Times New Roman"/>
          <w:sz w:val="14"/>
          <w:szCs w:val="14"/>
          <w:color w:val="000000"/>
        </w:rPr>
        <w:t>three months ended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March 31, 2023</w:t>
      </w:r>
      <w:r>
        <w:rPr>
          <w:rFonts w:ascii="Times New Roman" w:cs="Times New Roman" w:eastAsia="Times New Roman" w:hAnsi="Times New Roman"/>
          <w:sz w:val="14"/>
          <w:szCs w:val="14"/>
          <w:color w:val="231F20"/>
        </w:rPr>
        <w:t>. The change in cash used for operating activities was primarily related to the net impact of current year net loss and other non-cash adjustments, which include a net</w:t>
      </w:r>
      <w:r>
        <w:rPr>
          <w:rFonts w:ascii="Times New Roman" w:cs="Times New Roman" w:eastAsia="Times New Roman" w:hAnsi="Times New Roman"/>
          <w:sz w:val="14"/>
          <w:szCs w:val="14"/>
          <w:color w:val="000000"/>
        </w:rPr>
        <w:t xml:space="preserve"> gain of</w:t>
      </w:r>
    </w:p>
    <w:p>
      <w:pPr>
        <w:spacing w:after="0" w:line="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$16.1 million related to the repurchase of our Notes</w:t>
      </w:r>
      <w:r>
        <w:rPr>
          <w:rFonts w:ascii="Times New Roman" w:cs="Times New Roman" w:eastAsia="Times New Roman" w:hAnsi="Times New Roman"/>
          <w:sz w:val="14"/>
          <w:szCs w:val="14"/>
          <w:color w:val="231F20"/>
        </w:rPr>
        <w:t>. The prior year net loss and non-cash adjustments include the impact of $9.1 million loss resulting from the change in fair value of the Company’s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warrants.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Investing Activities</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 xml:space="preserve">Net cash used for investing activities </w:t>
      </w:r>
      <w:r>
        <w:rPr>
          <w:rFonts w:ascii="Times New Roman" w:cs="Times New Roman" w:eastAsia="Times New Roman" w:hAnsi="Times New Roman"/>
          <w:sz w:val="14"/>
          <w:szCs w:val="14"/>
          <w:color w:val="231F20"/>
        </w:rPr>
        <w:t>for the</w:t>
      </w:r>
      <w:r>
        <w:rPr>
          <w:rFonts w:ascii="Times New Roman" w:cs="Times New Roman" w:eastAsia="Times New Roman" w:hAnsi="Times New Roman"/>
          <w:sz w:val="14"/>
          <w:szCs w:val="14"/>
          <w:color w:val="auto"/>
        </w:rPr>
        <w:t xml:space="preserve"> three months ended March 31, 2024 was </w:t>
      </w:r>
      <w:r>
        <w:rPr>
          <w:rFonts w:ascii="Times New Roman" w:cs="Times New Roman" w:eastAsia="Times New Roman" w:hAnsi="Times New Roman"/>
          <w:sz w:val="14"/>
          <w:szCs w:val="14"/>
          <w:color w:val="231F20"/>
        </w:rPr>
        <w:t>$1.8 million, as compared to $21.7 million for the</w:t>
      </w:r>
      <w:r>
        <w:rPr>
          <w:rFonts w:ascii="Times New Roman" w:cs="Times New Roman" w:eastAsia="Times New Roman" w:hAnsi="Times New Roman"/>
          <w:sz w:val="14"/>
          <w:szCs w:val="14"/>
          <w:color w:val="auto"/>
        </w:rPr>
        <w:t xml:space="preserve"> three months ended March 31, 2023</w:t>
      </w:r>
      <w:r>
        <w:rPr>
          <w:rFonts w:ascii="Times New Roman" w:cs="Times New Roman" w:eastAsia="Times New Roman" w:hAnsi="Times New Roman"/>
          <w:sz w:val="14"/>
          <w:szCs w:val="14"/>
          <w:color w:val="231F20"/>
        </w:rPr>
        <w:t>. The change in cash used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for investing activities was primarily related to prior year’s asset acquisitions of Esthetic Medical Inc. and Anacapa Aesthetics LLC for $16.9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Financing Activities</w:t>
      </w:r>
    </w:p>
    <w:p>
      <w:pPr>
        <w:spacing w:after="0" w:line="20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231F20"/>
        </w:rPr>
        <w:t xml:space="preserve">Net cash used for financing activities for the </w:t>
      </w:r>
      <w:r>
        <w:rPr>
          <w:rFonts w:ascii="Times New Roman" w:cs="Times New Roman" w:eastAsia="Times New Roman" w:hAnsi="Times New Roman"/>
          <w:sz w:val="14"/>
          <w:szCs w:val="14"/>
          <w:color w:val="000000"/>
        </w:rPr>
        <w:t>three months ended March 31, 2024</w:t>
      </w:r>
      <w:r>
        <w:rPr>
          <w:rFonts w:ascii="Times New Roman" w:cs="Times New Roman" w:eastAsia="Times New Roman" w:hAnsi="Times New Roman"/>
          <w:sz w:val="14"/>
          <w:szCs w:val="14"/>
          <w:color w:val="231F20"/>
        </w:rPr>
        <w:t xml:space="preserve"> was $58.6 million, as compared to $2.2 million for the </w:t>
      </w:r>
      <w:r>
        <w:rPr>
          <w:rFonts w:ascii="Times New Roman" w:cs="Times New Roman" w:eastAsia="Times New Roman" w:hAnsi="Times New Roman"/>
          <w:sz w:val="14"/>
          <w:szCs w:val="14"/>
          <w:color w:val="000000"/>
        </w:rPr>
        <w:t>three months ended March 31, 2023</w:t>
      </w:r>
      <w:r>
        <w:rPr>
          <w:rFonts w:ascii="Times New Roman" w:cs="Times New Roman" w:eastAsia="Times New Roman" w:hAnsi="Times New Roman"/>
          <w:sz w:val="14"/>
          <w:szCs w:val="14"/>
          <w:color w:val="231F20"/>
        </w:rPr>
        <w:t>. The change in cash used for financing activities was primarily related to the repurchase of $75.0 million principal amount of our Notes at a weighted-average price equal to 77% for $57.8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231F20"/>
        </w:rPr>
        <w:t>Critical Accounting Policies and Estimates</w:t>
      </w:r>
    </w:p>
    <w:p>
      <w:pPr>
        <w:spacing w:after="0" w:line="20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231F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There have been no changes to our critical accounting policies since our Annual Report on Form 10-K for the fiscal year ended </w:t>
      </w:r>
      <w:r>
        <w:rPr>
          <w:rFonts w:ascii="Times New Roman" w:cs="Times New Roman" w:eastAsia="Times New Roman" w:hAnsi="Times New Roman"/>
          <w:sz w:val="14"/>
          <w:szCs w:val="14"/>
          <w:color w:val="000000"/>
        </w:rPr>
        <w:t>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Recent Accounting Pronouncements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See Part I, Item 1 "Financial Statements—Note </w:t>
      </w:r>
      <w:r>
        <w:rPr>
          <w:rFonts w:ascii="Times New Roman" w:cs="Times New Roman" w:eastAsia="Times New Roman" w:hAnsi="Times New Roman"/>
          <w:sz w:val="14"/>
          <w:szCs w:val="14"/>
          <w:color w:val="000000"/>
        </w:rPr>
        <w:t>14</w:t>
      </w:r>
      <w:r>
        <w:rPr>
          <w:rFonts w:ascii="Times New Roman" w:cs="Times New Roman" w:eastAsia="Times New Roman" w:hAnsi="Times New Roman"/>
          <w:sz w:val="14"/>
          <w:szCs w:val="14"/>
          <w:color w:val="231F20"/>
        </w:rPr>
        <w:t xml:space="preserve"> to the Consolidated Financial Statements—New Accounting Pronouncements" of this Quarterly Report on Form 10-Q.</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Item 3. Quantitative and Qualitative Disclosures About Market Risk.</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Market risks relating to our operations result primarily from changes in interest rates, foreign currency, and inflation risk. There were no material changes to our market risks disclosed in our Annual Report on Form 10-K for the fiscal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The Company conducted an evaluation, under the supervision and with the participation of the Company’s management, including the Company’s principal executive officer and principal financial officer, of the effectiveness of the design and operation of its disclosure controls and procedures as defined in Rules 13a-15(e) and 15-d-15(e) under the Securities Exchange Act of 1934, as amended (the “Exchange Act”) as of the end of the period covered by this Quarterly Report on Form 10-Q. 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on that evaluation, the Company’s principal executive officer and principal financial officer have concluded that, as a result of the material weakness in our internal control over financial reporting related to the Company’s inventory process as described in Part II, Item 9A of our Annual Report on Form 10-K for the year ended December 31, 2023, the Company’s disclosure controls and procedures were not effective as of March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 Plan for Material Weakness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with oversight from its Audit Committee, is in the process of implementing measures designed to ensure that control deficiencies contributing to the material weakness are remediated, such that these controls are designed, implemented, and operating effectively. The remediation plan includes, but is not limited to, the following:</w:t>
      </w:r>
    </w:p>
    <w:p>
      <w:pPr>
        <w:spacing w:after="0" w:line="135"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additional personnel, both internal and external, with the necessary experience and skill to manage supply chain and inventory operations</w:t>
      </w:r>
      <w:r>
        <w:rPr>
          <w:rFonts w:ascii="Times New Roman" w:cs="Times New Roman" w:eastAsia="Times New Roman" w:hAnsi="Times New Roman"/>
          <w:sz w:val="14"/>
          <w:szCs w:val="14"/>
          <w:color w:val="231F20"/>
        </w:rPr>
        <w:t>; and</w:t>
      </w:r>
    </w:p>
    <w:p>
      <w:pPr>
        <w:spacing w:after="0" w:line="14" w:lineRule="exact"/>
        <w:rPr>
          <w:rFonts w:ascii="Times New Roman" w:cs="Times New Roman" w:eastAsia="Times New Roman" w:hAnsi="Times New Roman"/>
          <w:sz w:val="14"/>
          <w:szCs w:val="14"/>
          <w:color w:val="auto"/>
        </w:rPr>
      </w:pPr>
    </w:p>
    <w:p>
      <w:pPr>
        <w:ind w:left="520" w:right="700" w:hanging="260"/>
        <w:spacing w:after="0" w:line="24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enhancing controls, including the implementation of manual or automated processes over the physical existence of inventory, identification of excess and obsolete inventory, and authorization of inventory pricing and purchase arrangements.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Although the Company believes that these actions will remediate the material weakness, additional time is required to test such actions and to complete the design, implementation, and review its controls to demonstrate the effectiveness of the Company’s remediation efforts. The material weakness cannot be considered remediated until the applicable remedial controls operate for a sufficient period of time and management has concluded, through testing, that these controls are operating effectively.</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Other than the remediation plan discussed above, there have been no changes in our internal control over financial reporting (as such term is defined in the Exchange Act) that occurred during the three months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940" w:right="57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For a description of our material pending legal proceedings, see Note 10, Commitments and Contingencies, to our condensed consolidated financial statements included in Part I, Item 1 of this Quarterly Report on Form 10-Q.</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Please carefully consider the information set forth in this Quarterly Report on Form 10-Q and the risk factors discussed in Part I, “Item 1A. Risk Factors” in the Annual Report on Form 10-K, which could materially affect our business, financial condition, or future results. The risks described in our Annual Report on Form 10-K, as well as additional risks and uncertainties not presently known to us or that we currently deem immaterial, could materially and adversely affect our business, results of operations, and financial condition, which in turn could materially and adversely affect the trading price of shares of our Class A Common Stock. As of the date of this Quarterly Report on Form 10-Q, there have been no material updates or changes with respect to the risk factors previously disclosed in our Annual Report on Form 10-K.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Unregistered Sales of Equity Securities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the Company did not issue any shares of its Class A Common Stock or other equity securities that were not registered under the Securities Act of 1933, as amended.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of Equity Securities by Issuer and Affiliated Purchasers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months ended March 31, 2024, the Company and its affiliated purchasers did not make any purchases of the Company’s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Rule 10b5-1 Trading Plans</w:t>
      </w:r>
    </w:p>
    <w:p>
      <w:pPr>
        <w:spacing w:after="0" w:line="202"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as part of, or incorporated by reference into, this Quarterly Report on Form 10-Q.</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20" w:type="dxa"/>
            <w:vAlign w:val="bottom"/>
            <w:gridSpan w:val="17"/>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gridSpan w:val="20"/>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39"/>
        </w:trPr>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40" w:type="dxa"/>
            <w:vAlign w:val="bottom"/>
            <w:tcBorders>
              <w:top w:val="single" w:sz="8" w:color="auto"/>
            </w:tcBorders>
            <w:gridSpan w:val="26"/>
          </w:tcPr>
          <w:p>
            <w:pPr>
              <w:spacing w:after="0" w:line="139" w:lineRule="exact"/>
              <w:rPr>
                <w:rFonts w:ascii="Times New Roman" w:cs="Times New Roman" w:eastAsia="Times New Roman" w:hAnsi="Times New Roman"/>
                <w:sz w:val="14"/>
                <w:szCs w:val="14"/>
                <w:color w:val="0000FF"/>
              </w:rPr>
            </w:pPr>
            <w:hyperlink r:id="rId51">
              <w:r>
                <w:rPr>
                  <w:rFonts w:ascii="Times New Roman" w:cs="Times New Roman" w:eastAsia="Times New Roman" w:hAnsi="Times New Roman"/>
                  <w:sz w:val="14"/>
                  <w:szCs w:val="14"/>
                  <w:color w:val="0000FF"/>
                </w:rPr>
                <w:t>Agreement and Plan of Merger, dated as of December 8, 2020, by and among Vesper</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40" w:type="dxa"/>
            <w:vAlign w:val="bottom"/>
            <w:gridSpan w:val="26"/>
          </w:tcPr>
          <w:p>
            <w:pPr>
              <w:spacing w:after="0" w:line="118" w:lineRule="exact"/>
              <w:rPr>
                <w:rFonts w:ascii="Times New Roman" w:cs="Times New Roman" w:eastAsia="Times New Roman" w:hAnsi="Times New Roman"/>
                <w:sz w:val="13"/>
                <w:szCs w:val="13"/>
                <w:color w:val="0000FF"/>
              </w:rPr>
            </w:pPr>
            <w:hyperlink r:id="rId51">
              <w:r>
                <w:rPr>
                  <w:rFonts w:ascii="Times New Roman" w:cs="Times New Roman" w:eastAsia="Times New Roman" w:hAnsi="Times New Roman"/>
                  <w:sz w:val="13"/>
                  <w:szCs w:val="13"/>
                  <w:color w:val="0000FF"/>
                </w:rPr>
                <w:t>Healthcare Acquisition Corp., Hydrate Merger Sub I, Inc., Hydrate Merger Sub II, LLC, LCP</w:t>
              </w:r>
            </w:hyperlink>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20"/>
              <w:spacing w:after="0"/>
              <w:rPr>
                <w:rFonts w:ascii="Times New Roman" w:cs="Times New Roman" w:eastAsia="Times New Roman" w:hAnsi="Times New Roman"/>
                <w:sz w:val="14"/>
                <w:szCs w:val="14"/>
                <w:color w:val="0000FF"/>
                <w:w w:val="79"/>
              </w:rPr>
            </w:pPr>
            <w:hyperlink r:id="rId51">
              <w:r>
                <w:rPr>
                  <w:rFonts w:ascii="Times New Roman" w:cs="Times New Roman" w:eastAsia="Times New Roman" w:hAnsi="Times New Roman"/>
                  <w:sz w:val="14"/>
                  <w:szCs w:val="14"/>
                  <w:color w:val="0000FF"/>
                  <w:w w:val="79"/>
                </w:rPr>
                <w:t>2.</w:t>
              </w:r>
              <w:r>
                <w:rPr>
                  <w:rFonts w:ascii="Times New Roman" w:cs="Times New Roman" w:eastAsia="Times New Roman" w:hAnsi="Times New Roman"/>
                  <w:sz w:val="14"/>
                  <w:szCs w:val="14"/>
                  <w:u w:val="single" w:color="auto"/>
                  <w:color w:val="0000FF"/>
                  <w:w w:val="79"/>
                </w:rPr>
                <w:t>1</w:t>
              </w:r>
            </w:hyperlink>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30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51">
              <w:r>
                <w:rPr>
                  <w:rFonts w:ascii="Times New Roman" w:cs="Times New Roman" w:eastAsia="Times New Roman" w:hAnsi="Times New Roman"/>
                  <w:sz w:val="14"/>
                  <w:szCs w:val="14"/>
                  <w:color w:val="0000FF"/>
                </w:rPr>
                <w:t>Edge Intermediate, Inc. and LCP Edge Holdco, LLC, in its capacity as the Stockholders’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2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51">
              <w:r>
                <w:rPr>
                  <w:rFonts w:ascii="Times New Roman" w:cs="Times New Roman" w:eastAsia="Times New Roman" w:hAnsi="Times New Roman"/>
                  <w:sz w:val="13"/>
                  <w:szCs w:val="13"/>
                  <w:color w:val="0000FF"/>
                </w:rPr>
                <w:t>Representative</w:t>
              </w:r>
            </w:hyperlink>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52">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40" w:type="dxa"/>
            <w:vAlign w:val="bottom"/>
            <w:tcBorders>
              <w:bottom w:val="single" w:sz="8" w:color="0000FF"/>
            </w:tcBorders>
            <w:gridSpan w:val="19"/>
          </w:tcPr>
          <w:p>
            <w:pPr>
              <w:spacing w:after="0" w:line="150" w:lineRule="exact"/>
              <w:rPr>
                <w:rFonts w:ascii="Times New Roman" w:cs="Times New Roman" w:eastAsia="Times New Roman" w:hAnsi="Times New Roman"/>
                <w:sz w:val="14"/>
                <w:szCs w:val="14"/>
                <w:color w:val="0000FF"/>
              </w:rPr>
            </w:pPr>
            <w:hyperlink r:id="rId52">
              <w:r>
                <w:rPr>
                  <w:rFonts w:ascii="Times New Roman" w:cs="Times New Roman" w:eastAsia="Times New Roman" w:hAnsi="Times New Roman"/>
                  <w:sz w:val="14"/>
                  <w:szCs w:val="14"/>
                  <w:color w:val="0000FF"/>
                </w:rPr>
                <w:t>Second Amended and Restated Certificate of Incorporation of The Beauty Health Company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53">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2</w:t>
              </w:r>
            </w:hyperlink>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40" w:type="dxa"/>
            <w:vAlign w:val="bottom"/>
            <w:gridSpan w:val="26"/>
          </w:tcPr>
          <w:p>
            <w:pPr>
              <w:spacing w:after="0"/>
              <w:rPr>
                <w:rFonts w:ascii="Times New Roman" w:cs="Times New Roman" w:eastAsia="Times New Roman" w:hAnsi="Times New Roman"/>
                <w:sz w:val="14"/>
                <w:szCs w:val="14"/>
                <w:color w:val="0000FF"/>
              </w:rPr>
            </w:pPr>
            <w:hyperlink r:id="rId53">
              <w:r>
                <w:rPr>
                  <w:rFonts w:ascii="Times New Roman" w:cs="Times New Roman" w:eastAsia="Times New Roman" w:hAnsi="Times New Roman"/>
                  <w:sz w:val="14"/>
                  <w:szCs w:val="14"/>
                  <w:color w:val="0000FF"/>
                </w:rPr>
                <w:t>Amended and Restated Bylaws of The Beauty Health Company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vMerge w:val="restart"/>
          </w:tcPr>
          <w:p>
            <w:pPr>
              <w:ind w:left="20"/>
              <w:spacing w:after="0"/>
              <w:rPr>
                <w:rFonts w:ascii="Times New Roman" w:cs="Times New Roman" w:eastAsia="Times New Roman" w:hAnsi="Times New Roman"/>
                <w:sz w:val="14"/>
                <w:szCs w:val="14"/>
                <w:color w:val="0000FF"/>
                <w:w w:val="79"/>
              </w:rPr>
            </w:pPr>
            <w:hyperlink r:id="rId54">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1</w:t>
              </w:r>
            </w:hyperlink>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gridSpan w:val="26"/>
          </w:tcPr>
          <w:p>
            <w:pPr>
              <w:spacing w:after="0"/>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Indenture, dated as of September 14, 2021, between The Beauty Health Company and U.S.</w:t>
              </w:r>
            </w:hyperlink>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2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54">
              <w:r>
                <w:rPr>
                  <w:rFonts w:ascii="Times New Roman" w:cs="Times New Roman" w:eastAsia="Times New Roman" w:hAnsi="Times New Roman"/>
                  <w:sz w:val="12"/>
                  <w:szCs w:val="12"/>
                  <w:color w:val="0000FF"/>
                </w:rPr>
                <w:t>Bank National Association, as trustee</w:t>
              </w:r>
            </w:hyperlink>
          </w:p>
        </w:tc>
        <w:tc>
          <w:tcPr>
            <w:tcW w:w="400" w:type="dxa"/>
            <w:vAlign w:val="bottom"/>
            <w:tcBorders>
              <w:top w:val="single" w:sz="8" w:color="0000FF"/>
            </w:tcBorders>
          </w:tcPr>
          <w:p>
            <w:pPr>
              <w:spacing w:after="0"/>
              <w:rPr>
                <w:sz w:val="11"/>
                <w:szCs w:val="11"/>
                <w:color w:val="auto"/>
              </w:rPr>
            </w:pPr>
          </w:p>
        </w:tc>
        <w:tc>
          <w:tcPr>
            <w:tcW w:w="1840" w:type="dxa"/>
            <w:vAlign w:val="bottom"/>
            <w:tcBorders>
              <w:top w:val="single" w:sz="8" w:color="0000FF"/>
            </w:tcBorders>
            <w:gridSpan w:val="2"/>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gridSpan w:val="3"/>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gridSpan w:val="26"/>
          </w:tcPr>
          <w:p>
            <w:pPr>
              <w:spacing w:after="0" w:line="151" w:lineRule="exact"/>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Form of certificate representing the 1.25% Convertible Senior Notes due 2026 (included as</w:t>
              </w:r>
            </w:hyperlink>
          </w:p>
        </w:tc>
        <w:tc>
          <w:tcPr>
            <w:tcW w:w="0" w:type="dxa"/>
            <w:vAlign w:val="bottom"/>
          </w:tcPr>
          <w:p>
            <w:pPr>
              <w:spacing w:after="0"/>
              <w:rPr>
                <w:sz w:val="1"/>
                <w:szCs w:val="1"/>
                <w:color w:val="auto"/>
              </w:rPr>
            </w:pPr>
          </w:p>
        </w:tc>
      </w:tr>
      <w:tr>
        <w:trPr>
          <w:trHeight w:val="139"/>
        </w:trPr>
        <w:tc>
          <w:tcPr>
            <w:tcW w:w="200" w:type="dxa"/>
            <w:vAlign w:val="bottom"/>
            <w:gridSpan w:val="2"/>
          </w:tcPr>
          <w:p>
            <w:pPr>
              <w:ind w:left="20"/>
              <w:spacing w:after="0" w:line="139" w:lineRule="exact"/>
              <w:rPr>
                <w:rFonts w:ascii="Times New Roman" w:cs="Times New Roman" w:eastAsia="Times New Roman" w:hAnsi="Times New Roman"/>
                <w:sz w:val="14"/>
                <w:szCs w:val="14"/>
                <w:color w:val="0000FF"/>
                <w:w w:val="79"/>
              </w:rPr>
            </w:pPr>
            <w:hyperlink r:id="rId54">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2</w:t>
              </w:r>
            </w:hyperlink>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54">
              <w:r>
                <w:rPr>
                  <w:rFonts w:ascii="Times New Roman" w:cs="Times New Roman" w:eastAsia="Times New Roman" w:hAnsi="Times New Roman"/>
                  <w:sz w:val="14"/>
                  <w:szCs w:val="14"/>
                  <w:color w:val="0000FF"/>
                </w:rPr>
                <w:t>Exhibit A to Exhibit 4.1)</w:t>
              </w:r>
            </w:hyperlink>
          </w:p>
        </w:tc>
        <w:tc>
          <w:tcPr>
            <w:tcW w:w="160" w:type="dxa"/>
            <w:vAlign w:val="bottom"/>
            <w:tcBorders>
              <w:top w:val="single" w:sz="8" w:color="0000FF"/>
              <w:bottom w:val="single" w:sz="8" w:color="0000FF"/>
            </w:tcBorders>
          </w:tcPr>
          <w:p>
            <w:pPr>
              <w:spacing w:after="0"/>
              <w:rPr>
                <w:sz w:val="12"/>
                <w:szCs w:val="12"/>
                <w:color w:val="auto"/>
              </w:rPr>
            </w:pPr>
          </w:p>
        </w:tc>
        <w:tc>
          <w:tcPr>
            <w:tcW w:w="240" w:type="dxa"/>
            <w:vAlign w:val="bottom"/>
            <w:tcBorders>
              <w:top w:val="single" w:sz="8" w:color="0000FF"/>
              <w:bottom w:val="single" w:sz="8" w:color="0000FF"/>
            </w:tcBorders>
          </w:tcPr>
          <w:p>
            <w:pPr>
              <w:spacing w:after="0"/>
              <w:rPr>
                <w:sz w:val="12"/>
                <w:szCs w:val="12"/>
                <w:color w:val="auto"/>
              </w:rPr>
            </w:pPr>
          </w:p>
        </w:tc>
        <w:tc>
          <w:tcPr>
            <w:tcW w:w="140" w:type="dxa"/>
            <w:vAlign w:val="bottom"/>
            <w:tcBorders>
              <w:top w:val="single" w:sz="8" w:color="0000FF"/>
              <w:bottom w:val="single" w:sz="8" w:color="0000FF"/>
            </w:tcBorders>
          </w:tcPr>
          <w:p>
            <w:pPr>
              <w:spacing w:after="0"/>
              <w:rPr>
                <w:sz w:val="12"/>
                <w:szCs w:val="12"/>
                <w:color w:val="auto"/>
              </w:rPr>
            </w:pPr>
          </w:p>
        </w:tc>
        <w:tc>
          <w:tcPr>
            <w:tcW w:w="560" w:type="dxa"/>
            <w:vAlign w:val="bottom"/>
            <w:tcBorders>
              <w:top w:val="single" w:sz="8" w:color="0000FF"/>
              <w:bottom w:val="single" w:sz="8" w:color="0000FF"/>
            </w:tcBorders>
            <w:gridSpan w:val="2"/>
          </w:tcPr>
          <w:p>
            <w:pPr>
              <w:spacing w:after="0"/>
              <w:rPr>
                <w:sz w:val="12"/>
                <w:szCs w:val="12"/>
                <w:color w:val="auto"/>
              </w:rPr>
            </w:pPr>
          </w:p>
        </w:tc>
        <w:tc>
          <w:tcPr>
            <w:tcW w:w="1840" w:type="dxa"/>
            <w:vAlign w:val="bottom"/>
            <w:tcBorders>
              <w:top w:val="single" w:sz="8" w:color="0000FF"/>
              <w:bottom w:val="single" w:sz="8" w:color="0000FF"/>
            </w:tcBorders>
            <w:gridSpan w:val="2"/>
          </w:tcPr>
          <w:p>
            <w:pPr>
              <w:spacing w:after="0"/>
              <w:rPr>
                <w:sz w:val="12"/>
                <w:szCs w:val="12"/>
                <w:color w:val="auto"/>
              </w:rPr>
            </w:pPr>
          </w:p>
        </w:tc>
        <w:tc>
          <w:tcPr>
            <w:tcW w:w="140" w:type="dxa"/>
            <w:vAlign w:val="bottom"/>
            <w:tcBorders>
              <w:top w:val="single" w:sz="8" w:color="0000FF"/>
              <w:bottom w:val="single" w:sz="8" w:color="0000FF"/>
            </w:tcBorders>
          </w:tcPr>
          <w:p>
            <w:pPr>
              <w:spacing w:after="0"/>
              <w:rPr>
                <w:sz w:val="12"/>
                <w:szCs w:val="12"/>
                <w:color w:val="auto"/>
              </w:rPr>
            </w:pPr>
          </w:p>
        </w:tc>
        <w:tc>
          <w:tcPr>
            <w:tcW w:w="540" w:type="dxa"/>
            <w:vAlign w:val="bottom"/>
            <w:tcBorders>
              <w:top w:val="single" w:sz="8" w:color="0000FF"/>
              <w:bottom w:val="single" w:sz="8" w:color="0000FF"/>
            </w:tcBorders>
            <w:gridSpan w:val="3"/>
          </w:tcPr>
          <w:p>
            <w:pPr>
              <w:spacing w:after="0"/>
              <w:rPr>
                <w:sz w:val="12"/>
                <w:szCs w:val="12"/>
                <w:color w:val="auto"/>
              </w:rPr>
            </w:pPr>
          </w:p>
        </w:tc>
        <w:tc>
          <w:tcPr>
            <w:tcW w:w="120" w:type="dxa"/>
            <w:vAlign w:val="bottom"/>
            <w:tcBorders>
              <w:top w:val="single" w:sz="8" w:color="0000FF"/>
              <w:bottom w:val="single" w:sz="8" w:color="0000FF"/>
            </w:tcBorders>
          </w:tcPr>
          <w:p>
            <w:pPr>
              <w:spacing w:after="0"/>
              <w:rPr>
                <w:sz w:val="12"/>
                <w:szCs w:val="12"/>
                <w:color w:val="auto"/>
              </w:rPr>
            </w:pPr>
          </w:p>
        </w:tc>
        <w:tc>
          <w:tcPr>
            <w:tcW w:w="40" w:type="dxa"/>
            <w:vAlign w:val="bottom"/>
            <w:tcBorders>
              <w:top w:val="single" w:sz="8" w:color="0000FF"/>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26"/>
            <w:vMerge w:val="restart"/>
          </w:tcPr>
          <w:p>
            <w:pPr>
              <w:spacing w:after="0"/>
              <w:rPr>
                <w:rFonts w:ascii="Times New Roman" w:cs="Times New Roman" w:eastAsia="Times New Roman" w:hAnsi="Times New Roman"/>
                <w:sz w:val="14"/>
                <w:szCs w:val="14"/>
                <w:color w:val="0000FF"/>
              </w:rPr>
            </w:pPr>
            <w:hyperlink r:id="rId55">
              <w:r>
                <w:rPr>
                  <w:rFonts w:ascii="Times New Roman" w:cs="Times New Roman" w:eastAsia="Times New Roman" w:hAnsi="Times New Roman"/>
                  <w:sz w:val="14"/>
                  <w:szCs w:val="14"/>
                  <w:color w:val="0000FF"/>
                </w:rPr>
                <w:t>Warrant Agreement, dated September 29, 2020, between the Company and Continental Stock</w:t>
              </w:r>
            </w:hyperlink>
          </w:p>
        </w:tc>
        <w:tc>
          <w:tcPr>
            <w:tcW w:w="0" w:type="dxa"/>
            <w:vAlign w:val="bottom"/>
          </w:tcPr>
          <w:p>
            <w:pPr>
              <w:spacing w:after="0" w:line="20" w:lineRule="exact"/>
              <w:rPr>
                <w:sz w:val="1"/>
                <w:szCs w:val="1"/>
                <w:color w:val="auto"/>
              </w:rPr>
            </w:pPr>
          </w:p>
        </w:tc>
      </w:tr>
      <w:tr>
        <w:trPr>
          <w:trHeight w:val="142"/>
        </w:trPr>
        <w:tc>
          <w:tcPr>
            <w:tcW w:w="200" w:type="dxa"/>
            <w:vAlign w:val="bottom"/>
            <w:gridSpan w:val="2"/>
            <w:vMerge w:val="restart"/>
          </w:tcPr>
          <w:p>
            <w:pPr>
              <w:ind w:left="20"/>
              <w:spacing w:after="0"/>
              <w:rPr>
                <w:rFonts w:ascii="Times New Roman" w:cs="Times New Roman" w:eastAsia="Times New Roman" w:hAnsi="Times New Roman"/>
                <w:sz w:val="14"/>
                <w:szCs w:val="14"/>
                <w:color w:val="0000FF"/>
                <w:w w:val="79"/>
              </w:rPr>
            </w:pPr>
            <w:hyperlink r:id="rId55">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3</w:t>
              </w:r>
            </w:hyperlink>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40" w:type="dxa"/>
            <w:vAlign w:val="bottom"/>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55">
              <w:r>
                <w:rPr>
                  <w:rFonts w:ascii="Times New Roman" w:cs="Times New Roman" w:eastAsia="Times New Roman" w:hAnsi="Times New Roman"/>
                  <w:sz w:val="12"/>
                  <w:szCs w:val="12"/>
                  <w:color w:val="0000FF"/>
                </w:rPr>
                <w:t>Transfer &amp; Trust Company, as warrant agent</w:t>
              </w:r>
            </w:hyperlink>
          </w:p>
        </w:tc>
        <w:tc>
          <w:tcPr>
            <w:tcW w:w="1840" w:type="dxa"/>
            <w:vAlign w:val="bottom"/>
            <w:tcBorders>
              <w:top w:val="single" w:sz="8" w:color="0000FF"/>
            </w:tcBorders>
            <w:gridSpan w:val="2"/>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540" w:type="dxa"/>
            <w:vAlign w:val="bottom"/>
            <w:tcBorders>
              <w:top w:val="single" w:sz="8" w:color="0000FF"/>
            </w:tcBorders>
            <w:gridSpan w:val="3"/>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gridSpan w:val="3"/>
          </w:tcPr>
          <w:p>
            <w:pPr>
              <w:spacing w:after="0"/>
              <w:rPr>
                <w:sz w:val="10"/>
                <w:szCs w:val="10"/>
                <w:color w:val="auto"/>
              </w:rPr>
            </w:pPr>
          </w:p>
        </w:tc>
        <w:tc>
          <w:tcPr>
            <w:tcW w:w="40" w:type="dxa"/>
            <w:vAlign w:val="bottom"/>
            <w:tcBorders>
              <w:top w:val="single" w:sz="8" w:color="0000FF"/>
            </w:tcBorders>
            <w:gridSpan w:val="2"/>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26"/>
            <w:vMerge w:val="restart"/>
          </w:tcPr>
          <w:p>
            <w:pPr>
              <w:spacing w:after="0"/>
              <w:rPr>
                <w:rFonts w:ascii="Times New Roman" w:cs="Times New Roman" w:eastAsia="Times New Roman" w:hAnsi="Times New Roman"/>
                <w:sz w:val="14"/>
                <w:szCs w:val="14"/>
                <w:color w:val="0000FF"/>
              </w:rPr>
            </w:pPr>
            <w:hyperlink r:id="rId56">
              <w:r>
                <w:rPr>
                  <w:rFonts w:ascii="Times New Roman" w:cs="Times New Roman" w:eastAsia="Times New Roman" w:hAnsi="Times New Roman"/>
                  <w:sz w:val="14"/>
                  <w:szCs w:val="14"/>
                  <w:color w:val="0000FF"/>
                </w:rPr>
                <w:t>Description of Registrant’s Securities Registered Pursuant to Section 12 of the Securities</w:t>
              </w:r>
            </w:hyperlink>
          </w:p>
        </w:tc>
        <w:tc>
          <w:tcPr>
            <w:tcW w:w="0" w:type="dxa"/>
            <w:vAlign w:val="bottom"/>
          </w:tcPr>
          <w:p>
            <w:pPr>
              <w:spacing w:after="0" w:line="20" w:lineRule="exact"/>
              <w:rPr>
                <w:sz w:val="1"/>
                <w:szCs w:val="1"/>
                <w:color w:val="auto"/>
              </w:rPr>
            </w:pPr>
          </w:p>
        </w:tc>
      </w:tr>
      <w:tr>
        <w:trPr>
          <w:trHeight w:val="151"/>
        </w:trPr>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4</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gridSpan w:val="2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56">
              <w:r>
                <w:rPr>
                  <w:rFonts w:ascii="Times New Roman" w:cs="Times New Roman" w:eastAsia="Times New Roman" w:hAnsi="Times New Roman"/>
                  <w:sz w:val="12"/>
                  <w:szCs w:val="12"/>
                  <w:color w:val="0000FF"/>
                </w:rPr>
                <w:t>Exchange Act of 1934</w:t>
              </w:r>
            </w:hyperlink>
          </w:p>
        </w:tc>
        <w:tc>
          <w:tcPr>
            <w:tcW w:w="3760" w:type="dxa"/>
            <w:vAlign w:val="bottom"/>
            <w:tcBorders>
              <w:top w:val="single" w:sz="8" w:color="0000FF"/>
            </w:tcBorders>
            <w:gridSpan w:val="12"/>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26"/>
            <w:vMerge w:val="restart"/>
          </w:tcPr>
          <w:p>
            <w:pPr>
              <w:spacing w:after="0"/>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Employment Agreement, dated April 8, 2024, by and among The Beauty Health Company,</w:t>
              </w:r>
            </w:hyperlink>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00"/>
              </w:rPr>
              <w:t>†</w:t>
            </w:r>
          </w:p>
        </w:tc>
        <w:tc>
          <w:tcPr>
            <w:tcW w:w="5440" w:type="dxa"/>
            <w:vAlign w:val="bottom"/>
            <w:gridSpan w:val="2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516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57">
              <w:r>
                <w:rPr>
                  <w:rFonts w:ascii="Times New Roman" w:cs="Times New Roman" w:eastAsia="Times New Roman" w:hAnsi="Times New Roman"/>
                  <w:sz w:val="12"/>
                  <w:szCs w:val="12"/>
                  <w:color w:val="0000FF"/>
                </w:rPr>
                <w:t>HydraFacial LLC, and Marla Beck</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0" w:type="dxa"/>
            <w:vAlign w:val="bottom"/>
            <w:gridSpan w:val="3"/>
          </w:tcPr>
          <w:p>
            <w:pPr>
              <w:ind w:left="20"/>
              <w:spacing w:after="0" w:line="150" w:lineRule="exact"/>
              <w:rPr>
                <w:rFonts w:ascii="Times New Roman" w:cs="Times New Roman" w:eastAsia="Times New Roman" w:hAnsi="Times New Roman"/>
                <w:sz w:val="14"/>
                <w:szCs w:val="14"/>
                <w:color w:val="0000FF"/>
                <w:w w:val="93"/>
              </w:rPr>
            </w:pPr>
            <w:hyperlink r:id="rId58">
              <w:r>
                <w:rPr>
                  <w:rFonts w:ascii="Times New Roman" w:cs="Times New Roman" w:eastAsia="Times New Roman" w:hAnsi="Times New Roman"/>
                  <w:sz w:val="14"/>
                  <w:szCs w:val="14"/>
                  <w:color w:val="0000FF"/>
                  <w:w w:val="93"/>
                </w:rPr>
                <w:t>10.</w:t>
              </w:r>
              <w:r>
                <w:rPr>
                  <w:rFonts w:ascii="Times New Roman" w:cs="Times New Roman" w:eastAsia="Times New Roman" w:hAnsi="Times New Roman"/>
                  <w:sz w:val="14"/>
                  <w:szCs w:val="14"/>
                  <w:u w:val="single" w:color="auto"/>
                  <w:color w:val="0000FF"/>
                  <w:w w:val="93"/>
                </w:rPr>
                <w:t>2</w:t>
              </w:r>
            </w:hyperlink>
            <w:r>
              <w:rPr>
                <w:rFonts w:ascii="Times New Roman" w:cs="Times New Roman" w:eastAsia="Times New Roman" w:hAnsi="Times New Roman"/>
                <w:sz w:val="11"/>
                <w:szCs w:val="11"/>
                <w:color w:val="0000FF"/>
                <w:w w:val="93"/>
              </w:rPr>
              <w:t>#</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40" w:type="dxa"/>
            <w:vAlign w:val="bottom"/>
            <w:gridSpan w:val="26"/>
          </w:tcPr>
          <w:p>
            <w:pPr>
              <w:spacing w:after="0" w:line="150" w:lineRule="exact"/>
              <w:rPr>
                <w:rFonts w:ascii="Times New Roman" w:cs="Times New Roman" w:eastAsia="Times New Roman" w:hAnsi="Times New Roman"/>
                <w:sz w:val="14"/>
                <w:szCs w:val="14"/>
                <w:color w:val="0000FF"/>
              </w:rPr>
            </w:pPr>
            <w:hyperlink r:id="rId58">
              <w:r>
                <w:rPr>
                  <w:rFonts w:ascii="Times New Roman" w:cs="Times New Roman" w:eastAsia="Times New Roman" w:hAnsi="Times New Roman"/>
                  <w:sz w:val="14"/>
                  <w:szCs w:val="14"/>
                  <w:color w:val="0000FF"/>
                </w:rPr>
                <w:t>The Beauty Health Company Amended and Restated Executive Severance Plan</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0000FF"/>
                <w:w w:val="72"/>
              </w:rPr>
              <w:t>10.</w:t>
            </w:r>
            <w:r>
              <w:rPr>
                <w:rFonts w:ascii="Times New Roman" w:cs="Times New Roman" w:eastAsia="Times New Roman" w:hAnsi="Times New Roman"/>
                <w:sz w:val="11"/>
                <w:szCs w:val="11"/>
                <w:u w:val="single" w:color="auto"/>
                <w:color w:val="0000FF"/>
                <w:w w:val="72"/>
              </w:rPr>
              <w:t>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Purchase Agreement, dated December 15, 2023, by and between The Beauty Health Company</w:t>
            </w: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tcBorders>
              <w:top w:val="single" w:sz="8" w:color="0000FF"/>
              <w:bottom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and Goldman Sachs &amp; Co. LLC</w:t>
            </w:r>
          </w:p>
        </w:tc>
        <w:tc>
          <w:tcPr>
            <w:tcW w:w="3540" w:type="dxa"/>
            <w:vAlign w:val="bottom"/>
            <w:tcBorders>
              <w:top w:val="single" w:sz="8" w:color="0000FF"/>
            </w:tcBorders>
            <w:gridSpan w:val="20"/>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color w:val="0000FF"/>
              </w:rPr>
              <w:t>Purchase Agreement, dated April 1, 2024, by and between The Beauty Health Company and</w:t>
            </w:r>
          </w:p>
        </w:tc>
        <w:tc>
          <w:tcPr>
            <w:tcW w:w="0" w:type="dxa"/>
            <w:vAlign w:val="bottom"/>
          </w:tcPr>
          <w:p>
            <w:pPr>
              <w:spacing w:after="0" w:line="20" w:lineRule="exact"/>
              <w:rPr>
                <w:sz w:val="1"/>
                <w:szCs w:val="1"/>
                <w:color w:val="auto"/>
              </w:rPr>
            </w:pPr>
          </w:p>
        </w:tc>
      </w:tr>
      <w:tr>
        <w:trPr>
          <w:trHeight w:val="151"/>
        </w:trPr>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0000FF"/>
                <w:w w:val="72"/>
              </w:rPr>
              <w:t>10.</w:t>
            </w:r>
            <w:r>
              <w:rPr>
                <w:rFonts w:ascii="Times New Roman" w:cs="Times New Roman" w:eastAsia="Times New Roman" w:hAnsi="Times New Roman"/>
                <w:sz w:val="11"/>
                <w:szCs w:val="11"/>
                <w:u w:val="single" w:color="auto"/>
                <w:color w:val="0000FF"/>
                <w:w w:val="72"/>
              </w:rPr>
              <w:t>4</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gridSpan w:val="2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Goldman Sachs &amp; Co. LLC</w:t>
            </w:r>
          </w:p>
        </w:tc>
        <w:tc>
          <w:tcPr>
            <w:tcW w:w="3700" w:type="dxa"/>
            <w:vAlign w:val="bottom"/>
            <w:tcBorders>
              <w:top w:val="single" w:sz="8" w:color="0000FF"/>
            </w:tcBorders>
            <w:gridSpan w:val="17"/>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40" w:type="dxa"/>
            <w:vAlign w:val="bottom"/>
            <w:gridSpan w:val="26"/>
            <w:vMerge w:val="restart"/>
          </w:tcPr>
          <w:p>
            <w:pPr>
              <w:spacing w:after="0"/>
              <w:rPr>
                <w:rFonts w:ascii="Times New Roman" w:cs="Times New Roman" w:eastAsia="Times New Roman" w:hAnsi="Times New Roman"/>
                <w:sz w:val="14"/>
                <w:szCs w:val="14"/>
                <w:color w:val="0000FF"/>
              </w:rPr>
            </w:pPr>
            <w:hyperlink r:id="rId59">
              <w:r>
                <w:rPr>
                  <w:rFonts w:ascii="Times New Roman" w:cs="Times New Roman" w:eastAsia="Times New Roman" w:hAnsi="Times New Roman"/>
                  <w:sz w:val="14"/>
                  <w:szCs w:val="14"/>
                  <w:color w:val="0000FF"/>
                </w:rPr>
                <w:t>Separation, Transition and General Release Agreement, dated April 29, 2024, by and between</w:t>
              </w:r>
            </w:hyperlink>
          </w:p>
        </w:tc>
        <w:tc>
          <w:tcPr>
            <w:tcW w:w="0" w:type="dxa"/>
            <w:vAlign w:val="bottom"/>
          </w:tcPr>
          <w:p>
            <w:pPr>
              <w:spacing w:after="0" w:line="20" w:lineRule="exact"/>
              <w:rPr>
                <w:sz w:val="1"/>
                <w:szCs w:val="1"/>
                <w:color w:val="auto"/>
              </w:rPr>
            </w:pPr>
          </w:p>
        </w:tc>
      </w:tr>
      <w:tr>
        <w:trPr>
          <w:trHeight w:val="151"/>
        </w:trPr>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0000FF"/>
                <w:w w:val="72"/>
              </w:rPr>
              <w:t>10.</w:t>
            </w:r>
            <w:r>
              <w:rPr>
                <w:rFonts w:ascii="Times New Roman" w:cs="Times New Roman" w:eastAsia="Times New Roman" w:hAnsi="Times New Roman"/>
                <w:sz w:val="11"/>
                <w:szCs w:val="11"/>
                <w:u w:val="single" w:color="auto"/>
                <w:color w:val="0000FF"/>
                <w:w w:val="72"/>
              </w:rPr>
              <w:t>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gridSpan w:val="2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34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59">
              <w:r>
                <w:rPr>
                  <w:rFonts w:ascii="Times New Roman" w:cs="Times New Roman" w:eastAsia="Times New Roman" w:hAnsi="Times New Roman"/>
                  <w:sz w:val="12"/>
                  <w:szCs w:val="12"/>
                  <w:color w:val="0000FF"/>
                </w:rPr>
                <w:t>Hydrafacial LLC and Brad Hauser</w:t>
              </w:r>
            </w:hyperlink>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0000FF"/>
                <w:w w:val="72"/>
              </w:rPr>
              <w:t>31.</w:t>
            </w:r>
            <w:r>
              <w:rPr>
                <w:rFonts w:ascii="Times New Roman" w:cs="Times New Roman" w:eastAsia="Times New Roman" w:hAnsi="Times New Roman"/>
                <w:sz w:val="11"/>
                <w:szCs w:val="11"/>
                <w:u w:val="single" w:color="auto"/>
                <w:color w:val="0000FF"/>
                <w:w w:val="72"/>
              </w:rPr>
              <w:t>1</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gridSpan w:val="26"/>
          </w:tcPr>
          <w:p>
            <w:pPr>
              <w:spacing w:after="0" w:line="15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Securities Exchange Act Rules 13a-</w:t>
            </w: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60" w:type="dxa"/>
            <w:vAlign w:val="bottom"/>
            <w:tcBorders>
              <w:top w:val="single" w:sz="8" w:color="0000FF"/>
            </w:tcBorders>
            <w:gridSpan w:val="20"/>
          </w:tcPr>
          <w:p>
            <w:pPr>
              <w:spacing w:after="0" w:line="107" w:lineRule="exact"/>
              <w:rPr>
                <w:sz w:val="20"/>
                <w:szCs w:val="20"/>
                <w:color w:val="auto"/>
              </w:rPr>
            </w:pPr>
            <w:r>
              <w:rPr>
                <w:rFonts w:ascii="Times New Roman" w:cs="Times New Roman" w:eastAsia="Times New Roman" w:hAnsi="Times New Roman"/>
                <w:sz w:val="12"/>
                <w:szCs w:val="12"/>
                <w:color w:val="0000FF"/>
              </w:rPr>
              <w:t>14(a), as adopted Pursuant to Section 302 of the Sarbanes-Oxley Act of 2002</w:t>
            </w:r>
          </w:p>
        </w:tc>
        <w:tc>
          <w:tcPr>
            <w:tcW w:w="18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60" w:type="dxa"/>
            <w:vAlign w:val="bottom"/>
            <w:gridSpan w:val="10"/>
            <w:shd w:val="clear" w:color="auto" w:fill="0000FF"/>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0000FF"/>
                <w:w w:val="72"/>
              </w:rPr>
              <w:t>31.</w:t>
            </w:r>
            <w:r>
              <w:rPr>
                <w:rFonts w:ascii="Times New Roman" w:cs="Times New Roman" w:eastAsia="Times New Roman" w:hAnsi="Times New Roman"/>
                <w:sz w:val="11"/>
                <w:szCs w:val="11"/>
                <w:u w:val="single" w:color="auto"/>
                <w:color w:val="0000FF"/>
                <w:w w:val="72"/>
              </w:rPr>
              <w:t>2</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40" w:type="dxa"/>
            <w:vAlign w:val="bottom"/>
            <w:gridSpan w:val="26"/>
          </w:tcPr>
          <w:p>
            <w:pPr>
              <w:spacing w:after="0" w:line="15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Securities Exchange Act Rules 13a-</w:t>
            </w: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360" w:type="dxa"/>
            <w:vAlign w:val="bottom"/>
            <w:tcBorders>
              <w:top w:val="single" w:sz="8" w:color="0000FF"/>
              <w:bottom w:val="single" w:sz="8" w:color="0000FF"/>
            </w:tcBorders>
            <w:gridSpan w:val="10"/>
          </w:tcPr>
          <w:p>
            <w:pPr>
              <w:spacing w:after="0" w:line="107" w:lineRule="exact"/>
              <w:rPr>
                <w:sz w:val="20"/>
                <w:szCs w:val="20"/>
                <w:color w:val="auto"/>
              </w:rPr>
            </w:pPr>
            <w:r>
              <w:rPr>
                <w:rFonts w:ascii="Times New Roman" w:cs="Times New Roman" w:eastAsia="Times New Roman" w:hAnsi="Times New Roman"/>
                <w:sz w:val="12"/>
                <w:szCs w:val="12"/>
                <w:color w:val="0000FF"/>
              </w:rPr>
              <w:t>14(a), as adopted Pursuant to Section 302 of the Sarbanes-Oxley Act of 2002</w:t>
            </w:r>
          </w:p>
        </w:tc>
        <w:tc>
          <w:tcPr>
            <w:tcW w:w="860" w:type="dxa"/>
            <w:vAlign w:val="bottom"/>
            <w:tcBorders>
              <w:top w:val="single" w:sz="8" w:color="0000FF"/>
            </w:tcBorders>
            <w:gridSpan w:val="8"/>
          </w:tcPr>
          <w:p>
            <w:pPr>
              <w:spacing w:after="0"/>
              <w:rPr>
                <w:sz w:val="11"/>
                <w:szCs w:val="11"/>
                <w:color w:val="auto"/>
              </w:rPr>
            </w:pPr>
          </w:p>
        </w:tc>
        <w:tc>
          <w:tcPr>
            <w:tcW w:w="22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gridSpan w:val="12"/>
          </w:tcPr>
          <w:p>
            <w:pPr>
              <w:ind w:left="4620"/>
              <w:spacing w:after="0"/>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-2808605</wp:posOffset>
            </wp:positionV>
            <wp:extent cx="7161530"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-2471420</wp:posOffset>
            </wp:positionV>
            <wp:extent cx="7161530" cy="229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61530" cy="2292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7161530" cy="208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-1616075</wp:posOffset>
            </wp:positionV>
            <wp:extent cx="7161530" cy="121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-1285875</wp:posOffset>
            </wp:positionV>
            <wp:extent cx="7161530" cy="2089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-868045</wp:posOffset>
            </wp:positionV>
            <wp:extent cx="7161530" cy="208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-3327400</wp:posOffset>
            </wp:positionV>
            <wp:extent cx="7161530" cy="390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61530" cy="390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Form</w:t>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8-K</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8-K</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8-K</w:t>
      </w: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8-K</w:t>
      </w:r>
    </w:p>
    <w:p>
      <w:pPr>
        <w:spacing w:after="0" w:line="2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8-K</w:t>
      </w: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8-K</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10-K</w:t>
      </w:r>
    </w:p>
    <w:p>
      <w:pPr>
        <w:spacing w:after="0" w:line="1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8-K</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592"/>
        </w:trPr>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001-39565</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24"/>
                <w:szCs w:val="24"/>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December 9, 2020</w:t>
            </w:r>
          </w:p>
        </w:tc>
      </w:tr>
      <w:tr>
        <w:trPr>
          <w:trHeight w:val="184"/>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001-39565</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10, 2021</w:t>
            </w:r>
          </w:p>
        </w:tc>
      </w:tr>
      <w:tr>
        <w:trPr>
          <w:trHeight w:val="223"/>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001-39565</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10, 2021</w:t>
            </w:r>
          </w:p>
        </w:tc>
      </w:tr>
      <w:tr>
        <w:trPr>
          <w:trHeight w:val="329"/>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September 14, 2021</w:t>
            </w:r>
          </w:p>
        </w:tc>
      </w:tr>
      <w:tr>
        <w:trPr>
          <w:trHeight w:val="34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September 14, 2021</w:t>
            </w:r>
          </w:p>
        </w:tc>
      </w:tr>
      <w:tr>
        <w:trPr>
          <w:trHeight w:val="350"/>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5, 2020</w:t>
            </w:r>
          </w:p>
        </w:tc>
      </w:tr>
      <w:tr>
        <w:trPr>
          <w:trHeight w:val="329"/>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 2022</w:t>
            </w:r>
          </w:p>
        </w:tc>
      </w:tr>
      <w:tr>
        <w:trPr>
          <w:trHeight w:val="329"/>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001-39565</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8, 2024</w:t>
            </w:r>
          </w:p>
        </w:tc>
      </w:tr>
      <w:tr>
        <w:trPr>
          <w:trHeight w:val="191"/>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001-39565</w:t>
            </w: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8,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0"/>
        <w:spacing w:after="0"/>
        <w:tabs>
          <w:tab w:leader="none" w:pos="1140" w:val="left"/>
          <w:tab w:leader="none" w:pos="2060" w:val="left"/>
        </w:tabs>
        <w:rPr>
          <w:sz w:val="20"/>
          <w:szCs w:val="20"/>
          <w:color w:val="auto"/>
        </w:rPr>
      </w:pPr>
      <w:r>
        <w:rPr>
          <w:rFonts w:ascii="Times New Roman" w:cs="Times New Roman" w:eastAsia="Times New Roman" w:hAnsi="Times New Roman"/>
          <w:sz w:val="14"/>
          <w:szCs w:val="14"/>
          <w:color w:val="auto"/>
        </w:rPr>
        <w:t>001-39565</w:t>
      </w:r>
      <w:r>
        <w:rPr>
          <w:sz w:val="20"/>
          <w:szCs w:val="20"/>
          <w:color w:val="auto"/>
        </w:rPr>
        <w:tab/>
      </w: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color w:val="auto"/>
        </w:rPr>
        <w:t>May 2,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9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4">
            <w:col w:w="6440" w:space="180"/>
            <w:col w:w="360" w:space="220"/>
            <w:col w:w="3200" w:space="200"/>
            <w:col w:w="560"/>
          </w:cols>
          <w:pgMar w:left="300" w:top="759" w:right="4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16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3"/>
                <w:szCs w:val="13"/>
                <w:color w:val="auto"/>
              </w:rPr>
            </w:pPr>
          </w:p>
        </w:tc>
        <w:tc>
          <w:tcPr>
            <w:tcW w:w="5520" w:type="dxa"/>
            <w:vAlign w:val="bottom"/>
            <w:gridSpan w:val="5"/>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5"/>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39"/>
        </w:trPr>
        <w:tc>
          <w:tcPr>
            <w:tcW w:w="880" w:type="dxa"/>
            <w:vAlign w:val="bottom"/>
            <w:tcBorders>
              <w:top w:val="single" w:sz="8" w:color="auto"/>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460" w:type="dxa"/>
            <w:vAlign w:val="bottom"/>
            <w:tcBorders>
              <w:top w:val="single" w:sz="8" w:color="auto"/>
            </w:tcBorders>
            <w:gridSpan w:val="4"/>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w:t>
            </w: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38"/>
        </w:trPr>
        <w:tc>
          <w:tcPr>
            <w:tcW w:w="880" w:type="dxa"/>
            <w:vAlign w:val="bottom"/>
            <w:tcBorders>
              <w:top w:val="single" w:sz="8" w:color="auto"/>
              <w:bottom w:val="single" w:sz="8" w:color="CCEEFF"/>
            </w:tcBorders>
            <w:gridSpan w:val="3"/>
            <w:vMerge w:val="continue"/>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3360" w:type="dxa"/>
            <w:vAlign w:val="bottom"/>
            <w:tcBorders>
              <w:top w:val="single" w:sz="8" w:color="0000FF"/>
              <w:bottom w:val="single" w:sz="8" w:color="0000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0000FF"/>
              </w:rPr>
              <w:t>Pursuant to Section 906 of the Sarbanes-Oxley Act of 2002</w:t>
            </w:r>
          </w:p>
        </w:tc>
        <w:tc>
          <w:tcPr>
            <w:tcW w:w="1780" w:type="dxa"/>
            <w:vAlign w:val="bottom"/>
            <w:tcBorders>
              <w:top w:val="single" w:sz="8" w:color="0000FF"/>
              <w:bottom w:val="single" w:sz="8" w:color="CCEEFF"/>
            </w:tcBorders>
            <w:shd w:val="clear" w:color="auto" w:fill="CCEEFF"/>
          </w:tcPr>
          <w:p>
            <w:pPr>
              <w:spacing w:after="0"/>
              <w:rPr>
                <w:sz w:val="11"/>
                <w:szCs w:val="11"/>
                <w:color w:val="auto"/>
              </w:rPr>
            </w:pPr>
          </w:p>
        </w:tc>
        <w:tc>
          <w:tcPr>
            <w:tcW w:w="40" w:type="dxa"/>
            <w:vAlign w:val="bottom"/>
            <w:tcBorders>
              <w:top w:val="single" w:sz="8" w:color="0000FF"/>
              <w:bottom w:val="single" w:sz="8" w:color="CCEEFF"/>
            </w:tcBorders>
            <w:shd w:val="clear" w:color="auto" w:fill="CCEEFF"/>
          </w:tcPr>
          <w:p>
            <w:pPr>
              <w:spacing w:after="0"/>
              <w:rPr>
                <w:sz w:val="11"/>
                <w:szCs w:val="11"/>
                <w:color w:val="auto"/>
              </w:rPr>
            </w:pPr>
          </w:p>
        </w:tc>
        <w:tc>
          <w:tcPr>
            <w:tcW w:w="3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5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520" w:type="dxa"/>
            <w:vAlign w:val="bottom"/>
            <w:gridSpan w:val="5"/>
          </w:tcPr>
          <w:p>
            <w:pPr>
              <w:spacing w:after="0" w:line="13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 adopted</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40" w:type="dxa"/>
            <w:vAlign w:val="bottom"/>
            <w:tcBorders>
              <w:top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Pursuant to Section 906 of the Sarbanes-Oxley Act of 2002</w:t>
            </w:r>
          </w:p>
        </w:tc>
        <w:tc>
          <w:tcPr>
            <w:tcW w:w="380" w:type="dxa"/>
            <w:vAlign w:val="bottom"/>
            <w:gridSpan w:val="3"/>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shd w:val="clear" w:color="auto" w:fill="CCEEFF"/>
          </w:tcPr>
          <w:p>
            <w:pPr>
              <w:spacing w:after="0"/>
              <w:rPr>
                <w:sz w:val="15"/>
                <w:szCs w:val="15"/>
                <w:color w:val="auto"/>
              </w:rPr>
            </w:pPr>
          </w:p>
        </w:tc>
        <w:tc>
          <w:tcPr>
            <w:tcW w:w="5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5"/>
                <w:szCs w:val="15"/>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shd w:val="clear" w:color="auto" w:fill="CCEEFF"/>
          </w:tcPr>
          <w:p>
            <w:pPr>
              <w:spacing w:after="0"/>
              <w:rPr>
                <w:sz w:val="15"/>
                <w:szCs w:val="15"/>
                <w:color w:val="auto"/>
              </w:rPr>
            </w:pPr>
          </w:p>
        </w:tc>
        <w:tc>
          <w:tcPr>
            <w:tcW w:w="5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5"/>
                <w:szCs w:val="15"/>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shd w:val="clear" w:color="auto" w:fill="CCEEFF"/>
          </w:tcPr>
          <w:p>
            <w:pPr>
              <w:spacing w:after="0"/>
              <w:rPr>
                <w:sz w:val="15"/>
                <w:szCs w:val="15"/>
                <w:color w:val="auto"/>
              </w:rPr>
            </w:pPr>
          </w:p>
        </w:tc>
        <w:tc>
          <w:tcPr>
            <w:tcW w:w="5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Labels Linkbase Document</w:t>
            </w: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5"/>
                <w:szCs w:val="15"/>
                <w:color w:val="auto"/>
              </w:rPr>
            </w:pPr>
          </w:p>
        </w:tc>
        <w:tc>
          <w:tcPr>
            <w:tcW w:w="55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520" w:type="dxa"/>
            <w:vAlign w:val="bottom"/>
            <w:gridSpan w:val="5"/>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5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attachments</w:t>
            </w: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49" w:lineRule="exact"/>
        <w:rPr>
          <w:sz w:val="20"/>
          <w:szCs w:val="20"/>
          <w:color w:val="auto"/>
        </w:rPr>
      </w:pPr>
    </w:p>
    <w:p>
      <w:pPr>
        <w:ind w:left="260" w:right="280" w:hanging="255"/>
        <w:spacing w:after="0" w:line="252" w:lineRule="auto"/>
        <w:tabs>
          <w:tab w:leader="none" w:pos="173"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ind w:left="260" w:right="40" w:hanging="255"/>
        <w:spacing w:after="0" w:line="231" w:lineRule="auto"/>
        <w:tabs>
          <w:tab w:leader="none" w:pos="229"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spacing w:after="0" w:line="1" w:lineRule="exact"/>
        <w:rPr>
          <w:sz w:val="20"/>
          <w:szCs w:val="20"/>
          <w:color w:val="auto"/>
        </w:rPr>
      </w:pPr>
    </w:p>
    <w:p>
      <w:pPr>
        <w:ind w:left="200" w:hanging="195"/>
        <w:spacing w:after="0"/>
        <w:tabs>
          <w:tab w:leader="none" w:pos="20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Confidential portions of this exhibit were redacted pursuant to Item 601(b)(10) of Regulation S-K, and the Company agrees to furnish to the SEC a copy of any omitted schedule and/or exhibit upon request.</w:t>
      </w: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822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THE BEAUTY HEALTH COMPANY</w:t>
            </w:r>
          </w:p>
        </w:tc>
      </w:tr>
      <w:tr>
        <w:trPr>
          <w:trHeight w:val="382"/>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Date: May 9, 2024</w:t>
            </w:r>
          </w:p>
        </w:tc>
        <w:tc>
          <w:tcPr>
            <w:tcW w:w="8220" w:type="dxa"/>
            <w:vAlign w:val="bottom"/>
            <w:gridSpan w:val="2"/>
          </w:tcPr>
          <w:p>
            <w:pPr>
              <w:ind w:left="2240"/>
              <w:spacing w:after="0"/>
              <w:rPr>
                <w:sz w:val="20"/>
                <w:szCs w:val="20"/>
                <w:color w:val="auto"/>
              </w:rPr>
            </w:pPr>
            <w:r>
              <w:rPr>
                <w:rFonts w:ascii="Times New Roman" w:cs="Times New Roman" w:eastAsia="Times New Roman" w:hAnsi="Times New Roman"/>
                <w:sz w:val="14"/>
                <w:szCs w:val="14"/>
                <w:color w:val="auto"/>
              </w:rPr>
              <w:t>By: /s/ Marla Beck</w:t>
            </w:r>
          </w:p>
        </w:tc>
      </w:tr>
      <w:tr>
        <w:trPr>
          <w:trHeight w:val="167"/>
        </w:trPr>
        <w:tc>
          <w:tcPr>
            <w:tcW w:w="2740" w:type="dxa"/>
            <w:vAlign w:val="bottom"/>
          </w:tcPr>
          <w:p>
            <w:pPr>
              <w:spacing w:after="0"/>
              <w:rPr>
                <w:sz w:val="14"/>
                <w:szCs w:val="14"/>
                <w:color w:val="auto"/>
              </w:rPr>
            </w:pPr>
          </w:p>
        </w:tc>
        <w:tc>
          <w:tcPr>
            <w:tcW w:w="2460" w:type="dxa"/>
            <w:vAlign w:val="bottom"/>
          </w:tcPr>
          <w:p>
            <w:pPr>
              <w:ind w:left="2080"/>
              <w:spacing w:after="0"/>
              <w:rPr>
                <w:sz w:val="20"/>
                <w:szCs w:val="20"/>
                <w:color w:val="auto"/>
              </w:rPr>
            </w:pPr>
            <w:r>
              <w:rPr>
                <w:rFonts w:ascii="Times New Roman" w:cs="Times New Roman" w:eastAsia="Times New Roman" w:hAnsi="Times New Roman"/>
                <w:sz w:val="14"/>
                <w:szCs w:val="14"/>
                <w:color w:val="auto"/>
                <w:w w:val="96"/>
              </w:rPr>
              <w:t>Name:</w:t>
            </w: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Marla Beck</w:t>
            </w:r>
          </w:p>
        </w:tc>
      </w:tr>
      <w:tr>
        <w:trPr>
          <w:trHeight w:val="180"/>
        </w:trPr>
        <w:tc>
          <w:tcPr>
            <w:tcW w:w="2740" w:type="dxa"/>
            <w:vAlign w:val="bottom"/>
          </w:tcPr>
          <w:p>
            <w:pPr>
              <w:spacing w:after="0"/>
              <w:rPr>
                <w:sz w:val="15"/>
                <w:szCs w:val="15"/>
                <w:color w:val="auto"/>
              </w:rPr>
            </w:pPr>
          </w:p>
        </w:tc>
        <w:tc>
          <w:tcPr>
            <w:tcW w:w="8220" w:type="dxa"/>
            <w:vAlign w:val="bottom"/>
            <w:gridSpan w:val="2"/>
          </w:tcPr>
          <w:p>
            <w:pPr>
              <w:ind w:left="2140"/>
              <w:spacing w:after="0"/>
              <w:rPr>
                <w:sz w:val="20"/>
                <w:szCs w:val="20"/>
                <w:color w:val="auto"/>
              </w:rPr>
            </w:pPr>
            <w:r>
              <w:rPr>
                <w:rFonts w:ascii="Times New Roman" w:cs="Times New Roman" w:eastAsia="Times New Roman" w:hAnsi="Times New Roman"/>
                <w:sz w:val="14"/>
                <w:szCs w:val="14"/>
                <w:color w:val="auto"/>
              </w:rPr>
              <w:t>Title: Chief Executive Officer</w:t>
            </w:r>
          </w:p>
        </w:tc>
      </w:tr>
      <w:tr>
        <w:trPr>
          <w:trHeight w:val="184"/>
        </w:trPr>
        <w:tc>
          <w:tcPr>
            <w:tcW w:w="2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82"/>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Date: May 9, 2024</w:t>
            </w:r>
          </w:p>
        </w:tc>
        <w:tc>
          <w:tcPr>
            <w:tcW w:w="8220" w:type="dxa"/>
            <w:vAlign w:val="bottom"/>
            <w:gridSpan w:val="2"/>
          </w:tcPr>
          <w:p>
            <w:pPr>
              <w:ind w:left="2240"/>
              <w:spacing w:after="0"/>
              <w:rPr>
                <w:sz w:val="20"/>
                <w:szCs w:val="20"/>
                <w:color w:val="auto"/>
              </w:rPr>
            </w:pPr>
            <w:r>
              <w:rPr>
                <w:rFonts w:ascii="Times New Roman" w:cs="Times New Roman" w:eastAsia="Times New Roman" w:hAnsi="Times New Roman"/>
                <w:sz w:val="14"/>
                <w:szCs w:val="14"/>
                <w:color w:val="auto"/>
              </w:rPr>
              <w:t>By: /s/ Michael Monahan</w:t>
            </w:r>
          </w:p>
        </w:tc>
      </w:tr>
      <w:tr>
        <w:trPr>
          <w:trHeight w:val="167"/>
        </w:trPr>
        <w:tc>
          <w:tcPr>
            <w:tcW w:w="2740" w:type="dxa"/>
            <w:vAlign w:val="bottom"/>
          </w:tcPr>
          <w:p>
            <w:pPr>
              <w:spacing w:after="0"/>
              <w:rPr>
                <w:sz w:val="14"/>
                <w:szCs w:val="14"/>
                <w:color w:val="auto"/>
              </w:rPr>
            </w:pPr>
          </w:p>
        </w:tc>
        <w:tc>
          <w:tcPr>
            <w:tcW w:w="2460" w:type="dxa"/>
            <w:vAlign w:val="bottom"/>
          </w:tcPr>
          <w:p>
            <w:pPr>
              <w:ind w:left="2080"/>
              <w:spacing w:after="0"/>
              <w:rPr>
                <w:sz w:val="20"/>
                <w:szCs w:val="20"/>
                <w:color w:val="auto"/>
              </w:rPr>
            </w:pPr>
            <w:r>
              <w:rPr>
                <w:rFonts w:ascii="Times New Roman" w:cs="Times New Roman" w:eastAsia="Times New Roman" w:hAnsi="Times New Roman"/>
                <w:sz w:val="14"/>
                <w:szCs w:val="14"/>
                <w:color w:val="auto"/>
                <w:w w:val="96"/>
              </w:rPr>
              <w:t>Name:</w:t>
            </w: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Michael Monahan</w:t>
            </w:r>
          </w:p>
        </w:tc>
      </w:tr>
      <w:tr>
        <w:trPr>
          <w:trHeight w:val="180"/>
        </w:trPr>
        <w:tc>
          <w:tcPr>
            <w:tcW w:w="2740" w:type="dxa"/>
            <w:vAlign w:val="bottom"/>
          </w:tcPr>
          <w:p>
            <w:pPr>
              <w:spacing w:after="0"/>
              <w:rPr>
                <w:sz w:val="15"/>
                <w:szCs w:val="15"/>
                <w:color w:val="auto"/>
              </w:rPr>
            </w:pPr>
          </w:p>
        </w:tc>
        <w:tc>
          <w:tcPr>
            <w:tcW w:w="8220" w:type="dxa"/>
            <w:vAlign w:val="bottom"/>
            <w:gridSpan w:val="2"/>
          </w:tcPr>
          <w:p>
            <w:pPr>
              <w:ind w:left="2140"/>
              <w:spacing w:after="0"/>
              <w:rPr>
                <w:sz w:val="20"/>
                <w:szCs w:val="20"/>
                <w:color w:val="auto"/>
              </w:rPr>
            </w:pPr>
            <w:r>
              <w:rPr>
                <w:rFonts w:ascii="Times New Roman" w:cs="Times New Roman" w:eastAsia="Times New Roman" w:hAnsi="Times New Roman"/>
                <w:sz w:val="14"/>
                <w:szCs w:val="14"/>
                <w:color w:val="auto"/>
              </w:rPr>
              <w:t>Title: Chief Financial Officer</w:t>
            </w:r>
          </w:p>
        </w:tc>
      </w:tr>
      <w:tr>
        <w:trPr>
          <w:trHeight w:val="184"/>
        </w:trPr>
        <w:tc>
          <w:tcPr>
            <w:tcW w:w="27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Accounting Officer and Financial Officer)</w:t>
            </w:r>
          </w:p>
        </w:tc>
      </w:tr>
      <w:tr>
        <w:trPr>
          <w:trHeight w:val="711"/>
        </w:trPr>
        <w:tc>
          <w:tcPr>
            <w:tcW w:w="2740" w:type="dxa"/>
            <w:vAlign w:val="bottom"/>
          </w:tcPr>
          <w:p>
            <w:pPr>
              <w:spacing w:after="0"/>
              <w:rPr>
                <w:sz w:val="24"/>
                <w:szCs w:val="24"/>
                <w:color w:val="auto"/>
              </w:rPr>
            </w:pPr>
          </w:p>
        </w:tc>
        <w:tc>
          <w:tcPr>
            <w:tcW w:w="8220" w:type="dxa"/>
            <w:vAlign w:val="bottom"/>
            <w:gridSpan w:val="2"/>
          </w:tcPr>
          <w:p>
            <w:pPr>
              <w:ind w:left="2520"/>
              <w:spacing w:after="0"/>
              <w:rPr>
                <w:sz w:val="20"/>
                <w:szCs w:val="20"/>
                <w:color w:val="auto"/>
              </w:rPr>
            </w:pPr>
            <w:r>
              <w:rPr>
                <w:rFonts w:ascii="Times New Roman" w:cs="Times New Roman" w:eastAsia="Times New Roman" w:hAnsi="Times New Roman"/>
                <w:sz w:val="14"/>
                <w:szCs w:val="14"/>
                <w:color w:val="auto"/>
              </w:rPr>
              <w:t>33</w:t>
            </w:r>
          </w:p>
        </w:tc>
      </w:tr>
    </w:tbl>
    <w:p>
      <w:pPr>
        <w:sectPr>
          <w:pgSz w:w="11900" w:h="16838" w:orient="portrait"/>
          <w:cols w:equalWidth="0" w:num="1">
            <w:col w:w="11280"/>
          </w:cols>
          <w:pgMar w:left="300" w:top="759" w:right="319" w:bottom="1440"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ind w:left="1040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ind w:left="320" w:right="100"/>
        <w:spacing w:after="0" w:line="290" w:lineRule="auto"/>
        <w:rPr>
          <w:sz w:val="20"/>
          <w:szCs w:val="20"/>
          <w:color w:val="auto"/>
        </w:rPr>
      </w:pPr>
      <w:r>
        <w:rPr>
          <w:rFonts w:ascii="Times New Roman" w:cs="Times New Roman" w:eastAsia="Times New Roman" w:hAnsi="Times New Roman"/>
          <w:sz w:val="14"/>
          <w:szCs w:val="14"/>
          <w:b w:val="1"/>
          <w:bCs w:val="1"/>
          <w:color w:val="auto"/>
        </w:rPr>
        <w:t>CERTIFICATION OF CHIEF EXECUTIVE OFFICER PURSUANT TO RULE 13A-14(A) UNDER THE SECURITIES EXCHANGE ACT OF 1934,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Marla Beck, certify that:</w:t>
      </w:r>
    </w:p>
    <w:p>
      <w:pPr>
        <w:spacing w:after="0" w:line="200"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The Beauty Health Company;</w:t>
      </w:r>
    </w:p>
    <w:p>
      <w:pPr>
        <w:spacing w:after="0" w:line="199"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4"/>
          <w:szCs w:val="14"/>
          <w:color w:val="auto"/>
        </w:rPr>
      </w:pPr>
    </w:p>
    <w:p>
      <w:pPr>
        <w:jc w:val="both"/>
        <w:ind w:left="1020" w:right="560" w:hanging="251"/>
        <w:spacing w:after="0" w:line="254" w:lineRule="auto"/>
        <w:tabs>
          <w:tab w:leader="none" w:pos="10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160" w:hanging="251"/>
        <w:spacing w:after="0" w:line="287" w:lineRule="auto"/>
        <w:tabs>
          <w:tab w:leader="none" w:pos="10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May 9, 2024</w:t>
            </w:r>
          </w:p>
        </w:tc>
      </w:tr>
    </w:tbl>
    <w:p>
      <w:pPr>
        <w:ind w:left="5540"/>
        <w:spacing w:after="0"/>
        <w:rPr>
          <w:sz w:val="20"/>
          <w:szCs w:val="20"/>
          <w:color w:val="auto"/>
        </w:rPr>
      </w:pPr>
      <w:r>
        <w:rPr>
          <w:rFonts w:ascii="Times New Roman" w:cs="Times New Roman" w:eastAsia="Times New Roman" w:hAnsi="Times New Roman"/>
          <w:sz w:val="14"/>
          <w:szCs w:val="14"/>
          <w:color w:val="auto"/>
        </w:rPr>
        <w:t>/s/ Marla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12700</wp:posOffset>
            </wp:positionV>
            <wp:extent cx="365823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Marla Beck</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696" w:right="319" w:bottom="1440" w:gutter="0" w:footer="0" w:header="0"/>
        </w:sectPr>
      </w:pPr>
    </w:p>
    <w:bookmarkStart w:id="50" w:name="page51"/>
    <w:bookmarkEnd w:id="50"/>
    <w:p>
      <w:pPr>
        <w:ind w:left="1040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ind w:left="320" w:right="120"/>
        <w:spacing w:after="0" w:line="290" w:lineRule="auto"/>
        <w:rPr>
          <w:sz w:val="20"/>
          <w:szCs w:val="20"/>
          <w:color w:val="auto"/>
        </w:rPr>
      </w:pPr>
      <w:r>
        <w:rPr>
          <w:rFonts w:ascii="Times New Roman" w:cs="Times New Roman" w:eastAsia="Times New Roman" w:hAnsi="Times New Roman"/>
          <w:sz w:val="14"/>
          <w:szCs w:val="14"/>
          <w:b w:val="1"/>
          <w:bCs w:val="1"/>
          <w:color w:val="auto"/>
        </w:rPr>
        <w:t>CERTIFICATION OF CHIEF FINANCIAL OFFICER PURSUANT TO RULE 13A-14(A) UNDER THE SECURITIES EXCHANGE ACT OF 1934,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Monahan, certify that:</w:t>
      </w:r>
    </w:p>
    <w:p>
      <w:pPr>
        <w:spacing w:after="0" w:line="200"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The Beauty Health Company;</w:t>
      </w:r>
    </w:p>
    <w:p>
      <w:pPr>
        <w:spacing w:after="0" w:line="199"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4"/>
          <w:szCs w:val="14"/>
          <w:color w:val="auto"/>
        </w:rPr>
      </w:pPr>
    </w:p>
    <w:p>
      <w:pPr>
        <w:jc w:val="both"/>
        <w:ind w:left="1020" w:right="560" w:hanging="251"/>
        <w:spacing w:after="0" w:line="254" w:lineRule="auto"/>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160" w:hanging="251"/>
        <w:spacing w:after="0" w:line="287" w:lineRule="auto"/>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May 9,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128270</wp:posOffset>
            </wp:positionV>
            <wp:extent cx="365823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1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Michael Monahan</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Accounting and Financial Officer)</w:t>
      </w:r>
    </w:p>
    <w:p>
      <w:pPr>
        <w:sectPr>
          <w:pgSz w:w="11900" w:h="16838" w:orient="portrait"/>
          <w:cols w:equalWidth="0" w:num="1">
            <w:col w:w="11280"/>
          </w:cols>
          <w:pgMar w:left="300" w:top="696" w:right="319" w:bottom="1440" w:gutter="0" w:footer="0" w:header="0"/>
        </w:sectPr>
      </w:pPr>
    </w:p>
    <w:bookmarkStart w:id="51" w:name="page52"/>
    <w:bookmarkEnd w:id="51"/>
    <w:p>
      <w:pPr>
        <w:ind w:left="1040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18 U.S.C. SECTION 1350 AS ADOPTED PURSUANT TO SECTION 906 OF THE SARBANES-OXLEY ACT OF 2002</w:t>
      </w:r>
    </w:p>
    <w:p>
      <w:pPr>
        <w:spacing w:after="0" w:line="20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The Beauty Health Company (the “Company”) on Form 10-Q for the quarterly period ended March 31, 2024, as filed with the Securities and Exchange Commission (the “Report”), I, Marla Beck, Chief Executive Officer of the Company, certify, pursuant to 18 U.S.C. §1350, as added by §906 of the Sarbanes-Oxley Act of 2002, that, to my knowledge:</w:t>
      </w:r>
    </w:p>
    <w:p>
      <w:pPr>
        <w:spacing w:after="0" w:line="157"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May 9, 2024</w:t>
            </w:r>
          </w:p>
        </w:tc>
      </w:tr>
    </w:tbl>
    <w:p>
      <w:pPr>
        <w:ind w:left="5540"/>
        <w:spacing w:after="0"/>
        <w:rPr>
          <w:sz w:val="20"/>
          <w:szCs w:val="20"/>
          <w:color w:val="auto"/>
        </w:rPr>
      </w:pPr>
      <w:r>
        <w:rPr>
          <w:rFonts w:ascii="Times New Roman" w:cs="Times New Roman" w:eastAsia="Times New Roman" w:hAnsi="Times New Roman"/>
          <w:sz w:val="14"/>
          <w:szCs w:val="14"/>
          <w:color w:val="auto"/>
        </w:rPr>
        <w:t>/s/ Marla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12700</wp:posOffset>
            </wp:positionV>
            <wp:extent cx="365823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Marla Beck</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887" w:right="319" w:bottom="1440" w:gutter="0" w:footer="0" w:header="0"/>
        </w:sectPr>
      </w:pPr>
    </w:p>
    <w:bookmarkStart w:id="52" w:name="page53"/>
    <w:bookmarkEnd w:id="52"/>
    <w:p>
      <w:pPr>
        <w:ind w:left="1040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18 U.S.C. SECTION 1350 AS ADOPTED PURSUANT TO SECTION 906 OF THE SARBANES-OXLEY ACT OF 2002</w:t>
      </w:r>
    </w:p>
    <w:p>
      <w:pPr>
        <w:spacing w:after="0" w:line="202"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The Beauty Health Company (the “Company”) on Form 10-Q for the quarterly period ended March 31, 2024, as filed with the Securities and Exchange Commission (the “Report”), I, Michael Monahan, Chief Financial Officer of the Company, certify, pursuant to 18 U.S.C. §1350, as added by §906 of the Sarbanes-Oxley Act of 2002, that, to my knowledge:</w:t>
      </w:r>
    </w:p>
    <w:p>
      <w:pPr>
        <w:spacing w:after="0" w:line="157"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8"/>
              </w:rPr>
              <w:t>May 9, 2024</w:t>
            </w:r>
          </w:p>
        </w:tc>
      </w:tr>
    </w:tbl>
    <w:p>
      <w:pPr>
        <w:ind w:left="5540"/>
        <w:spacing w:after="0"/>
        <w:rPr>
          <w:sz w:val="20"/>
          <w:szCs w:val="20"/>
          <w:color w:val="auto"/>
        </w:rPr>
      </w:pPr>
      <w:r>
        <w:rPr>
          <w:rFonts w:ascii="Times New Roman" w:cs="Times New Roman" w:eastAsia="Times New Roman" w:hAnsi="Times New Roman"/>
          <w:sz w:val="14"/>
          <w:szCs w:val="14"/>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12700</wp:posOffset>
            </wp:positionV>
            <wp:extent cx="365823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Michael Monahan</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Accounting and Financial Officer)</w:t>
      </w:r>
    </w:p>
    <w:sectPr>
      <w:pgSz w:w="11900" w:h="16838" w:orient="portrait"/>
      <w:cols w:equalWidth="0" w:num="1">
        <w:col w:w="11280"/>
      </w:cols>
      <w:pgMar w:left="300" w:top="88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3"/>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51" Type="http://schemas.openxmlformats.org/officeDocument/2006/relationships/hyperlink" Target="https://www.sec.gov/Archives/edgar/data/1818093/000121390020041690/ea131234ex2-1_vesperhealth.htm" TargetMode="External"/><Relationship Id="rId52" Type="http://schemas.openxmlformats.org/officeDocument/2006/relationships/hyperlink" Target="https://www.sec.gov/Archives/edgar/data/1818093/000119312521156433/d422189dex31.htm" TargetMode="External"/><Relationship Id="rId53" Type="http://schemas.openxmlformats.org/officeDocument/2006/relationships/hyperlink" Target="https://www.sec.gov/Archives/edgar/data/1818093/000119312521156433/d422189dex32.htm" TargetMode="External"/><Relationship Id="rId54" Type="http://schemas.openxmlformats.org/officeDocument/2006/relationships/hyperlink" Target="https://www.sec.gov/Archives/edgar/data/1818093/000181809321000062/exhibit41-convdebtclosing.htm" TargetMode="External"/><Relationship Id="rId55" Type="http://schemas.openxmlformats.org/officeDocument/2006/relationships/hyperlink" Target="https://www.sec.gov/Archives/edgar/data/1818093/000121390020030149/ea127784ex4-1_vesper.htm" TargetMode="External"/><Relationship Id="rId56" Type="http://schemas.openxmlformats.org/officeDocument/2006/relationships/hyperlink" Target="https://www.sec.gov/Archives/edgar/data/1818093/000181809322000046/ex44descriptionofsecurities.htm" TargetMode="External"/><Relationship Id="rId57" Type="http://schemas.openxmlformats.org/officeDocument/2006/relationships/hyperlink" Target="https://www.sec.gov/Archives/edgar/data/1818093/000162828024015295/ex101-mbeckexecutiveagre.htm" TargetMode="External"/><Relationship Id="rId58" Type="http://schemas.openxmlformats.org/officeDocument/2006/relationships/hyperlink" Target="https://www.sec.gov/Archives/edgar/data/1818093/000162828024015295/ex102-amendedandrestated.htm" TargetMode="External"/><Relationship Id="rId59" Type="http://schemas.openxmlformats.org/officeDocument/2006/relationships/hyperlink" Target="https://www.sec.gov/Archives/edgar/data/1818093/000162828024019980/ex101-bhauserseparation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2024-05-09T16:50:49Z</dcterms:created>
  <dcterms:modified xsi:type="dcterms:W3CDTF">2024-05-09T16:50:49Z</dcterms:modified>
</cp:coreProperties>
</file>