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31F20"/>
          <w:sz w:val="36"/>
        </w:rPr>
      </w:pPr>
      <w:r>
        <w:rPr>
          <w:rFonts w:ascii="Times New Roman;sans-serif" w:hAnsi="Times New Roman;sans-serif"/>
          <w:b/>
          <w:color w:val="231F20"/>
          <w:sz w:val="36"/>
        </w:rPr>
        <w:t>UNITED STATES</w:t>
      </w:r>
    </w:p>
    <w:p>
      <w:pPr>
        <w:pStyle w:val="TextBody"/>
        <w:bidi w:val="0"/>
        <w:spacing w:lineRule="auto" w:line="288" w:before="0" w:after="0"/>
        <w:jc w:val="center"/>
        <w:rPr>
          <w:rFonts w:ascii="Times New Roman;sans-serif" w:hAnsi="Times New Roman;sans-serif"/>
          <w:b/>
          <w:color w:val="231F20"/>
          <w:sz w:val="36"/>
        </w:rPr>
      </w:pPr>
      <w:r>
        <w:rPr>
          <w:rFonts w:ascii="Times New Roman;sans-serif" w:hAnsi="Times New Roman;sans-serif"/>
          <w:b/>
          <w:color w:val="231F20"/>
          <w:sz w:val="36"/>
        </w:rPr>
        <w:t>SECURITIES AND EXCHANGE COMMISSION</w:t>
      </w:r>
    </w:p>
    <w:p>
      <w:pPr>
        <w:pStyle w:val="TextBody"/>
        <w:bidi w:val="0"/>
        <w:spacing w:lineRule="auto" w:line="288" w:before="0" w:after="0"/>
        <w:jc w:val="center"/>
        <w:rPr>
          <w:rFonts w:ascii="Times New Roman;sans-serif" w:hAnsi="Times New Roman;sans-serif"/>
          <w:b/>
          <w:color w:val="231F20"/>
          <w:sz w:val="28"/>
        </w:rPr>
      </w:pPr>
      <w:r>
        <w:rPr>
          <w:rFonts w:ascii="Times New Roman;sans-serif" w:hAnsi="Times New Roman;sans-serif"/>
          <w:b/>
          <w:color w:val="231F2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Times New Roman;sans-serif" w:hAnsi="Times New Roman;sans-serif"/>
          <w:b/>
          <w:color w:val="231F20"/>
          <w:sz w:val="36"/>
        </w:rPr>
      </w:pPr>
      <w:r>
        <w:rPr>
          <w:rFonts w:ascii="Times New Roman;sans-serif" w:hAnsi="Times New Roman;sans-serif"/>
          <w:b/>
          <w:color w:val="231F2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57" w:after="283"/>
        <w:jc w:val="center"/>
        <w:rPr/>
      </w:pPr>
      <w:r>
        <w:rPr>
          <w:rFonts w:ascii="Times New Roman;sans-serif" w:hAnsi="Times New Roman;sans-serif"/>
          <w:b/>
          <w:color w:val="000000"/>
          <w:sz w:val="18"/>
        </w:rPr>
        <w:t>For the quarterly period ended March 31, 2025</w:t>
      </w:r>
      <w:r>
        <w:rPr>
          <w:color w:val="000000"/>
        </w:rPr>
        <w:t> </w:t>
      </w:r>
    </w:p>
    <w:p>
      <w:pPr>
        <w:pStyle w:val="TextBody"/>
        <w:bidi w:val="0"/>
        <w:spacing w:lineRule="auto" w:line="288" w:before="57" w:after="283"/>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For the transition period from __________ to</w:t>
      </w:r>
      <w:r>
        <w:rPr>
          <w:color w:val="000000"/>
        </w:rPr>
        <w:t> </w:t>
      </w:r>
      <w:r>
        <w:rPr>
          <w:rFonts w:ascii="Times New Roman;sans-serif" w:hAnsi="Times New Roman;sans-serif"/>
          <w:b/>
          <w:color w:val="000000"/>
          <w:sz w:val="18"/>
        </w:rPr>
        <w:t>__________.</w:t>
      </w:r>
    </w:p>
    <w:p>
      <w:pPr>
        <w:pStyle w:val="TextBody"/>
        <w:bidi w:val="0"/>
        <w:spacing w:lineRule="auto" w:line="288" w:before="57" w:after="283"/>
        <w:jc w:val="center"/>
        <w:rPr/>
      </w:pPr>
      <w:r>
        <w:rPr>
          <w:rFonts w:ascii="Times New Roman;sans-serif" w:hAnsi="Times New Roman;sans-serif"/>
          <w:b/>
          <w:color w:val="000000"/>
          <w:sz w:val="18"/>
        </w:rPr>
        <w:t>Commission File Number: 001-39565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ans-serif" w:hAnsi="Times New Roman;sans-serif"/>
          <w:b/>
          <w:color w:val="000000"/>
          <w:sz w:val="40"/>
        </w:rPr>
        <w:t>The Beauty Health Company</w:t>
      </w:r>
      <w:r>
        <w:rPr>
          <w:color w:val="231F20"/>
        </w:rPr>
        <w:t xml:space="preserve">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9551" w:type="dxa"/>
        <w:jc w:val="center"/>
        <w:tblInd w:w="0" w:type="dxa"/>
        <w:tblLayout w:type="fixed"/>
        <w:tblCellMar>
          <w:top w:w="28" w:type="dxa"/>
          <w:left w:w="28" w:type="dxa"/>
          <w:bottom w:w="28" w:type="dxa"/>
          <w:right w:w="28" w:type="dxa"/>
        </w:tblCellMar>
      </w:tblPr>
      <w:tblGrid>
        <w:gridCol w:w="1780"/>
        <w:gridCol w:w="1566"/>
        <w:gridCol w:w="1573"/>
        <w:gridCol w:w="109"/>
        <w:gridCol w:w="109"/>
        <w:gridCol w:w="109"/>
        <w:gridCol w:w="1257"/>
        <w:gridCol w:w="1257"/>
        <w:gridCol w:w="1791"/>
      </w:tblGrid>
      <w:tr>
        <w:trPr/>
        <w:tc>
          <w:tcPr>
            <w:tcW w:w="178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2165 Spring Street</w:t>
            </w:r>
          </w:p>
          <w:p>
            <w:pPr>
              <w:pStyle w:val="TableContents"/>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Long Beach, CA 90806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231F20"/>
                <w:sz w:val="20"/>
              </w:rPr>
            </w:pPr>
            <w:r>
              <w:rPr>
                <w:rFonts w:ascii="Times New Roman;sans-serif" w:hAnsi="Times New Roman;sans-serif"/>
                <w:b/>
                <w:color w:val="231F20"/>
                <w:sz w:val="20"/>
              </w:rPr>
              <w:t>(800) 603-4996</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 xml:space="preserve">Securities registered pursuant to Section 12(b) of the Act: </w:t>
      </w:r>
    </w:p>
    <w:tbl>
      <w:tblPr>
        <w:tblW w:w="9966"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Capital Market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May 6, 2025, there were 125,994,343 shares of Class A Common Stock, par value $0.0001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BEAUTY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MARCH 31, 2025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tbl>
      <w:tblPr>
        <w:tblW w:w="9562" w:type="dxa"/>
        <w:jc w:val="left"/>
        <w:tblInd w:w="0" w:type="dxa"/>
        <w:tblLayout w:type="fixed"/>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118">
              <w:r>
                <w:rPr>
                  <w:rStyle w:val="InternetLink"/>
                  <w:rFonts w:ascii="Times New Roman;sans-serif" w:hAnsi="Times New Roman;sans-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118">
              <w:r>
                <w:rPr>
                  <w:rStyle w:val="InternetLink"/>
                  <w:rFonts w:ascii="Times New Roman;sans-serif" w:hAnsi="Times New Roman;sans-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121">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121">
              <w:r>
                <w:rPr>
                  <w:rStyle w:val="InternetLink"/>
                  <w:rFonts w:ascii="Times New Roman;sans-serif" w:hAnsi="Times New Roman;sans-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124">
              <w:r>
                <w:rPr>
                  <w:rStyle w:val="InternetLink"/>
                  <w:rFonts w:ascii="Times New Roman;sans-serif" w:hAnsi="Times New Roman;sans-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124">
              <w:r>
                <w:rPr>
                  <w:rStyle w:val="InternetLink"/>
                  <w:rFonts w:ascii="Times New Roman;sans-serif" w:hAnsi="Times New Roman;sans-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127">
              <w:r>
                <w:rPr>
                  <w:rStyle w:val="InternetLink"/>
                  <w:rFonts w:ascii="Times New Roman;sans-serif" w:hAnsi="Times New Roman;sans-serif"/>
                  <w:b w:val="false"/>
                  <w:color w:val="0000FF"/>
                  <w:sz w:val="20"/>
                  <w:u w:val="single"/>
                </w:rPr>
                <w:t>Condensed Consolidated Statements of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127">
              <w:r>
                <w:rPr>
                  <w:rStyle w:val="InternetLink"/>
                  <w:rFonts w:ascii="Times New Roman;sans-serif" w:hAnsi="Times New Roman;sans-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133">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133">
              <w:r>
                <w:rPr>
                  <w:rStyle w:val="InternetLink"/>
                  <w:rFonts w:ascii="Times New Roman;sans-serif" w:hAnsi="Times New Roman;sans-serif"/>
                  <w:b w:val="false"/>
                  <w:color w:val="0000FF"/>
                  <w:sz w:val="20"/>
                  <w:u w:val="single"/>
                </w:rPr>
                <w:t>6</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136">
              <w:r>
                <w:rPr>
                  <w:rStyle w:val="InternetLink"/>
                  <w:rFonts w:ascii="Times New Roman;sans-serif" w:hAnsi="Times New Roman;sans-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136">
              <w:r>
                <w:rPr>
                  <w:rStyle w:val="InternetLink"/>
                  <w:rFonts w:ascii="Times New Roman;sans-serif" w:hAnsi="Times New Roman;sans-serif"/>
                  <w:b w:val="false"/>
                  <w:color w:val="0000FF"/>
                  <w:sz w:val="20"/>
                  <w:u w:val="single"/>
                </w:rPr>
                <w:t>7</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46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469">
              <w:r>
                <w:rPr>
                  <w:rStyle w:val="InternetLink"/>
                  <w:rFonts w:ascii="Times New Roman;sans-serif" w:hAnsi="Times New Roman;sans-serif"/>
                  <w:b w:val="false"/>
                  <w:color w:val="0000FF"/>
                  <w:sz w:val="20"/>
                  <w:u w:val="single"/>
                </w:rPr>
                <w:t>24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487">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487">
              <w:r>
                <w:rPr>
                  <w:rStyle w:val="InternetLink"/>
                  <w:rFonts w:ascii="Times New Roman;sans-serif" w:hAnsi="Times New Roman;sans-serif"/>
                  <w:b w:val="false"/>
                  <w:color w:val="0000FF"/>
                  <w:sz w:val="20"/>
                  <w:u w:val="single"/>
                </w:rPr>
                <w:t>31</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490">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490">
              <w:r>
                <w:rPr>
                  <w:rStyle w:val="InternetLink"/>
                  <w:rFonts w:ascii="Times New Roman;sans-serif" w:hAnsi="Times New Roman;sans-serif"/>
                  <w:b w:val="false"/>
                  <w:color w:val="0000FF"/>
                  <w:sz w:val="20"/>
                  <w:u w:val="single"/>
                </w:rPr>
                <w:t>31</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496">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496">
              <w:r>
                <w:rPr>
                  <w:rStyle w:val="InternetLink"/>
                  <w:rFonts w:ascii="Times New Roman;sans-serif" w:hAnsi="Times New Roman;sans-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499">
              <w:r>
                <w:rPr>
                  <w:rStyle w:val="InternetLink"/>
                  <w:rFonts w:ascii="Times New Roman;sans-serif" w:hAnsi="Times New Roman;sans-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499">
              <w:r>
                <w:rPr>
                  <w:rStyle w:val="InternetLink"/>
                  <w:rFonts w:ascii="Times New Roman;sans-serif" w:hAnsi="Times New Roman;sans-serif"/>
                  <w:b w:val="false"/>
                  <w:color w:val="0000FF"/>
                  <w:sz w:val="20"/>
                  <w:u w:val="single"/>
                </w:rPr>
                <w:t>32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502">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502">
              <w:r>
                <w:rPr>
                  <w:rStyle w:val="InternetLink"/>
                  <w:rFonts w:ascii="Times New Roman;sans-serif" w:hAnsi="Times New Roman;sans-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508">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508">
              <w:r>
                <w:rPr>
                  <w:rStyle w:val="InternetLink"/>
                  <w:rFonts w:ascii="Times New Roman;sans-serif" w:hAnsi="Times New Roman;sans-serif"/>
                  <w:b w:val="false"/>
                  <w:color w:val="0000FF"/>
                  <w:sz w:val="20"/>
                  <w:u w:val="single"/>
                </w:rPr>
                <w:t>32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511">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511">
              <w:r>
                <w:rPr>
                  <w:rStyle w:val="InternetLink"/>
                  <w:rFonts w:ascii="Times New Roman;sans-serif" w:hAnsi="Times New Roman;sans-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514">
              <w:r>
                <w:rPr>
                  <w:rStyle w:val="InternetLink"/>
                  <w:rFonts w:ascii="Times New Roman;sans-serif" w:hAnsi="Times New Roman;sans-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514">
              <w:r>
                <w:rPr>
                  <w:rStyle w:val="InternetLink"/>
                  <w:rFonts w:ascii="Times New Roman;sans-serif" w:hAnsi="Times New Roman;sans-serif"/>
                  <w:b w:val="false"/>
                  <w:color w:val="0000FF"/>
                  <w:sz w:val="20"/>
                  <w:u w:val="single"/>
                </w:rPr>
                <w:t>32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517">
              <w:r>
                <w:rPr>
                  <w:rStyle w:val="InternetLink"/>
                  <w:rFonts w:ascii="Times New Roman;sans-serif" w:hAnsi="Times New Roman;sans-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b0011df988944648a69835e2c6dd0c2_517">
              <w:r>
                <w:rPr>
                  <w:rStyle w:val="InternetLink"/>
                  <w:rFonts w:ascii="Times New Roman;sans-serif" w:hAnsi="Times New Roman;sans-serif"/>
                  <w:b w:val="false"/>
                  <w:color w:val="0000FF"/>
                  <w:sz w:val="20"/>
                  <w:u w:val="single"/>
                </w:rPr>
                <w:t>33</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b0011df988944648a69835e2c6dd0c2_520">
              <w:r>
                <w:rPr>
                  <w:rStyle w:val="InternetLink"/>
                  <w:rFonts w:ascii="Times New Roman;sans-serif" w:hAnsi="Times New Roman;sans-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10" w:after="283"/>
        <w:jc w:val="center"/>
        <w:rPr/>
      </w:pPr>
      <w:r>
        <w:rPr>
          <w:rFonts w:ascii="Times New Roman;sans-serif" w:hAnsi="Times New Roman;sans-serif"/>
          <w:b/>
          <w:color w:val="000000"/>
          <w:sz w:val="20"/>
        </w:rPr>
        <w:t>CONDENSED CONSOLIDATED</w:t>
      </w:r>
      <w:r>
        <w:rPr>
          <w:color w:val="231F20"/>
        </w:rPr>
        <w:t xml:space="preserve"> </w:t>
      </w:r>
      <w:r>
        <w:rPr>
          <w:rFonts w:ascii="Times New Roman;sans-serif" w:hAnsi="Times New Roman;sans-serif"/>
          <w:b/>
          <w:color w:val="231F20"/>
          <w:sz w:val="20"/>
        </w:rPr>
        <w:t>BALANCE SHEETS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59"/>
        <w:gridCol w:w="2211"/>
        <w:gridCol w:w="2156"/>
        <w:gridCol w:w="221"/>
        <w:gridCol w:w="867"/>
        <w:gridCol w:w="114"/>
        <w:gridCol w:w="109"/>
        <w:gridCol w:w="109"/>
        <w:gridCol w:w="109"/>
        <w:gridCol w:w="238"/>
        <w:gridCol w:w="935"/>
        <w:gridCol w:w="177"/>
      </w:tblGrid>
      <w:tr>
        <w:trPr/>
        <w:tc>
          <w:tcPr>
            <w:tcW w:w="295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assets:</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373,031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370,063</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231F20"/>
                <w:sz w:val="20"/>
              </w:rPr>
            </w:pPr>
            <w:r>
              <w:rPr>
                <w:rFonts w:ascii="Times New Roman;sans-serif" w:hAnsi="Times New Roman;sans-serif"/>
                <w:b w:val="false"/>
                <w:color w:val="231F20"/>
                <w:sz w:val="20"/>
              </w:rPr>
              <w:t>Accounts receivable, net of allowances for estimated credit losses of $9,476 and $9,597 at March 31, 2025 and December 31, 2024, respectively</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23,258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27,643</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Inventories </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69,113</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receivable </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818</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Prepaid expenses and other current assets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9,487</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assets</w:t>
            </w:r>
          </w:p>
        </w:tc>
        <w:tc>
          <w:tcPr>
            <w:tcW w:w="12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469,373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477,124</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5,978</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Right-of-use assets, net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13,590</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Intangible assets, net </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47,512</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Goodwill</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123,499</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income tax assets, net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3,894</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Other assets </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14,086</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673,820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685,683</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ans-serif" w:hAnsi="Times New Roman;sans-serif"/>
                <w:b/>
                <w:color w:val="231F20"/>
                <w:sz w:val="20"/>
              </w:rPr>
            </w:pPr>
            <w:r>
              <w:rPr>
                <w:rFonts w:ascii="Times New Roman;sans-serif" w:hAnsi="Times New Roman;sans-serif"/>
                <w:b/>
                <w:color w:val="231F20"/>
                <w:sz w:val="20"/>
              </w:rPr>
              <w:t>LIABILITIES AND STOCKHOLDERS’ EQUITY</w:t>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liabilities: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23,143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21,941</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17,636</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current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5,147</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payable</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3,426</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20,002</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current liabilities </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68,152</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non-current</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10,813</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Deferred income tax liabilities, net </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396</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Warrant liabilities </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488</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Convertible senior notes, net</w:t>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552,984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552,198</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long-term liabilities</w:t>
            </w:r>
          </w:p>
        </w:tc>
        <w:tc>
          <w:tcPr>
            <w:tcW w:w="1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1,833</w:t>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Total liabilities</w:t>
            </w:r>
          </w:p>
        </w:tc>
        <w:tc>
          <w:tcPr>
            <w:tcW w:w="12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627,758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633,880</w:t>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(Note 6) </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Stockholders’ equity:</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231F20"/>
                <w:sz w:val="20"/>
              </w:rPr>
            </w:pPr>
            <w:r>
              <w:rPr>
                <w:rFonts w:ascii="Times New Roman;sans-serif" w:hAnsi="Times New Roman;sans-serif"/>
                <w:b w:val="false"/>
                <w:color w:val="231F20"/>
                <w:sz w:val="20"/>
              </w:rPr>
              <w:t>Class A Common Stock, $0.0001 par value; 320,000,000 shares authorized; 125,246,286 and 124,924,185 shares issued and outstanding at March 31, 2025 and December 31, 2024, respectively</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 paid-in capital </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569,935 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566,709 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other comprehensive loss</w:t>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(5,825)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(6,953)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deficit</w:t>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(518,061)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(507,965)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stockholders’ equity</w:t>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46,062 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51,803 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6" w:type="dxa"/>
            <w:gridSpan w:val="3"/>
            <w:tcBorders/>
            <w:shd w:fill="CCEEFF" w:val="clear"/>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color w:val="231F20"/>
                <w:sz w:val="20"/>
              </w:rPr>
            </w:pPr>
            <w:r>
              <w:rPr>
                <w:rFonts w:ascii="Times New Roman;sans-serif" w:hAnsi="Times New Roman;sans-serif"/>
                <w:b/>
                <w:color w:val="231F20"/>
                <w:sz w:val="20"/>
              </w:rPr>
              <w:t>TOTAL LIABILITIES AND STOCKHOLDERS’ EQUITY</w:t>
            </w:r>
          </w:p>
        </w:tc>
        <w:tc>
          <w:tcPr>
            <w:tcW w:w="2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673,820 </w:t>
            </w:r>
          </w:p>
        </w:tc>
        <w:tc>
          <w:tcPr>
            <w:tcW w:w="1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685,683 </w:t>
            </w:r>
          </w:p>
        </w:tc>
        <w:tc>
          <w:tcPr>
            <w:tcW w:w="17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10" w:after="283"/>
        <w:jc w:val="center"/>
        <w:rPr/>
      </w:pPr>
      <w:r>
        <w:rPr>
          <w:rFonts w:ascii="Times New Roman;sans-serif" w:hAnsi="Times New Roman;sans-serif"/>
          <w:b/>
          <w:color w:val="000000"/>
          <w:sz w:val="20"/>
        </w:rPr>
        <w:t>CONDENSED CONSOLIDATED</w:t>
      </w:r>
      <w:r>
        <w:rPr>
          <w:color w:val="231F20"/>
        </w:rPr>
        <w:t xml:space="preserve"> </w:t>
      </w:r>
      <w:r>
        <w:rPr>
          <w:rFonts w:ascii="Times New Roman;sans-serif" w:hAnsi="Times New Roman;sans-serif"/>
          <w:b/>
          <w:color w:val="231F20"/>
          <w:sz w:val="20"/>
        </w:rPr>
        <w:t>STATEMENTS OF COMPREHENSIVE INCOME (LOSS)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501" w:type="dxa"/>
        <w:jc w:val="left"/>
        <w:tblInd w:w="0" w:type="dxa"/>
        <w:tblLayout w:type="fixed"/>
        <w:tblCellMar>
          <w:top w:w="28" w:type="dxa"/>
          <w:left w:w="28" w:type="dxa"/>
          <w:bottom w:w="28" w:type="dxa"/>
          <w:right w:w="28" w:type="dxa"/>
        </w:tblCellMar>
      </w:tblPr>
      <w:tblGrid>
        <w:gridCol w:w="1405"/>
        <w:gridCol w:w="1231"/>
        <w:gridCol w:w="1249"/>
        <w:gridCol w:w="268"/>
        <w:gridCol w:w="918"/>
        <w:gridCol w:w="109"/>
        <w:gridCol w:w="109"/>
        <w:gridCol w:w="109"/>
        <w:gridCol w:w="109"/>
        <w:gridCol w:w="268"/>
        <w:gridCol w:w="918"/>
        <w:gridCol w:w="109"/>
        <w:gridCol w:w="109"/>
        <w:gridCol w:w="109"/>
        <w:gridCol w:w="109"/>
        <w:gridCol w:w="109"/>
        <w:gridCol w:w="109"/>
        <w:gridCol w:w="154"/>
      </w:tblGrid>
      <w:tr>
        <w:trPr/>
        <w:tc>
          <w:tcPr>
            <w:tcW w:w="140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231F20"/>
                <w:sz w:val="20"/>
              </w:rPr>
            </w:pPr>
            <w:r>
              <w:rPr>
                <w:rFonts w:ascii="Times New Roman;sans-serif" w:hAnsi="Times New Roman;sans-serif"/>
                <w:b/>
                <w:color w:val="231F2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(gain) loss,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20"/>
              </w:rPr>
            </w:pPr>
            <w:r>
              <w:rPr>
                <w:rFonts w:ascii="Times New Roman;sans-serif" w:hAnsi="Times New Roman;sans-serif"/>
                <w:b/>
                <w:color w:val="231F2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expense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loss, net of tax:</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Weighted average common stock outstanding </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125,079,470 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123,120,426 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125,079,470 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144,477,208 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bidi w:val="0"/>
        <w:spacing w:lineRule="auto" w:line="288" w:before="0" w:after="0"/>
        <w:jc w:val="center"/>
        <w:rPr/>
      </w:pPr>
      <w:r>
        <w:rPr>
          <w:rFonts w:ascii="Times New Roman;sans-serif" w:hAnsi="Times New Roman;sans-serif"/>
          <w:b/>
          <w:color w:val="000000"/>
          <w:sz w:val="20"/>
        </w:rPr>
        <w:t>CONDENSED CONSOLIDATED</w:t>
      </w:r>
      <w:r>
        <w:rPr>
          <w:color w:val="231F20"/>
        </w:rPr>
        <w:t xml:space="preserve"> </w:t>
      </w:r>
      <w:r>
        <w:rPr>
          <w:rFonts w:ascii="Times New Roman;sans-serif" w:hAnsi="Times New Roman;sans-serif"/>
          <w:b/>
          <w:color w:val="231F20"/>
          <w:sz w:val="20"/>
        </w:rPr>
        <w:t>STATEMENTS OF STOCKHOLDERS’ EQUITY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2"/>
        <w:gridCol w:w="453"/>
        <w:gridCol w:w="454"/>
        <w:gridCol w:w="525"/>
        <w:gridCol w:w="526"/>
        <w:gridCol w:w="196"/>
        <w:gridCol w:w="109"/>
        <w:gridCol w:w="109"/>
        <w:gridCol w:w="109"/>
        <w:gridCol w:w="212"/>
        <w:gridCol w:w="359"/>
        <w:gridCol w:w="120"/>
        <w:gridCol w:w="109"/>
        <w:gridCol w:w="109"/>
        <w:gridCol w:w="109"/>
        <w:gridCol w:w="216"/>
        <w:gridCol w:w="812"/>
        <w:gridCol w:w="120"/>
        <w:gridCol w:w="109"/>
        <w:gridCol w:w="109"/>
        <w:gridCol w:w="109"/>
        <w:gridCol w:w="109"/>
        <w:gridCol w:w="109"/>
        <w:gridCol w:w="316"/>
        <w:gridCol w:w="922"/>
        <w:gridCol w:w="176"/>
        <w:gridCol w:w="109"/>
        <w:gridCol w:w="109"/>
        <w:gridCol w:w="109"/>
        <w:gridCol w:w="204"/>
        <w:gridCol w:w="794"/>
        <w:gridCol w:w="113"/>
        <w:gridCol w:w="109"/>
        <w:gridCol w:w="109"/>
        <w:gridCol w:w="109"/>
        <w:gridCol w:w="244"/>
        <w:gridCol w:w="808"/>
        <w:gridCol w:w="200"/>
      </w:tblGrid>
      <w:tr>
        <w:trPr/>
        <w:tc>
          <w:tcPr>
            <w:tcW w:w="58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122,899,002 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(478,867)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20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20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123,453,419 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(479,546)</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63,295 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r>
        <w:trPr/>
        <w:tc>
          <w:tcPr>
            <w:tcW w:w="148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8"/>
        <w:gridCol w:w="794"/>
        <w:gridCol w:w="796"/>
        <w:gridCol w:w="525"/>
        <w:gridCol w:w="526"/>
        <w:gridCol w:w="109"/>
        <w:gridCol w:w="109"/>
        <w:gridCol w:w="109"/>
        <w:gridCol w:w="109"/>
        <w:gridCol w:w="196"/>
        <w:gridCol w:w="331"/>
        <w:gridCol w:w="109"/>
        <w:gridCol w:w="109"/>
        <w:gridCol w:w="109"/>
        <w:gridCol w:w="109"/>
        <w:gridCol w:w="196"/>
        <w:gridCol w:w="736"/>
        <w:gridCol w:w="109"/>
        <w:gridCol w:w="109"/>
        <w:gridCol w:w="109"/>
        <w:gridCol w:w="109"/>
        <w:gridCol w:w="109"/>
        <w:gridCol w:w="109"/>
        <w:gridCol w:w="196"/>
        <w:gridCol w:w="595"/>
        <w:gridCol w:w="109"/>
        <w:gridCol w:w="109"/>
        <w:gridCol w:w="109"/>
        <w:gridCol w:w="109"/>
        <w:gridCol w:w="196"/>
        <w:gridCol w:w="775"/>
        <w:gridCol w:w="109"/>
        <w:gridCol w:w="109"/>
        <w:gridCol w:w="109"/>
        <w:gridCol w:w="109"/>
        <w:gridCol w:w="196"/>
        <w:gridCol w:w="646"/>
        <w:gridCol w:w="155"/>
      </w:tblGrid>
      <w:tr>
        <w:trPr/>
        <w:tc>
          <w:tcPr>
            <w:tcW w:w="94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324" w:type="dxa"/>
            <w:gridSpan w:val="6"/>
            <w:tcBorders/>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3631" w:type="dxa"/>
            <w:gridSpan w:val="15"/>
            <w:tcBorders/>
          </w:tcPr>
          <w:p>
            <w:pPr>
              <w:pStyle w:val="TableContents"/>
              <w:bidi w:val="0"/>
              <w:spacing w:before="0" w:after="283"/>
              <w:jc w:val="left"/>
              <w:rPr>
                <w:sz w:val="4"/>
                <w:szCs w:val="4"/>
              </w:rPr>
            </w:pPr>
            <w:r>
              <w:rPr>
                <w:sz w:val="4"/>
                <w:szCs w:val="4"/>
              </w:rPr>
            </w:r>
          </w:p>
        </w:tc>
      </w:tr>
      <w:tr>
        <w:trPr/>
        <w:tc>
          <w:tcPr>
            <w:tcW w:w="2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2024</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124,924,185 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125,246,286 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569,935 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38"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before="20" w:after="283"/>
        <w:jc w:val="center"/>
        <w:rPr/>
      </w:pPr>
      <w:r>
        <w:rPr/>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bidi w:val="0"/>
        <w:spacing w:lineRule="auto" w:line="288" w:before="10" w:after="283"/>
        <w:jc w:val="center"/>
        <w:rPr/>
      </w:pPr>
      <w:r>
        <w:rPr>
          <w:rFonts w:ascii="Times New Roman;sans-serif" w:hAnsi="Times New Roman;sans-serif"/>
          <w:b/>
          <w:color w:val="000000"/>
          <w:sz w:val="20"/>
        </w:rPr>
        <w:t>CONDENSED CONSOLIDATED</w:t>
      </w:r>
      <w:r>
        <w:rPr>
          <w:color w:val="231F20"/>
        </w:rPr>
        <w:t xml:space="preserve"> </w:t>
      </w:r>
      <w:r>
        <w:rPr>
          <w:rFonts w:ascii="Times New Roman;sans-serif" w:hAnsi="Times New Roman;sans-serif"/>
          <w:b/>
          <w:color w:val="231F20"/>
          <w:sz w:val="20"/>
        </w:rPr>
        <w:t>STATEMENTS OF CASH FLOWS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846" w:type="dxa"/>
        <w:jc w:val="center"/>
        <w:tblInd w:w="0" w:type="dxa"/>
        <w:tblLayout w:type="fixed"/>
        <w:tblCellMar>
          <w:top w:w="28" w:type="dxa"/>
          <w:left w:w="28" w:type="dxa"/>
          <w:bottom w:w="28" w:type="dxa"/>
          <w:right w:w="28" w:type="dxa"/>
        </w:tblCellMar>
      </w:tblPr>
      <w:tblGrid>
        <w:gridCol w:w="1815"/>
        <w:gridCol w:w="1591"/>
        <w:gridCol w:w="1603"/>
        <w:gridCol w:w="209"/>
        <w:gridCol w:w="788"/>
        <w:gridCol w:w="116"/>
        <w:gridCol w:w="116"/>
        <w:gridCol w:w="116"/>
        <w:gridCol w:w="116"/>
        <w:gridCol w:w="209"/>
        <w:gridCol w:w="788"/>
        <w:gridCol w:w="116"/>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operating activities: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loss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Adjustments to reconcile net loss to net cash from operating activities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Share-based compensation</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intangible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Depreciation of property and equipment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other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debt issuance costs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Inventory write-down</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Provision for estimated credit losses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 in fair value of warrant liabilities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Gain on repurchase of convertible senior notes,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Deferred income taxes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Changes in operating assets and liabilities: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receivable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Inventories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Prepaid expenses, other current assets, and income tax receivable</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payable, accrued expenses, and income tax payable</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provided by (used for) operating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2,996 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(16,854)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investing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intangible assets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property and equipment</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investing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(1,145)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(1,802)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financing activities:</w:t>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Repurchase of convertible senior notes</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tax withholdings on vested stock awards</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financing activities</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(250)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(58,618)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change in cash, cash equivalents, and restricted cash</w:t>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(77,274)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Effect of foreign currency translation on cash</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cash equivalents, and restricted cash beginning of period</w:t>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523,025 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cash equivalents, and restricted cash end of period</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373,031 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444,634 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Beauty Health Company (the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w:t>
      </w:r>
      <w:r>
        <w:rPr>
          <w:color w:val="231F20"/>
        </w:rPr>
        <w:t xml:space="preserve"> </w:t>
      </w:r>
      <w:r>
        <w:rPr>
          <w:rFonts w:ascii="Times New Roman;sans-serif" w:hAnsi="Times New Roman;sans-serif"/>
          <w:b w:val="false"/>
          <w:color w:val="231F20"/>
          <w:sz w:val="20"/>
        </w:rPr>
        <w:t>The Company’s brands are pioneers: Hydrafacial in hydradermabrasion; SkinStylus in nanoneedling and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(f.k.a. Vesper Healthcare Acquisition Corp.) was incorporated in the State of Delaware on July 8, 2020. On May 4, 2021, we consummated the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interim financial statements should be read in conjunction with the audited consolidated financial statements and notes thereto included in, or presented as exhibits to, the Company’s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Inventories consist of the following as of the periods indicated:</w:t>
      </w:r>
    </w:p>
    <w:p>
      <w:pPr>
        <w:pStyle w:val="TextBody"/>
        <w:bidi w:val="0"/>
        <w:spacing w:before="0" w:after="0"/>
        <w:jc w:val="left"/>
        <w:rPr/>
      </w:pPr>
      <w:r>
        <w:rPr/>
      </w:r>
    </w:p>
    <w:tbl>
      <w:tblPr>
        <w:tblW w:w="4691" w:type="dxa"/>
        <w:jc w:val="left"/>
        <w:tblInd w:w="0" w:type="dxa"/>
        <w:tblLayout w:type="fixed"/>
        <w:tblCellMar>
          <w:top w:w="28" w:type="dxa"/>
          <w:left w:w="28" w:type="dxa"/>
          <w:bottom w:w="28" w:type="dxa"/>
          <w:right w:w="28" w:type="dxa"/>
        </w:tblCellMar>
      </w:tblPr>
      <w:tblGrid>
        <w:gridCol w:w="564"/>
        <w:gridCol w:w="497"/>
        <w:gridCol w:w="498"/>
        <w:gridCol w:w="255"/>
        <w:gridCol w:w="873"/>
        <w:gridCol w:w="132"/>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Raw materials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24,225 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Finished goods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41,407 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43,094 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inventories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65,632 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69,113 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 consist of the following as of the periods indicated:</w:t>
      </w:r>
    </w:p>
    <w:p>
      <w:pPr>
        <w:pStyle w:val="TextBody"/>
        <w:bidi w:val="0"/>
        <w:spacing w:before="0" w:after="0"/>
        <w:jc w:val="left"/>
        <w:rPr/>
      </w:pPr>
      <w:r>
        <w:rPr/>
      </w:r>
    </w:p>
    <w:tbl>
      <w:tblPr>
        <w:tblW w:w="6551" w:type="dxa"/>
        <w:jc w:val="left"/>
        <w:tblInd w:w="0" w:type="dxa"/>
        <w:tblLayout w:type="fixed"/>
        <w:tblCellMar>
          <w:top w:w="28" w:type="dxa"/>
          <w:left w:w="28" w:type="dxa"/>
          <w:bottom w:w="28" w:type="dxa"/>
          <w:right w:w="28" w:type="dxa"/>
        </w:tblCellMar>
      </w:tblPr>
      <w:tblGrid>
        <w:gridCol w:w="1234"/>
        <w:gridCol w:w="1087"/>
        <w:gridCol w:w="1098"/>
        <w:gridCol w:w="255"/>
        <w:gridCol w:w="873"/>
        <w:gridCol w:w="132"/>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payroll taxes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commissions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payroll-related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 consist of the following as of the periods indicated:</w:t>
      </w:r>
    </w:p>
    <w:p>
      <w:pPr>
        <w:pStyle w:val="TextBody"/>
        <w:bidi w:val="0"/>
        <w:spacing w:before="0" w:after="0"/>
        <w:jc w:val="left"/>
        <w:rPr/>
      </w:pPr>
      <w:r>
        <w:rPr/>
      </w:r>
    </w:p>
    <w:tbl>
      <w:tblPr>
        <w:tblW w:w="5606" w:type="dxa"/>
        <w:jc w:val="left"/>
        <w:tblInd w:w="0" w:type="dxa"/>
        <w:tblLayout w:type="fixed"/>
        <w:tblCellMar>
          <w:top w:w="28" w:type="dxa"/>
          <w:left w:w="28" w:type="dxa"/>
          <w:bottom w:w="28" w:type="dxa"/>
          <w:right w:w="28" w:type="dxa"/>
        </w:tblCellMar>
      </w:tblPr>
      <w:tblGrid>
        <w:gridCol w:w="895"/>
        <w:gridCol w:w="788"/>
        <w:gridCol w:w="791"/>
        <w:gridCol w:w="255"/>
        <w:gridCol w:w="873"/>
        <w:gridCol w:w="132"/>
        <w:gridCol w:w="109"/>
        <w:gridCol w:w="109"/>
        <w:gridCol w:w="109"/>
        <w:gridCol w:w="300"/>
        <w:gridCol w:w="1026"/>
        <w:gridCol w:w="2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Sales and VAT tax payables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3,254 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5,244 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interest</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1,743 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Royalty liabilities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revenue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2,375 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7,974 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8,743 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other accrued expenses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16,747 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20,002 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March 31, 2025 and December 31, 2024,</w:t>
      </w:r>
      <w:r>
        <w:rPr>
          <w:color w:val="000000"/>
        </w:rPr>
        <w:t xml:space="preserve"> </w:t>
      </w:r>
      <w:r>
        <w:rPr>
          <w:rFonts w:ascii="Times New Roman;sans-serif" w:hAnsi="Times New Roman;sans-serif"/>
          <w:b w:val="false"/>
          <w:color w:val="000000"/>
          <w:sz w:val="20"/>
        </w:rPr>
        <w:t>total warranty reserve was approximately $3 million and $4 million, respectively, which was included in other accrued expenses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 xml:space="preserve">March 31, 2025 and December 31, 2024, the Company has approximately $2 million in restricted cash held as collateral for the Company’s credit cards, which was included in cash, cash equivalents and restricted cash on the </w:t>
      </w:r>
      <w:r>
        <w:rPr>
          <w:rFonts w:ascii="Times New Roman;sans-serif" w:hAnsi="Times New Roman;sans-serif"/>
          <w:b w:val="false"/>
          <w:color w:val="000000"/>
          <w:sz w:val="20"/>
        </w:rPr>
        <w:t>Condensed Consolidated</w:t>
      </w:r>
      <w:r>
        <w:rPr>
          <w:color w:val="231F20"/>
        </w:rPr>
        <w:t xml:space="preserve"> </w:t>
      </w:r>
      <w:r>
        <w:rPr>
          <w:rFonts w:ascii="Times New Roman;sans-serif" w:hAnsi="Times New Roman;sans-serif"/>
          <w:b w:val="false"/>
          <w:color w:val="231F20"/>
          <w:sz w:val="20"/>
        </w:rPr>
        <w:t>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evaluated its global distribution strategy to align its go-to-market strategy with in-market partner capabilities and market opportunity. The Company expects to transition sales in the China market to a distributor partner during the second quarter of 2025, and as a result, the Company intends to discontinue its direct sales presence in China. As of March 31, 2025, the Company has accrued approximately $3 million of severance expense associated with these actions, which was included in accrued payroll-related expenses on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as of the periods indicated:</w:t>
      </w:r>
    </w:p>
    <w:tbl>
      <w:tblPr>
        <w:tblW w:w="9958" w:type="dxa"/>
        <w:jc w:val="left"/>
        <w:tblInd w:w="0" w:type="dxa"/>
        <w:tblLayout w:type="fixed"/>
        <w:tblCellMar>
          <w:top w:w="28" w:type="dxa"/>
          <w:left w:w="28" w:type="dxa"/>
          <w:bottom w:w="28" w:type="dxa"/>
          <w:right w:w="28" w:type="dxa"/>
        </w:tblCellMar>
      </w:tblPr>
      <w:tblGrid>
        <w:gridCol w:w="1484"/>
        <w:gridCol w:w="1308"/>
        <w:gridCol w:w="1318"/>
        <w:gridCol w:w="781"/>
        <w:gridCol w:w="781"/>
        <w:gridCol w:w="792"/>
        <w:gridCol w:w="109"/>
        <w:gridCol w:w="109"/>
        <w:gridCol w:w="109"/>
        <w:gridCol w:w="619"/>
        <w:gridCol w:w="335"/>
        <w:gridCol w:w="341"/>
        <w:gridCol w:w="109"/>
        <w:gridCol w:w="109"/>
        <w:gridCol w:w="109"/>
        <w:gridCol w:w="300"/>
        <w:gridCol w:w="1026"/>
        <w:gridCol w:w="219"/>
      </w:tblGrid>
      <w:tr>
        <w:trPr/>
        <w:tc>
          <w:tcPr>
            <w:tcW w:w="148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2354"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Leasehold improvements</w:t>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12,019 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Machinery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6,601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7,076 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Furniture and fixtures</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6,096 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Computers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Tooling</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Autos and trucks</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property and equipment </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31,478 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accumulated depreciation and amortization</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(26,916)</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(25,500)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5,978</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changes in the carrying value of goodwill for the </w:t>
      </w:r>
      <w:r>
        <w:rPr>
          <w:rFonts w:ascii="Times New Roman;sans-serif" w:hAnsi="Times New Roman;sans-serif"/>
          <w:b w:val="false"/>
          <w:color w:val="000000"/>
          <w:sz w:val="20"/>
        </w:rPr>
        <w:t>three months ended March 31, 2025</w:t>
      </w:r>
      <w:r>
        <w:rPr>
          <w:color w:val="231F20"/>
        </w:rPr>
        <w:t xml:space="preserve"> </w:t>
      </w:r>
      <w:r>
        <w:rPr>
          <w:rFonts w:ascii="Times New Roman;sans-serif" w:hAnsi="Times New Roman;sans-serif"/>
          <w:b w:val="false"/>
          <w:color w:val="231F20"/>
          <w:sz w:val="20"/>
        </w:rPr>
        <w:t>is as follows (in thousands):</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net, as of March 31, 2025 were as follows:</w:t>
      </w:r>
    </w:p>
    <w:tbl>
      <w:tblPr>
        <w:tblW w:w="7762"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447"/>
        <w:gridCol w:w="453"/>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16,455 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14,377 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155,084 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(109,435)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45,649 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net, as of December 31, 2024 were as follows:</w:t>
      </w:r>
    </w:p>
    <w:tbl>
      <w:tblPr>
        <w:tblW w:w="7545"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901"/>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10"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(74,655)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16,974</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3,209 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153,450 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(105,938)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47,512 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Convertible Senior Notes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14, 2021, the Company issued an aggregate of $750.0 million in principal amount of its 1.25% Convertible Senior Notes due October 1, 2026 (the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repurchased $75.0 million principal amount of the Notes for $57.8 million and recognized a net gain of $16.1 million, which is included in other income, net on the Condensed Consolidated Statements of Comprehensive Income (Loss). During the year ended December 31, 2024, the Company repurchased $192.3 million principal amount of the Notes for $156.1 million. During the three months ended March 31, 2025, there were no repurchases related to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is a summary of the Company’s Notes for the periods indicated:</w:t>
      </w:r>
    </w:p>
    <w:tbl>
      <w:tblPr>
        <w:tblW w:w="5890" w:type="dxa"/>
        <w:jc w:val="left"/>
        <w:tblInd w:w="0" w:type="dxa"/>
        <w:tblLayout w:type="fixed"/>
        <w:tblCellMar>
          <w:top w:w="28" w:type="dxa"/>
          <w:left w:w="28" w:type="dxa"/>
          <w:bottom w:w="28" w:type="dxa"/>
          <w:right w:w="28" w:type="dxa"/>
        </w:tblCellMar>
      </w:tblPr>
      <w:tblGrid>
        <w:gridCol w:w="998"/>
        <w:gridCol w:w="879"/>
        <w:gridCol w:w="883"/>
        <w:gridCol w:w="232"/>
        <w:gridCol w:w="908"/>
        <w:gridCol w:w="119"/>
        <w:gridCol w:w="109"/>
        <w:gridCol w:w="109"/>
        <w:gridCol w:w="109"/>
        <w:gridCol w:w="273"/>
        <w:gridCol w:w="1072"/>
        <w:gridCol w:w="199"/>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due in 2026</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(4,716)</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552,984 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552,198 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231F20"/>
          <w:sz w:val="20"/>
        </w:rPr>
        <w:t xml:space="preserve">As of March 31, 2025 and </w:t>
      </w:r>
      <w:r>
        <w:rPr>
          <w:rFonts w:ascii="Times New Roman;sans-serif" w:hAnsi="Times New Roman;sans-serif"/>
          <w:b w:val="false"/>
          <w:color w:val="000000"/>
          <w:sz w:val="20"/>
        </w:rPr>
        <w:t>December 31, 2024</w:t>
      </w:r>
      <w:r>
        <w:rPr>
          <w:rFonts w:ascii="Times New Roman;sans-serif" w:hAnsi="Times New Roman;sans-serif"/>
          <w:b w:val="false"/>
          <w:color w:val="231F20"/>
          <w:sz w:val="20"/>
        </w:rPr>
        <w:t xml:space="preserve">, the estimated fair value of the Notes were approximately $478 million and $446 million, respectively. The estimated fair value of the Notes was determined based on the actual bid price of the Notes on March 31, 2025 and </w:t>
      </w:r>
      <w:r>
        <w:rPr>
          <w:rFonts w:ascii="Times New Roman;sans-serif" w:hAnsi="Times New Roman;sans-serif"/>
          <w:b w:val="false"/>
          <w:color w:val="000000"/>
          <w:sz w:val="20"/>
        </w:rPr>
        <w:t>December 31, 2024, and are classified as Level 2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Until the final resolution of such matters, if any of our estimates and assumptions change or prove to have been incorrect, we may experience losses in excess of the amounts recorded, which could have a material effect on our business, consolidated financial position, results of operations, or cash flows. Except for the matters discussed below, we do not believe that any of our pending litigation, claims, and other proceedings are material to our business: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Cartessa Aesthetics,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(the “Cartessa Case”),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The parties agreed to dismiss the remaining claims without prejudice so that Hydrafacial can appeal the New York Court’s grant of Cartessa’s Motion for Summary Judgment. Final judgment was entered on October 15,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October 8, 2024, Hydrafacial filed an appeal in the New York Court challenging the New York Court’s final judgment and summary judgment decision of Cartessa’s non-infringement regarding the fourth patent-in-suit. On November 13, 2024, Cartessa filed a cross-appeal challenging the New York Court’s final judgment and summary judgment decision of granting Hydrafacial’s motion for summary judgment of no invalidity regarding the fourth patent-in-suit. The appeal is in its early stages and the parties exchanged their opening briefs on March 12,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2024, Hydrafacial filed a complaint against Cartessa and its foreign manufacturer, Eunsung Global Corp (“Eunsung”), in the United States International Trade Commission. A Notice of Institution of Investigation was issued on July 11, 2024, and the investigation was assigned investigation number 337-TA-1408 (the “ITC Cartessa Matter”). In the ITC Cartessa Matter, Hydrafacial has asserted that Cartessa and Eunsung infringe Hydrafacial’s U.S. Patent No. 11,865,287, which relates to hydrodermabrasion systems but was not asserted in the Cartessa Case. Eunsung has consented to an exclusion order during the term of the Hydrafacial patent-in-suit. In the ITC Cartessa Matter, the parties recently concluded the evidentiary hearing on April 9-15, 2025. The parties will file post-hearing briefs in May 2025 and will await the judge’s decision in July 2025. Hydrafacial continues to seek an exclusion order preventing importation or sale of Cartessa’s hydrodermabrasion systems within the United States.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Cartessa Aesthetics, LLC - Second Complaint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14, 2024, Hydrafacial filed a complaint (the “Second Cartessa Complaint”) against Cartessa in the New York Court, captioned HydraFacial LLC v. Cartessa Aesthetics, LLC, Case No. 2:24-cv-04253 (the “Second Cartessa Case”), for patent infringement arising from Cartessa’s sale of Cartessa’s hydrodermabrasion system that Hydrafacial alleged has infringed Hydrafacial’s U.S. Patent No. 11,865,287. The Second Cartessa Case has been stayed pending resolution of the ITC Cartessa Matter and there will be no activity until the conclusion of the ITC Cartessa Matter. After conclusion of the ITC Cartessa Matter, Hydrafacial plans to reopen the Second Cartessa Case to seek monetary damages and plans to vigorously pursue its claims against Cartessa.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Eunsung Global Corp (and Sinclair Pharma Ltd)</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30, 2024, Eunsung filed a Petition for inter partes review (“IPR”), IPR2024-01491, challenging the validity of Hydrafacial’s U.S. Patent No. 11,865, 287 (the “’287 Patent”). On November 25, 2024, Sinclair Pharma Ltd filed a similar IPR Petition, IPR2025-00145, challenging the same patent and relying on the same arguments. On January 10, 2025, Eunsung filed an IPR Petition, IPR2025-00445, challenging the validity of Hydrafacial’s U.S. Patent No. 9,550,052. On January 13, 2025, Eunsung filed an IPR Petition, IPR2025-00452, challenging the validity of Hydrafacial’s U.S. Patent No. 12,053,607. On January 14, 2025, Eunsung filed an IPR Petition, IPR2025-00453, challenging the validity of Hydrafacial’s U.S. Patent No. 11,446,477. On April 11, 2025, the U.S.P.T.O. Board denied institution of the first IPR challenging the ’287 Patent (IPR2024-01491). The rest of the IPR proceedings are in their early stages, with initial briefing due between April-May 2025, and Hydrafacial plans to vigorously defend its patents against each of these challenges.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Medicreations LLC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2024, Hydrafacial filed a complaint against Medicreations LLC (“Medicreations”) in the United States District Court for Nevada, Case Number 2:24-cv-00855 (the “Medicreations Case”), for patent infringement arising from Medicreations’ sale of hydrodermabrasion systems that Hydrafacial alleged to have infringed twelve of Hydrafacial’s patents. On July 26, 2024, Medicreations filed a motion to dismiss the complaint. On March 3, 2025, the court issued an order dismissing a few of Hydrafacial’s claims to specific remedies, but the majority of the case and claims will move forward. The Medicreations Case will now proceed to discovery and Hydrafacial plans to file a motion for preliminary injunction. Hydrafacial is seeking monetary damages and plans to vigorously pursue its claims against Medicreations.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Sinclair Pharma US,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24, 2024, Hydrafacial filed a complaint against Sinclair Pharma US, Inc (“Sinclair”), and its distributor Viora, Inc (“Viora”), in the United States District Court for the Central District of California, Case No. 2:24-cv-06250 (the “Sinclair Case”), for patent infringement arising from Sinclair’s sale of hydrodermabrasion systems that Hydrafacial alleged to have infringed five of Hydrafacial’s patents on its device. The Sinclair Case was stayed pending the resolution of the ITC Sinclair Matter, discussed below. Now that the ITC Sinclair Matter has been terminated, the judge lifted the stay in the Sinclair Case and it will proceed to discovery. Hydrafacial will seek monetary damages and plans to vigorously pursue its claims against Sinclair and Viora.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 2024, Hydrafacial filed a complaint against Sinclair, Aesthetic Management Partners, Inc. (“AMP”), their foreign manufacturer, EMA Aesthetics, Ltd. (“EMA Aesthetics”), and H.R. Meditech (“H.R. Meditech”) in the United States International Trade Commission. A Notice of Institution of Investigation was issued on September 10, 2024, and the investigation was assigned investigation number 337-TA-1416 (the “ITC Sinclair Matter”). In the ITC Sinclair Matter, Hydrafacial has asserted that Sinclair, AMP, EMA Aesthetics, and H.R. Meditech infringe Hydrafacial’s U.S. Patent Nos. 11,865,287 and 9,550,052, which relate to hydrodermabrasion systems. Hydrafacial is seeking an exclusion order preventing importation or sale of each of the respondents’ hydrodermabrasion systems within the United States. On February 19, 2025, the Administrative Law Judge issued an Initial Determination granting Hydrafacial’s motion to terminate the ITC Sinclair Matter, and as a result, the ITC Sinclair Matter is now terminated.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Aesthetic Management Partners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8, 2024, Hydrafacial filed a complaint against AMP in the United States District Court for the Western District of Tennessee, Case No. 2:24-cv-02480-JPM-TMP (the “AMP Case”), for patent infringement arising from Aesthetic Management Partners’ sale of hydrodermabrasion systems that Hydrafacial alleged to have infringed five of Hydrafacial’s patents on its device. The AMP Case was stayed due to the corresponding ITC Sinclair Matter. Now that the ITC Sinclair Matter has been terminated, Hydrafacial filed a motion to lift the stay in the AMP Case. After the judge lifts the stay, Hydrafacial plans to file a motion for preliminary injunction, will seek monetary damages, and plans to vigorously pursue its claims against AMP.</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Medical Purchasing Resource,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4, 2024, Hydrafacial filed a complaint against Medical Purchasing Resource, LLC (“Medical Purchasing Resource”) in the United States District Court for the Central District of California, Case No. 2:24-cv-4655 (the “MPR Case”), for trademark infringement, false designation of origin, unfair competition, tortious interference, and other causes of action relating to Hydrafacial’s trademark rights. On April 3, 2025, the parties participated in a mediation and came to a tentative agreement to settle the case. In the mediation, the parties tentatively agreed that Medical Purchasing Resource will stop using Hydrafacial’s trademarks and any marks that are confusingly similar to those marks. Medical Purchasing Resource also tentatively agreed to stop the other activities identified by Hydrafacial in its complaint, including selling products to known Hydrafacial customers. Medical Purchasing Resource also tentatively agreed to take additional measures to ensure that customers are aware that Medical Purchasing Resource and its products have no relation or affiliation with Hydrafacial. Medical Purchasing Resource also tentatively agreed to pay Hydrafacial a total of $105,000 for past damages which will be paid to Hydrafacial in four quarterly payments of $26,250 upon execution of a definitive settlement agreement between the parties, and the parties agreed to file a consent judgment with the court and end the lawsuit. All deadlines in the MPR Case have been postponed while the parties finalize the settlement agreement.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Luvo Medical Technologies Inc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16, 2024, Hydrafacial filed a complaint against Luvo Medical Technologies Inc (“Luvo”), Healthcare Markets, Inc (“Healthcare Markets”), and their foreign manufacturer Eunsung in the United States District Court of Utah, Case No. 2:24-cv-00587 (the “Luvo Case”), for patent infringement arising from Healthcare Markets’ sale of Luvo’s hydrodermabrasion systems that Hydrafacial alleged to have infringed five of Hydrafacial’s patents on its device. The Luvo Case was stayed due to the corresponding ITC Luvo Matter, but pursuant to the ITC settlement agreement, the parties filed a consent judgment in the Luvo Case that terminated the case as to Luvo and Healthcare Markets. Hydrafacial plans to reopen the Luvo Case to seek monetary damages from Eunsung and plans to vigorously pursue its claims against Eunsung who was not a party to the ITC settlement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7, 2024, Hydrafacial filed a complaint against Luvo, its distributor Healthcare Markets, Medical Purchasing Resource, eMIRAmed, and its manufacturer, MIRAmedtech, in the United States International Trade Commission. A Notice of Institution of Investigation was issued on September 16, 2024, and the investigation was assigned investigation number 337-TA-1417 (the “ITC Luvo Matter”). In the ITC Luvo Matter, Hydrafacial has asserted that Luvo, Healthcare Markets, Medical Purchasing Resource, and eMIRAmed USA, LLC (“eMIRAmed”) infringe Hydrafacial’s U.S. Patent No. 11,446,477, which is not asserted in the ITC Cartessa Matter or ITC Sinclair Matter, and relates to hydrodermabrasion systems. After a mediation between the parties, on March 17, 2025, Hydrafacial signed a settlement agreement with Luvo and Healthcare Markets. As a result, the ITC has terminated the investigation as to Luvo and Healthcare Markets, but Hydrafacial continues to pursue default judgment against the remaining respondents.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eMIRAmed USA,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2024, Hydrafacial filed a complaint against eMIRAmed USA, LLC (“eMIRAmed”), and its manufacturer MIRAmedtech UG (“MIRAmedtech”), in the United States District Court for the Central District of California, Case No. 2:24-cv-01865 (the “eMIRAmed Case”), for patent infringement arising from eMIRAmed’s sale of hydrodermabrasion systems that Hydrafacial alleged to have infringed five of Hydrafacial’s patents on its device. Hydrafacial is seeking monetary damages and plans to vigorously pursue its claims against eMIRAmed and MIRAmedtech. On January 22, 2025, Hydrafacial moved for default judgment against eMIRAmed and MIRAmedtech. On January 30, 2025, eMIRAmed filed notice of Chapter 7 bankruptcy. On March 21, 2025, the court granted default judgment against MIRAmedtech but denied default judgment against eMIRAmed due to its bankruptcy filing. As a result, the eMIRAmed Case has been closed.</w:t>
      </w:r>
    </w:p>
    <w:p>
      <w:pPr>
        <w:pStyle w:val="TextBody"/>
        <w:bidi w:val="0"/>
        <w:spacing w:before="0" w:after="0"/>
        <w:jc w:val="left"/>
        <w:rPr/>
      </w:pPr>
      <w:r>
        <w:rPr/>
      </w:r>
    </w:p>
    <w:p>
      <w:pPr>
        <w:pStyle w:val="TextBody"/>
        <w:bidi w:val="0"/>
        <w:spacing w:lineRule="auto" w:line="27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Med Spa Essentials, LLC</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6, 2025, Hydrafacial filed a complaint against Med Spa Essentials, LLC (“MS Essentials”) in the United States District Court for the Central District of California, Case No. 2:25-cv-01994 (the “MS Essentials Case”), for trademark infringement, false designation of origin, unfair competition, tortious interference, and other causes of action relating to Hydrafacial’s trademark rights. The MS Essentials Case is still in its early stages and MS Essentials’ answer to the complaint is due in June 2025. Hydrafacial is seeking monetary damages and plans to vigorously pursue its claims against MS Essentials.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60" w:after="283"/>
        <w:jc w:val="left"/>
        <w:rPr/>
      </w:pPr>
      <w:r>
        <w:rPr/>
      </w:r>
    </w:p>
    <w:p>
      <w:pPr>
        <w:pStyle w:val="TextBody"/>
        <w:bidi w:val="0"/>
        <w:spacing w:lineRule="auto" w:line="27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Candela Corp.</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April 3, 2025, Hydrafacial filed a complaint against Candela Corp. (“Candela”), and its manufacturer Termosalud S.L. (“Termosalud”), in the United States District Court for the District of Delaware, Case No. 1:25-cv-00418-JLH (the “Candela Case”), for patent infringement arising from Candela’s sale of hydrodermabrasion systems that Hydrafacial alleged to have infringed five of Hydrafacial’s patents on its device. The Candela Case is in its early stages and Hydrafacial is seeking monetary damages and plans to vigorously pursue its claims against Candela and Termosalud.</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July 1, 2024, lead plaintiffs filed a consolidated amended class action complaint asserting the same causes of action as the original complaint. The Securities Class Action case is assigned to U.S. District Judge Sherilyn Peace Garnett. On September 30, 2024, the Company filed a motion to dismiss the consolidated amended class action complaint in its entirety. Plaintiffs filed their opposition brief on November 22, 2024, and the Company filed its reply brief on December 23, 2024. A hearing on the Defendants’ motion to dismiss was scheduled for January 15, 2025. On January 10, 2025, the court granted the parties’ joint stipulation to adjourn the January 15, 2025 hearing. On January 17, 2025, the court granted the parties’ joint stipulation to withdraw briefing on Defendants’ motion to dismiss without prejudice to refiling and to briefly stay proceedings so that the parties can complete a private mediation. The parties conducted the private mediation on March 27, 2025. The parties were unable to reach a settlement at the mediation. On April 16, 2025, the court so-ordered the parties’ stipulation. On May 5, 2025, the plaintiffs filed an amended complaint. The parties will submit a proposed briefing schedule on Defendants’ anticipated motion to dismiss on May 12, 2025.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Securities Class Action have no merit and intends to vigorously defend them.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 Class Action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24, 2024, Jason Davalos (“Jason Davalos”), Sonia Davalos (“Sonia Davalos”, and collectively with Jason Davalos, the “Davaloses”), and Sol Tan Tanning &amp; Spa LLC (“Sol Tan”, and collectively with the Davaloses, the “Class Action Plaintiffs”), individually and on behalf of all others similarly situated, filed a putative class action complaint against Hydrafacial LLC d/b/a The Hydrafacial Company and The Beauty Health Company (collectively, the “Class Action Defendants”) for alleged violations of New York consumer fraud statutes, breach of contract, and common law breach of implied warranties (the “Consumer Class Action”). The case is captioned Jason Davalos, Sonia Davalos, Sol Tan Tanning &amp; Spa LLC, on behalf of themselves and all others similarly situated v. Hydrafacial LLC dba The Hydrafacial Company, and The Beauty Health Company, Case No. 24-cv-8073 (S.D.N.Y.) (Caproni, J.) The complaint alleges that all three versions of the Syndeo machine (Syndeo 1.0, Syndeo 2.0, and Syndeo 3.0) were defective and did not perform in the manner in which it had been represented by Class Action Defendants. Class Action Plaintiffs claim that Class Action Defendants made various misrepresentations in its marketing and sales of the Syndeo machines and, rather than provide a refund to customers for the defective machines, replaced them with another Syndeo machine that exhibited the same defects. Class Action Plaintiffs purport to bring claims on behalf of themselves, and all other similarly situated purchasers within the United States, of Class Action Defendants’ Syndeo machines. The complaint asserts five causes of action: (1) violations of N.Y. G.B.L., § 349, the state consumer production statute; (2) violations of N.Y. G.B.L., § 350, the state’s false advertising statute; (3) breach of contract; (4) breach of the implied warranty of merchantability; and (5) breach of the implied warranty of fitness. The relief sought in the complaint includes monetary damages allegedly suffered by Class Action Plaintiffs and other members of the putative class as a result of Class Action Defendants’ alleged violations and breaches, including a trebling of any money damages award for alleged violations of N.Y. G.B.L., § 349 and § 350.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30, 2024, the Class Action Defendants filed a motion to dismiss the Consumer Class Action complaint in its entirety. On January 3, 2025, the Class Action Defendants filed a motion to stay discovery during the pendency of their motion to dismiss. On January 8, 2025, the Davaloses voluntarily dismissed their claims against the Class Action Defendants pursuant to Fed. R. Civ. P. 41(a)(1)(A)(i), leaving Plaintiff Sol Tan as the sole remaining Consumer Class Action Plaintiff. Plaintiff Sol Tan filed their opposition brief on January 9, 2025, and the Class Action Defendants filed their reply brief on January 13, 2025. On January 16, 2025, the court granted the parties’ joint stipulation to adjourn the January 17, 2025 initial pretrial conference and stay the action pending the parties’ completion of a private mediation. As part of its order, the court also (1) adjourned Plaintiff Sol Tan’s deadline to respond to the Class Action Defendants’ motion to dismiss sine die pending the outcome of mediation; (2) denied as moot the Class Action Defendants’ motion to stay discovery in light of the parties’ agreement to stay discovery pending the outcome of mediation; and (3) directed the parties to (a) file a joint letter on or before February 7, 2025, indicating the date (not later than May 8, 2025) on which the mediation is scheduled to occur; and (b) within seven days after the mediation, either (i) file a joint letter indicating that settlement was reached; or (ii) file a revised proposed case management plan and a revised joint letter required by the court’s Notice of Initial Pretrial Conference. On February 7, 2025, the parties filed a joint letter notifying the court that they had agreed to mediate before Greg Danilow of Phillips ADR Enterprises. The parties conducted the private mediation on April 29, 2025; however, the parties were unable to reach a settlement at the mediation. Pursuant to the parties’ so-ordered January 16 joint stipulation, on May 7, 2025, the parties filed a revised proposed case management plan and a revised joint letter in accordance with the court’s Notice of Initial Pretrial Conference. On the same day, the court endorsed the joint submission and ordered Plaintiff to file an amended complaint no later than June 2, 2025, and scheduled an initial pretrial conference for July 18, 2025. Under the court’s so-ordered May 7 endorsement, Defendants’ response to the amended complaint is due June 23,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Consumer Class Action have no merit and Class Action Defendants intend to vigorously defend them.</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further providing that defendants are not obligated to answer or otherwise respond to the complaint filed in the Montague Derivative Action. The Consolidation Order further provided that defendants shall answer or otherwise respond to the complaint filed in the Elstein Derivative Action by August 25, 2024. This response deadline was subsequently vacated, prior to plaintiffs’ filing, on September 9, 2024, of their Verified Consolidated Amended Stockholder Derivative Complaint (the “Operative Complaint”). On September 16, 2024, defendants filed their Motion to Dismiss the Operative Complaint, or Alternatively, Stay the Proceedings (the “Motion to Dismiss”). Defendants filed their opening brief in support of their Motion to Dismiss and stay on February 28, 2025. Pursuant to a scheduling order entered by the court, Plaintiffs’ answering brief was filed on May 2, 2025, and Defendants’ reply brief is due June 3,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Consolidated Derivative Action have no merit and intends to vigorously defend them.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and Exchange Commission (the “SEC”)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Division of Enforcement of the SEC has issued three subpoenas in connection with a formal order of investigation of the Company seeking documents and information from us. The Company is in the process of responding to the subpoenas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Class A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Registration Rights Agreement provides that the Company will, within 60 days after the consummation of the Business Combination, file with the SEC a shelf registration statement registering the resale of the shares of Class A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Class A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Class A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Class A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Class A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Class A Common Stock issuable upon the exercise thereof for 30 days following the Closing.</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Company is authorized to issue 320,000,000 shares of Class A Common Stock, par value of $0.0001 per share. Holders of Class A Common Stock are entitled to </w:t>
      </w:r>
      <w:r>
        <w:rPr>
          <w:rFonts w:ascii="Times New Roman;sans-serif" w:hAnsi="Times New Roman;sans-serif"/>
          <w:b w:val="false"/>
          <w:color w:val="000000"/>
          <w:sz w:val="20"/>
        </w:rPr>
        <w:t>one</w:t>
      </w:r>
      <w:r>
        <w:rPr>
          <w:color w:val="231F20"/>
        </w:rPr>
        <w:t xml:space="preserve"> </w:t>
      </w:r>
      <w:r>
        <w:rPr>
          <w:rFonts w:ascii="Times New Roman;sans-serif" w:hAnsi="Times New Roman;sans-serif"/>
          <w:b w:val="false"/>
          <w:color w:val="231F20"/>
          <w:sz w:val="20"/>
        </w:rPr>
        <w:t>vote for each share. As of March 31, 2025 and December 31, 2024, there were 125,246,286 and 124,924,185, respectively, of Class A Common Stock issued and outstanding. The Company has not declared or paid any dividends with respect to its Class A Common Stock</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2023, the Company’s Board of Directors approved a share repurchase program authorizing the Company to repurchase up to $100.0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During the three months ended March 31, 2025, the Company did not repurchase any shares of its Class A Common Stock. As of March 31, 2025, the Company had a remaining authorization of $69.8 million under the program.</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March 31, 2025 and </w:t>
      </w:r>
      <w:r>
        <w:rPr>
          <w:rFonts w:ascii="Times New Roman;sans-serif" w:hAnsi="Times New Roman;sans-serif"/>
          <w:b w:val="false"/>
          <w:color w:val="231F20"/>
          <w:sz w:val="20"/>
        </w:rPr>
        <w:t>December 31, 2024</w:t>
      </w:r>
      <w:r>
        <w:rPr>
          <w:rFonts w:ascii="Times New Roman;sans-serif" w:hAnsi="Times New Roman;sans-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as of March 31, 2025 and December 31, 2024, and indicate the fair value hierarchy of the valuation inputs the Company utilized to determine such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three levels of the fair value hierarchy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based on our assessment of the assumptions that market participants would use in pricing the asset or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13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March 31, 2025</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285,638 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285,638 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3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40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2024</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284,462 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the consummation of Vesper Healthcare’s initial public offering, the Company issued 9,333,333 warrants to purchase shares of the Company’s Class A Common Stock at $11.50 per share (the “Private Placement Warrants”), to BLS Investor Group LLC, which will expire five years after the Business Combination. As of March 31, 2025 and December 31, 2024, the Company had approximately 7 million Private Placement Warrants outstanding for which the fair value was determined using a Monte Carlo simulation.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consist of the sale of products to retail and wholesale customers through e-commerce and distributor sales. The Company generates revenue through manufacturing and selling its patented hydradermabrasion delivery systems (“Delivery Systems”). In conjunction with the sale of Delivery Systems, the Company also sells single-use tips, solutions, and serums used to provide a Hydrafacial treatment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rPr>
      </w:pPr>
      <w:r>
        <w:rPr>
          <w:rFonts w:ascii="Times New Roman;sans-serif" w:hAnsi="Times New Roman;sans-serif"/>
          <w:b w:val="false"/>
          <w:color w:val="231F20"/>
          <w:sz w:val="20"/>
        </w:rPr>
        <w:t>Net sales disaggregated by major product line were as follows for the periods indicated:</w:t>
      </w:r>
    </w:p>
    <w:tbl>
      <w:tblPr>
        <w:tblW w:w="4637" w:type="dxa"/>
        <w:jc w:val="left"/>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721"/>
        <w:gridCol w:w="109"/>
        <w:gridCol w:w="109"/>
        <w:gridCol w:w="109"/>
        <w:gridCol w:w="109"/>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720"/>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geographic region were as follows for the periods indicated:</w:t>
      </w:r>
    </w:p>
    <w:p>
      <w:pPr>
        <w:pStyle w:val="TextBody"/>
        <w:bidi w:val="0"/>
        <w:spacing w:before="0" w:after="0"/>
        <w:jc w:val="left"/>
        <w:rPr/>
      </w:pPr>
      <w:r>
        <w:rPr/>
      </w:r>
    </w:p>
    <w:tbl>
      <w:tblPr>
        <w:tblW w:w="6077" w:type="dxa"/>
        <w:jc w:val="left"/>
        <w:tblInd w:w="0" w:type="dxa"/>
        <w:tblLayout w:type="fixed"/>
        <w:tblCellMar>
          <w:top w:w="28" w:type="dxa"/>
          <w:left w:w="28" w:type="dxa"/>
          <w:bottom w:w="28" w:type="dxa"/>
          <w:right w:w="28" w:type="dxa"/>
        </w:tblCellMar>
      </w:tblPr>
      <w:tblGrid>
        <w:gridCol w:w="1074"/>
        <w:gridCol w:w="946"/>
        <w:gridCol w:w="949"/>
        <w:gridCol w:w="211"/>
        <w:gridCol w:w="721"/>
        <w:gridCol w:w="109"/>
        <w:gridCol w:w="109"/>
        <w:gridCol w:w="109"/>
        <w:gridCol w:w="109"/>
        <w:gridCol w:w="211"/>
        <w:gridCol w:w="721"/>
        <w:gridCol w:w="109"/>
        <w:gridCol w:w="109"/>
        <w:gridCol w:w="109"/>
        <w:gridCol w:w="109"/>
        <w:gridCol w:w="109"/>
        <w:gridCol w:w="109"/>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Asia-Pacific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Europe, the Middle East and Africa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81,403 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various stock compensation plans, which are more fully described in Part II, Item 8 “Financial Statements and Supplementary Data—Note 12 to the Consolidated Financial Statements—Share-Based Compensation” in the Company’s 2024 Annual Report on Form 10-K. Under the Beauty Health Company 2021 Incentive Award Plan, the Company may grant stock options, stock appreciation rights, restricted stock, restricted stock units, dividend equivalents, other stock or cash-based awards to eligible service providers.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was as follows for the periods indicated:</w:t>
      </w:r>
    </w:p>
    <w:p>
      <w:pPr>
        <w:pStyle w:val="TextBody"/>
        <w:bidi w:val="0"/>
        <w:spacing w:before="0" w:after="0"/>
        <w:jc w:val="left"/>
        <w:rPr/>
      </w:pPr>
      <w:r>
        <w:rPr/>
      </w:r>
    </w:p>
    <w:tbl>
      <w:tblPr>
        <w:tblW w:w="5610" w:type="dxa"/>
        <w:jc w:val="left"/>
        <w:tblInd w:w="0" w:type="dxa"/>
        <w:tblLayout w:type="fixed"/>
        <w:tblCellMar>
          <w:top w:w="28" w:type="dxa"/>
          <w:left w:w="28" w:type="dxa"/>
          <w:bottom w:w="28" w:type="dxa"/>
          <w:right w:w="28" w:type="dxa"/>
        </w:tblCellMar>
      </w:tblPr>
      <w:tblGrid>
        <w:gridCol w:w="987"/>
        <w:gridCol w:w="871"/>
        <w:gridCol w:w="872"/>
        <w:gridCol w:w="230"/>
        <w:gridCol w:w="672"/>
        <w:gridCol w:w="119"/>
        <w:gridCol w:w="119"/>
        <w:gridCol w:w="119"/>
        <w:gridCol w:w="119"/>
        <w:gridCol w:w="230"/>
        <w:gridCol w:w="672"/>
        <w:gridCol w:w="119"/>
        <w:gridCol w:w="109"/>
        <w:gridCol w:w="109"/>
        <w:gridCol w:w="109"/>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6,636 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March 31, 2025</w:t>
      </w:r>
      <w:r>
        <w:rPr>
          <w:rFonts w:ascii="Times New Roman;sans-serif" w:hAnsi="Times New Roman;sans-serif"/>
          <w:b w:val="false"/>
          <w:color w:val="000000"/>
          <w:sz w:val="20"/>
        </w:rPr>
        <w:t>, total unrecognized compensation expense related to unvested share-based compensation totaled $36.2 million and is expected to be recognized over a weighted-average period of 2.2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pPr>
      <w:r>
        <w:rPr>
          <w:rFonts w:ascii="Times New Roman;sans-serif" w:hAnsi="Times New Roman;sans-serif"/>
          <w:b w:val="false"/>
          <w:i/>
          <w:color w:val="000000"/>
          <w:sz w:val="20"/>
        </w:rPr>
        <w:t xml:space="preserve">Restricted Stock Units (“RSU”) and </w:t>
      </w:r>
      <w:r>
        <w:rPr>
          <w:rFonts w:ascii="Times New Roman;sans-serif" w:hAnsi="Times New Roman;sans-serif"/>
          <w:b w:val="false"/>
          <w:i/>
          <w:color w:val="231F20"/>
          <w:sz w:val="20"/>
        </w:rPr>
        <w:t>Performance-based Restricted Stock Units (“PSU”)</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RSU and PSU activity:</w:t>
      </w:r>
    </w:p>
    <w:tbl>
      <w:tblPr>
        <w:tblW w:w="9448" w:type="dxa"/>
        <w:jc w:val="left"/>
        <w:tblInd w:w="0" w:type="dxa"/>
        <w:tblLayout w:type="fixed"/>
        <w:tblCellMar>
          <w:top w:w="28" w:type="dxa"/>
          <w:left w:w="28" w:type="dxa"/>
          <w:bottom w:w="28" w:type="dxa"/>
          <w:right w:w="28" w:type="dxa"/>
        </w:tblCellMar>
      </w:tblPr>
      <w:tblGrid>
        <w:gridCol w:w="929"/>
        <w:gridCol w:w="815"/>
        <w:gridCol w:w="820"/>
        <w:gridCol w:w="109"/>
        <w:gridCol w:w="109"/>
        <w:gridCol w:w="109"/>
        <w:gridCol w:w="540"/>
        <w:gridCol w:w="541"/>
        <w:gridCol w:w="321"/>
        <w:gridCol w:w="109"/>
        <w:gridCol w:w="109"/>
        <w:gridCol w:w="109"/>
        <w:gridCol w:w="488"/>
        <w:gridCol w:w="488"/>
        <w:gridCol w:w="316"/>
        <w:gridCol w:w="109"/>
        <w:gridCol w:w="109"/>
        <w:gridCol w:w="109"/>
        <w:gridCol w:w="333"/>
        <w:gridCol w:w="806"/>
        <w:gridCol w:w="172"/>
        <w:gridCol w:w="172"/>
        <w:gridCol w:w="172"/>
        <w:gridCol w:w="172"/>
        <w:gridCol w:w="333"/>
        <w:gridCol w:w="806"/>
        <w:gridCol w:w="243"/>
      </w:tblGrid>
      <w:tr>
        <w:trP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Weighted Average Grant Date Fair Value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RSU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PSU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RSU</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PSU</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Outstanding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7,254,391 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1,237,822 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9,698,526 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1,676,134 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Vested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(483,396)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(656,513)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(68,339)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10.40 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Outstanding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15,813,008 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2,845,617 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180"/>
        <w:jc w:val="left"/>
        <w:rPr/>
      </w:pPr>
      <w:r>
        <w:rPr>
          <w:rFonts w:ascii="Times New Roman;sans-serif" w:hAnsi="Times New Roman;sans-serif"/>
          <w:b w:val="false"/>
          <w:i/>
          <w:color w:val="000000"/>
          <w:sz w:val="20"/>
        </w:rPr>
        <w:t xml:space="preserve">Stock </w:t>
      </w:r>
      <w:r>
        <w:rPr>
          <w:rFonts w:ascii="Times New Roman;sans-serif" w:hAnsi="Times New Roman;sans-serif"/>
          <w:b w:val="false"/>
          <w:i/>
          <w:color w:val="231F20"/>
          <w:sz w:val="20"/>
        </w:rPr>
        <w:t>Options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stock option activity: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9"/>
        <w:gridCol w:w="964"/>
        <w:gridCol w:w="970"/>
        <w:gridCol w:w="109"/>
        <w:gridCol w:w="109"/>
        <w:gridCol w:w="109"/>
        <w:gridCol w:w="488"/>
        <w:gridCol w:w="488"/>
        <w:gridCol w:w="196"/>
        <w:gridCol w:w="109"/>
        <w:gridCol w:w="109"/>
        <w:gridCol w:w="109"/>
        <w:gridCol w:w="413"/>
        <w:gridCol w:w="1208"/>
        <w:gridCol w:w="213"/>
        <w:gridCol w:w="109"/>
        <w:gridCol w:w="109"/>
        <w:gridCol w:w="109"/>
        <w:gridCol w:w="971"/>
        <w:gridCol w:w="971"/>
        <w:gridCol w:w="974"/>
        <w:gridCol w:w="109"/>
        <w:gridCol w:w="160"/>
      </w:tblGrid>
      <w:tr>
        <w:trPr/>
        <w:tc>
          <w:tcPr>
            <w:tcW w:w="109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Weighted Average Remaining Contractual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Outstanding -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3,483,070 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Granted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(71,500)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(266,250)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Outstanding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3,145,320 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Vested and Exercisable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2,505,615 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231F20"/>
                <w:sz w:val="20"/>
              </w:rPr>
            </w:pPr>
            <w:r>
              <w:rPr>
                <w:rFonts w:ascii="Times New Roman;sans-serif" w:hAnsi="Times New Roman;sans-serif"/>
                <w:b w:val="false"/>
                <w:color w:val="231F20"/>
                <w:sz w:val="20"/>
              </w:rPr>
              <w:t>Options vested and expected to vest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3,145,320 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5.03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Income Taxes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required to calculate its interim income tax provision using the estimated annual effective tax rate (“AETR”) method prescribed by Accounting Standards Codification (“ASC”) 740-270, and as such, excludes losses in jurisdictions where the Company cannot benefit in computing its worldwide AETR. A separate AETR is computed and applied to ordinary losses in the U.S. jurisdiction as required by ASC 740-270-30-36(a). For the three months ended March 31, 2025, the Company recorded U.S. federal, state, and foreign income tax expense of $0.9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AETR differed from the U.S. federal statutory tax rate of 21% due primarily to a full valuation allowance against the Company’s U.S. deferred tax assets, income in foreign jurisdictions that are taxed at varying rates, the tax effect of unrealized foreign exchange, and the tax impact of executive and share-based compensation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the Company recorded income tax benefit of $0.7 million. The estimated worldwide AETR differed from the U.S. federal statutory tax rate of 21% due primarily to a full valuation allowance against the Company’s U.S. deferred tax assets, income in foreign jurisdictions that are taxed at higher rates than the U.S. federal rate, and the impact of discrete items that may occur in any given year but are not consistent from year to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valuation allowance in the U.S. against its deferred tax assets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of $1.5 million and $1.2 million as of March 31, 2025 and December 31, 2024,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Net Loss Attributable to Common Stockholders</w: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val="false"/>
          <w:color w:val="231F20"/>
          <w:sz w:val="20"/>
        </w:rPr>
        <w:t xml:space="preserve">The following table sets forth the calculation of both basic and diluted net </w:t>
      </w:r>
      <w:r>
        <w:rPr>
          <w:rFonts w:ascii="Times New Roman;sans-serif" w:hAnsi="Times New Roman;sans-serif"/>
          <w:b w:val="false"/>
          <w:color w:val="000000"/>
          <w:sz w:val="20"/>
        </w:rPr>
        <w:t>loss</w:t>
      </w:r>
      <w:r>
        <w:rPr>
          <w:color w:val="231F20"/>
        </w:rPr>
        <w:t xml:space="preserve"> </w:t>
      </w:r>
      <w:r>
        <w:rPr>
          <w:rFonts w:ascii="Times New Roman;sans-serif" w:hAnsi="Times New Roman;sans-serif"/>
          <w:b w:val="false"/>
          <w:color w:val="231F20"/>
          <w:sz w:val="20"/>
        </w:rPr>
        <w:t xml:space="preserve">per share as follows for the periods indicated: </w:t>
      </w:r>
    </w:p>
    <w:tbl>
      <w:tblPr>
        <w:tblW w:w="8191" w:type="dxa"/>
        <w:jc w:val="left"/>
        <w:tblInd w:w="0" w:type="dxa"/>
        <w:tblLayout w:type="fixed"/>
        <w:tblCellMar>
          <w:top w:w="28" w:type="dxa"/>
          <w:left w:w="28" w:type="dxa"/>
          <w:bottom w:w="28" w:type="dxa"/>
          <w:right w:w="28" w:type="dxa"/>
        </w:tblCellMar>
      </w:tblPr>
      <w:tblGrid>
        <w:gridCol w:w="1658"/>
        <w:gridCol w:w="1455"/>
        <w:gridCol w:w="1462"/>
        <w:gridCol w:w="264"/>
        <w:gridCol w:w="922"/>
        <w:gridCol w:w="109"/>
        <w:gridCol w:w="109"/>
        <w:gridCol w:w="109"/>
        <w:gridCol w:w="109"/>
        <w:gridCol w:w="264"/>
        <w:gridCol w:w="922"/>
        <w:gridCol w:w="109"/>
        <w:gridCol w:w="109"/>
        <w:gridCol w:w="109"/>
        <w:gridCol w:w="109"/>
        <w:gridCol w:w="109"/>
        <w:gridCol w:w="10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available to common stockholders - basic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31F20"/>
                <w:sz w:val="20"/>
              </w:rPr>
              <w:t xml:space="preserve">Adjustments related to the Notes </w:t>
            </w:r>
            <w:r>
              <w:rPr>
                <w:rFonts w:ascii="Times New Roman;sans-serif" w:hAnsi="Times New Roman;sans-serif"/>
                <w:b w:val="false"/>
                <w:color w:val="231F2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available to common stockholders - diluted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stock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125,079,470 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123,120,426 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dilutive shares: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21,356,782 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stock outstanding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125,079,470 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144,477,208 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Basic net loss per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Dilutive net loss per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three months ended March 31, 2024, the adjustments related to the Notes include the net gain on repurchase offset by interest expense and amortization of debt issuance costs related to the Company’s Notes (net of taxes).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5360" w:type="dxa"/>
        <w:jc w:val="left"/>
        <w:tblInd w:w="0" w:type="dxa"/>
        <w:tblLayout w:type="fixed"/>
        <w:tblCellMar>
          <w:top w:w="28" w:type="dxa"/>
          <w:left w:w="28" w:type="dxa"/>
          <w:bottom w:w="28" w:type="dxa"/>
          <w:right w:w="28" w:type="dxa"/>
        </w:tblCellMar>
      </w:tblPr>
      <w:tblGrid>
        <w:gridCol w:w="461"/>
        <w:gridCol w:w="404"/>
        <w:gridCol w:w="409"/>
        <w:gridCol w:w="750"/>
        <w:gridCol w:w="331"/>
        <w:gridCol w:w="266"/>
        <w:gridCol w:w="266"/>
        <w:gridCol w:w="266"/>
        <w:gridCol w:w="266"/>
        <w:gridCol w:w="639"/>
        <w:gridCol w:w="337"/>
        <w:gridCol w:w="266"/>
        <w:gridCol w:w="109"/>
        <w:gridCol w:w="109"/>
        <w:gridCol w:w="109"/>
        <w:gridCol w:w="109"/>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Notes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17,559,686 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15,813,008 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4,133,118 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 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3,145,320 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3,671,120 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2,845,617 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1,179,487 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income and shares related to the Private Placement Warrants were excluded from the calculation of diluted net loss per share of Class A Common Stock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Segment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business on the basis of one operating segment and one reportable segment. The chief operating decision maker (“CODM”), who is the Chief Executive Officer, assesses performance for the one operating segment and decides how to allocate resources based on consolidated net income (loss) and consolidated income (loss) from operations, which is also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expenses within consolidated net (loss) income include cost of sales, total operating expenses, interest expense, interest income, other (income) expense, net, change in fair value of warrant liabilities, foreign currency transaction loss (gain), net, and income tax expense (benefit), all of which are each separately reported on the Condensed Consolidated Statements of Comprehensive Income (Loss).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CODM also reviews the disaggregation of total operating expenses, of which significant segment expenses are related to personnel-related expenses, which includes sales commission and share-based compensation expense. Other segment expenses included in total operating expenses primarily consist of fees for professional services principally comprising legal, audit, tax and accounting services, depreciation and amortization expenses, advertising and marketing related expenses, software, facilities-related costs, credit card and wire fees, and insurance.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components of operating expenses for the periods indicated: </w:t>
      </w:r>
    </w:p>
    <w:p>
      <w:pPr>
        <w:pStyle w:val="TextBody"/>
        <w:bidi w:val="0"/>
        <w:spacing w:before="0" w:after="0"/>
        <w:jc w:val="left"/>
        <w:rPr/>
      </w:pPr>
      <w:r>
        <w:rPr/>
      </w:r>
    </w:p>
    <w:tbl>
      <w:tblPr>
        <w:tblW w:w="5418" w:type="dxa"/>
        <w:jc w:val="left"/>
        <w:tblInd w:w="0" w:type="dxa"/>
        <w:tblLayout w:type="fixed"/>
        <w:tblCellMar>
          <w:top w:w="28" w:type="dxa"/>
          <w:left w:w="28" w:type="dxa"/>
          <w:bottom w:w="28" w:type="dxa"/>
          <w:right w:w="28" w:type="dxa"/>
        </w:tblCellMar>
      </w:tblPr>
      <w:tblGrid>
        <w:gridCol w:w="836"/>
        <w:gridCol w:w="736"/>
        <w:gridCol w:w="738"/>
        <w:gridCol w:w="211"/>
        <w:gridCol w:w="721"/>
        <w:gridCol w:w="109"/>
        <w:gridCol w:w="109"/>
        <w:gridCol w:w="109"/>
        <w:gridCol w:w="109"/>
        <w:gridCol w:w="211"/>
        <w:gridCol w:w="721"/>
        <w:gridCol w:w="109"/>
        <w:gridCol w:w="109"/>
        <w:gridCol w:w="109"/>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720"/>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Total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Personnel-related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64" w:before="0" w:after="0"/>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Other segment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Standards Accounting Board (“FASB”) issued Accounting Standards Update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annual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“Disaggregation of Income Statement Expenses” which expands interim and annual requirements to disclose about specific types of expenses included in the expense captions presented on the face of the income statement as well as disclosures about selling expenses. The guidance will be effective for annual periods beginning after December 15, 2026 and interim reporting periods beginning after December 15, 2027, which was clarified in ASU 2025-01. The standard allows for early adoption of these requirements. The Company is currently evaluating the potential effect that the updated standard will have on its financial statement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three months ended March 31, 2025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2024 filed with the Securities and Exchange Commission (the “SEC”) on March 12,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Important factors, among others, that may affect actual results or outcomes include the inability to recognize the benefits of the business combination consummated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references to the “Company”, “Hydrafacial”, “we”, “us”, and “our” in this section are intended to mean the business and operations of The Beauty Health Company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Beauty Health Company is a medtech meets beauty company that delivers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nanoneedling and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three months ended</w:t>
      </w:r>
      <w:r>
        <w:rPr>
          <w:color w:val="231F20"/>
        </w:rPr>
        <w:t xml:space="preserve"> </w:t>
      </w:r>
      <w:r>
        <w:rPr>
          <w:rFonts w:ascii="Times New Roman;sans-serif" w:hAnsi="Times New Roman;sans-serif"/>
          <w:b w:val="false"/>
          <w:color w:val="000000"/>
          <w:sz w:val="20"/>
        </w:rPr>
        <w:t>March 31, 2025</w:t>
      </w:r>
      <w:r>
        <w:rPr>
          <w:rFonts w:ascii="Times New Roman;sans-serif" w:hAnsi="Times New Roman;sans-serif"/>
          <w:b w:val="false"/>
          <w:color w:val="231F20"/>
          <w:sz w:val="20"/>
        </w:rPr>
        <w:t>, we continued to execute against our plan to expand our footprint by selling and placing our patented hydradermabrasion delivery systems (“Delivery Systems”) worldwide, drive consumables, which consist of single-use tips, solutions, serums and other consumables used to provide a Hydrafacial treatment that cleanses, extracts, and hydrates the skin (collectively “Consumables”), invest in our community of providers, partners, and consumers, drive brand awareness, and optimize our global infrastructure. Although we believe we can be successful in our current operating environment, various factors may impact our business in unpredictable ways such as:</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Global economic conditions, including inflation, recession, changes in foreign currency exchange rates, higher interest rates, and other changes in economic conditions;</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The imposition of tariffs and/or trade restrictions may impact material costs and pricing;</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Disruptions in transportation and other supply chain related constraints, such as labor strife in the transportation industry; and</w:t>
      </w:r>
    </w:p>
    <w:p>
      <w:pPr>
        <w:pStyle w:val="TextBody"/>
        <w:bidi w:val="0"/>
        <w:spacing w:lineRule="auto" w:line="288" w:before="0" w:after="0"/>
        <w:ind w:left="0" w:right="0" w:hanging="360"/>
        <w:jc w:val="left"/>
        <w:rPr/>
      </w:pPr>
      <w:r>
        <w:rPr>
          <w:color w:val="231F20"/>
        </w:rPr>
        <w:t>•</w:t>
      </w:r>
      <w:r>
        <w:rPr>
          <w:rFonts w:ascii="Times New Roman;sans-serif" w:hAnsi="Times New Roman;sans-serif"/>
          <w:b w:val="false"/>
          <w:color w:val="231F20"/>
          <w:sz w:val="20"/>
        </w:rPr>
        <w:t>Issues related to older models of Syndeo and our actions to remediate such issues.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231F20"/>
          <w:sz w:val="20"/>
        </w:rPr>
      </w:pPr>
      <w:r>
        <w:rPr>
          <w:rFonts w:ascii="Times New Roman;sans-serif" w:hAnsi="Times New Roman;sans-serif"/>
          <w:b w:val="false"/>
          <w:i/>
          <w:color w:val="231F20"/>
          <w:sz w:val="20"/>
        </w:rPr>
        <w:t>China Market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 evaluated its global distribution strategy to align its go-to-market strategy with in-market partner capabilities and market opportunity. The Company expects to transition sales in the China market to a distributor partner during the second quarter of 2025, and as a result, the Company intends to discontinue its direct sales presence in China. During the three months ended March 31, 2025, the Company recognized approximately $3 million and $1 million, respectively, of severance and restructuring and other non-cash charges associated with these actions. The change in go-to-market strategy is expected to be accretive to the Company’s long-term profitability, as reductions in operating spend are partially offset by a reduction to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Comparison of Three Months Ended March 31, 2025 to Three Months Ended March 31,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March 31, 2025 and March 31, 2024, have been derived from the condensed consolidated financial statements included elsewhere in this Quarterly Report on Form 10-Q. Amounts and percentages may not foot due to rounding.</w:t>
      </w:r>
    </w:p>
    <w:p>
      <w:pPr>
        <w:pStyle w:val="TextBody"/>
        <w:bidi w:val="0"/>
        <w:spacing w:before="0" w:after="0"/>
        <w:jc w:val="left"/>
        <w:rPr/>
      </w:pPr>
      <w:r>
        <w:rPr/>
      </w:r>
    </w:p>
    <w:tbl>
      <w:tblPr>
        <w:tblW w:w="8991" w:type="dxa"/>
        <w:jc w:val="left"/>
        <w:tblInd w:w="0" w:type="dxa"/>
        <w:tblLayout w:type="fixed"/>
        <w:tblCellMar>
          <w:top w:w="28" w:type="dxa"/>
          <w:left w:w="28" w:type="dxa"/>
          <w:bottom w:w="28" w:type="dxa"/>
          <w:right w:w="28" w:type="dxa"/>
        </w:tblCellMar>
      </w:tblPr>
      <w:tblGrid>
        <w:gridCol w:w="1330"/>
        <w:gridCol w:w="1169"/>
        <w:gridCol w:w="1175"/>
        <w:gridCol w:w="211"/>
        <w:gridCol w:w="586"/>
        <w:gridCol w:w="109"/>
        <w:gridCol w:w="109"/>
        <w:gridCol w:w="109"/>
        <w:gridCol w:w="109"/>
        <w:gridCol w:w="308"/>
        <w:gridCol w:w="308"/>
        <w:gridCol w:w="648"/>
        <w:gridCol w:w="109"/>
        <w:gridCol w:w="109"/>
        <w:gridCol w:w="109"/>
        <w:gridCol w:w="211"/>
        <w:gridCol w:w="511"/>
        <w:gridCol w:w="109"/>
        <w:gridCol w:w="109"/>
        <w:gridCol w:w="109"/>
        <w:gridCol w:w="109"/>
        <w:gridCol w:w="308"/>
        <w:gridCol w:w="308"/>
        <w:gridCol w:w="719"/>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30.2 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40.6 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69.8 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59.4 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41.4 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48.2 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operating expenses </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87.1 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80.3 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from operations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(20.9)</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(6.6)</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(19.8)</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(gain) loss, net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before provision for income taxes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expense (benefit)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(0.8)</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(14.5)</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(0.8)</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bl>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Net Sales</w:t>
      </w:r>
    </w:p>
    <w:tbl>
      <w:tblPr>
        <w:tblW w:w="6808" w:type="dxa"/>
        <w:jc w:val="left"/>
        <w:tblInd w:w="0" w:type="dxa"/>
        <w:tblLayout w:type="fixed"/>
        <w:tblCellMar>
          <w:top w:w="28" w:type="dxa"/>
          <w:left w:w="28" w:type="dxa"/>
          <w:bottom w:w="28" w:type="dxa"/>
          <w:right w:w="28" w:type="dxa"/>
        </w:tblCellMar>
      </w:tblPr>
      <w:tblGrid>
        <w:gridCol w:w="706"/>
        <w:gridCol w:w="621"/>
        <w:gridCol w:w="622"/>
        <w:gridCol w:w="254"/>
        <w:gridCol w:w="617"/>
        <w:gridCol w:w="131"/>
        <w:gridCol w:w="131"/>
        <w:gridCol w:w="131"/>
        <w:gridCol w:w="131"/>
        <w:gridCol w:w="254"/>
        <w:gridCol w:w="617"/>
        <w:gridCol w:w="131"/>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(14.5)</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Percentage of net sales</w:t>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70.9%</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w:t>
            </w:r>
          </w:p>
        </w:tc>
        <w:tc>
          <w:tcPr>
            <w:tcW w:w="10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net sales for the three months ended March 31, 2025 decreased $11.8 million, or 14.5%, compared to the three months ended March 31, 2024. Delivery Systems net sales for the three months ended March 31, 2025 decreased $15.6 million, or 43.5%, compared to the three months ended March 31, 2024, with decreases across all regions. Delivery Systems net sales were negatively impacted globally by unfavorable macroeconomic and credit conditions.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Consumables net sales for the three months ended March 31, 2025 increased $3.7 million, or 8.2%, compared to the three months ended March 31, 2024. The increase in Consumables net sales was primarily attributable to increased placements of Delivery Systems and the adjoining consumption of Consumables during the three months ended March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tbl>
      <w:tblPr>
        <w:tblW w:w="5937" w:type="dxa"/>
        <w:jc w:val="left"/>
        <w:tblInd w:w="0" w:type="dxa"/>
        <w:tblLayout w:type="fixed"/>
        <w:tblCellMar>
          <w:top w:w="28" w:type="dxa"/>
          <w:left w:w="28" w:type="dxa"/>
          <w:bottom w:w="28" w:type="dxa"/>
          <w:right w:w="28" w:type="dxa"/>
        </w:tblCellMar>
      </w:tblPr>
      <w:tblGrid>
        <w:gridCol w:w="429"/>
        <w:gridCol w:w="377"/>
        <w:gridCol w:w="378"/>
        <w:gridCol w:w="219"/>
        <w:gridCol w:w="530"/>
        <w:gridCol w:w="281"/>
        <w:gridCol w:w="113"/>
        <w:gridCol w:w="113"/>
        <w:gridCol w:w="113"/>
        <w:gridCol w:w="219"/>
        <w:gridCol w:w="530"/>
        <w:gridCol w:w="281"/>
        <w:gridCol w:w="109"/>
        <w:gridCol w:w="109"/>
        <w:gridCol w:w="109"/>
        <w:gridCol w:w="211"/>
        <w:gridCol w:w="586"/>
        <w:gridCol w:w="109"/>
        <w:gridCol w:w="109"/>
        <w:gridCol w:w="109"/>
        <w:gridCol w:w="109"/>
        <w:gridCol w:w="232"/>
        <w:gridCol w:w="232"/>
        <w:gridCol w:w="330"/>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(36.4)%</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margin</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69.8 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59.4 </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for the three months ended March 31, 2025 decreased $12.0 million, compared to the three months ended March 31, 2024 primarily due to lower net sales and inventory related charges. Gross margin increased to 69.8% for the three months ended March 31, 2025 from 59.4% for the three months ended March 31, 2024 primarily due to lower inventory related charges and favorable mix shift towards consumable net sales, partially offset by lower average selling price of equipment net sales.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Selling and Marketing</w:t>
      </w:r>
    </w:p>
    <w:tbl>
      <w:tblPr>
        <w:tblW w:w="7140" w:type="dxa"/>
        <w:jc w:val="left"/>
        <w:tblInd w:w="0" w:type="dxa"/>
        <w:tblLayout w:type="fixed"/>
        <w:tblCellMar>
          <w:top w:w="28" w:type="dxa"/>
          <w:left w:w="28" w:type="dxa"/>
          <w:bottom w:w="28" w:type="dxa"/>
          <w:right w:w="28" w:type="dxa"/>
        </w:tblCellMar>
      </w:tblPr>
      <w:tblGrid>
        <w:gridCol w:w="864"/>
        <w:gridCol w:w="759"/>
        <w:gridCol w:w="761"/>
        <w:gridCol w:w="219"/>
        <w:gridCol w:w="530"/>
        <w:gridCol w:w="281"/>
        <w:gridCol w:w="113"/>
        <w:gridCol w:w="113"/>
        <w:gridCol w:w="113"/>
        <w:gridCol w:w="219"/>
        <w:gridCol w:w="530"/>
        <w:gridCol w:w="281"/>
        <w:gridCol w:w="109"/>
        <w:gridCol w:w="109"/>
        <w:gridCol w:w="109"/>
        <w:gridCol w:w="211"/>
        <w:gridCol w:w="481"/>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As a percentage of net sales</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41.4 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for the three months ended March 31, 2025 decreased $7.6 million, or 22.7%, compared to the three months ended March 31, 2024. The decrease is primarily driven by lower personnel-related expenses, including share-based compensation expense and lower sales commission expense and marketing spend.</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Research and Development</w:t>
      </w:r>
    </w:p>
    <w:tbl>
      <w:tblPr>
        <w:tblW w:w="7182" w:type="dxa"/>
        <w:jc w:val="left"/>
        <w:tblInd w:w="0" w:type="dxa"/>
        <w:tblLayout w:type="fixed"/>
        <w:tblCellMar>
          <w:top w:w="28" w:type="dxa"/>
          <w:left w:w="28" w:type="dxa"/>
          <w:bottom w:w="28" w:type="dxa"/>
          <w:right w:w="28" w:type="dxa"/>
        </w:tblCellMar>
      </w:tblPr>
      <w:tblGrid>
        <w:gridCol w:w="879"/>
        <w:gridCol w:w="772"/>
        <w:gridCol w:w="778"/>
        <w:gridCol w:w="240"/>
        <w:gridCol w:w="463"/>
        <w:gridCol w:w="309"/>
        <w:gridCol w:w="124"/>
        <w:gridCol w:w="124"/>
        <w:gridCol w:w="124"/>
        <w:gridCol w:w="240"/>
        <w:gridCol w:w="463"/>
        <w:gridCol w:w="309"/>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three months ended March 31, 2025 decreased $1.8 million, or 64.4%, compared to the three months ended March 31, 2024. The decrease is primarily driven by lower personnel-related expenses, including share-based compensation expense.</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General and Administrative</w:t>
      </w:r>
    </w:p>
    <w:tbl>
      <w:tblPr>
        <w:tblW w:w="7036" w:type="dxa"/>
        <w:jc w:val="left"/>
        <w:tblInd w:w="0" w:type="dxa"/>
        <w:tblLayout w:type="fixed"/>
        <w:tblCellMar>
          <w:top w:w="28" w:type="dxa"/>
          <w:left w:w="28" w:type="dxa"/>
          <w:bottom w:w="28" w:type="dxa"/>
          <w:right w:w="28" w:type="dxa"/>
        </w:tblCellMar>
      </w:tblPr>
      <w:tblGrid>
        <w:gridCol w:w="879"/>
        <w:gridCol w:w="772"/>
        <w:gridCol w:w="779"/>
        <w:gridCol w:w="219"/>
        <w:gridCol w:w="530"/>
        <w:gridCol w:w="281"/>
        <w:gridCol w:w="113"/>
        <w:gridCol w:w="113"/>
        <w:gridCol w:w="113"/>
        <w:gridCol w:w="219"/>
        <w:gridCol w:w="530"/>
        <w:gridCol w:w="281"/>
        <w:gridCol w:w="109"/>
        <w:gridCol w:w="109"/>
        <w:gridCol w:w="109"/>
        <w:gridCol w:w="211"/>
        <w:gridCol w:w="406"/>
        <w:gridCol w:w="109"/>
        <w:gridCol w:w="109"/>
        <w:gridCol w:w="109"/>
        <w:gridCol w:w="109"/>
        <w:gridCol w:w="255"/>
        <w:gridCol w:w="256"/>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General and administrative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28.9 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for the three months ended March 31, 2025 increased $4.7 million, or 16.3%, compared to the three months ended March 31, 2024. The increase is primarily driven by higher legal fees and severance and restructuring expense, partially offset by lower personnel-related expenses, including share-based compensation expense and bad debt recoveries.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Interest Income, Change in Fair Value of Warrant Liabilities, and Other Income, Net</w:t>
      </w:r>
    </w:p>
    <w:tbl>
      <w:tblPr>
        <w:tblW w:w="8233" w:type="dxa"/>
        <w:jc w:val="left"/>
        <w:tblInd w:w="0" w:type="dxa"/>
        <w:tblLayout w:type="fixed"/>
        <w:tblCellMar>
          <w:top w:w="28" w:type="dxa"/>
          <w:left w:w="28" w:type="dxa"/>
          <w:bottom w:w="28" w:type="dxa"/>
          <w:right w:w="28" w:type="dxa"/>
        </w:tblCellMar>
      </w:tblPr>
      <w:tblGrid>
        <w:gridCol w:w="1251"/>
        <w:gridCol w:w="1097"/>
        <w:gridCol w:w="1102"/>
        <w:gridCol w:w="249"/>
        <w:gridCol w:w="567"/>
        <w:gridCol w:w="128"/>
        <w:gridCol w:w="128"/>
        <w:gridCol w:w="128"/>
        <w:gridCol w:w="128"/>
        <w:gridCol w:w="249"/>
        <w:gridCol w:w="691"/>
        <w:gridCol w:w="128"/>
        <w:gridCol w:w="109"/>
        <w:gridCol w:w="109"/>
        <w:gridCol w:w="109"/>
        <w:gridCol w:w="211"/>
        <w:gridCol w:w="511"/>
        <w:gridCol w:w="109"/>
        <w:gridCol w:w="109"/>
        <w:gridCol w:w="109"/>
        <w:gridCol w:w="109"/>
        <w:gridCol w:w="293"/>
        <w:gridCol w:w="293"/>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N/M - Not meaningful</w:t>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March 31, 2025 decreased $2.3 million, compared to the three months ended March 31, 2024, primarily due to lower average invested balances during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recognized expense of $0.3 million related to the change in the fair value of the warrant liabilities as compared to income of $1.5 million for the three months ended March 31, 2024, driven primarily by the fluctuation of the price of the Company’s Class A common stock (the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three months ended March 31, 2024 included $16.1 million net gain related to the repurchase of the 1.25% Convertible Senior Notes due October 1, 2026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capital have been (i) cash flow from operating activities, (ii) net proceeds received from the consummation of the Business Combination, (iii) net proceeds received from the Notes, and (iv) net proceeds received from the exercise of public and private placement warrants. As of March 31, 2025, we had cash, cash equivalents, and restricted cash of $373.0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for our Notes.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Notes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14, 2021, the Company issued an aggregate of $750.0 million in principal amount of its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repurchased $75.0 million principal amount of the Notes for $57.8 million. During the year ended December 31, 2024, the Company repurchased $192.3 million principal amount of the Notes for $156.1 million. During the three months ended March 31, 2025, there were no repurchases related to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Known Trends or Uncertainties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net sales; however, should consolidations and downsizing in the industries continue to occur, those events could adversely impact our revenues and earnings going forward.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continue to face macroeconomic challenges such as the possibility of recession or financial market instability, and the impact of any governmental actions on the economy, such as tariffs and/or trade restrictions. These factors may adversely impact consumers, business, and government spending as well as our customers' ability to pay for our products and services on an ongoing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2025.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activities from our statements of cash flows. Amounts may not foot due to rounding.</w:t>
      </w:r>
    </w:p>
    <w:tbl>
      <w:tblPr>
        <w:tblW w:w="7853" w:type="dxa"/>
        <w:jc w:val="left"/>
        <w:tblInd w:w="0" w:type="dxa"/>
        <w:tblLayout w:type="fixed"/>
        <w:tblCellMar>
          <w:top w:w="28" w:type="dxa"/>
          <w:left w:w="28" w:type="dxa"/>
          <w:bottom w:w="28" w:type="dxa"/>
          <w:right w:w="28" w:type="dxa"/>
        </w:tblCellMar>
      </w:tblPr>
      <w:tblGrid>
        <w:gridCol w:w="1957"/>
        <w:gridCol w:w="1725"/>
        <w:gridCol w:w="1732"/>
        <w:gridCol w:w="229"/>
        <w:gridCol w:w="671"/>
        <w:gridCol w:w="118"/>
        <w:gridCol w:w="118"/>
        <w:gridCol w:w="118"/>
        <w:gridCol w:w="118"/>
        <w:gridCol w:w="229"/>
        <w:gridCol w:w="671"/>
        <w:gridCol w:w="167"/>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March 31,</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(Dollars in millions)</w:t>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 at beginning of period</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activities:</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Non-cash adjustments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Changes in working capital</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provided by (used for) operating activities</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investing activities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financing activities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Net change in cash, cash equivalents, and restricted cash</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foreign currency translation</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 at end of period</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2025 was $3.0 million, as compared to net cash used for operating activities of $16.9 million for the three months ended March 31, 2024. The change in cash provided by operating activities was primarily related to lower working capital usage and changes in net loss and non-cash adjustments. The prior year net loss and non-cash adjustments include the gain on the repurchase of the Company’s Notes and the prior year changes in working capital includes the impact of the Syndeo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for the three months ended March 31, 2025 was $1.1 million, as compared to $1.8 million for the three months ended March 31, 2024. The change in cash used for investing activities was due to lower capital expenditures during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for the three months ended March 31, 2025 was $0.3 million, as compared to $58.6 million for the three months ended March 31, 2024. The change in cash used for financing activities was primarily related to prior year’s repurchase of $75.0 million principal amount of the Company’s Notes at a weighted average price equal to 77% for $57.8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since our Annual Report on Form 10-K for the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Part I, Item 1 "Financial Statements—Note 15 to the Consolidated Financial Statements—New Accounting Pronouncements"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risks relating to our operations result primarily from changes in interest rates, foreign currency, and inflation risk. There were no material changes to our market risks disclosed in our Annual Report on Form 10-K for the fiscal year ended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as a result of the material weakness in our internal control over financial reporting related to the Company’s inventory process as described in Part II, Item 9A of our Annual Report on Form 10-K for the year ended December 31, 2024, the Company’s disclosure controls and procedures were not effective as of March 31,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Remediation Plan for Material Weakness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with oversight from our Audit Committee, has made progress on its remediation plan specific to the material weakness, with the completion of the following remediation activities as of March 31,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appointed new individuals in key roles including the Chief Supply Chain and Operations Officer and other operational leadership roles;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Enhanced training and operational guidelines resulting in the successful completion of the Company’s annual physical inventory counts;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Designed and implemented controls with regards to excess and obsolete inventory and inventory pricing and purchase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the remediation steps detailed above; however, the Company is unable to conclude that these controls are operating effectively until the applicable controls operate for a sufficient period of time and are subject to testing to conclude that remediation has been achieved. The Company anticipates that remediation activities will be completed during fiscal year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our internal control over financial reporting (as such term is defined in the Exchange Act) that occurred during the three months ended March 31, 2025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description of our material pending legal proceedings, see Note 6, Commitments and Contingencies, to our condensed consolidated financial statements included in Part I, Item 1 of this Quarterly Report on Form 10-Q.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did not issue any shares of its Class A Common Stock or other equity securities that were not registered under the Securities Act of 1933,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the Company and its affiliated purchasers did not make any purchases of the Company’s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2025,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as part of, or incorporated by reference into, this Quarterly Report on Form 10-Q. </w:t>
      </w:r>
    </w:p>
    <w:tbl>
      <w:tblPr>
        <w:tblW w:w="10205" w:type="dxa"/>
        <w:jc w:val="left"/>
        <w:tblInd w:w="0" w:type="dxa"/>
        <w:tblLayout w:type="fixed"/>
        <w:tblCellMar>
          <w:top w:w="28" w:type="dxa"/>
          <w:left w:w="28" w:type="dxa"/>
          <w:bottom w:w="28" w:type="dxa"/>
          <w:right w:w="28" w:type="dxa"/>
        </w:tblCellMar>
      </w:tblPr>
      <w:tblGrid>
        <w:gridCol w:w="223"/>
        <w:gridCol w:w="172"/>
        <w:gridCol w:w="175"/>
        <w:gridCol w:w="109"/>
        <w:gridCol w:w="109"/>
        <w:gridCol w:w="109"/>
        <w:gridCol w:w="1393"/>
        <w:gridCol w:w="1124"/>
        <w:gridCol w:w="1128"/>
        <w:gridCol w:w="109"/>
        <w:gridCol w:w="109"/>
        <w:gridCol w:w="109"/>
        <w:gridCol w:w="196"/>
        <w:gridCol w:w="196"/>
        <w:gridCol w:w="197"/>
        <w:gridCol w:w="109"/>
        <w:gridCol w:w="109"/>
        <w:gridCol w:w="109"/>
        <w:gridCol w:w="262"/>
        <w:gridCol w:w="241"/>
        <w:gridCol w:w="166"/>
        <w:gridCol w:w="109"/>
        <w:gridCol w:w="109"/>
        <w:gridCol w:w="109"/>
        <w:gridCol w:w="246"/>
        <w:gridCol w:w="246"/>
        <w:gridCol w:w="247"/>
        <w:gridCol w:w="109"/>
        <w:gridCol w:w="109"/>
        <w:gridCol w:w="109"/>
        <w:gridCol w:w="413"/>
        <w:gridCol w:w="372"/>
        <w:gridCol w:w="256"/>
        <w:gridCol w:w="109"/>
        <w:gridCol w:w="109"/>
        <w:gridCol w:w="109"/>
        <w:gridCol w:w="286"/>
        <w:gridCol w:w="286"/>
        <w:gridCol w:w="418"/>
      </w:tblGrid>
      <w:tr>
        <w:trPr/>
        <w:tc>
          <w:tcPr>
            <w:tcW w:w="2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5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FF"/>
                  <w:sz w:val="20"/>
                  <w:u w:val="single"/>
                </w:rPr>
                <w:t>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FF"/>
                  <w:sz w:val="20"/>
                  <w:u w:val="single"/>
                </w:rPr>
                <w:t>Certificate of Amendment to the 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20"/>
                  <w:u w:val="single"/>
                </w:rPr>
                <w:t>Second Certificate of Amendment to the 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Amended and Restated Bylaws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Indenture, dated as of September 14, 2021, between The Beauty Health Company and U.S.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ans-serif" w:hAnsi="Times New Roman;sans-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Warrant Agreement, dated September 29, 2020, between the Company and Continental Stock Transfer &amp; Trust Company, as warrant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80"/>
                  <w:sz w:val="20"/>
                  <w:u w:val="single"/>
                </w:rPr>
                <w:t>10.1 †</w:t>
              </w:r>
            </w:hyperlink>
            <w:hyperlink r:id="rId21">
              <w:r>
                <w:rPr>
                  <w:rStyle w:val="InternetLink"/>
                  <w:rFonts w:ascii="Times New Roman;sans-serif" w:hAnsi="Times New Roman;sans-serif"/>
                  <w:b w:val="false"/>
                  <w:color w:val="000080"/>
                  <w:sz w:val="20"/>
                  <w:u w:val="single"/>
                </w:rPr>
                <w:t xml:space="preserve"> </w:t>
              </w:r>
            </w:hyperlink>
            <w:hyperlink r:id="rId22">
              <w:r>
                <w:rPr>
                  <w:rStyle w:val="InternetLink"/>
                  <w:rFonts w:ascii="Times New Roman;sans-serif" w:hAnsi="Times New Roman;sans-serif"/>
                  <w:b w:val="false"/>
                  <w:color w:val="0000FF"/>
                  <w:sz w:val="16"/>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Offer Letter with Ronald Menezes, dated October 9, 2024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80"/>
                  <w:sz w:val="20"/>
                  <w:u w:val="single"/>
                </w:rPr>
                <w:t>10.2 †</w:t>
              </w:r>
            </w:hyperlink>
            <w:hyperlink r:id="rId25">
              <w:r>
                <w:rPr>
                  <w:rStyle w:val="InternetLink"/>
                  <w:rFonts w:ascii="Times New Roman;sans-serif" w:hAnsi="Times New Roman;sans-serif"/>
                  <w:b w:val="false"/>
                  <w:color w:val="000080"/>
                  <w:sz w:val="20"/>
                  <w:u w:val="single"/>
                </w:rPr>
                <w:t xml:space="preserve"> </w:t>
              </w:r>
            </w:hyperlink>
            <w:hyperlink r:id="rId26">
              <w:r>
                <w:rPr>
                  <w:rStyle w:val="InternetLink"/>
                  <w:rFonts w:ascii="Times New Roman;sans-serif" w:hAnsi="Times New Roman;sans-serif"/>
                  <w:b w:val="false"/>
                  <w:color w:val="0000FF"/>
                  <w:sz w:val="16"/>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Offer Letter with Sheri Lewis, dated March 25, 2024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5q110q.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1-2025q110q.htm">
              <w:r>
                <w:rPr>
                  <w:rStyle w:val="InternetLink"/>
                  <w:rFonts w:ascii="Times New Roman;sans-serif" w:hAnsi="Times New Roman;sans-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5q110q.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2-2025q110q.htm">
              <w:r>
                <w:rPr>
                  <w:rStyle w:val="InternetLink"/>
                  <w:rFonts w:ascii="Times New Roman;sans-serif" w:hAnsi="Times New Roman;sans-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5q110q.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1-2025q110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5q110q.htm">
              <w:r>
                <w:rPr>
                  <w:rStyle w:val="InternetLink"/>
                  <w:rFonts w:ascii="Times New Roman;sans-serif" w:hAnsi="Times New Roman;sans-serif"/>
                  <w:b w:val="false"/>
                  <w:color w:val="0000FF"/>
                  <w:sz w:val="20"/>
                  <w:u w:val="single"/>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2-2025q110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1"/>
        <w:gridCol w:w="220"/>
        <w:gridCol w:w="224"/>
        <w:gridCol w:w="109"/>
        <w:gridCol w:w="109"/>
        <w:gridCol w:w="109"/>
        <w:gridCol w:w="1259"/>
        <w:gridCol w:w="1240"/>
        <w:gridCol w:w="1244"/>
        <w:gridCol w:w="109"/>
        <w:gridCol w:w="109"/>
        <w:gridCol w:w="109"/>
        <w:gridCol w:w="200"/>
        <w:gridCol w:w="200"/>
        <w:gridCol w:w="201"/>
        <w:gridCol w:w="109"/>
        <w:gridCol w:w="109"/>
        <w:gridCol w:w="109"/>
        <w:gridCol w:w="184"/>
        <w:gridCol w:w="184"/>
        <w:gridCol w:w="185"/>
        <w:gridCol w:w="109"/>
        <w:gridCol w:w="109"/>
        <w:gridCol w:w="109"/>
        <w:gridCol w:w="250"/>
        <w:gridCol w:w="250"/>
        <w:gridCol w:w="251"/>
        <w:gridCol w:w="109"/>
        <w:gridCol w:w="109"/>
        <w:gridCol w:w="109"/>
        <w:gridCol w:w="256"/>
        <w:gridCol w:w="256"/>
        <w:gridCol w:w="258"/>
        <w:gridCol w:w="109"/>
        <w:gridCol w:w="109"/>
        <w:gridCol w:w="109"/>
        <w:gridCol w:w="322"/>
        <w:gridCol w:w="322"/>
        <w:gridCol w:w="466"/>
      </w:tblGrid>
      <w:tr>
        <w:trPr/>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 attachments)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16"/>
        </w:rPr>
        <w:t xml:space="preserve">Confidential portions of this exhibit were redacted pursuant to Item 601(b)(10) of Regulation S-K, and the Company agrees to furnish to the SEC a copy of any omitted schedule and/or exhibit upon request. </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Management contract or compensatory plan or arrangement.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616"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519"/>
        <w:gridCol w:w="519"/>
        <w:gridCol w:w="519"/>
        <w:gridCol w:w="1267"/>
        <w:gridCol w:w="1267"/>
        <w:gridCol w:w="18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 BEAUTY HEALTH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Marla Beck,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49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March 31, 2025, as filed with the Securities and Exchange Commission (the “Report”), I, Marla Beck,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49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March 31, 2025,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093/000121390020041690/ea131234ex2-1_vesperhealth.htm" TargetMode="External"/><Relationship Id="rId3" Type="http://schemas.openxmlformats.org/officeDocument/2006/relationships/hyperlink" Target="https://www.sec.gov/Archives/edgar/data/1818093/000121390020041690/ea131234ex2-1_vesperhealth.htm" TargetMode="External"/><Relationship Id="rId4" Type="http://schemas.openxmlformats.org/officeDocument/2006/relationships/hyperlink" Target="https://www.sec.gov/Archives/edgar/data/1818093/000119312521156433/d422189dex31.htm" TargetMode="External"/><Relationship Id="rId5" Type="http://schemas.openxmlformats.org/officeDocument/2006/relationships/hyperlink" Target="https://www.sec.gov/Archives/edgar/data/1818093/000119312521156433/d422189dex31.htm" TargetMode="External"/><Relationship Id="rId6" Type="http://schemas.openxmlformats.org/officeDocument/2006/relationships/hyperlink" Target="https://www.sec.gov/Archives/edgar/data/1818093/000162828024027695/exhibit31-amendmenttocoide.htm" TargetMode="External"/><Relationship Id="rId7" Type="http://schemas.openxmlformats.org/officeDocument/2006/relationships/hyperlink" Target="https://www.sec.gov/Archives/edgar/data/1818093/000162828024027695/exhibit31-amendmenttocoide.htm" TargetMode="External"/><Relationship Id="rId8" Type="http://schemas.openxmlformats.org/officeDocument/2006/relationships/hyperlink" Target="https://www.sec.gov/Archives/edgar/data/1818093/000162828024027695/exhibit32-amendmenttocoiel.htm" TargetMode="External"/><Relationship Id="rId9" Type="http://schemas.openxmlformats.org/officeDocument/2006/relationships/hyperlink" Target="https://www.sec.gov/Archives/edgar/data/1818093/000162828024027695/exhibit32-amendmenttocoiel.htm" TargetMode="External"/><Relationship Id="rId10" Type="http://schemas.openxmlformats.org/officeDocument/2006/relationships/hyperlink" Target="https://www.sec.gov/Archives/edgar/data/1818093/000119312521156433/d422189dex32.htm" TargetMode="External"/><Relationship Id="rId11" Type="http://schemas.openxmlformats.org/officeDocument/2006/relationships/hyperlink" Target="https://www.sec.gov/Archives/edgar/data/1818093/000119312521156433/d422189dex32.htm" TargetMode="External"/><Relationship Id="rId12" Type="http://schemas.openxmlformats.org/officeDocument/2006/relationships/hyperlink" Target="https://www.sec.gov/Archives/edgar/data/1818093/000181809321000062/exhibit41-convdebtclosing.htm" TargetMode="External"/><Relationship Id="rId13" Type="http://schemas.openxmlformats.org/officeDocument/2006/relationships/hyperlink" Target="https://www.sec.gov/Archives/edgar/data/1818093/000181809321000062/exhibit41-convdebtclosing.htm" TargetMode="External"/><Relationship Id="rId14" Type="http://schemas.openxmlformats.org/officeDocument/2006/relationships/hyperlink" Target="https://www.sec.gov/Archives/edgar/data/1818093/000181809321000062/exhibit41-convdebtclosing.htm" TargetMode="External"/><Relationship Id="rId15" Type="http://schemas.openxmlformats.org/officeDocument/2006/relationships/hyperlink" Target="https://www.sec.gov/Archives/edgar/data/1818093/000181809321000062/exhibit41-convdebtclosing.htm" TargetMode="External"/><Relationship Id="rId16" Type="http://schemas.openxmlformats.org/officeDocument/2006/relationships/hyperlink" Target="https://www.sec.gov/Archives/edgar/data/1818093/000121390020030149/ea127784ex4-1_vesper.htm" TargetMode="External"/><Relationship Id="rId17" Type="http://schemas.openxmlformats.org/officeDocument/2006/relationships/hyperlink" Target="https://www.sec.gov/Archives/edgar/data/1818093/000121390020030149/ea127784ex4-1_vesper.htm" TargetMode="External"/><Relationship Id="rId18" Type="http://schemas.openxmlformats.org/officeDocument/2006/relationships/hyperlink" Target="https://www.sec.gov/Archives/edgar/data/1818093/000162828025012407/exhibit44-descriptionofsec.htm" TargetMode="External"/><Relationship Id="rId19" Type="http://schemas.openxmlformats.org/officeDocument/2006/relationships/hyperlink" Target="https://www.sec.gov/Archives/edgar/data/1818093/000162828025012407/exhibit44-descriptionofsec.htm" TargetMode="External"/><Relationship Id="rId20" Type="http://schemas.openxmlformats.org/officeDocument/2006/relationships/hyperlink" Target="https://www.sec.gov/Archives/edgar/data/1818093/000162828025009050/exhibit101-rmofferlettered.htm" TargetMode="External"/><Relationship Id="rId21" Type="http://schemas.openxmlformats.org/officeDocument/2006/relationships/hyperlink" Target="https://www.sec.gov/Archives/edgar/data/1818093/000162828025009050/exhibit101-rmofferlettered.htm" TargetMode="External"/><Relationship Id="rId22" Type="http://schemas.openxmlformats.org/officeDocument/2006/relationships/hyperlink" Target="https://www.sec.gov/Archives/edgar/data/1818093/000162828025009050/exhibit101-rmofferlettered.htm" TargetMode="External"/><Relationship Id="rId23" Type="http://schemas.openxmlformats.org/officeDocument/2006/relationships/hyperlink" Target="https://www.sec.gov/Archives/edgar/data/1818093/000162828025009050/exhibit101-rmofferlettered.htm" TargetMode="External"/><Relationship Id="rId24" Type="http://schemas.openxmlformats.org/officeDocument/2006/relationships/hyperlink" Target="https://www.sec.gov/Archives/edgar/data/1818093/000162828025009050/exhibit102-offerletter_she.htm" TargetMode="External"/><Relationship Id="rId25" Type="http://schemas.openxmlformats.org/officeDocument/2006/relationships/hyperlink" Target="https://www.sec.gov/Archives/edgar/data/1818093/000162828025009050/exhibit102-offerletter_she.htm" TargetMode="External"/><Relationship Id="rId26" Type="http://schemas.openxmlformats.org/officeDocument/2006/relationships/hyperlink" Target="https://www.sec.gov/Archives/edgar/data/1818093/000162828025009050/exhibit102-offerletter_she.htm" TargetMode="External"/><Relationship Id="rId27" Type="http://schemas.openxmlformats.org/officeDocument/2006/relationships/hyperlink" Target="https://www.sec.gov/Archives/edgar/data/1818093/000162828025009050/exhibit102-offerletter_she.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16765</Words>
  <Characters>93635</Characters>
  <CharactersWithSpaces>109170</CharactersWithSpaces>
  <Paragraphs>1759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