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852170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877570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153035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121920</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45" w:lineRule="exact"/>
        <w:rPr>
          <w:sz w:val="24"/>
          <w:szCs w:val="24"/>
          <w:color w:val="auto"/>
        </w:rPr>
      </w:pPr>
    </w:p>
    <w:p>
      <w:pPr>
        <w:ind w:left="560" w:hanging="356"/>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3" w:lineRule="exact"/>
        <w:rPr>
          <w:rFonts w:ascii="MS PGothic" w:cs="MS PGothic" w:eastAsia="MS PGothic" w:hAnsi="MS PGothic"/>
          <w:sz w:val="16"/>
          <w:szCs w:val="16"/>
          <w:color w:val="auto"/>
        </w:rPr>
      </w:pPr>
    </w:p>
    <w:p>
      <w:pPr>
        <w:ind w:left="400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6"/>
          <w:szCs w:val="16"/>
          <w:b w:val="1"/>
          <w:bCs w:val="1"/>
          <w:color w:val="auto"/>
        </w:rPr>
        <w:t>December 31, 2024</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1" w:lineRule="exact"/>
        <w:rPr>
          <w:sz w:val="24"/>
          <w:szCs w:val="24"/>
          <w:color w:val="auto"/>
        </w:rPr>
      </w:pPr>
    </w:p>
    <w:p>
      <w:pPr>
        <w:ind w:left="600" w:hanging="396"/>
        <w:spacing w:after="0"/>
        <w:tabs>
          <w:tab w:leader="none" w:pos="600" w:val="left"/>
        </w:tabs>
        <w:numPr>
          <w:ilvl w:val="0"/>
          <w:numId w:val="2"/>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61" w:lineRule="exact"/>
        <w:rPr>
          <w:rFonts w:ascii="MS PGothic" w:cs="MS PGothic" w:eastAsia="MS PGothic" w:hAnsi="MS PGothic"/>
          <w:sz w:val="32"/>
          <w:szCs w:val="32"/>
          <w:color w:val="auto"/>
          <w:vertAlign w:val="superscript"/>
        </w:rPr>
      </w:pPr>
    </w:p>
    <w:p>
      <w:pPr>
        <w:ind w:left="4260"/>
        <w:spacing w:after="0"/>
        <w:rPr>
          <w:rFonts w:ascii="MS PGothic" w:cs="MS PGothic" w:eastAsia="MS PGothic" w:hAnsi="MS PGothic"/>
          <w:sz w:val="32"/>
          <w:szCs w:val="32"/>
          <w:color w:val="auto"/>
          <w:vertAlign w:val="superscript"/>
        </w:rPr>
      </w:pPr>
      <w:r>
        <w:rPr>
          <w:rFonts w:ascii="Times New Roman" w:cs="Times New Roman" w:eastAsia="Times New Roman" w:hAnsi="Times New Roman"/>
          <w:sz w:val="18"/>
          <w:szCs w:val="18"/>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156845</wp:posOffset>
            </wp:positionV>
            <wp:extent cx="2091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The Beauty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142240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ectPr>
          <w:pgSz w:w="11900" w:h="16838" w:orient="portrait"/>
          <w:cols w:equalWidth="0" w:num="1">
            <w:col w:w="11240"/>
          </w:cols>
          <w:pgMar w:left="320" w:top="1440" w:right="339" w:bottom="1081" w:gutter="0" w:footer="0" w:header="0"/>
        </w:sectPr>
      </w:pPr>
    </w:p>
    <w:p>
      <w:pPr>
        <w:spacing w:after="0" w:line="200" w:lineRule="exact"/>
        <w:rPr>
          <w:sz w:val="24"/>
          <w:szCs w:val="24"/>
          <w:color w:val="auto"/>
        </w:rPr>
      </w:pPr>
    </w:p>
    <w:p>
      <w:pPr>
        <w:spacing w:after="0" w:line="25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5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12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2165 Spring Street</w:t>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Long Beach, CA 90806</w:t>
      </w:r>
    </w:p>
    <w:p>
      <w:pPr>
        <w:spacing w:after="0" w:line="7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85-1908962</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pacing w:after="0" w:line="246"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(800) 603-4996</w:t>
      </w:r>
    </w:p>
    <w:p>
      <w:pPr>
        <w:spacing w:after="0" w:line="1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38" w:lineRule="exact"/>
        <w:rPr>
          <w:sz w:val="24"/>
          <w:szCs w:val="24"/>
          <w:color w:val="auto"/>
        </w:rPr>
      </w:pPr>
    </w:p>
    <w:p>
      <w:pPr>
        <w:sectPr>
          <w:pgSz w:w="11900" w:h="16838" w:orient="portrait"/>
          <w:cols w:equalWidth="0" w:num="2">
            <w:col w:w="6040" w:space="720"/>
            <w:col w:w="4480"/>
          </w:cols>
          <w:pgMar w:left="320" w:top="1440" w:right="339" w:bottom="1081" w:gutter="0" w:footer="0" w:header="0"/>
          <w:type w:val="continuous"/>
        </w:sectPr>
      </w:pP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400" w:type="dxa"/>
            <w:vAlign w:val="bottom"/>
            <w:gridSpan w:val="2"/>
          </w:tcPr>
          <w:p>
            <w:pPr>
              <w:ind w:left="20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1"/>
        </w:trPr>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80" w:type="dxa"/>
            <w:vAlign w:val="bottom"/>
          </w:tcPr>
          <w:p>
            <w:pPr>
              <w:spacing w:after="0"/>
              <w:rPr>
                <w:sz w:val="20"/>
                <w:szCs w:val="20"/>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SKIN</w:t>
            </w:r>
          </w:p>
        </w:tc>
        <w:tc>
          <w:tcPr>
            <w:tcW w:w="10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03" w:lineRule="exact"/>
        <w:rPr>
          <w:sz w:val="24"/>
          <w:szCs w:val="24"/>
          <w:color w:val="auto"/>
        </w:rPr>
      </w:pPr>
    </w:p>
    <w:p>
      <w:pPr>
        <w:ind w:right="1640"/>
        <w:spacing w:after="0" w:line="313"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3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13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Accelerated filer</w:t>
            </w:r>
          </w:p>
        </w:tc>
        <w:tc>
          <w:tcPr>
            <w:tcW w:w="3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r>
      <w:tr>
        <w:trPr>
          <w:trHeight w:val="310"/>
        </w:trPr>
        <w:tc>
          <w:tcPr>
            <w:tcW w:w="3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32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r>
      <w:tr>
        <w:trPr>
          <w:trHeight w:val="311"/>
        </w:trPr>
        <w:tc>
          <w:tcPr>
            <w:tcW w:w="3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r>
      <w:tr>
        <w:trPr>
          <w:trHeight w:val="951"/>
        </w:trPr>
        <w:tc>
          <w:tcPr>
            <w:tcW w:w="30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81" w:gutter="0" w:footer="0" w:header="0"/>
          <w:type w:val="continuous"/>
        </w:sectPr>
      </w:pPr>
    </w:p>
    <w:bookmarkStart w:id="1" w:name="page2"/>
    <w:bookmarkEnd w:id="1"/>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8"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of the registrant as of June 30, 2024, the last business day of the registrant’s most recently completed second fiscal quarter, was approximately $156.1 million. Solely for purposes of this disclosure, shares of Class A Common Stock held by executive officers and directors of the registrant as of such date have been excluded because such persons may be deemed to be affiliates. This determination of executive officers and directors as affiliates is not necessarily a conclusive determination for any other purposes.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10, 2025, there were 125,245,176 shares of Class A Common Stock, par value $0.0001 per share issued and outstanding.</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portions of the registrant’s definitive proxy statement to be delivered to its stockholders in connection with the registrant’s 2025 Annual Meeting of Stockholders are incorporated by reference into Part III of this Annual Report on Form 10-K where indicated. The registrant’s definitive proxy statement will be filed with the U.S. Securities and Exchange Commission within 120 days after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944245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THE BEAUTY HEALTH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0000FF"/>
              </w:rPr>
              <w:t>PART I</w:t>
            </w:r>
          </w:p>
        </w:tc>
        <w:tc>
          <w:tcPr>
            <w:tcW w:w="560" w:type="dxa"/>
            <w:vAlign w:val="bottom"/>
            <w:gridSpan w:val="4"/>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gridSpan w:val="5"/>
            <w:shd w:val="clear" w:color="auto" w:fill="CCEEFF"/>
          </w:tcPr>
          <w:p>
            <w:pPr>
              <w:jc w:val="center"/>
              <w:ind w:left="530"/>
              <w:spacing w:after="0" w:line="156" w:lineRule="exact"/>
              <w:rPr>
                <w:sz w:val="20"/>
                <w:szCs w:val="20"/>
                <w:color w:val="auto"/>
              </w:rPr>
            </w:pPr>
            <w:r>
              <w:rPr>
                <w:rFonts w:ascii="Times New Roman" w:cs="Times New Roman" w:eastAsia="Times New Roman" w:hAnsi="Times New Roman"/>
                <w:sz w:val="18"/>
                <w:szCs w:val="18"/>
                <w:color w:val="0000FF"/>
                <w:w w:val="88"/>
              </w:rPr>
              <w:t>7</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gridSpan w:val="5"/>
          </w:tcPr>
          <w:p>
            <w:pPr>
              <w:ind w:left="220"/>
              <w:spacing w:after="0" w:line="183" w:lineRule="exact"/>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24"/>
          </w:tcPr>
          <w:p>
            <w:pPr>
              <w:ind w:left="80"/>
              <w:spacing w:after="0" w:line="183"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gridSpan w:val="5"/>
          </w:tcPr>
          <w:p>
            <w:pPr>
              <w:jc w:val="center"/>
              <w:ind w:left="530"/>
              <w:spacing w:after="0" w:line="183" w:lineRule="exact"/>
              <w:rPr>
                <w:sz w:val="20"/>
                <w:szCs w:val="20"/>
                <w:color w:val="auto"/>
              </w:rPr>
            </w:pPr>
            <w:r>
              <w:rPr>
                <w:rFonts w:ascii="Times New Roman" w:cs="Times New Roman" w:eastAsia="Times New Roman" w:hAnsi="Times New Roman"/>
                <w:sz w:val="18"/>
                <w:szCs w:val="18"/>
                <w:color w:val="0000FF"/>
                <w:w w:val="88"/>
              </w:rPr>
              <w:t>7</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8660" w:type="dxa"/>
            <w:vAlign w:val="bottom"/>
            <w:gridSpan w:val="24"/>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gridSpan w:val="5"/>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gridSpan w:val="5"/>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8660" w:type="dxa"/>
            <w:vAlign w:val="bottom"/>
            <w:gridSpan w:val="24"/>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gridSpan w:val="5"/>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gridSpan w:val="5"/>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8660" w:type="dxa"/>
            <w:vAlign w:val="bottom"/>
            <w:gridSpan w:val="24"/>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gridSpan w:val="5"/>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gridSpan w:val="5"/>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gridSpan w:val="5"/>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gridSpan w:val="5"/>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73</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8660" w:type="dxa"/>
            <w:vAlign w:val="bottom"/>
            <w:gridSpan w:val="24"/>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gridSpan w:val="5"/>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gridSpan w:val="5"/>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75</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8660" w:type="dxa"/>
            <w:vAlign w:val="bottom"/>
            <w:gridSpan w:val="24"/>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gridSpan w:val="5"/>
            <w:shd w:val="clear" w:color="auto" w:fill="CCEEFF"/>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85</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gridSpan w:val="5"/>
          </w:tcPr>
          <w:p>
            <w:pPr>
              <w:jc w:val="center"/>
              <w:ind w:left="510"/>
              <w:spacing w:after="0" w:line="189" w:lineRule="exact"/>
              <w:rPr>
                <w:sz w:val="20"/>
                <w:szCs w:val="20"/>
                <w:color w:val="auto"/>
              </w:rPr>
            </w:pPr>
            <w:r>
              <w:rPr>
                <w:rFonts w:ascii="Times New Roman" w:cs="Times New Roman" w:eastAsia="Times New Roman" w:hAnsi="Times New Roman"/>
                <w:sz w:val="18"/>
                <w:szCs w:val="18"/>
                <w:color w:val="0000FF"/>
                <w:w w:val="99"/>
              </w:rPr>
              <w:t>87</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8660" w:type="dxa"/>
            <w:vAlign w:val="bottom"/>
            <w:gridSpan w:val="24"/>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40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40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124</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8660" w:type="dxa"/>
            <w:vAlign w:val="bottom"/>
            <w:gridSpan w:val="24"/>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40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0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127</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128</w:t>
            </w:r>
          </w:p>
        </w:tc>
        <w:tc>
          <w:tcPr>
            <w:tcW w:w="5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0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128</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8660" w:type="dxa"/>
            <w:vAlign w:val="bottom"/>
            <w:gridSpan w:val="24"/>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40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40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128</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8660" w:type="dxa"/>
            <w:vAlign w:val="bottom"/>
            <w:gridSpan w:val="24"/>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0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40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128</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8660" w:type="dxa"/>
            <w:vAlign w:val="bottom"/>
            <w:gridSpan w:val="24"/>
          </w:tcPr>
          <w:p>
            <w:pPr>
              <w:ind w:left="80"/>
              <w:spacing w:after="0" w:line="189"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40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129</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8660" w:type="dxa"/>
            <w:vAlign w:val="bottom"/>
            <w:gridSpan w:val="24"/>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40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132</w:t>
            </w: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CCEEFF"/>
              <w:bottom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SIGNATURES</w:t>
            </w:r>
          </w:p>
        </w:tc>
        <w:tc>
          <w:tcPr>
            <w:tcW w:w="8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80" w:type="dxa"/>
            <w:vAlign w:val="bottom"/>
            <w:tcBorders>
              <w:top w:val="single" w:sz="8" w:color="0000FF"/>
              <w:bottom w:val="single" w:sz="8" w:color="0000FF"/>
            </w:tcBorders>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133</w:t>
            </w:r>
          </w:p>
        </w:tc>
        <w:tc>
          <w:tcPr>
            <w:tcW w:w="560" w:type="dxa"/>
            <w:vAlign w:val="bottom"/>
            <w:tcBorders>
              <w:top w:val="single" w:sz="8" w:color="CCEEFF"/>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ind w:right="10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Annual Report on Form 10-K for the fiscal year ended December 31, 2024, to the “Company,” “we,” “us,” “our” and similar terms refer to The Beauty Health Company (f/k/a Vesper Acquisition Corp.) and its consolidated subsidiaries. References to “Vesper” refer to Vesper Healthcare Acquisition Corp. prior to the consummation of the Business Combination (as defined below).</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statements in this Annual Report on Form 10-K may constitute “forward-looking statements” for purposes of the federal securities laws. Forward-looking statements include, but are not limited to, statements regarding our expectations, hopes, beliefs, intentions or strategies regarding the future. In addition, any statements that refer to projections, forecasts or other characterizations of future events or circumstances, including any underlying assumptions, are forward-looking statements.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that are not statements of current or historical facts. These statements are based on management’s current expectations, but actual results may differ materially due to various factors, including, but not limited to:</w:t>
      </w:r>
    </w:p>
    <w:p>
      <w:pPr>
        <w:spacing w:after="0" w:line="21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activity from companies in the skin care and hair care businesses;</w:t>
      </w:r>
    </w:p>
    <w:p>
      <w:pPr>
        <w:spacing w:after="0" w:line="63"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produce, and market new products on which future operating results may depend and to successfully address challenges in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preferences of consumers as to what, where, and how they purchase product and receive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our business plan;</w:t>
      </w:r>
    </w:p>
    <w:p>
      <w:pPr>
        <w:spacing w:after="0" w:line="63"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regulations and policies (including the interpretations and enforcement thereof) that affect, or will affect, our business, including those relating to our products or distribution networks, changes in accounting standards, tax laws and regulations, environmental or climate change laws, regulations or accords, trade rules and customs regulations, and the outcome and expense of legal or regulatory proceedings, and any action we may take as a result;</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business may be adversely affected by other economic, business and/or competitive factors;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the Company’s listing on Nasdaq;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set forth in the section titled “Risk Factors.”</w:t>
      </w:r>
    </w:p>
    <w:p>
      <w:pPr>
        <w:spacing w:after="0" w:line="3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In light of the significant risks and uncertainties inherent in the forward-looking statements included in this report, the inclusion of such information should not be regarded as a representation by us or any other person that such results will be achieved, and readers are cautioned not to place undue reliance on such forward-looking statements, which speak only as of the date hereof.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entitled “Risk Factors,”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adversely affect our business, operations and financial results:</w:t>
      </w:r>
    </w:p>
    <w:p>
      <w:pPr>
        <w:spacing w:after="0" w:line="19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beauty health industry is highly competitive, and if we are unable to compete effectively, our results will suffer.</w:t>
      </w:r>
    </w:p>
    <w:p>
      <w:pPr>
        <w:spacing w:after="0" w:line="49" w:lineRule="exact"/>
        <w:rPr>
          <w:rFonts w:ascii="Times New Roman" w:cs="Times New Roman" w:eastAsia="Times New Roman" w:hAnsi="Times New Roman"/>
          <w:sz w:val="18"/>
          <w:szCs w:val="18"/>
          <w:color w:val="auto"/>
        </w:rPr>
      </w:pPr>
    </w:p>
    <w:p>
      <w:pPr>
        <w:ind w:left="660" w:right="580" w:hanging="328"/>
        <w:spacing w:after="0" w:line="24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the commercial success and our ability to sell Delivery Systems. If we are unable to continue to successfully commercialize and sell our Delivery Systems, our results or operations and financial condition will be materially harmed.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product introductions may not be as successful as we anticipate.</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to our reputation or brand may materially and adversely affect our business, financial condition and results of operations.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quality, efficacy and safety of our products.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profitability are dependent on a number of factors, and our historical growth may not be indicative of our future growth.</w:t>
      </w:r>
    </w:p>
    <w:p>
      <w:pPr>
        <w:spacing w:after="0" w:line="49" w:lineRule="exact"/>
        <w:rPr>
          <w:rFonts w:ascii="Times New Roman" w:cs="Times New Roman" w:eastAsia="Times New Roman" w:hAnsi="Times New Roman"/>
          <w:sz w:val="18"/>
          <w:szCs w:val="18"/>
          <w:color w:val="auto"/>
        </w:rPr>
      </w:pPr>
    </w:p>
    <w:p>
      <w:pPr>
        <w:jc w:val="both"/>
        <w:ind w:left="660" w:right="14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realize all of the anticipated benefits of any entities that we acquire, such benefits may take longer to realize than we expected or we may encounter difficulties integrating acquired businesses into our operations. If our acquisitions do not achieve their intended benefits or do not achieve their intended benefits on our projected timelines, our business, financial condition and results of operations could be materially and adversely affected.</w:t>
      </w:r>
    </w:p>
    <w:p>
      <w:pPr>
        <w:spacing w:after="0" w:line="1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have fluctuated in the past and we expect our future quarterly and annual operating results to fluctuate for a variety of reasons, particularly as we focus on increasing provider and consumer demand for our products. Volatility in the financial markets could also have a material adverse effect on our business.</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experience future losses.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operations could materially and adversely affect our business.</w:t>
      </w:r>
    </w:p>
    <w:p>
      <w:pPr>
        <w:spacing w:after="0" w:line="49"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retention of key members of our senior management team, whose continued service is not guaranteed, and ability to attract and retain qualified personnel.</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workforce reductions may cause undesirable consequences and our results of operations may be harmed.</w:t>
      </w:r>
    </w:p>
    <w:p>
      <w:pPr>
        <w:spacing w:after="0" w:line="36"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number of third-party suppliers, distributors, delivery service providers and other vendors, and they may fail to produce products or provide services that are consistent with our standards or applicable regulatory requirements, which could harm our brand reputation, cause consumer dissatisfaction, or require us to find alternative suppliers of our products or services.</w:t>
      </w:r>
    </w:p>
    <w:p>
      <w:pPr>
        <w:spacing w:after="0" w:line="1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single supply relationships for certain key components, and our business and operating results could be harmed if supply is restricted or ceases or the price of raw materials used in our manufacturing process increases.</w:t>
      </w:r>
    </w:p>
    <w:p>
      <w:pPr>
        <w:ind w:left="660" w:hanging="328"/>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manage our inventory effectively, our results of operations, financial condition and liquidity may be materially and adversely affected.</w:t>
      </w:r>
    </w:p>
    <w:p>
      <w:pPr>
        <w:spacing w:after="0" w:line="61" w:lineRule="exact"/>
        <w:rPr>
          <w:rFonts w:ascii="Times New Roman" w:cs="Times New Roman" w:eastAsia="Times New Roman" w:hAnsi="Times New Roman"/>
          <w:sz w:val="17"/>
          <w:szCs w:val="17"/>
          <w:color w:val="auto"/>
        </w:rPr>
      </w:pPr>
    </w:p>
    <w:p>
      <w:pPr>
        <w:ind w:left="660" w:right="5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manufacture and assemble our Delivery Systems in California, and if this site were to become compromised or damaged, our ability to continue to manufacture and assemble our products would be negatively affected.</w:t>
      </w:r>
    </w:p>
    <w:p>
      <w:pPr>
        <w:ind w:left="660" w:right="80" w:hanging="328"/>
        <w:spacing w:after="0" w:line="281"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heavily on our sales professionals to market and sell our products worldwide. If we are unable to hire, effectively train, manage, improve the productivity of and retain our sales professionals, our business will be harmed, which would impair our future revenue and profitability.</w:t>
      </w:r>
    </w:p>
    <w:p>
      <w:pPr>
        <w:spacing w:after="0" w:line="1" w:lineRule="exact"/>
        <w:rPr>
          <w:rFonts w:ascii="Times New Roman" w:cs="Times New Roman" w:eastAsia="Times New Roman" w:hAnsi="Times New Roman"/>
          <w:sz w:val="17"/>
          <w:szCs w:val="17"/>
          <w:color w:val="auto"/>
        </w:rPr>
      </w:pPr>
    </w:p>
    <w:p>
      <w:pPr>
        <w:ind w:left="660" w:right="2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providers generally are not under any obligation to purchase our products, and business challenges at one or more of these providers could adversely affect our results of operations.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also be adversely affected by our inability to repay or refinance existing debt.</w:t>
      </w:r>
    </w:p>
    <w:p>
      <w:pPr>
        <w:spacing w:after="0" w:line="36"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cash from operations is insufficient to meet our current or future operating needs, expenditures and debt service obligations, our business, financial condition and results of operations may be materially and adversely affected.</w:t>
      </w:r>
    </w:p>
    <w:p>
      <w:pPr>
        <w:ind w:left="660" w:right="4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our tax rates or our exposure to additional income tax liabilities or assessments could materially and adversely affect our business, financial condition and results of operations.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may negatively affect our financial condition and results of operations.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goodwill or long-lived assets become impaired, we may be required to record a significant charge to earnings.</w:t>
      </w:r>
    </w:p>
    <w:p>
      <w:pPr>
        <w:spacing w:after="0" w:line="49"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increasingly dependent on information technology, and if we are unable to protect against service interruptions, data corruption, cyber-based attacks or network security breaches, our operations could be disrupted.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product failure and/or technological flaws.</w:t>
      </w:r>
    </w:p>
    <w:p>
      <w:pPr>
        <w:spacing w:after="0" w:line="49"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sales and operations comprise a significant portion of our business, which exposes us to foreign operational, political and other risks that may harm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4" w:right="379" w:bottom="1440" w:gutter="0" w:footer="0" w:header="0"/>
        </w:sectPr>
      </w:pPr>
    </w:p>
    <w:bookmarkStart w:id="5" w:name="page6"/>
    <w:bookmarkEnd w:id="5"/>
    <w:p>
      <w:pPr>
        <w:ind w:left="328" w:right="40"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potential additional tariffs imposed by the United States government on certain imports or a global trade war could increase the cost of our products, which could materially and adversely affect our business, financial condition and results of operations.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governmental actions to reduce such change may disrupt our operations and/or reduce consumer demand for our products.</w:t>
      </w:r>
    </w:p>
    <w:p>
      <w:pPr>
        <w:spacing w:after="0" w:line="49" w:lineRule="exact"/>
        <w:rPr>
          <w:rFonts w:ascii="Times New Roman" w:cs="Times New Roman" w:eastAsia="Times New Roman" w:hAnsi="Times New Roman"/>
          <w:sz w:val="18"/>
          <w:szCs w:val="18"/>
          <w:color w:val="auto"/>
        </w:rPr>
      </w:pPr>
    </w:p>
    <w:p>
      <w:pPr>
        <w:ind w:left="328" w:right="140" w:hanging="328"/>
        <w:spacing w:after="0" w:line="250"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from investors and others regarding our environmental, social, governance, or sustainability responsibilities could result in additional costs or risks and adversely impact our reputation, employee retention, and willingness of customers and suppliers to do business with us.</w:t>
      </w:r>
    </w:p>
    <w:p>
      <w:pPr>
        <w:spacing w:after="0" w:line="14" w:lineRule="exact"/>
        <w:rPr>
          <w:rFonts w:ascii="Times New Roman" w:cs="Times New Roman" w:eastAsia="Times New Roman" w:hAnsi="Times New Roman"/>
          <w:sz w:val="18"/>
          <w:szCs w:val="18"/>
          <w:color w:val="auto"/>
        </w:rPr>
      </w:pPr>
    </w:p>
    <w:p>
      <w:pPr>
        <w:ind w:left="328" w:right="220" w:hanging="328"/>
        <w:spacing w:after="0" w:line="250"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enforcement trends or changes in existing regulations governing the introduction, marketing and sales of our products to consumers could harm our business.</w:t>
      </w:r>
    </w:p>
    <w:p>
      <w:pPr>
        <w:spacing w:after="0" w:line="14" w:lineRule="exact"/>
        <w:rPr>
          <w:rFonts w:ascii="Times New Roman" w:cs="Times New Roman" w:eastAsia="Times New Roman" w:hAnsi="Times New Roman"/>
          <w:sz w:val="18"/>
          <w:szCs w:val="18"/>
          <w:color w:val="auto"/>
        </w:rPr>
      </w:pPr>
    </w:p>
    <w:p>
      <w:pPr>
        <w:ind w:left="328" w:right="140" w:hanging="328"/>
        <w:spacing w:after="0" w:line="250"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enforcement trends, or changes in existing regulations could affect the ability of our esthetician providers in certain states to provide our treatments to consumers, any of which could have a material adverse effect on our business, financial condition, and results of operation.</w:t>
      </w:r>
    </w:p>
    <w:p>
      <w:pPr>
        <w:spacing w:after="0" w:line="14"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and continuing regulatory compliance obligations.</w:t>
      </w:r>
    </w:p>
    <w:p>
      <w:pPr>
        <w:spacing w:after="0" w:line="49" w:lineRule="exact"/>
        <w:rPr>
          <w:rFonts w:ascii="Times New Roman" w:cs="Times New Roman" w:eastAsia="Times New Roman" w:hAnsi="Times New Roman"/>
          <w:sz w:val="18"/>
          <w:szCs w:val="18"/>
          <w:color w:val="auto"/>
        </w:rPr>
      </w:pPr>
    </w:p>
    <w:p>
      <w:pPr>
        <w:ind w:left="328" w:right="60" w:hanging="328"/>
        <w:spacing w:after="0" w:line="250"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4" w:lineRule="exact"/>
        <w:rPr>
          <w:rFonts w:ascii="Times New Roman" w:cs="Times New Roman" w:eastAsia="Times New Roman" w:hAnsi="Times New Roman"/>
          <w:sz w:val="18"/>
          <w:szCs w:val="18"/>
          <w:color w:val="auto"/>
        </w:rPr>
      </w:pPr>
    </w:p>
    <w:p>
      <w:pPr>
        <w:ind w:left="328" w:right="80" w:hanging="328"/>
        <w:spacing w:after="0" w:line="245"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cause or contribute to adverse medical events or other undesirable side effects that we are required to report to the FDA or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 w:lineRule="exact"/>
        <w:rPr>
          <w:rFonts w:ascii="Times New Roman" w:cs="Times New Roman" w:eastAsia="Times New Roman" w:hAnsi="Times New Roman"/>
          <w:sz w:val="18"/>
          <w:szCs w:val="18"/>
          <w:color w:val="auto"/>
        </w:rPr>
      </w:pPr>
    </w:p>
    <w:p>
      <w:pPr>
        <w:jc w:val="both"/>
        <w:ind w:left="328" w:right="120" w:hanging="328"/>
        <w:spacing w:after="0" w:line="24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shares of Class A Common Stock.</w:t>
      </w:r>
    </w:p>
    <w:p>
      <w:pPr>
        <w:spacing w:after="0" w:line="21"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and may become involved in the future, in disputes and other legal or regulatory proceedings that, if adversely decided or settled, could materially and adversely affect our business, financial condition and results of operations.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product liability claims, which could result in unexpected costs and damage our reputation.</w:t>
      </w:r>
    </w:p>
    <w:p>
      <w:pPr>
        <w:spacing w:after="0" w:line="49" w:lineRule="exact"/>
        <w:rPr>
          <w:rFonts w:ascii="Times New Roman" w:cs="Times New Roman" w:eastAsia="Times New Roman" w:hAnsi="Times New Roman"/>
          <w:sz w:val="18"/>
          <w:szCs w:val="18"/>
          <w:color w:val="auto"/>
        </w:rPr>
      </w:pPr>
    </w:p>
    <w:p>
      <w:pPr>
        <w:ind w:left="328" w:right="100" w:hanging="328"/>
        <w:spacing w:after="0" w:line="250"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may not provide adequate protection for some or all of our products, and 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14" w:lineRule="exact"/>
        <w:rPr>
          <w:rFonts w:ascii="Times New Roman" w:cs="Times New Roman" w:eastAsia="Times New Roman" w:hAnsi="Times New Roman"/>
          <w:sz w:val="18"/>
          <w:szCs w:val="18"/>
          <w:color w:val="auto"/>
        </w:rPr>
      </w:pPr>
    </w:p>
    <w:p>
      <w:pPr>
        <w:ind w:left="328" w:right="300"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operate our business without infringing, misappropriating or otherwise violating the trademarks, patents, copyrights and other proprietary rights of third parties.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licenses to use the intellectual property rights of third parties to conduct our business.</w:t>
      </w:r>
    </w:p>
    <w:p>
      <w:pPr>
        <w:spacing w:after="0" w:line="4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social media may materially and adversely affect our reputation or subject us to fines or other penalties.</w:t>
      </w:r>
    </w:p>
    <w:p>
      <w:pPr>
        <w:spacing w:after="0" w:line="49" w:lineRule="exact"/>
        <w:rPr>
          <w:rFonts w:ascii="Times New Roman" w:cs="Times New Roman" w:eastAsia="Times New Roman" w:hAnsi="Times New Roman"/>
          <w:sz w:val="18"/>
          <w:szCs w:val="18"/>
          <w:color w:val="auto"/>
        </w:rPr>
      </w:pPr>
    </w:p>
    <w:p>
      <w:pPr>
        <w:ind w:left="328" w:right="960" w:hanging="328"/>
        <w:spacing w:after="0" w:line="250"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or equity securities by us may adversely affect the market price of our Class A Common Stock and dilute our stockholders’ percentage ownership.</w:t>
      </w:r>
    </w:p>
    <w:p>
      <w:pPr>
        <w:spacing w:after="0" w:line="14" w:lineRule="exact"/>
        <w:rPr>
          <w:rFonts w:ascii="Times New Roman" w:cs="Times New Roman" w:eastAsia="Times New Roman" w:hAnsi="Times New Roman"/>
          <w:sz w:val="18"/>
          <w:szCs w:val="18"/>
          <w:color w:val="auto"/>
        </w:rPr>
      </w:pPr>
    </w:p>
    <w:p>
      <w:pPr>
        <w:ind w:left="328" w:right="40"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cease to publish research, or publish inaccurate or unfavorable research, about our business, the price of our Class A Common Stock and trading volume could decline.</w:t>
      </w:r>
    </w:p>
    <w:p>
      <w:pPr>
        <w:ind w:left="328" w:right="20" w:hanging="328"/>
        <w:spacing w:after="0" w:line="250"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potential dilution associated with future offerings of debt or equity securities, we have a significant number of securities outstanding that may be exercisable for shares of our Class A Common Stock, which may result in significant dilution and downward pressure on our stock price.</w:t>
      </w:r>
    </w:p>
    <w:p>
      <w:pPr>
        <w:spacing w:after="0" w:line="14" w:lineRule="exact"/>
        <w:rPr>
          <w:rFonts w:ascii="Times New Roman" w:cs="Times New Roman" w:eastAsia="Times New Roman" w:hAnsi="Times New Roman"/>
          <w:sz w:val="18"/>
          <w:szCs w:val="18"/>
          <w:color w:val="auto"/>
        </w:rPr>
      </w:pPr>
    </w:p>
    <w:p>
      <w:pPr>
        <w:ind w:left="328" w:right="360"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warrants are accounted for as liabilities and the changes in value of our warrants could have a material effect on our financial results.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securities litigation, which is expensive to defend and could divert management’s attention.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918"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Beauty Health Company (the “Company” or “we”) is a medtech meets beauty company that delivers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nanoneedling and microneedling; and Keravive in scalp health. Together, with its powerful global community of estheticians, partners, and consumers, the Company is personalizing skin health for all ages, genders, skin tones, and skin types.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reflects our brand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80885" cy="2425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0885" cy="2425700"/>
                    </a:xfrm>
                    <a:prstGeom prst="rect">
                      <a:avLst/>
                    </a:prstGeom>
                    <a:noFill/>
                  </pic:spPr>
                </pic:pic>
              </a:graphicData>
            </a:graphic>
          </wp:anchor>
        </w:drawing>
      </w:r>
    </w:p>
    <w:p>
      <w:pPr>
        <w:spacing w:after="0" w:line="3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Hydrafacial is our flagship brand and cornerstone of our portfolio.</w:t>
      </w:r>
    </w:p>
    <w:p>
      <w:pPr>
        <w:spacing w:after="0" w:line="2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Hydrafacial is a pioneer and created the category of hydradermabrasion with its</w:t>
      </w:r>
    </w:p>
    <w:p>
      <w:pPr>
        <w:spacing w:after="0" w:line="2" w:lineRule="exact"/>
        <w:rPr>
          <w:sz w:val="20"/>
          <w:szCs w:val="20"/>
          <w:color w:val="auto"/>
        </w:rPr>
      </w:pPr>
    </w:p>
    <w:p>
      <w:pPr>
        <w:ind w:left="5260" w:right="700"/>
        <w:spacing w:after="0" w:line="226" w:lineRule="auto"/>
        <w:rPr>
          <w:sz w:val="20"/>
          <w:szCs w:val="20"/>
          <w:color w:val="auto"/>
        </w:rPr>
      </w:pPr>
      <w:r>
        <w:rPr>
          <w:rFonts w:ascii="Times New Roman" w:cs="Times New Roman" w:eastAsia="Times New Roman" w:hAnsi="Times New Roman"/>
          <w:sz w:val="18"/>
          <w:szCs w:val="18"/>
          <w:color w:val="auto"/>
        </w:rPr>
        <w:t>patented delivery system (“Delivery System”) that cleanses, extracts, and hydrates the skin with proprietary solutions and serums.</w:t>
      </w:r>
    </w:p>
    <w:p>
      <w:pPr>
        <w:spacing w:after="0" w:line="90" w:lineRule="exact"/>
        <w:rPr>
          <w:sz w:val="20"/>
          <w:szCs w:val="20"/>
          <w:color w:val="auto"/>
        </w:rPr>
      </w:pPr>
    </w:p>
    <w:p>
      <w:pPr>
        <w:ind w:left="5260" w:right="360"/>
        <w:spacing w:after="0" w:line="222" w:lineRule="auto"/>
        <w:rPr>
          <w:sz w:val="20"/>
          <w:szCs w:val="20"/>
          <w:color w:val="auto"/>
        </w:rPr>
      </w:pPr>
      <w:r>
        <w:rPr>
          <w:rFonts w:ascii="Times New Roman" w:cs="Times New Roman" w:eastAsia="Times New Roman" w:hAnsi="Times New Roman"/>
          <w:sz w:val="18"/>
          <w:szCs w:val="18"/>
          <w:color w:val="auto"/>
        </w:rPr>
        <w:t>SkinStylus is a pioneer in nanoneedling and microneedling where its products are designed to provide either a non-invasive (nanoneedling) or minimally-</w:t>
      </w:r>
    </w:p>
    <w:p>
      <w:pPr>
        <w:spacing w:after="0" w:line="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invasive (microneedling) skin treatment to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60" w:right="460"/>
        <w:spacing w:after="0" w:line="236" w:lineRule="auto"/>
        <w:rPr>
          <w:sz w:val="20"/>
          <w:szCs w:val="20"/>
          <w:color w:val="auto"/>
        </w:rPr>
      </w:pPr>
      <w:r>
        <w:rPr>
          <w:rFonts w:ascii="Times New Roman" w:cs="Times New Roman" w:eastAsia="Times New Roman" w:hAnsi="Times New Roman"/>
          <w:sz w:val="17"/>
          <w:szCs w:val="17"/>
          <w:color w:val="auto"/>
        </w:rPr>
        <w:t>Keravive is a pioneer in scalp health with its products that are designed to support the hair’s natural growth by cleansing, exfoliating, and hydrating the</w:t>
      </w:r>
    </w:p>
    <w:p>
      <w:pPr>
        <w:ind w:left="5260" w:right="360"/>
        <w:spacing w:after="0" w:line="226" w:lineRule="auto"/>
        <w:rPr>
          <w:sz w:val="20"/>
          <w:szCs w:val="20"/>
          <w:color w:val="auto"/>
        </w:rPr>
      </w:pPr>
      <w:r>
        <w:rPr>
          <w:rFonts w:ascii="Times New Roman" w:cs="Times New Roman" w:eastAsia="Times New Roman" w:hAnsi="Times New Roman"/>
          <w:sz w:val="18"/>
          <w:szCs w:val="18"/>
          <w:color w:val="auto"/>
        </w:rPr>
        <w:t>scalp and hair follicles for a visibly improved appearance of healthier, thicker, fuller-looking hair.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Hydrafacial Products</w:t>
      </w:r>
    </w:p>
    <w:p>
      <w:pPr>
        <w:spacing w:after="0" w:line="2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At the core of Hydrafacial’s product offerings is the Syndeo device, the current generation Delivery System (“Syndeo”), and its associated serum solutions and consumables. Each Delivery System is considered to be a Class I exempt medical device pursuant to the rules and regulations promulgated by the U.S. Food and Drug Administration (“FDA”).</w:t>
      </w:r>
    </w:p>
    <w:p>
      <w:pPr>
        <w:spacing w:after="0" w:line="20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Syndeo is designed to connect providers to consumers’ preferences to create more personalized skin care experiences. The hardware and software in Syndeo has been fully updated and includes Wi-Fi connectivity and radio frequency identification. These technologies allow us and providers to collect data on Hydrafacial consumers to ultimately provide a better consumer experience.</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Hydrafacial’s device offering also includes the Elite Tower and the Allegro, both of which are a type of Delivery System that are predecessor models to the Syndeo.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i w:val="1"/>
          <w:iCs w:val="1"/>
          <w:color w:val="auto"/>
        </w:rPr>
        <w:t>Consumables</w:t>
      </w:r>
    </w:p>
    <w:p>
      <w:pPr>
        <w:spacing w:after="0" w:line="2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Consumables consist of single-use tips, solutions, and serums used to provide a Hydrafacial treatment (collectively, “Consumables”). The table below summarizes the Consumables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40575" cy="2760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27603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Consumables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4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Consumables</w:t>
            </w:r>
          </w:p>
        </w:tc>
        <w:tc>
          <w:tcPr>
            <w:tcW w:w="49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Replenishment Frequency</w:t>
            </w:r>
          </w:p>
        </w:tc>
      </w:tr>
      <w:tr>
        <w:trPr>
          <w:trHeight w:val="27"/>
        </w:trPr>
        <w:tc>
          <w:tcPr>
            <w:tcW w:w="1400" w:type="dxa"/>
            <w:vAlign w:val="bottom"/>
            <w:tcBorders>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18"/>
        </w:trPr>
        <w:tc>
          <w:tcPr>
            <w:tcW w:w="1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Tips</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Patented, patterned caps placed on the handpiece of the Delivery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Minimum of 3 single-use tips used per Hydrafacial treatment.</w:t>
            </w:r>
          </w:p>
        </w:tc>
      </w:tr>
      <w:tr>
        <w:trPr>
          <w:trHeight w:val="216"/>
        </w:trPr>
        <w:tc>
          <w:tcPr>
            <w:tcW w:w="140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System to create pneumatic suction and deliver solutions and</w:t>
            </w:r>
          </w:p>
        </w:tc>
        <w:tc>
          <w:tcPr>
            <w:tcW w:w="4920" w:type="dxa"/>
            <w:vAlign w:val="bottom"/>
          </w:tcPr>
          <w:p>
            <w:pPr>
              <w:spacing w:after="0"/>
              <w:rPr>
                <w:sz w:val="18"/>
                <w:szCs w:val="18"/>
                <w:color w:val="auto"/>
              </w:rPr>
            </w:pPr>
          </w:p>
        </w:tc>
      </w:tr>
      <w:tr>
        <w:trPr>
          <w:trHeight w:val="234"/>
        </w:trPr>
        <w:tc>
          <w:tcPr>
            <w:tcW w:w="1400" w:type="dxa"/>
            <w:vAlign w:val="bottom"/>
            <w:tcBorders>
              <w:right w:val="single" w:sz="8" w:color="auto"/>
            </w:tcBorders>
          </w:tcPr>
          <w:p>
            <w:pPr>
              <w:spacing w:after="0"/>
              <w:rPr>
                <w:sz w:val="20"/>
                <w:szCs w:val="20"/>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serums to the skin.</w:t>
            </w:r>
          </w:p>
        </w:tc>
        <w:tc>
          <w:tcPr>
            <w:tcW w:w="4920" w:type="dxa"/>
            <w:vAlign w:val="bottom"/>
          </w:tcPr>
          <w:p>
            <w:pPr>
              <w:spacing w:after="0"/>
              <w:rPr>
                <w:sz w:val="20"/>
                <w:szCs w:val="20"/>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4940" w:type="dxa"/>
            <w:vAlign w:val="bottom"/>
            <w:tcBorders>
              <w:bottom w:val="single" w:sz="8" w:color="auto"/>
              <w:right w:val="single" w:sz="8" w:color="auto"/>
            </w:tcBorders>
          </w:tcPr>
          <w:p>
            <w:pPr>
              <w:spacing w:after="0"/>
              <w:rPr>
                <w:sz w:val="23"/>
                <w:szCs w:val="23"/>
                <w:color w:val="auto"/>
              </w:rPr>
            </w:pPr>
          </w:p>
        </w:tc>
        <w:tc>
          <w:tcPr>
            <w:tcW w:w="4920" w:type="dxa"/>
            <w:vAlign w:val="bottom"/>
            <w:tcBorders>
              <w:bottom w:val="single" w:sz="8" w:color="auto"/>
            </w:tcBorders>
          </w:tcPr>
          <w:p>
            <w:pPr>
              <w:spacing w:after="0"/>
              <w:rPr>
                <w:sz w:val="23"/>
                <w:szCs w:val="23"/>
                <w:color w:val="auto"/>
              </w:rPr>
            </w:pPr>
          </w:p>
        </w:tc>
      </w:tr>
      <w:tr>
        <w:trPr>
          <w:trHeight w:val="218"/>
        </w:trPr>
        <w:tc>
          <w:tcPr>
            <w:tcW w:w="1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Proprietary formulations of ingredients delivered to the skin at</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4 bottle stock-keeping units (“SKUs”) required to provide a</w:t>
            </w:r>
          </w:p>
        </w:tc>
      </w:tr>
      <w:tr>
        <w:trPr>
          <w:trHeight w:val="216"/>
        </w:trPr>
        <w:tc>
          <w:tcPr>
            <w:tcW w:w="140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different steps during the Hydrafacial treatment.</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Hydrafacial treatment; the bottles provide for approximately 12-15</w:t>
            </w:r>
          </w:p>
        </w:tc>
      </w:tr>
      <w:tr>
        <w:trPr>
          <w:trHeight w:val="234"/>
        </w:trPr>
        <w:tc>
          <w:tcPr>
            <w:tcW w:w="1400" w:type="dxa"/>
            <w:vAlign w:val="bottom"/>
            <w:tcBorders>
              <w:right w:val="single" w:sz="8" w:color="auto"/>
            </w:tcBorders>
          </w:tcPr>
          <w:p>
            <w:pPr>
              <w:spacing w:after="0"/>
              <w:rPr>
                <w:sz w:val="20"/>
                <w:szCs w:val="20"/>
                <w:color w:val="auto"/>
              </w:rPr>
            </w:pPr>
          </w:p>
        </w:tc>
        <w:tc>
          <w:tcPr>
            <w:tcW w:w="4940" w:type="dxa"/>
            <w:vAlign w:val="bottom"/>
            <w:tcBorders>
              <w:right w:val="single" w:sz="8" w:color="auto"/>
            </w:tcBorders>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Hydrafacial treatments.</w:t>
            </w:r>
          </w:p>
        </w:tc>
      </w:tr>
      <w:tr>
        <w:trPr>
          <w:trHeight w:val="441"/>
        </w:trPr>
        <w:tc>
          <w:tcPr>
            <w:tcW w:w="140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4 SKUs contain varying strength chemical peel treatments. The</w:t>
            </w:r>
          </w:p>
        </w:tc>
      </w:tr>
      <w:tr>
        <w:trPr>
          <w:trHeight w:val="216"/>
        </w:trPr>
        <w:tc>
          <w:tcPr>
            <w:tcW w:w="140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provider chooses which strength to use during the Hydrafacial</w:t>
            </w:r>
          </w:p>
        </w:tc>
      </w:tr>
      <w:tr>
        <w:trPr>
          <w:trHeight w:val="234"/>
        </w:trPr>
        <w:tc>
          <w:tcPr>
            <w:tcW w:w="1400" w:type="dxa"/>
            <w:vAlign w:val="bottom"/>
            <w:tcBorders>
              <w:right w:val="single" w:sz="8" w:color="auto"/>
            </w:tcBorders>
          </w:tcPr>
          <w:p>
            <w:pPr>
              <w:spacing w:after="0"/>
              <w:rPr>
                <w:sz w:val="20"/>
                <w:szCs w:val="20"/>
                <w:color w:val="auto"/>
              </w:rPr>
            </w:pPr>
          </w:p>
        </w:tc>
        <w:tc>
          <w:tcPr>
            <w:tcW w:w="4940" w:type="dxa"/>
            <w:vAlign w:val="bottom"/>
            <w:tcBorders>
              <w:right w:val="single" w:sz="8" w:color="auto"/>
            </w:tcBorders>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treatment, and each SKU lasts approximately 1-2 treatments.</w:t>
            </w: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4940" w:type="dxa"/>
            <w:vAlign w:val="bottom"/>
            <w:tcBorders>
              <w:bottom w:val="single" w:sz="8" w:color="auto"/>
              <w:right w:val="single" w:sz="8" w:color="auto"/>
            </w:tcBorders>
          </w:tcPr>
          <w:p>
            <w:pPr>
              <w:spacing w:after="0"/>
              <w:rPr>
                <w:sz w:val="23"/>
                <w:szCs w:val="23"/>
                <w:color w:val="auto"/>
              </w:rPr>
            </w:pPr>
          </w:p>
        </w:tc>
        <w:tc>
          <w:tcPr>
            <w:tcW w:w="4920" w:type="dxa"/>
            <w:vAlign w:val="bottom"/>
            <w:tcBorders>
              <w:bottom w:val="single" w:sz="8" w:color="auto"/>
            </w:tcBorders>
          </w:tcPr>
          <w:p>
            <w:pPr>
              <w:spacing w:after="0"/>
              <w:rPr>
                <w:sz w:val="23"/>
                <w:szCs w:val="23"/>
                <w:color w:val="auto"/>
              </w:rPr>
            </w:pPr>
          </w:p>
        </w:tc>
      </w:tr>
      <w:tr>
        <w:trPr>
          <w:trHeight w:val="218"/>
        </w:trPr>
        <w:tc>
          <w:tcPr>
            <w:tcW w:w="1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Serums</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Optional add-on to target specific skin concerns. Offering includes</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1-2 treatments per serum vial.</w:t>
            </w:r>
          </w:p>
        </w:tc>
      </w:tr>
      <w:tr>
        <w:trPr>
          <w:trHeight w:val="216"/>
        </w:trPr>
        <w:tc>
          <w:tcPr>
            <w:tcW w:w="140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proprietary booster serums that are co-developed via collaborations</w:t>
            </w:r>
          </w:p>
        </w:tc>
        <w:tc>
          <w:tcPr>
            <w:tcW w:w="4920" w:type="dxa"/>
            <w:vAlign w:val="bottom"/>
          </w:tcPr>
          <w:p>
            <w:pPr>
              <w:spacing w:after="0"/>
              <w:rPr>
                <w:sz w:val="18"/>
                <w:szCs w:val="18"/>
                <w:color w:val="auto"/>
              </w:rPr>
            </w:pPr>
          </w:p>
        </w:tc>
      </w:tr>
      <w:tr>
        <w:trPr>
          <w:trHeight w:val="234"/>
        </w:trPr>
        <w:tc>
          <w:tcPr>
            <w:tcW w:w="1400" w:type="dxa"/>
            <w:vAlign w:val="bottom"/>
            <w:tcBorders>
              <w:right w:val="single" w:sz="8" w:color="auto"/>
            </w:tcBorders>
          </w:tcPr>
          <w:p>
            <w:pPr>
              <w:spacing w:after="0"/>
              <w:rPr>
                <w:sz w:val="20"/>
                <w:szCs w:val="20"/>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various skincare brands.</w:t>
            </w:r>
          </w:p>
        </w:tc>
        <w:tc>
          <w:tcPr>
            <w:tcW w:w="4920" w:type="dxa"/>
            <w:vAlign w:val="bottom"/>
          </w:tcPr>
          <w:p>
            <w:pPr>
              <w:spacing w:after="0"/>
              <w:rPr>
                <w:sz w:val="20"/>
                <w:szCs w:val="20"/>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4940" w:type="dxa"/>
            <w:vAlign w:val="bottom"/>
            <w:tcBorders>
              <w:bottom w:val="single" w:sz="8" w:color="auto"/>
              <w:right w:val="single" w:sz="8" w:color="auto"/>
            </w:tcBorders>
          </w:tcPr>
          <w:p>
            <w:pPr>
              <w:spacing w:after="0"/>
              <w:rPr>
                <w:sz w:val="23"/>
                <w:szCs w:val="23"/>
                <w:color w:val="auto"/>
              </w:rPr>
            </w:pPr>
          </w:p>
        </w:tc>
        <w:tc>
          <w:tcPr>
            <w:tcW w:w="4920" w:type="dxa"/>
            <w:vAlign w:val="bottom"/>
            <w:tcBorders>
              <w:bottom w:val="single" w:sz="8" w:color="auto"/>
            </w:tcBorders>
          </w:tcPr>
          <w:p>
            <w:pPr>
              <w:spacing w:after="0"/>
              <w:rPr>
                <w:sz w:val="23"/>
                <w:szCs w:val="23"/>
                <w:color w:val="auto"/>
              </w:rPr>
            </w:pP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Hydrafacial Experience</w:t>
      </w:r>
    </w:p>
    <w:p>
      <w:pPr>
        <w:spacing w:after="0" w:line="2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 Hydrafacial treatment is a noninvasive hydradermabrasion process that utilizes a patented Delivery System to cleanse, extract, and hydrate the skin with proprietary solutions and serums. We believe Hydrafacial treatments are accessible and appropriate for consumers across all genders, ages, skin types, and skin tones.</w:t>
      </w:r>
    </w:p>
    <w:p>
      <w:pPr>
        <w:spacing w:after="0" w:line="203"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 Hydrafacial treatment results in instantly gratifying, glowy-looking skin and a “gunkie” container that collects dead skin cells and debris that were extracted from the skin during the Hydrafacial treatment. We believe the instant gratification provided by our Hydrafacial treatment generates high consumer and provider affinity for our brand.</w:t>
      </w:r>
    </w:p>
    <w:p>
      <w:pPr>
        <w:spacing w:after="0" w:line="20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 summary of the Hydrafacial treatment is set forth below. In addition, consumers and providers can personalize their Hydrafacial treatments to target specific skin concerns or needs by adding customized chemical peels, various serums, LED light therapy, and/or lymphatic drainage. Furthermore, a Hydrafacial treatment can be applied to the neck/decolletage, back, hands, or other parts of the body.</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980" w:type="dxa"/>
            <w:vAlign w:val="bottom"/>
            <w:tcBorders>
              <w:top w:val="single" w:sz="8" w:color="auto"/>
              <w:left w:val="single" w:sz="8" w:color="auto"/>
            </w:tcBorders>
          </w:tcPr>
          <w:p>
            <w:pPr>
              <w:spacing w:after="0"/>
              <w:rPr>
                <w:sz w:val="22"/>
                <w:szCs w:val="22"/>
                <w:color w:val="auto"/>
              </w:rPr>
            </w:pPr>
          </w:p>
        </w:tc>
        <w:tc>
          <w:tcPr>
            <w:tcW w:w="9280" w:type="dxa"/>
            <w:vAlign w:val="bottom"/>
            <w:tcBorders>
              <w:top w:val="single" w:sz="8" w:color="auto"/>
              <w:right w:val="single" w:sz="8" w:color="auto"/>
            </w:tcBorders>
          </w:tcPr>
          <w:p>
            <w:pPr>
              <w:ind w:left="2540"/>
              <w:spacing w:after="0"/>
              <w:rPr>
                <w:sz w:val="20"/>
                <w:szCs w:val="20"/>
                <w:color w:val="auto"/>
              </w:rPr>
            </w:pPr>
            <w:r>
              <w:rPr>
                <w:rFonts w:ascii="Times New Roman" w:cs="Times New Roman" w:eastAsia="Times New Roman" w:hAnsi="Times New Roman"/>
                <w:sz w:val="18"/>
                <w:szCs w:val="18"/>
                <w:b w:val="1"/>
                <w:bCs w:val="1"/>
                <w:color w:val="auto"/>
              </w:rPr>
              <w:t>Hydrafacial Treatment Steps</w:t>
            </w:r>
          </w:p>
        </w:tc>
      </w:tr>
      <w:tr>
        <w:trPr>
          <w:trHeight w:val="27"/>
        </w:trPr>
        <w:tc>
          <w:tcPr>
            <w:tcW w:w="1980" w:type="dxa"/>
            <w:vAlign w:val="bottom"/>
            <w:tcBorders>
              <w:left w:val="single" w:sz="8" w:color="auto"/>
              <w:bottom w:val="single" w:sz="8" w:color="auto"/>
            </w:tcBorders>
          </w:tcPr>
          <w:p>
            <w:pPr>
              <w:spacing w:after="0"/>
              <w:rPr>
                <w:sz w:val="2"/>
                <w:szCs w:val="2"/>
                <w:color w:val="auto"/>
              </w:rPr>
            </w:pPr>
          </w:p>
        </w:tc>
        <w:tc>
          <w:tcPr>
            <w:tcW w:w="9280" w:type="dxa"/>
            <w:vAlign w:val="bottom"/>
            <w:tcBorders>
              <w:bottom w:val="single" w:sz="8" w:color="auto"/>
              <w:right w:val="single" w:sz="8" w:color="auto"/>
            </w:tcBorders>
          </w:tcPr>
          <w:p>
            <w:pPr>
              <w:spacing w:after="0"/>
              <w:rPr>
                <w:sz w:val="2"/>
                <w:szCs w:val="2"/>
                <w:color w:val="auto"/>
              </w:rPr>
            </w:pPr>
          </w:p>
        </w:tc>
      </w:tr>
      <w:tr>
        <w:trPr>
          <w:trHeight w:val="218"/>
        </w:trPr>
        <w:tc>
          <w:tcPr>
            <w:tcW w:w="1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Step 1: Cleanse</w:t>
            </w:r>
          </w:p>
        </w:tc>
        <w:tc>
          <w:tcPr>
            <w:tcW w:w="9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Skin is cleansed using technology that combines exfoliation, extraction, and hydration (“Vortex Fusion Technology”), a</w:t>
            </w: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9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specially designed tip, and a cleansing solution. The outermost layer of skin is exfoliated with a customized peel that removes</w:t>
            </w:r>
          </w:p>
        </w:tc>
      </w:tr>
      <w:tr>
        <w:trPr>
          <w:trHeight w:val="234"/>
        </w:trPr>
        <w:tc>
          <w:tcPr>
            <w:tcW w:w="1980" w:type="dxa"/>
            <w:vAlign w:val="bottom"/>
            <w:tcBorders>
              <w:left w:val="single" w:sz="8" w:color="auto"/>
              <w:right w:val="single" w:sz="8" w:color="auto"/>
            </w:tcBorders>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dead skin cells.</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9280" w:type="dxa"/>
            <w:vAlign w:val="bottom"/>
            <w:tcBorders>
              <w:bottom w:val="single" w:sz="8" w:color="auto"/>
              <w:right w:val="single" w:sz="8" w:color="auto"/>
            </w:tcBorders>
          </w:tcPr>
          <w:p>
            <w:pPr>
              <w:spacing w:after="0"/>
              <w:rPr>
                <w:sz w:val="2"/>
                <w:szCs w:val="2"/>
                <w:color w:val="auto"/>
              </w:rPr>
            </w:pPr>
          </w:p>
        </w:tc>
      </w:tr>
      <w:tr>
        <w:trPr>
          <w:trHeight w:val="218"/>
        </w:trPr>
        <w:tc>
          <w:tcPr>
            <w:tcW w:w="1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Step 2: Extract</w:t>
            </w:r>
          </w:p>
        </w:tc>
        <w:tc>
          <w:tcPr>
            <w:tcW w:w="9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Extractions and removal of remaining debris is performed with Vortex Fusion Technology, a specialized tip, and proprietary</w:t>
            </w:r>
          </w:p>
        </w:tc>
      </w:tr>
      <w:tr>
        <w:trPr>
          <w:trHeight w:val="234"/>
        </w:trPr>
        <w:tc>
          <w:tcPr>
            <w:tcW w:w="1980" w:type="dxa"/>
            <w:vAlign w:val="bottom"/>
            <w:tcBorders>
              <w:left w:val="single" w:sz="8" w:color="auto"/>
              <w:right w:val="single" w:sz="8" w:color="auto"/>
            </w:tcBorders>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solutions.</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9280" w:type="dxa"/>
            <w:vAlign w:val="bottom"/>
            <w:tcBorders>
              <w:bottom w:val="single" w:sz="8" w:color="auto"/>
              <w:right w:val="single" w:sz="8" w:color="auto"/>
            </w:tcBorders>
          </w:tcPr>
          <w:p>
            <w:pPr>
              <w:spacing w:after="0"/>
              <w:rPr>
                <w:sz w:val="2"/>
                <w:szCs w:val="2"/>
                <w:color w:val="auto"/>
              </w:rPr>
            </w:pPr>
          </w:p>
        </w:tc>
      </w:tr>
      <w:tr>
        <w:trPr>
          <w:trHeight w:val="218"/>
        </w:trPr>
        <w:tc>
          <w:tcPr>
            <w:tcW w:w="19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Step 3: Hydrate</w:t>
            </w:r>
          </w:p>
        </w:tc>
        <w:tc>
          <w:tcPr>
            <w:tcW w:w="9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Vortex Fusion Technology is paired with a specialized tip to deliver hyaluronic acid and antioxidants to the skin to help nourish,</w:t>
            </w:r>
          </w:p>
        </w:tc>
      </w:tr>
      <w:tr>
        <w:trPr>
          <w:trHeight w:val="234"/>
        </w:trPr>
        <w:tc>
          <w:tcPr>
            <w:tcW w:w="1980" w:type="dxa"/>
            <w:vAlign w:val="bottom"/>
            <w:tcBorders>
              <w:left w:val="single" w:sz="8" w:color="auto"/>
              <w:right w:val="single" w:sz="8" w:color="auto"/>
            </w:tcBorders>
          </w:tcPr>
          <w:p>
            <w:pPr>
              <w:spacing w:after="0"/>
              <w:rPr>
                <w:sz w:val="20"/>
                <w:szCs w:val="20"/>
                <w:color w:val="auto"/>
              </w:rPr>
            </w:pPr>
          </w:p>
        </w:tc>
        <w:tc>
          <w:tcPr>
            <w:tcW w:w="9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hydrate, and protect.</w:t>
            </w: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92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SkinStylus Products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SkinStylus SteriLock Microsystem (for microneedling)</w:t>
      </w:r>
    </w:p>
    <w:p>
      <w:pPr>
        <w:spacing w:after="0" w:line="2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has been offering the SkinStylus SteriLock Microsystem since February 2023, after its indirect, wholly-owned subsidiary, Edge Systems Intermediate, LLC, acquired Esthetic Medical Inc., the owner of the SkinStylus brand.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SkinStylus SteriLock Microsystem can be used as a microneedling device where it and its related accessories help stimulate the body’s natural collagen and elastin production and are intended to be used as a treatment to improve the appearance of (i) surgical or traumatic hypertrophic scars on the abdomen in adults aged 22 years and older, and (ii) facial acne scarring in Fitzpatrick skin types I, II, and III in patients aged 22 years and older. As of the date of this report, the FDA has only cleared the 36-pin cartridge of the SkinStylus SteriLock Microsystem to be used by providers to help treat facial acne scars, while the 12-pin cartridge, 36-pin cartridge, and the 36-pin HiLo cartridge may be used to help treat surgical or traumatic hypertrophic scars on the abdomen. The SkinStylus SteriLock Microsystem, when used in connection with microneedling services, is considered to be a Class II medical device pursuant to the rules and regulations promulgated by the FDA.</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SkinStylus SteriLock Microsystem (for nanoneedling)</w:t>
      </w:r>
    </w:p>
    <w:p>
      <w:pPr>
        <w:spacing w:after="0" w:line="2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SkinStylus SteriLock Microsystem can also be used as a nanoneedling device where it and its related accessories are intended to help enhance the penetration and absorption of topical products, and improve exfoliation to promote smoother and more luminous-looking skin.The SkinStylus SteriLock Microsystem, when used in connection with nanoneedling services, is considered to be a cosmetic device.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Keravive Products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Keravive</w:t>
      </w:r>
    </w:p>
    <w:p>
      <w:pPr>
        <w:spacing w:after="0" w:line="2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At the core of Keravive’s product offering is the Keravive Peptide Solution that is designed to be delivered to an individual’s scalp using a Delivery System, and a take home spray that is intended to be used once daily at home for 30-days after an individual receives an in-office Keravive treatment to help support the appearance of healthier, thicker, fuller-looking hair.</w:t>
      </w:r>
    </w:p>
    <w:p>
      <w:pPr>
        <w:spacing w:after="0" w:line="20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are evaluating the optimal re-launch strategy for Keravive and believe it will take time before sales of Keravive become a meaningful part of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Pipeline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Boosters</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key differentiating factor of the Hydrafacial treatment is how we partner with leading skincare brands to co-develop optional add-on serums that tailor a Hydrafacial treatment based on a consumer’s skincare concerns (each, a “Booster”, and collectively, “Boosters”).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By leveraging the unique technologies of our partners, we believe our Booster strategy allows us to innovate rapidly and cost effectively, staying current with dynamic skincare trends and gaining exposure to new consumers through our partner brands. We currently offer a portfolio of approximately 20 Boosters and intend to continue strategically partnering with new brands internationally and locally to offer innovative and tailored Booster products to our consumers.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MyBeautyHealth Mobile Application</w:t>
      </w:r>
    </w:p>
    <w:p>
      <w:pPr>
        <w:spacing w:after="0" w:line="2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Launched in November 2023, the MyBeautyHealth mobile application rewards consumers for investing in their skin health. Through the app, consumers can: earn loyalty points and unlock exclusive savings with every treatment; log skin concerns and receive personalized treatment plans; and find and connect with local Hydrafacial providers. For Hydrafacial providers, the MyBeautyHealth loyalty program is a value-add that comes at no cost to them, incentivizing their customers to maintain regular treatments.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Strategy in General</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intend to fulfill our vision of expanding our platform and connecting our global community of estheticians, partners, and consumers by employing the following strategy, which we believe will generate a flywheel effect to increase our platform’s momentum:</w:t>
      </w:r>
    </w:p>
    <w:p>
      <w:pPr>
        <w:spacing w:after="0" w:line="18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footprint by selling innovative products and connected experiences to providers and consumers;</w:t>
      </w:r>
    </w:p>
    <w:p>
      <w:pPr>
        <w:spacing w:after="0" w:line="252"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providers, especially estheticians, to help turn them into brand evangelists and advocates providing first-class experiences to our customers;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Nurture direct relationships with our consumers, building brand awareness and driving them toward our trusted community of providers;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global infrastructure and our connected technology platform to fuel growth and community engagement;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Supercharge our platform with targeted acquisitions to complement our portfolio.</w:t>
      </w:r>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strategy begins with developing a network of providers, brand partners, and retail partners to build a distribution platform for our innovative products and experiences. We intend to utilize our sales force to sell our products by inviting providers and partners to become a part of our community. We believe that each placement of our product will grow the platform and increase consumers’ awareness of our Company, ultimately building a recognizable and aspirational brand that draws in consumers. In this process, we will particularly focus on the esthetician.</w:t>
      </w:r>
    </w:p>
    <w:p>
      <w:pPr>
        <w:spacing w:after="0" w:line="2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Historically, companies in the medical aesthetics industry focused on physicians, nurses, front-office staff, and business owners. Notably absent from that focus was the esthetician, a highly influential provider who serves as a source of skincare information and recommendations for clients and patients. We recognized the opportunity to empower estheticians and created programs to elevate their skills, knowledge, and confidence so that they feel supported through a continued relationship. As a result, we have open dialogue with our esthetician providers and receive valuable information on consumer preferences and behaviors they see in their practices. These estheticians have since become our most influential ambassadors, driving awareness, recommending our products, and becoming a point of education for our consumers. While these estheticians are not our employees or contractors, we believe they provide us with an important competitive advantage because a well-trained esthetician can provide consumers with consistent, memorable, first-class experiences, no matter where a consumer accesses our products. We believe that this relationship with the esthetician in turn builds loyalty from the consumer to the Company.</w:t>
      </w:r>
    </w:p>
    <w:p>
      <w:pPr>
        <w:spacing w:after="0" w:line="21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Estheticians are one part of our community that we recognize as powerful. We continue to focus on other providers as well, including physicians, nurses, and other partners, to build consumer awareness for our brands. By investing in our providers, we believe we are creating a thriving community because they recommend our products and experiences as part of skincare and wellness routines. In our view, investing our efforts in our community drives utilization amongst consumers, resulting in a potentially potent formula for growth.</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Another focus area of our growth strategy is nurturing our relationship with the consumer. As the ultimate end user, the consumer is at the core of our efforts. We have an experienced team that meticulously curates the consumer journey, from lead generation that invites consumers to our community to the user experience of our offerings. We employ a multi-pronged approach to consumer acquisition and engagement including, but not limited to, agile marketing activation events, storytelling, gamification, and loyalty. We believe driving increased consumer traffic to our network of providers, retailers, and brand partners will increase the utilization of our products and experiences, further cementing the value proposition we offer to our partners and thereby driving increased purchases from them.</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our products and experiences are universal in their appeal across cultures, genders, skin tones, and skin types, making a compelling case for our international expansion. We believe there is significant opportunity in exporting our products and experiences to global markets and applying our strategy abroad to further increase the reach and influence of our platform. Our offering is available globally through a combination of having a direct commercial presence in certain countries, or utilizing a distributor model or hybrid model in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ind w:right="120"/>
        <w:spacing w:after="0" w:line="261" w:lineRule="auto"/>
        <w:rPr>
          <w:sz w:val="20"/>
          <w:szCs w:val="20"/>
          <w:color w:val="auto"/>
        </w:rPr>
      </w:pPr>
      <w:r>
        <w:rPr>
          <w:rFonts w:ascii="Times New Roman" w:cs="Times New Roman" w:eastAsia="Times New Roman" w:hAnsi="Times New Roman"/>
          <w:sz w:val="18"/>
          <w:szCs w:val="18"/>
          <w:color w:val="auto"/>
        </w:rPr>
        <w:t>Lastly, if we are presented with the right opportunity, we may supercharge our platform via targeted acquisitions, expanding the breadth of our platform with additional innovative products and experiences. We believe the introduction of additional offerings will generate increased engagement among our community, while further expanding it via the introduction of the acquired company’s established base of consumers. We will take a disciplined approach to acquisitions, searching for opportunities that satisfy the following criteria:</w:t>
      </w:r>
    </w:p>
    <w:p>
      <w:pPr>
        <w:spacing w:after="0" w:line="207" w:lineRule="exact"/>
        <w:rPr>
          <w:sz w:val="20"/>
          <w:szCs w:val="20"/>
          <w:color w:val="auto"/>
        </w:rPr>
      </w:pPr>
    </w:p>
    <w:p>
      <w:pPr>
        <w:ind w:left="660" w:right="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differentiated product or service, which can generally be demonstrated with a high Net Promoter Score, which is a customer loyalty and satisfaction measurement;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 our existing platform and community, leveraging the esthetician;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financially attractive profile via compelling revenue growth, recurring revenue characteristics, or profitability.</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acquisition may be based, to the extent relevant, on these general guidelines as well as other considerations, factors and criteria that our management may deem relevant.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Model</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Hydrafacial uses a razor / razor blade business model. The Delivery System, which facilitates the Hydrafacial treatment, is the razor. Delivery Systems are purchased by providers to offer Hydrafacial treatments to their clients and patients. In conjunction with the sale of Delivery Systems, we also sell our Consumables. The Consumables are akin to the razor blades, consisting of single-use tips, solutions, and serums, including Boosters, used during a Hydrafacial treatment. Delivery Systems and Consumables can be bought together or separately.</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Delivery Systems follow a traditional capital equipment cycle, with the Delivery System lasting providers for years. Oftentimes, providers buy additional Delivery Systems to increase the number of Hydrafacial treatments their business can provide at any given time.</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Consumables follow a recurring revenue model as Consumables are purchased on a periodic basis by providers as they exhaust their supplies. The expansion of the number of Delivery Systems providing Hydrafacial treatments, or “install base,” increases the foundation for future recurring revenue by providing a platform for more treatments, driving higher Consumables sales. Additionally, increasing the utilization of the install base is anticipated to contribute to higher Consumables revenue. As we optimize our install base, we believe Consumables revenue will ultimately become a larger share of our business.</w:t>
      </w:r>
    </w:p>
    <w:p>
      <w:pPr>
        <w:spacing w:after="0" w:line="2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certain countries, we operate through a direct sales force, while in other countries, we sell our products utilizing a distributor or hybrid business model. We aim to invest in markets that have a large and growing group of consumers searching for non-invasive beauty health experiences, and invest in initiatives that will increase consumer penetration in these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pioneer and key player in the emerging category of beauty health, which represents the intersection of over-the-counter consumer beauty / wellness products with medical esthetic / health products and procedures. Historically, these categories were viewed separately, but they are part of a spectrum aimed at helping consumers look and feel their best. The beauty / wellness industry sells widely accessible topicals, supplements, and digital tools. However, the market is a crowded and confusing space – the sheer volume of products can leave consumers overwhelmed by choice. On the other end of the spectrum, medical esthetics offers more corrective and invasive products and procedures such as injectables and energy-based treatments. The high price tag and clinical setting of these treatments may serve as barriers to generating wider consumer demand. We seek to position ourselves not as a substitute for or competitor to either of these categories, but rather as the complementary bridge linking the two categories. We believe that the consumer who follows a beauty and wellness regimen with topicals or supplements may someday graduate to medical procedures, while the medical esthetics patient is highly likely to be a loyal consumer of beauty topical products.</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11" w:name="page12"/>
    <w:bookmarkEnd w:id="11"/>
    <w:p>
      <w:pPr>
        <w:ind w:right="60"/>
        <w:spacing w:after="0" w:line="261" w:lineRule="auto"/>
        <w:rPr>
          <w:sz w:val="20"/>
          <w:szCs w:val="20"/>
          <w:color w:val="auto"/>
        </w:rPr>
      </w:pPr>
      <w:r>
        <w:rPr>
          <w:rFonts w:ascii="Times New Roman" w:cs="Times New Roman" w:eastAsia="Times New Roman" w:hAnsi="Times New Roman"/>
          <w:sz w:val="18"/>
          <w:szCs w:val="18"/>
          <w:color w:val="auto"/>
        </w:rPr>
        <w:t>We don’t believe we have to be an “either/or” company (beauty or health/non-invasive or minimally invasive). Rather, we believe we are an “and” company. We intend to gather insights to inform our strategy as the consumer travels through the worlds of beauty and health, whether it be at home or in a provider’s office, allowing us to tailor increasingly engaging experiences that ultimately generate revenue. Many of our providers offer Hydrafacial treatments as a bundle with other procedures, such as injectables, microneedling/nanoneedling, or energy-based treatments.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Sourcing and Material</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outsource the manufacturing of many of our products to multiple contract manufacturers that are primarily located in North America, Europe, and Asia. However, our Delivery Systems are manufactured and assembled in our manufacturing facility in Long Beach, California where our quality assurance team monitors and ensures the integrity of the Delivery Systems and conducts compliance audits.</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components and raw materials used in our products are sourced from a variety of component and raw material suppliers. To provide products to customers in a timely, cost-effective manner, we review existing contract manufacturers and suppliers and evaluate new partners and suppliers periodically with the objectives of improving quality, increasing innovation, accelerating speed-to-market, maintaining supply sufficiency, and reducing costs. As we integrate acquired businesses, distributors, and/or brands, we will continually seek new ways to leverage our production and sourcing capabilities to improve our overall supply chain performance.</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purchase components and raw materials for our products from various third parties and third-party contract manufacturers on a purchase order basis. We also purchase packaging components manufactured to our design specifications. We collaborate with our suppliers and contract manufacturers to ensure that they follow our established product design specifications and quality assurance programs. We also have our suppliers and contract manufacturers go through a vendor qualification and audit process to verify and ensure that they meet our manufacturing standards and expectations. We ensure our partners have the requisite experience to produce our products and develop relationships with them to maintain access to the resources needed to scale. To have control of supply and component pipelines, we own certain tooling and equipment required to manufacture our products.</w:t>
      </w:r>
    </w:p>
    <w:p>
      <w:pPr>
        <w:spacing w:after="0" w:line="2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we have single supply relationships for certain of our key components, we try to mitigate related risks associated with our supply chain through various measures. We qualify alternative suppliers and manufacturers, when possible, maintain controls and methods to mitigate risk through buffer inventory, implement dual and/or co-sourcing, if needed, and develop contingency plans for responding to disruptions, such as maintaining inventory of single source components or leverage alternative freight modes that can have cost implications. However, in the event we experience war, natural disasters, pandemics, or epidemics, we may encounter challenges with various manufacturing related components and raw material shortages. We believe that we currently have adequate sources of supply for all our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Facilities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operate and distribute finished products from our leased distribution facilities in Long Beach, California. We also have a global network of fulfillment and distribution centers that supports our international customers. We regularly evaluate our distribution infrastructure and consolidate or expand our distribution capacity as we believe appropriate for our operations and to meet anticipated needs.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research and development team works closely with our marketing and product development teams and third-party suppliers to generate ideas, develop new products and product line extensions, create new packaging concepts, and improve, redesign, or reformulate existing products in both domestic and global markets. In addition, these research and development personnel work to identify recent trends using market intelligence and consumer needs to bring products to market.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and Regulatory</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quality and regulatory team is responsible for registrations, ensuring product safety and reliability, and meeting and monitoring our regulatory compliance for all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beauty and personal care market is fragmented and highly competitive, with several companies specializing in different subsectors, including skincare, haircare, supplements, and medical products and procedures. Many of our competitors such as DiamondGlow, Dermasweep, Cartessa, OxyGeneo, Venus Glow, JetPeel, SaltFacial, and Glownar seek to compete with us by offering similar skin care and facial treatment products and services, and offering such products and services at similar or aggressive pricing.</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depends heavily on ensuring the continued and timely introduction of new and reliable products and services, as well as staying relevant within the market and conforming to beauty and health trends. Principal competitive factors important to us include price, product and service features and offerings, relative price to performance, beauty health trends, marketing and distribution capability, service and support, reliability, and corporate reputation.</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our efforts to expand our brand recognition, cultivate our BeautyHealth community, invest in marketing capabilities, and activate consumers across channels will allow us to compete effectively as we continue to expand globally. We are focused on expanding the beauty health category and creating a premier beauty health experience.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Approach</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deploy a business-to-business-to-consumer marketing model with targeted strategies to engage relevant audiences through a combination of live and digital experiences. With aided brand awareness at 39% among U.S. esthetics consumers (Ipsos. 2024 Consumer Survey; n=1000), we are focused on maximizing our organic presence and introducing our brand to highly targeted consumer growth markets around the world. With over 60% U.S. market share in the microdermabrasion category, we continue to innovate and drive growth via novel treatment protocols by launching new Boosters, combination treatment regimens, and new indications backed by clinical data and real-world evidence.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Push and Pull Marketing</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effectively market our brands is critical to our operational success. Part of our marketing spend is based on a targeted “push and pull” marketing model that engages with both providers and consumers. On the “push” side, we foster relationships with our providers by investing in proprietary training programs, educational content-branding initiatives, digital marketing materials, and a loyalty program that offers tiered pricing on Consumables based on the provider’s and consumer’s spend. To support the “pull” side of our products, we are investing in tactics to drive consumer demand such as gift-with-purchase promotions, in-office events, targeted paid campaigns, and regional experiences such as the GLOWvolution tour, a traveling experiential program to promote Hydrafacial. We believe enhancing our sales force effectiveness with “pull” side marketing initiatives will be key to driving year-over-year account growth.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Marketing</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continuously innovating with digital marketing strategies to drive incremental revenue, brand equity, and customer/consumer engagement by elevating our digital presence, social media presence, and influencer marketing efforts. We are in the process and intend to revamp our digital infrastructure over the next 1-2 years to help improve user experience, maximize organic engagement, and drive online sales through artificial intelligence (“AI”) assisted targeting/check-out functions.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majority of our customers are providers within the professional medical industry (dermatologists, plastic surgeons, and medical spas), esthetician, and beauty retail industry (spas, hotels, and other retailers). We currently sell approximately 70% of our Delivery Systems and Consumables into the professional medical channel in the United States and Canada. We expect this trend where the majority of our sales will be within the professional medical channel to continue on a global scale. No individual customer accounted for 10% or more of our net sales in fiscal 2024. In 2024, total net sales derived from markets outside the United States and Canada comprised approximately 38% of total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Trademarks, Patents and Domain Names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2024, we had 179 patents with 87 pending patent applications worldwide to protect Hydrafacial’s current and contemplated technology platform. Our patent portfolio covers key aspects of certain products, systems, and designs, including several issued U.S. patents directed to features of the Hydrafacial MD® liquid-based skin exfoliation system. As of the date of this report, the portfolio includes 10 issued U.S. patents directed to the manifold and console of the Hydrafacial MD® system and skin treatment tips used in the system that will expire in 2026.</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own and have applied to register numerous trademarks and service marks in the United States and in other countries throughout the world. Some of our trademarks are of material importance. The duration of trademark registrations varies from country to country. However, trademarks are generally valid and may be renewed indefinitely so long as they are in use and/or their registrations are properly maintained. In addition, we have registered and maintain numerous internet domain names.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5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business is subject to moderate seasonal fluctuations. We typically experience the highest revenues and operating income in the fiscal fourth quarter and lowest revenues and operating income in the first fiscal quarter. New product and service introductions can also impact net sales, cost of sales, and operating expenses. The timing of product and service introductions can also impact the Company’s net sales to its distribution channels as these channels are filled with new inventory following a product launch, and channel inventory of an older or similar product often declines as the launch of a newer product approaches. Net sales can also be affected when consumers and distributors anticipate a product introduction.</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Furthermore, as our business outside of the United States grows, seasonal fluctuations may smooth out. As a result, results for any interim period are not necessarily indicative of the results that may be achieved for the full fiscal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 consumer-driven organization delivering comprehensive beauty health services and treatments, we are subject to the laws of the United States of America and multiple foreign jurisdictions in which we operate. The rules and regulations of various governing bodies may differ among jurisdictions. Certain of our products and our operations are subject to extensive regulation by the U.S. Food and Drug Administration, and other federal and state authorities in the United States, as well as comparable authorities in foreign jurisdictions. For example, certain of our products are subject to regulation as medical devices or cosmetics in the United States under the Federal Food, Drug and Cosmetic Act (“FDCA”), as implemented and enforced by the FDA.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FDA regulates the development, design, non-clinical and clinical research, manufacturing, safety, efficacy, labeling, packaging, storage, installation, servicing, recordkeeping, premarket clearance and/or approval, adverse event reporting, advertising, promotion, marketing, distribution, and import and export of medical devices to ensure that medical devices distributed domestically are safe and effective for their intended uses and otherwise meet the requirements of the FDCA.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FDA Premarket Clearance and Approval Requirements</w:t>
      </w:r>
    </w:p>
    <w:p>
      <w:pPr>
        <w:spacing w:after="0" w:line="2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premarket notification submitted under Section 510(k) of the FDCA, follow a regulatory process that the FDA uses to classify low-to moderate-risk devices (the “De Novo pathway”), or approval of a premarket approval application (“PMA”). Under the FDCA, medical devices are classified into one of three classes—Class I, Class II or Class III—depending on the degree of risk associated with each medical device and the extent of manufacturer and regulatory control needed to ensure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any additional recommendations set forth in FDA guidance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p>
      <w:pPr>
        <w:ind w:right="80"/>
        <w:spacing w:after="0" w:line="255"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application under Section 510(k) of the FDCA before engaging in commercial distribution for the device. The FDA’s permission to commercially distribute a device subject to a 510(k) premarket notification is generally known as 510(k) clearance. Devices deemed by the FDA to pose the greatest risks, such as life sustaining, life supporting, some implantable devices, or devices that have a new intended use or use advanced technology that is not substantially equivalent to that of a legally marketed device, are placed in Class III, requiring approval of a PMA. Some pre-amendment devices, which are devices legally marketed prior to May 28, 1976, are unclassified but are subject to FDA’s premarket notification and clearance process in order to be commercially distributed.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510(k) Clearance Marketing Pathway</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obtain 510(k) clearance, the sponsor must submit to the FDA a premarket notification submission demonstrating that the proposed device is as safe and effective as, or “substantially equivalent” to, a legally marketed predicate device. A predicate device is a legally marketed device that was legally marketed prior to May 28, 1976 (pre-amendment device), a device which has been reclassified from Class III to Class II or I, a device which has been found to be substantially equivalent through the 510(k) process, or a device that was granted marketing authorization via the De Novo classification process under Section 513(f)(2) of the FDCA and not exempt from premarket notification requirements. Once submitted, the FDA’s 510(k) clearance process usually takes from three to twelve months, but may take longer. The FDA may require additional information, including clinical data, to make a determination regarding substantial equivalence. In addition, FDA collects user fees for certain medical device submissions and annual fees for medical device establishments. For fiscal year 2025, the standard user fee for a 510(k) premarket notification submission is $24,335, with the fee being $6,084 for small businesses.</w:t>
      </w:r>
    </w:p>
    <w:p>
      <w:pPr>
        <w:spacing w:after="0" w:line="2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applicant may resubmit another 510(k) clearance application with new data, request a risk-based classification determination for the device in accordance with the De Novo process, which is a route to market for novel medical devices that are low to moderate risk and are not substantially equivalent to a predicate device, request reclassification through reclassification petitions pursuant to 21 U.S.C. § 360c, or submit a PMA application. While the De Novo pathway is available in response to a 510(k) denial, it does not require a 510(k) denial and is available as the initial pathway for approval if appropriate for the device.</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After a device receives 510(k) clearance, any modification that could significantly affect its safety or effectiveness, or that would constitute a new or different intended use, will require a new 510(k) clearance or, depending on the modification, a PMA approval. If the change alters the device in a way that renders the initially approved device unavailable as a predicate and no other predicate exists, the De Novo pathway may be used. The FDA requires each manufacturer to determine whether the proposed change requires submission of a 510(k) or a PMA application before the modified device may be marketed, but the FDA may review such decision and may disagree with a manufacturer’s determination. If the manufacturer markets the modified device without first obtaining what the FDA deems to be the proper approval or clearance, then the FDA can require the manufacturer to cease marketing and/or request the recall of the modified device until such marketing authorization has been granted. Also, in these circumstances, the manufacturer may be subject to significant regulatory fines, penalties, or other regulatory actions from the FDA.</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by limiting the number of devices available for use to demonstrate equivalence as a predicate device. For example, in November 2018, FDA officials announced steps that the FDA intended to take to modernize the 510(k) pathway.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although the FDA may work with Congress to implement such proposals through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15" w:name="page16"/>
    <w:bookmarkEnd w:id="15"/>
    <w:p>
      <w:pPr>
        <w:ind w:right="60"/>
        <w:spacing w:after="0" w:line="256" w:lineRule="auto"/>
        <w:rPr>
          <w:sz w:val="20"/>
          <w:szCs w:val="20"/>
          <w:color w:val="auto"/>
        </w:rPr>
      </w:pPr>
      <w:r>
        <w:rPr>
          <w:rFonts w:ascii="Times New Roman" w:cs="Times New Roman" w:eastAsia="Times New Roman" w:hAnsi="Times New Roman"/>
          <w:sz w:val="18"/>
          <w:szCs w:val="18"/>
          <w:color w:val="auto"/>
        </w:rPr>
        <w:t>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has developed and maintains a list of device types appropriate for the “safety and performance based” pathway and continues to develop product-specific guidance documents that identify the performance criteria for each such device type, as well as the testing methods recommended in the guidance documents, where feasible.</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Most recently, in September 2023, the FDA released three draft guidance documents proposing recommendations on best practices for selecting a predicate device, situations in which clinical data may be necessary in a 510(k) submission, and evidentiary expectations for 510(k) submissions for implanted devices. The FDA recommended the use of best practices such as choosing a predicate device that meets or exceeds expected safety and performance, or that does not have unmitigated use-related or design-related safety issues. Further, the FDA recommended that manufacturers describe how the best practices in guidance documents were used to select the predicate device chosen in the 510(k) summary of their new device. Additionally, the FDA outlined situations in which innovation in materials could lead to differences in the technological characteristics of a new device and the predicate device, which may result in the need for clinical data in a 510(k) submission. Updated recommendations for manufacturers of implant devices regarding the design and execution of appropriate performance testing for 510(k) submissions, and the content and labeling information to be included, were also outlined and are expected to be considered in future applications. The FDA also introduced guidance regarding the use and device status of products that utilize artificial intelligence that may be utilized in the marketplace, and relevant considerations for approval, testing, and marketing of these devices. Furthermore, as devices continue to become more interconnected, cybersecurity risks continue to develop and grow exponentially. As a result, the FDA released guidance in September 2023 on the evolving landscape of cybersecurity threats in relation to premarket review and quality systems. The FDA intends to promote consistency, facilitate efficient premarket review, and ensure that devices are sufficiently resilient to cybersecurity threats by establishing recommended design, labeling, and documentation of testing to be included in premarket submissions of relevant devices.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PMA Pathway</w:t>
      </w:r>
    </w:p>
    <w:p>
      <w:pPr>
        <w:spacing w:after="0" w:line="25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Various actions can result in the pause or reset of the 180-day timeframe, resulting in an extended and lengthy approval process. These actions can include requests for additional information or data to supplement the application, panel reviews if the FDA determines expert panel input would be useful, or any decision by a manufacturer to make an administrative appeal regarding an FDA determination during this process. As mentioned above,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applications are also subject to the payment of user fees, which for fiscal year 2025 includes a standard application fee of $540,783 or a small business fee of $135,196.</w:t>
      </w:r>
    </w:p>
    <w:p>
      <w:pPr>
        <w:spacing w:after="0" w:line="22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6" w:name="page17"/>
    <w:bookmarkEnd w:id="16"/>
    <w:p>
      <w:pPr>
        <w:ind w:right="60"/>
        <w:spacing w:after="0" w:line="255" w:lineRule="auto"/>
        <w:rPr>
          <w:sz w:val="20"/>
          <w:szCs w:val="20"/>
          <w:color w:val="auto"/>
        </w:rPr>
      </w:pPr>
      <w:r>
        <w:rPr>
          <w:rFonts w:ascii="Times New Roman" w:cs="Times New Roman" w:eastAsia="Times New Roman" w:hAnsi="Times New Roman"/>
          <w:sz w:val="18"/>
          <w:szCs w:val="18"/>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Clinical Trials</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Clinical trials are almost always required to support a PMA and are sometimes required to support a 510(k) submission. All clinical investigations of devices to determine safety and effectiveness must be conducted in accordance with the FDA’s investigational device exemption (“IDE”) regulations that govern investigational device labeling and prohibit promotion of the investigational device while specifying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which may include animal or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the clinical trial to proceed under a conditional approval.</w:t>
      </w:r>
    </w:p>
    <w:p>
      <w:pPr>
        <w:spacing w:after="0" w:line="21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Regardless of the degree of risk presented by the medical device, clinical studies must be approved by, and conducted under the oversight of, an Institutional Review Board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complying with labeling and record-keeping requirements. In some cases,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2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complying with the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After a trial begins, the sponsor, the FDA or the IRB could suspend or terminate a clinical trial at any time for various reasons, including a belief that the risks to study subjects outweigh the anticipated benefits.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Post-market Regulation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2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6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ind w:left="660" w:right="34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the promotion of “off-label” uses of cleared or approved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63" w:lineRule="exact"/>
        <w:rPr>
          <w:rFonts w:ascii="Times New Roman" w:cs="Times New Roman" w:eastAsia="Times New Roman" w:hAnsi="Times New Roman"/>
          <w:sz w:val="18"/>
          <w:szCs w:val="18"/>
          <w:color w:val="auto"/>
        </w:rPr>
      </w:pPr>
    </w:p>
    <w:p>
      <w:pPr>
        <w:ind w:left="660" w:right="54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new or different intended use of a cleared device, or approval of certain modifications to PMA-approved devices;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24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and unscheduled inspections by the FDA. Failure to maintain compliance with the QSR requirements could result in an adverse inspection or audit reports such as Form 483 Notices of Inspectional Observations; the shut-down of, or restrictions on, manufacturing operations; recall, market withdrawal, or seizure of marketed products; or other enforcement actions by the FDA or other regulatory agencies. The discovery of previously unknown problems with any marketed products, including unanticipated adverse events or adverse events of increasing severity or frequency, whether resulting from the use of the device within the scope of its clearance or approval, or off-label by a physician in the practice of medicine, could result in restrictions on the device, including the removal of the product from the market or voluntary or mandatory device recalls.</w:t>
      </w:r>
    </w:p>
    <w:p>
      <w:pPr>
        <w:spacing w:after="0" w:line="2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a manufacturer has failed to comply with applicable regulatory requirements, it can take a variety of compliance or enforcement actions, which may result in any of the following, among others:</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and civil penalties;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PMA approvals of new or modified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importation of the manufacturer’s products through import detention or refusals, or import alerts;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Cosmetics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FDCA defines cosmetics as articles or components of articles intended for application to the human body to cleanse, beautify, promote attractiveness, or alter the appearance. The labeling of cosmetic products is subject to the requirements of the FDCA, the Fair Packaging and Labeling Act, the Poison Prevention Packaging Act and, as of December 29, 2022, the Modernization of Cosmetics Regulation Act of 2022 (“MoCRA”), along with various regulations. Cosmetics are not subject to pre-market approval by the FDA; however, certain ingredients, such as some types of color additives, must be pre-approved for the specific intended use of the product and are subject to certain restrictions on their use. If a company has not adequately substantiated the safety of its products or ingredients by, for example, performing appropriate toxicological tests or relying on already available toxicological test data, then a specific warning label is required. The FDA may, by regulation, require other warning statements on certain cosmetic products for specified hazards associated with such products. FDA regulations also prohibit or otherwise restrict the use of certain types of ingredients in cosmetic products.</w:t>
      </w:r>
    </w:p>
    <w:p>
      <w:pPr>
        <w:spacing w:after="0" w:line="21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In addition, the FDA requires that cosmetic labeling and claims be truthful and not misleading, and cosmetics may not be marketed or labeled for use in treating, preventing, mitigating, or curing disease or other conditions or in affecting the structure or function of the body because such claims would render the products to be a drug and subject to regulation as a drug. The FDA has issued warning letters to cosmetic companies alleging improper drug claims regarding their cosmetic products, including, for example, product claims regarding hair growth or preventing hair loss. In addition to FDA requirements, the FTC as well as state consumer protection laws and regulations can subject a cosmetics company to a range of requirements and theories of liability, including similar standards regarding false and misleading product claims, under which FTC or state enforcement or class-action lawsuits may be brought.</w:t>
      </w:r>
    </w:p>
    <w:p>
      <w:pPr>
        <w:spacing w:after="0" w:line="20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United States, the FDA has not promulgated finalized regulations establishing GMPs (as defined below) for cosmetics. However, Congress enacted MoCRA on December 29, 2022, which directed the FDA to implement a set of new regulatory requirements that previously were not applicable to cosmetic products. Pursuant to MoCRA, the FDA now subjects manufacturers and cosmetic products to requirements such as facility registration and product listing requirements, compliance with certain GMP requirements, adverse event reporting requirements, and other labeling requirements. In addition, the FDA is required to promulgate final regulations implementing GMPs for cosmetics by December 29, 2025. Subsequently, compliance with such GMP requirements will become mandatory for manufacturers of cosmetic products. Until then, the FDA’s existing draft guidance on cosmetic GMPs, most recently updated in June 2013, and other guidance such as the FDA’s Good Manufacturing Practice (“GMP”) Guidelines/Inspection Checklist from February 2022, will continue to provide guidance and recommendations related to process documentation, recordkeeping, building and facility design, and equipment maintenance and personnel. Compliance with these recommendations can reduce the risk that products will be adulterated or misbranded in violation of the FDCA and its regulations.</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GMP requirements, MoCRA brought on additional changes and updates to FDA’s cosmetics regulations. For example, cosmetic manufacturing and processing facilities are now required to be registered with FDA, and any products that are marketed after MoCRA’s effective date need to be listed with FDA. Adulterated or misbranded cosmetic products will be subject to recalls that are mandated by FDA, similar to medical devices. In addition, a responsible person, as defined under FDA regulations, will be required to report any serious adverse events that result from the use of a cosmetic product manufactured, packaged, or distributed by the person, and the records relating to each adverse event report will be required to be kept for six years. Additionally, cosmetic labels now need to identify the responsible person for the purpose of serious adverse event reporting, and cosmetic labels need to identify fragrance allergens.</w:t>
      </w:r>
    </w:p>
    <w:p>
      <w:pPr>
        <w:spacing w:after="0" w:line="2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FDA also recommends that manufacturers maintain product complaint and recall files and voluntarily report adverse events to the agency. The FDA monitors compliance of cosmetic products through market surveillance and inspection of cosmetic manufacturers and distributors to ensure that the products are not manufactured under unsanitary conditions or labeled in a false or misleading manner. Inspections also may arise from consumer or competitor complaints filed with the FDA. In the event the FDA identifies unsanitary conditions, false or misleading labeling, or any other violation of FDA regulation, FDA may request or a manufacturer may independently decide to conduct a recall or market withdrawal of a product or to make changes to its manufacturing processes or product formulations or labels.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Medical Devices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addition to federal regulation of medical devices, individual states regulate various activities related to the medical device industry at large. State regulations can vary widely and include things such as permit or licensure requirements for manufacturing of devices at a facility located within certain states, manufacturing of devices which are sold in certain states, and the distribution of medical devices into or out of various states.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Professionals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regulation of professional scope of practice related to licensed professionals, such as estheticians, is governed by state law. These laws regulate who can use certain products, including medical devices, and whether any specific limitations on use apply. Some states require certain licensed professionals to be under the supervision of another licensed professional in order to administer certain treatments or perform certain procedures. Professionals such as estheticians who utilize our products are subject to state laws that may restrict their scope of practice, and failure to practice within the legally defined scope of practice for their profession can lead to significant penalties including the loss of their professional license. Limitations to a professional’s scope of practice can vary widely from state to state.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Changes and Associated Legal Considerations</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With the start of a new congressional session and a new presidential administration in the United States, it is expected there will be broad changes to the FDA and the commodities that it regulates. While it is impossible to predict exactly what will occur, changes to the laws described in this filing are expected and could be significant. The impact and breadth of these changes is an important unknown and will require careful monitoring.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Regulation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United States regulations, we are subject to a variety of foreign government regulations applicable to medical devices and cosmetic products.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European Union</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European Union, (“EU”), has adopted specific directives and regulations regulating the design, manufacture, clinical investigation, conformity assessment, labeling and adverse event reporting for medical devices.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when our current certificates expire on December 31, 2027.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Medical Devices Directive</w:t>
      </w:r>
    </w:p>
    <w:p>
      <w:pPr>
        <w:spacing w:after="0" w:line="2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18"/>
          <w:szCs w:val="18"/>
          <w:color w:val="auto"/>
        </w:rPr>
        <w:t>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21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Medical Devices Regulation</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medical devices in the EU has now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ensures a high level of safety and health while supporting innovation. Unlike the EU Medical Devices Directive, the EU Medical Devices Regulation is directly applicable in EU member states without the need for member states to implement into national law. This aims at increasing harmonization across the EU.</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 Medical Devices Regulation became effective on May 26, 2021. The new Regulation among other things:</w:t>
      </w:r>
    </w:p>
    <w:p>
      <w:pPr>
        <w:spacing w:after="0" w:line="16" w:lineRule="exact"/>
        <w:rPr>
          <w:sz w:val="20"/>
          <w:szCs w:val="20"/>
          <w:color w:val="auto"/>
        </w:rPr>
      </w:pPr>
    </w:p>
    <w:p>
      <w:pPr>
        <w:ind w:left="660" w:right="500" w:hanging="328"/>
        <w:spacing w:after="0" w:line="23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strengthens the rules on placing devices on the market (e.g. reclassification of certain devices and wider scope than the EU Medical Devices Directive) and reinforces surveillance once they are available;</w:t>
      </w:r>
    </w:p>
    <w:p>
      <w:pPr>
        <w:spacing w:after="0" w:line="1" w:lineRule="exact"/>
        <w:rPr>
          <w:rFonts w:ascii="Times New Roman" w:cs="Times New Roman" w:eastAsia="Times New Roman" w:hAnsi="Times New Roman"/>
          <w:sz w:val="18"/>
          <w:szCs w:val="18"/>
          <w:color w:val="auto"/>
        </w:rPr>
      </w:pPr>
    </w:p>
    <w:p>
      <w:pPr>
        <w:ind w:left="660" w:right="100" w:hanging="328"/>
        <w:spacing w:after="0" w:line="23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explicit provisions on manufacturers’ responsibilities for the follow-up of the quality, performance and safety of devices placed on the market;</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explicit provisions on importers’ and distributors’ obligations and responsibilities;</w:t>
      </w:r>
    </w:p>
    <w:p>
      <w:pPr>
        <w:ind w:left="660" w:right="20" w:hanging="328"/>
        <w:spacing w:after="0" w:line="22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 obligation to identify a responsible person who is ultimately responsible for all aspects of compliance with the requirements of the new regulation;</w:t>
      </w:r>
    </w:p>
    <w:p>
      <w:pPr>
        <w:spacing w:after="0" w:line="1" w:lineRule="exact"/>
        <w:rPr>
          <w:rFonts w:ascii="Times New Roman" w:cs="Times New Roman" w:eastAsia="Times New Roman" w:hAnsi="Times New Roman"/>
          <w:sz w:val="18"/>
          <w:szCs w:val="18"/>
          <w:color w:val="auto"/>
        </w:rPr>
      </w:pPr>
    </w:p>
    <w:p>
      <w:pPr>
        <w:ind w:left="660" w:right="160" w:hanging="328"/>
        <w:spacing w:after="0" w:line="23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2" w:lineRule="exact"/>
        <w:rPr>
          <w:rFonts w:ascii="Times New Roman" w:cs="Times New Roman" w:eastAsia="Times New Roman" w:hAnsi="Times New Roman"/>
          <w:sz w:val="18"/>
          <w:szCs w:val="18"/>
          <w:color w:val="auto"/>
        </w:rPr>
      </w:pPr>
    </w:p>
    <w:p>
      <w:pPr>
        <w:ind w:left="660" w:right="220" w:hanging="328"/>
        <w:spacing w:after="0" w:line="23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up a central database (“Eudamed”) to provide patients, healthcare professionals and the public with comprehensive information on products available in the EU; and</w:t>
      </w:r>
    </w:p>
    <w:p>
      <w:pPr>
        <w:spacing w:after="0" w:line="1" w:lineRule="exact"/>
        <w:rPr>
          <w:rFonts w:ascii="Times New Roman" w:cs="Times New Roman" w:eastAsia="Times New Roman" w:hAnsi="Times New Roman"/>
          <w:sz w:val="18"/>
          <w:szCs w:val="18"/>
          <w:color w:val="auto"/>
        </w:rPr>
      </w:pPr>
    </w:p>
    <w:p>
      <w:pPr>
        <w:ind w:left="660" w:right="220" w:hanging="328"/>
        <w:spacing w:after="0" w:line="24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strengthens rules for the assessment of certain high-risk devices, such as implants, which may have to undergo a clinical evaluation consultation procedure by experts before they are placed on the market.</w:t>
      </w:r>
    </w:p>
    <w:p>
      <w:pPr>
        <w:spacing w:after="0" w:line="22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Devices lawfully placed on the market pursuant to the EU Medical Devices Directive prior to May 26, 2021 may generally continue to be made available on the market or put into service until May 26, 2024 under transitional provisions with a further ‘sell-off’ deadline by May 26, 2025,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in particular the obligations described below. The European Commission further extended the transitional provisions of the EU Medical Devices Regulation through Regulation (EU) 2023/607 on March 15, 2023, whereby manufacturers and notified bodies are given more time to carry out, in accordance with the EU Medical Devices Regulation, the conformity assessment of devices covered by a certificate or declaration of conformity issued in accordance with the EU Medical Devices Directive. Moreover, the “sell-off” deadline in the EU Medical Devices Regulation is deleted which aims to prevent unnecessary disposal of safe devices. The transition period of devices is extended through to December 31, 2027 or December 31, 2028 depending on the device risk classification and certain other conditions being satisfied.</w:t>
      </w:r>
    </w:p>
    <w:p>
      <w:pPr>
        <w:spacing w:after="0" w:line="2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t>the devices. Manufacturers are also notably responsible for entering the necessary data on Eudamed, which includes the UDI database, and for keeping it up to date. The obligations for registration in Eudamed will become applicable at a later date (as Eudamed is not yet fully functional). Some of the modules within Eudamed (e.g. registration; UDI) have been already available to economic operators for voluntary use. On June 13, 2024, the EU adopted Regulation 2024/1860 which provides for a gradual roll out of the different modules within Eudamed. Rather than waiting until Eudamed as a whole is fully functional, the legislative amendment aims to speed up the mandatory use of individual modules of Eudamed that are confirmed functional. Until a certain module is functional and thus mandatory under Eudamed,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the relevant module is functional – and aim to ensure that, in addition to reporting to the relevant authorities of the EU member states, other actors such as the economic operators in the supply chain will also be informed. Until the module in Eudamed is functional, the corresponding provisions of the EU Medical Devices Directive continue to apply. A serious incident is defined as any malfunction or deterioration in the characteristics or performance of a device made available on the market, including user-error due to ergonomic features, as well as any inadequacy in the information supplied by the manufacturer and any undesirable side-effect, which, directly or indirectly, might have led or might lead to the death of a patient or user or of other persons or to a temporary or permanent serious deterioration of a patient's, user's or other person's state of health or a serious public health threat.</w:t>
      </w:r>
    </w:p>
    <w:p>
      <w:pPr>
        <w:spacing w:after="0" w:line="2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an FSCA implemented or where the incidents are common and well documented, manufacturers may provide periodic summary reports instead of individual serious incident reports.</w:t>
      </w:r>
    </w:p>
    <w:p>
      <w:pPr>
        <w:spacing w:after="0" w:line="214"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The advertising and promotion of medical devices is subject to some general principles set forth in EU legislation as well as in national legislation of the EU member states and industry codes of conduct. According to the EU Medical Devices Regulation, only devices that are CE-marked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21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which consists of the 27 EU member states plus Norway, Liechtenstein and Iceland.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 (“UK”) Regulation of Medical Devices following Brexit</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(“MHRA”), has become the sovereign regulatory authority responsible for Great Britain (i.e. England, Wales and Scotland) medical device market according to the requirements provided in the UK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Brexit (as defined below) transitional period on January 1, 2021, new regulations require medical devices to be registered with the MHRA (but manufacturers were given a grace period of four to 12 months to comply with the new registration process) before being placed on Great Britain market. The MHRA only registers devices where the manufacturer or its authorized person or third party company acting on its behalf (the “UK Responsible Person”) has a registered place of business in the UK. Manufacturers based outside the UK need to appoint a UK Responsible Person that has a registered place of business in the UK to register devices with the MHRA in line with the grace periods. All medical devices require in principle a UK Conformity Assessed (“UKCA”) mark but manufacturers can continue to place CE marked medical devices on the UK market during a transitional period. This transitional period was extended through newly introduced legislation effective June 30, 2023, to take account of the new transitional measures taken under the EU Medical Devices Regulation. While CE marking continues to be recognized on the UK market, UKCA marking is not recognized in the EU. The rules for placing medical devices on the market in Northern Ireland, which is part of the UK, differ from those in the rest of the UK. Compliance with this legislation is a prerequisite to be able to affix the UKCA mark to our products, without which they cannot be sold or marketed in Great Britain.</w:t>
      </w:r>
    </w:p>
    <w:p>
      <w:pPr>
        <w:spacing w:after="0" w:line="22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An MHRA public consultation was opened until end of November 2021 on the post-Brexit regulatory framework for medical devices and diagnostics. In June 2022, the UK government published its response to the consultation regarding the new UK medical device regulatory framework which seeks to amend the UK Medical Devices Regulations 2002 (which are based on EU legislation, primarily the EU Medical Devices Directive, the EU AIMD and the EU In Vitro Diagnostic Medical Devices Directive 98/79/EC), in particular to create a new access pathways to support innovation, create an innovative framework for regulating software and artificial intelligence as medical devices, reform in vitro diagnostic medical devices regulation, and foster sustainability through the reuse and remanufacture of medical devices. The core elements of the new regime regarding pre-market requirements are expected to come into force in 2026, subject to appropriate transitional arrangements. The consultation indicated that the MHRA will publish guidance in relation to the changes to the regulatory framework and may rely more heavily on guidance to add flexibility to the regime. A subsequent consultation on the new pre-market regime was opened on November 14, 2024. By way of Statutory Instruments 2024 No. 1368, the UK introduced amendments to the UK Medical Device Regulations 2002 regarding post-market surveillance. These amendments will come into effect on June 16, 2025.</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Trade and Cooperation Agreement between the UK and the EU that went into effect in 2021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Regulation of Cosmetic Products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EU, the sale of cosmetic products is regulated under the EU Cosmetics Regulation (EC) No 1223/2009, (the “EU Cosmetics Regulation”) setting out the general regulatory framework for finished cosmetic products and their ingredients. The EU Cosmetics Regulation is directly applicable in, and binding on all EU member states and is enforced at the national member state level. Over the years, the EU cosmetics legal regime has been adopted by many countries around the world.</w:t>
      </w:r>
    </w:p>
    <w:p>
      <w:pPr>
        <w:spacing w:after="0" w:line="20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Under the EU Cosmetics Regulation, a product is considered to be a cosmetic if it is presented as protecting the skin, maintaining the skin in good condition or improving the appearance of the skin, provided that it is not a medicinal product due to its composition or intended use. By contrast, a substance or mixture intended to be ingested, inhaled, injected or implanted into the human body shall not be considered a cosmetic product, nor shall a product (i) the composition of which is such that it has a significant action on the body through a pharmacological, immunological or metabolic action; or</w:t>
      </w:r>
    </w:p>
    <w:p>
      <w:pPr>
        <w:spacing w:after="0" w:line="3" w:lineRule="exact"/>
        <w:rPr>
          <w:sz w:val="20"/>
          <w:szCs w:val="20"/>
          <w:color w:val="auto"/>
        </w:rPr>
      </w:pPr>
    </w:p>
    <w:p>
      <w:pPr>
        <w:jc w:val="both"/>
        <w:ind w:right="180" w:firstLine="8"/>
        <w:spacing w:after="0" w:line="277" w:lineRule="auto"/>
        <w:tabs>
          <w:tab w:leader="none" w:pos="26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which medical claims are made. Legally, such a product is considered a medicinal product, not a cosmetic, in the EU. No test has been determined yet to determine the significance of the effect. A product may fall within the definition of both a cosmetic product and a medicinal product in which case the non-cumulation principle provides that the product will be regulated as a medicinal product (under the Medicinal Products Directive 2001/83/EC).</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ind w:right="100"/>
        <w:spacing w:after="0" w:line="274" w:lineRule="auto"/>
        <w:rPr>
          <w:sz w:val="20"/>
          <w:szCs w:val="20"/>
          <w:color w:val="auto"/>
        </w:rPr>
      </w:pPr>
      <w:r>
        <w:rPr>
          <w:rFonts w:ascii="Times New Roman" w:cs="Times New Roman" w:eastAsia="Times New Roman" w:hAnsi="Times New Roman"/>
          <w:sz w:val="17"/>
          <w:szCs w:val="17"/>
          <w:color w:val="auto"/>
        </w:rPr>
        <w:t>Generally, there is no requirement for pre-market approval of cosmetic products in the EU. The overarching requirement is that a cosmetic product made available on the EU market must be safe for human health when used under normal or reasonably foreseeable conditions of use. However, centralized notification of all cosmetic products placed on the EU market is required via the EU cosmetic products notification portal (“CPNP”). The company that is ‘responsible’ for placing a cosmetic product on the EU market (which could be the manufacturer, importer or a third person appointed by the former), referred to as the “responsible person”, is responsible for safety of their marketed finished cosmetic products (and each of its ingredients), and must ensure that they undergo an appropriate scientific safety assessment before cosmetic products are sold. Obligations of the responsible person further include:</w:t>
      </w:r>
    </w:p>
    <w:p>
      <w:pPr>
        <w:spacing w:after="0" w:line="20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cosmetic products in compliance with GMPs.</w:t>
      </w:r>
    </w:p>
    <w:p>
      <w:pPr>
        <w:spacing w:after="0" w:line="27"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keeping a product information file (“PIF”), for each cosmetic product, including test results that demonstrate the claimed effects for the cosmetic product, and the cosmetic product safety report.</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Registering and submitting information on every product through the CPNP.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Regulation (EU) No. 655/2013 which lists common criteria for the justification of claims used in relation to cosmetic products.</w:t>
      </w:r>
    </w:p>
    <w:p>
      <w:pPr>
        <w:spacing w:after="0" w:line="9" w:lineRule="exact"/>
        <w:rPr>
          <w:rFonts w:ascii="Times New Roman" w:cs="Times New Roman" w:eastAsia="Times New Roman" w:hAnsi="Times New Roman"/>
          <w:sz w:val="18"/>
          <w:szCs w:val="18"/>
          <w:color w:val="auto"/>
        </w:rPr>
      </w:pPr>
    </w:p>
    <w:p>
      <w:pPr>
        <w:ind w:left="660" w:righ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serious undesirable effects attributable to cosmetics use to national competent authorities and taking corrective measures where required.</w:t>
      </w:r>
    </w:p>
    <w:p>
      <w:pPr>
        <w:spacing w:after="0" w:line="2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Some ingredients used in cosmetic products must undergo rigorous evaluation, including safety assessments and quality testing to make sure that they are safe for use, for example preservatives, and can also be subject to additional procedures such as an authorization by the European Commission and/or prior notification on a separate module of the CPNP, for example nanomaterials. Additionally, the EU Cosmetics Regulation includes a list of ingredients that are prohibited and a list of ingredients that are restricted in cosmetic products. A special database with information on cosmetic substances and ingredients, known as CosIng, enables easy access to data on cosmetic ingredients, including legal requirements and restrictions. We rely on expert consultants for our EU product registrations and review of our labeling for compliance with the EU Cosmetics Regulation.</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EU Cosmetics Regulation requires the manufacture of cosmetic products to comply with GMPs, which is presumed where the manufacture is in accordance with the relevant harmonized standards. In addition, in the labelling, making available on the market and advertising of cosmetic products, text, names, trademarks, pictures and figurative or other signs must not be used to imply that these products have characteristics or functions they do not have; any product claims in labeling must be capable of being substantiated and comply with the aforementioned list of common criteria.</w:t>
      </w:r>
    </w:p>
    <w:p>
      <w:pPr>
        <w:spacing w:after="0" w:line="207"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Moreover, in the EU, animal testing is prohibited for finished cosmetic products and their ingredients. Marketing finished cosmetic products and ingredients in the EU which were tested on animals is equally prohibited.</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Each member state appoints a competent authority to enforce the EU Cosmetics Regulation in its territory and to cooperate with the other member state authorities and the European Commission. The European Commission is responsible for driving consistency in the way the Cosmetics Regulation is enforced across the EU.</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Regulation of Cosmetic Products following Brexit</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UK formally left the EU on January 31, 2020, commonly referred to as “Brexit”. Following the end of a transition period, since January 1, 2021, the UK operates under a distinct regulatory regime, and the aforementioned EU laws now only apply to the UK in respect of Northern Ireland (as laid out in the Protocol on Ireland and Northern Ireland).</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consequence, from January 1, 2021, Schedule 34 of the Product Safety and Metrology etc. (Amendment etc.) (EU Exit) Regulations 2019 (the “UK Cosmetics Regulation”), applies to cosmetic products placed on the market in Great Britain, which includes England, Scotland and Wales. Cosmetic products placed on the market in Northern Ireland are still covered by the EU Cosmetics Regulation. However, to date, there are no significant differences between the frameworks of the UK Cosmetics Regulation and the EU Cosmetics Regulation. The main difference currently is that the UK Government has established a cosmetic product notification service to replace the EU’s CPNP in Great Britain, and that serious undesirable effects (“SUEs”) now should be notified on the new UK SUE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believe we are compliant in all material respects with applicable environmental laws. Presently, we do not anticipate such compliance will have a material effect on capital expenditures, earnings, or our competitive position with respect to any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Information technology supports all aspects of our business, including our products, product development, marketing, sales, order processing, production, distribution, and finance. We continue to maintain and enhance our information technology systems in alignment with our long-term strategy. An increasing portion of our global information technology infrastructure is cloud-based. This allows for a more scalable platform to support current and future requirements and improves our agility and flexibility to respond to the demands of our business by leveraging more advanced technologies.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recognize that technology presents opportunities for competitive advantage, and we continue to invest in new capabilities and the use of emerging technologies across various aspects of our business. During year ended December 31, 2024, we continued to invest in hardware, software, education and support structures to create engaging and collaborative work environments across our facilities, in both virtual and hybrid settings. We also continued to invest in new marketing and provider and consumer engagement capabilities globally with a focus on innovative digital experiences across our omnichannel landscape. Our strategy over the next few years includes continuing to build a strong and secure technology infrastructure to adapt to evolving business dynamics, which includes the expansion of our omnichannel capabilities, upgrading our existing hardware and software to be more streamlined, and the utilization of data-driven analytics to optimize our supply and demand planning.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operate in a complex global environment where numerous federal, state, and international laws, regulations, and standards govern the collection, use, disclosure, confidentiality, and security of health-related and other personal information. Our obligations apply to our own operations as well as to those of our partners, and these requirements continue to evolve. In addition, emerging technologies such as AI have sparked additional legislation to address potential risks and challenges of such technologies’ use of personal information.</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United States, various federal and state laws—including data breach notification laws, health information privacy and security laws, and consumer protection statutes—impose obligations on how we manage and protect both health-related and other personal information. Many of these regulations carry penalties that can be levied on a “per violation” basis and, in some instances, grant individuals the right to bring private claims.</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Internationally, laws such as the EU General Data Protection Regulation (“GDPR”) and the United Kingdom (“UK”) GDPR impose strict requirements on entities handling personal data of individuals in the European Economic Area and the UK. Noncompliance can result in substantial fines of up to the greater of €20 million (or £17.5 million) or 4% of annual global revenue.</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Additionally, new state laws governing the privacy of consumer health data, including information concerning individual health conditions and treatment, may apply to our business. For example, Washington’s My Health My Data Act (“MHMD”) broadly defines consumer health data, places restrictions on processing consumer health data, provides consumers certain rights with respect to their health data, and creates a private right of action to allow individuals to sue for violations of the law. Other states, like Connecticut and Nevada, have also enacted health data privacy laws or amended existing privacy laws to protect consumer health data.</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is growing legislative and regulatory activity in the U.S. and abroad related to AI, such as the European Union’s Artificial Intelligence Act, the U.S. executive order to establish AI safety and security standards, and Colorado’s act concerning consumer protections in interactions with AI systems. We continue to closely monitor these emerging legislative and regulatory activity, which may add further obligations or restrictions on how AI technologies are developed and utilized. For instance, these laws and regulations may require businesses to regularly review and revise business operations, information technology systems, and data handling practices, and to implement enhancements and adaptations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ind w:right="200"/>
        <w:spacing w:after="0" w:line="266" w:lineRule="auto"/>
        <w:rPr>
          <w:sz w:val="20"/>
          <w:szCs w:val="20"/>
          <w:color w:val="auto"/>
        </w:rPr>
      </w:pPr>
      <w:r>
        <w:rPr>
          <w:rFonts w:ascii="Times New Roman" w:cs="Times New Roman" w:eastAsia="Times New Roman" w:hAnsi="Times New Roman"/>
          <w:sz w:val="18"/>
          <w:szCs w:val="18"/>
          <w:color w:val="auto"/>
        </w:rPr>
        <w:t>To address this dynamic landscape, we have appointed a dedicated Data Privacy Officer responsible for overseeing our compliance with data protection laws and emerging AI regulations. This role helps ensure that our policies, procedures, and practices keep pace with regulatory changes and industry best practices.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Commitment to Compliance and Responsible Data Use</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recognize that personal information, particularly health-related data, is central to delivering our products and meeting our customers’ expectations. Accordingly, we are committed to processing personal information in compliance with applicable laws and regulations, while also addressing new legal and ethical considerations surrounding artificial intelligence.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Data Privacy Officer works closely with cross-functional teams to:</w:t>
      </w:r>
    </w:p>
    <w:p>
      <w:pPr>
        <w:spacing w:after="0" w:line="252"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Update Policies: We review and refine our brands’ data privacy, security, and AI-related policies to align with shifting regulatory standards on an as-needed basis, and no less than on an annual basis.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Security Measures: We employ security protocols to protect personal and business-critical data from unauthorized access, disclosure, or misuse.</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Ongoing Training: Our employees receive regular training to ensure awareness of and adherence to data protection obligations and ethical AI practices.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Ongoing Enhancements and Strategic Alignment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view data privacy and AI governance as an integral part of our long-term strategy. In line with this commitment, we continue to invest in:</w:t>
      </w:r>
    </w:p>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Infrastructure: Upgrading systems and processes to address both current and anticipated regulatory requirements.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Monitoring: Tracking developments in data privacy, security, and AI regulations worldwide to adjust our internal controls accordingly.</w:t>
      </w: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with Regulators and Industry Peers: Engaging in industry discussions and thought leadership to help shape responsible data and AI practices.</w:t>
      </w:r>
    </w:p>
    <w:p>
      <w:pPr>
        <w:spacing w:after="0" w:line="20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By refining our framework for data protection and AI compliance, we seek to mitigate the risks of regulatory actions, investigations, or legal claims. We believe these efforts help strengthen the trust we share with our customers, partners, and other stakeholders, and are critical to our continued success and growth.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Government Regulations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operations are substantially in compliance with all applicable laws and regulations and that we hold all necessary permits to operate our business in each jurisdiction in which our facilities are located. Laws and government regulations are subject to change and interpretation.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 significant pollution or other types of hazardous emission result from our operations and it is not anticipated that our operations will be materially affected by federal, state or local provisions concerning environmental controls. Our costs of complying with environmental, health and safety requirements have not been material. Furthermore, compliance with these laws, rules, and regulations have not had, and are not expected to have, a material effect on our capital expenditures, results of operations, and competitive position as compared to prior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Matters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committed to maintaining a strong sense of good corporate citizenship that places a high value on the welfare of our employees, the communities in which we operate, and the world as a whole. Highlights of each of these values are set forth below. These values are reflective of our commitment to Environmental, Social, and Governance (“ESG”) matters and are fundamentally embedded in our operations and culture. We believe effectively prioritizing and managing our ESG topics will create long-term value for our stakeholders, including our providers, consumers, suppliers, and partners, which in turn will create long-term value for our stockholders. We also believe that transparently disclosing the goals and relevant metrics related to our ESG topics will allow our stakeholders to be informed about our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Social</w:t>
      </w: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Data Privacy and Security</w:t>
      </w:r>
    </w:p>
    <w:p>
      <w:pPr>
        <w:spacing w:after="0" w:line="2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recognize that protecting personal data and ensuring data privacy measures are integral to both our social responsibility and our long-term success. To that end, we have implemented policies and procedures designed to uphold consumer privacy and safeguard the data we collect. Our brands’ websites include an accessible privacy policy that explains:</w:t>
      </w:r>
    </w:p>
    <w:p>
      <w:pPr>
        <w:spacing w:after="0" w:line="13" w:lineRule="exact"/>
        <w:rPr>
          <w:sz w:val="20"/>
          <w:szCs w:val="20"/>
          <w:color w:val="auto"/>
        </w:rPr>
      </w:pPr>
    </w:p>
    <w:p>
      <w:pPr>
        <w:ind w:left="660" w:hanging="328"/>
        <w:spacing w:after="0" w:line="227"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Data Collection and Usage: How each brand obtains, processes, and uses personal information in the course of delivering our products and services.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Data Disclosure: The limited circumstances under which each brand shares information with third parties.</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Data Subject Rights: How individuals can opt out, access, update, or delete their information, enhancing transparency and consumer control.</w:t>
      </w:r>
    </w:p>
    <w:p>
      <w:pPr>
        <w:spacing w:after="0" w:line="2" w:lineRule="exact"/>
        <w:rPr>
          <w:sz w:val="20"/>
          <w:szCs w:val="20"/>
          <w:color w:val="auto"/>
        </w:rPr>
      </w:pPr>
    </w:p>
    <w:p>
      <w:pPr>
        <w:ind w:right="440"/>
        <w:spacing w:after="0" w:line="254" w:lineRule="auto"/>
        <w:rPr>
          <w:sz w:val="20"/>
          <w:szCs w:val="20"/>
          <w:color w:val="auto"/>
        </w:rPr>
      </w:pPr>
      <w:r>
        <w:rPr>
          <w:rFonts w:ascii="Times New Roman" w:cs="Times New Roman" w:eastAsia="Times New Roman" w:hAnsi="Times New Roman"/>
          <w:sz w:val="18"/>
          <w:szCs w:val="18"/>
          <w:color w:val="auto"/>
        </w:rPr>
        <w:t>In recognition of the importance of data protection, including cybersecurity, we have implemented measures intended to safeguard the security, confidentiality, and privacy of our systems and information assets. These measures encompass both organizational and technical controls, and include ongoing training programs to ensure that all employees understand their roles and responsibilities regarding data protection.</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By striving to maintain high standards of data privacy and security, we aim to not only fulfill our regulatory obligations, but to also uphold our commitment to social responsibility. We believe this approach helps reinforce trust in our brand and aligns with our broader goal of contributing positively to the communities we serve.</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Human Rights</w:t>
      </w:r>
    </w:p>
    <w:p>
      <w:pPr>
        <w:spacing w:after="0" w:line="25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endorse and respect the goals and principles of the United Nations (“UN”) Universal Declaration of Human Rights and the International Labor Organization Declaration on Fundamental Principles and Rights at Work.</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This includes everyone’s right to life and liberty, the protection of law, and freedom from slavery and torture – within our operations and business relationships. We also seek to apply relevant sections of the UN Guiding Principles on Business and Human Rights.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government authorities have the primary responsibility for protecting human rights, we believe we have a duty to respect the human, cultural, and legal rights of individuals and communities, and to avoid adverse human rights impacts through our own activities. This responsibility includes the fair treatment and meaningful involvement of all people, regardless of race, ethnicity, color, gender, gender identity, national origin, religion, sexual orientation or income level. In addition, we adhere to and comply with all local and national regulations in our operating areas and aim to respect the rights of all people within our spheres of influence.</w:t>
      </w:r>
    </w:p>
    <w:p>
      <w:pPr>
        <w:spacing w:after="0" w:line="21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commitment to many of these rights is articulated in our Code of Business Conduct and Ethics and other company policies. Our Code of Business Conduct and Ethics and related policies prohibit workplace harassment, violence or discrimination. These policies apply to our employee recruitment, training, development, compensation, performance management and benefits at the Company.</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also identify and proactively engage with stakeholders within or adjacent to our operations regarding potential risks, including human rights risks, and our response plans. Additionally, we are committed to ensuring that slavery, human trafficking, and other human rights violations do not exist in our supply chain or in any part of our business.</w:t>
      </w:r>
    </w:p>
    <w:p>
      <w:pPr>
        <w:spacing w:after="0" w:line="1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participate in a recycling program through our local waste management facility to divert all recyclable materials – bottles, cans, plastics, paper, and cardboard – from landfills. Our facilities provide for recycling, and our electronic waste is sent to locally approved e-waste recycling centers.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7" w:name="page28"/>
    <w:bookmarkEnd w:id="27"/>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Business Ethics</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placed the highest emphasis on conducting our business with honesty and integrity. The highest ethical standards are expected of management and employees alike, and we continuously strive to create a corporate culture of honesty, integrity, and trust. Throughout our operations and in our dealings with our stakeholders, we endeavor to engender the confidence that our conduct is beyond reproach.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policies we have developed are intended to:</w:t>
      </w:r>
    </w:p>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guidance in understanding our policies, interpreting laws, and handling company-related issues and situations;</w:t>
      </w:r>
    </w:p>
    <w:p>
      <w:pPr>
        <w:spacing w:after="0" w:line="63"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clear, ethical behaviors and conduct to create an atmosphere of respect, trust, cooperation, and collaboration throughout the Company and our activities; and</w:t>
      </w:r>
    </w:p>
    <w:p>
      <w:pPr>
        <w:spacing w:after="0" w:line="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clear and well-defined procedures by which our employees can easily obtain information, ask questions, and, if necessary, report any suspected violations of any of our business ethics policies.</w:t>
      </w:r>
    </w:p>
    <w:p>
      <w:pPr>
        <w:spacing w:after="0" w:line="24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to abiding by all applicable laws, all management and employees are required to comply fully with our Code of Business Conduct and Ethics which sets forth the Company’s values, business culture, and practices.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A copy of our Code of Business Conduct and Ethics may be found on our website: </w:t>
      </w:r>
      <w:r>
        <w:rPr>
          <w:rFonts w:ascii="Times New Roman" w:cs="Times New Roman" w:eastAsia="Times New Roman" w:hAnsi="Times New Roman"/>
          <w:sz w:val="18"/>
          <w:szCs w:val="18"/>
          <w:color w:val="0000FF"/>
        </w:rPr>
        <w:t>www.beautyhealth.com</w:t>
      </w:r>
      <w:r>
        <w:rPr>
          <w:rFonts w:ascii="Times New Roman" w:cs="Times New Roman" w:eastAsia="Times New Roman" w:hAnsi="Times New Roman"/>
          <w:sz w:val="18"/>
          <w:szCs w:val="18"/>
          <w:color w:val="auto"/>
        </w:rPr>
        <w:t xml:space="preserve"> under the heading “Governance”, and then “Documents &amp; Charters”.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Corporate Governance</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committed to ensuring strong corporate governance practices on behalf of our stockholders and other stakeholders. We believe strong corporate governance provides the foundation for financial integrity and stockholder confidence. Our Board of Directors is responsible for the oversight of risks facing the Company, and our management is responsible for the day-to-day management of risk. Our Board of Directors, as a whole, oversees our strategic and business risk, including risks related to financial reporting, compensation practices, ESG, and product developments.</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More information about our corporate governance features (including information about our Audit Committee, Compensation Committee, and Nominating and Corporate Governance Committee) can be found in our annual proxy statement.</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In addition, the charters for our Audit Committee, Compensation Committee, and Nominating and Corporate Governance Committee may be found on our website: </w:t>
      </w:r>
      <w:r>
        <w:rPr>
          <w:rFonts w:ascii="Times New Roman" w:cs="Times New Roman" w:eastAsia="Times New Roman" w:hAnsi="Times New Roman"/>
          <w:sz w:val="18"/>
          <w:szCs w:val="18"/>
          <w:color w:val="0000FF"/>
        </w:rPr>
        <w:t>www.beautyhealth.com</w:t>
      </w:r>
      <w:r>
        <w:rPr>
          <w:rFonts w:ascii="Times New Roman" w:cs="Times New Roman" w:eastAsia="Times New Roman" w:hAnsi="Times New Roman"/>
          <w:sz w:val="18"/>
          <w:szCs w:val="18"/>
          <w:color w:val="auto"/>
        </w:rPr>
        <w:t xml:space="preserve"> under the heading “Governance”, and then “Documents &amp; Charters”.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built a team of industry professionals focused on beauty health. As of December 31, 2024, we employed 769 employees, of whom approximately 84% were salaried, with the remainder being compensated on an hourly basis. Set forth below is the geographic makeup of our workforce: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8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Number of Employees</w:t>
            </w:r>
          </w:p>
        </w:tc>
        <w:tc>
          <w:tcPr>
            <w:tcW w:w="2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of Total Workforce</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64"/>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United States of America </w:t>
            </w:r>
            <w:r>
              <w:rPr>
                <w:rFonts w:ascii="Times New Roman" w:cs="Times New Roman" w:eastAsia="Times New Roman" w:hAnsi="Times New Roman"/>
                <w:sz w:val="23"/>
                <w:szCs w:val="23"/>
                <w:color w:val="auto"/>
                <w:vertAlign w:val="superscript"/>
              </w:rPr>
              <w:t>(1)</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22"/>
                <w:szCs w:val="22"/>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Asia-Pacific (“APAC”)</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8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2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 &amp; Latin America</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43"/>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769</w:t>
            </w:r>
          </w:p>
        </w:tc>
        <w:tc>
          <w:tcPr>
            <w:tcW w:w="80" w:type="dxa"/>
            <w:vAlign w:val="bottom"/>
            <w:shd w:val="clear" w:color="auto" w:fill="CCEEFF"/>
          </w:tcPr>
          <w:p>
            <w:pPr>
              <w:spacing w:after="0"/>
              <w:rPr>
                <w:sz w:val="21"/>
                <w:szCs w:val="21"/>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ind w:left="240" w:hanging="232"/>
        <w:spacing w:after="0" w:line="222" w:lineRule="auto"/>
        <w:tabs>
          <w:tab w:leader="none" w:pos="24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2024, 219 of these employees were based in our Long Beach, California headquarters.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8" w:name="page29"/>
    <w:bookmarkEnd w:id="28"/>
    <w:p>
      <w:pPr>
        <w:ind w:right="120"/>
        <w:spacing w:after="0" w:line="282" w:lineRule="auto"/>
        <w:rPr>
          <w:sz w:val="20"/>
          <w:szCs w:val="20"/>
          <w:color w:val="auto"/>
        </w:rPr>
      </w:pPr>
      <w:r>
        <w:rPr>
          <w:rFonts w:ascii="Times New Roman" w:cs="Times New Roman" w:eastAsia="Times New Roman" w:hAnsi="Times New Roman"/>
          <w:sz w:val="18"/>
          <w:szCs w:val="18"/>
          <w:color w:val="auto"/>
        </w:rPr>
        <w:t>None of our employees are represented by a labor organization or are a party to any collective bargaining arrangement. We believe we have good relations with our employees based on the results of an internal survey we conducted during the fourth quarter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Attraction and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Hiring, retaining, and developing the best talent globally is key to our success in sustaining long-term growth.</w:t>
      </w:r>
    </w:p>
    <w:p>
      <w:pPr>
        <w:spacing w:after="0" w:line="2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employ targeted marketing practices through our careers website, which personalizes a user’s experience based on jobseeker location and searching behavior. Jobseekers can also apply for roles from anywhere using any device.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talent strategy is focused on employee engagement and investments in career development, as well as measuring, recognizing, and rewarding performance. Our investments include providing programs to ensure our employees are equipped with the right skillsets and knowledge, as well as providing opportunities to transfer to other functions or regions through short-term and long-term assignments. For instance, we provide our employees with a 3-5 day training program that informs and educates our employees about our business model, marketing strategies, and other related topics about our business operations. We believe these programs and opportunities create a pipeline of talent and leadership among our employees, while fostering a sense of shared ownership necessary to drive and deliver on our long-term strategy.</w:t>
      </w:r>
    </w:p>
    <w:p>
      <w:pPr>
        <w:spacing w:after="0" w:line="214" w:lineRule="exact"/>
        <w:rPr>
          <w:sz w:val="20"/>
          <w:szCs w:val="20"/>
          <w:color w:val="auto"/>
        </w:rPr>
      </w:pPr>
    </w:p>
    <w:p>
      <w:pPr>
        <w:jc w:val="both"/>
        <w:ind w:right="540"/>
        <w:spacing w:after="0" w:line="261" w:lineRule="auto"/>
        <w:rPr>
          <w:sz w:val="20"/>
          <w:szCs w:val="20"/>
          <w:color w:val="auto"/>
        </w:rPr>
      </w:pPr>
      <w:r>
        <w:rPr>
          <w:rFonts w:ascii="Times New Roman" w:cs="Times New Roman" w:eastAsia="Times New Roman" w:hAnsi="Times New Roman"/>
          <w:sz w:val="18"/>
          <w:szCs w:val="18"/>
          <w:color w:val="auto"/>
        </w:rPr>
        <w:t>To enhance our culture and measure our human capital objectives, we regularly engage with our employees. We provide several mechanisms for our employees to provide their feedback, including direct discussions with managers, employee surveys, interactive town hall meetings, and team offsite meetings. Based on our review of employee feedback, we develop action plans and implement them to enhance employee satisfaction and to ensure alignment with our overall human capital strategy.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Practices and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an equal opportunity employer committed to inclusion and diversity and to providing a workplace free of harassment and discrimination.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2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beauty health company, we believe that it is important for our workforce to reflect the diversity of our consumers and be representative of the society in which we live. We firmly believe an inclusive work environment is essential for a successful and thriving business and enables us to better understand our consumers, drive innovation, and stimulate creativity. We recognize the importance of all types of diversity at leadership levels and throughout our organization.</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objective in creating an environment of inclusion is to enhance our ability to attract and retain the best talent globally and promote a sense of belonging. We continuously encourage a culture of fairness, equal access to opportunities, including positions of leadership, and transparency in employment matters. We have enhanced our strategy in many areas including hiring, employee engagement, development, and talent management to further support diversity and inclusion across our organization. For instance, we have identified several priorities designed to guide our efforts in this matter such as increasing diverse representation throughout our organization, creating an environment where every employee feels included and valued for who they are, and promoting equal opportunity in recruitment, hiring, training, development, and advancement across our organization.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 breakdown of our workforce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Employee Population</w:t>
            </w: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Race/Ethnicity</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7"/>
        </w:trPr>
        <w:tc>
          <w:tcPr>
            <w:tcW w:w="3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 xml:space="preserve">% Minority </w:t>
            </w:r>
            <w:r>
              <w:rPr>
                <w:rFonts w:ascii="Times New Roman" w:cs="Times New Roman" w:eastAsia="Times New Roman" w:hAnsi="Times New Roman"/>
                <w:sz w:val="9"/>
                <w:szCs w:val="9"/>
                <w:color w:val="auto"/>
                <w:w w:val="99"/>
              </w:rPr>
              <w:t>(1)</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 White</w:t>
            </w:r>
          </w:p>
        </w:tc>
        <w:tc>
          <w:tcPr>
            <w:tcW w:w="13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 Female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Male</w:t>
            </w:r>
          </w:p>
        </w:tc>
      </w:tr>
      <w:tr>
        <w:trPr>
          <w:trHeight w:val="27"/>
        </w:trPr>
        <w:tc>
          <w:tcPr>
            <w:tcW w:w="3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Workforce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68%</w:t>
            </w:r>
          </w:p>
        </w:tc>
        <w:tc>
          <w:tcPr>
            <w:tcW w:w="2220" w:type="dxa"/>
            <w:vAlign w:val="bottom"/>
            <w:tcBorders>
              <w:bottom w:val="single" w:sz="8" w:color="CCEEFF"/>
            </w:tcBorders>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32%</w:t>
            </w:r>
          </w:p>
        </w:tc>
      </w:tr>
      <w:tr>
        <w:trPr>
          <w:trHeight w:val="24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Managers &amp; Above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67%</w:t>
            </w:r>
          </w:p>
        </w:tc>
        <w:tc>
          <w:tcPr>
            <w:tcW w:w="22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6"/>
              </w:rPr>
              <w:t>33%</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Officers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29%</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57%</w:t>
            </w:r>
          </w:p>
        </w:tc>
        <w:tc>
          <w:tcPr>
            <w:tcW w:w="222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43%</w:t>
            </w:r>
          </w:p>
        </w:tc>
      </w:tr>
      <w:tr>
        <w:trPr>
          <w:trHeight w:val="27"/>
        </w:trPr>
        <w:tc>
          <w:tcPr>
            <w:tcW w:w="3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340" w:right="560" w:hanging="332"/>
        <w:spacing w:after="0" w:line="217" w:lineRule="auto"/>
        <w:tabs>
          <w:tab w:leader="none" w:pos="341"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the United States, 51% of employees identified as Black or African American, Hispanic or Latino, American Indian, Alaska Native, Asian American, Native Hawaiian, or other Pacific Islander.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54" w:lineRule="exact"/>
        <w:rPr>
          <w:sz w:val="20"/>
          <w:szCs w:val="20"/>
          <w:color w:val="auto"/>
        </w:rPr>
      </w:pPr>
    </w:p>
    <w:p>
      <w:pPr>
        <w:ind w:right="920"/>
        <w:spacing w:after="0" w:line="261" w:lineRule="auto"/>
        <w:rPr>
          <w:sz w:val="20"/>
          <w:szCs w:val="20"/>
          <w:color w:val="auto"/>
        </w:rPr>
      </w:pPr>
      <w:r>
        <w:rPr>
          <w:rFonts w:ascii="Times New Roman" w:cs="Times New Roman" w:eastAsia="Times New Roman" w:hAnsi="Times New Roman"/>
          <w:sz w:val="18"/>
          <w:szCs w:val="18"/>
          <w:color w:val="auto"/>
        </w:rPr>
        <w:t>Consistent with our core values, our “Total Rewards” programs take care of our employees by offering competitive compensation and flexible, comprehensive benefits programs designed to attract, motivate, and retain world-class talent.</w:t>
      </w: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We continuously review and ensure our compensation packages are competitive across all markets in which we operate. For instance, in addition to base pay (which is based on specific circumstances, including role and experience, geographic location, and performance), we offer annual cash performance-based incentives and equity-based long-term incentive awards for eligible employees.</w:t>
      </w:r>
    </w:p>
    <w:p>
      <w:pPr>
        <w:spacing w:after="0" w:line="21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robust benefit programs, which vary by country, include basic and supplemental health and insurance benefits, health savings and flexible spending accounts, access to a personal health advocate, family leave, life and disability insurance, employee assistance programs, physical, mental and financial well-being programs, retirement savings plans, and pet insurance, to name a few.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Health and Safety</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Maintenance of a safe, healthy work environment is a basic policy of our Company. The backbone of our Safety &amp; Health program is the accountability of line management, who are informed and guided by supporting staff. Our policy is to maintain the safety and healthfulness of the workplace for all employees, contractors, and visitors to reduce the probability and magnitude of injuries, illnesses, and financial loss.</w:t>
      </w:r>
    </w:p>
    <w:p>
      <w:pPr>
        <w:spacing w:after="0" w:line="20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Our program requirements and statement of basic policy represent the essential elements of our Safety &amp; Health program. These requirements define minimum standards that apply, in a program and physical sense, to every employee and every workplace in which our people are employed. These requirements establish a frame of reference for assessing our progress in achieving important program objectives. Such progress will be monitored, but with the understanding that, in some of our facilities, subject to the influence of prevailing local practices and limited capabilities, certain requirements represent longer-range commitments that cannot be fully implemented in the short term.</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Changes and additions to the program requirements will take place as needed through legal consultation to ensure the maintenance of a Safety &amp; Health program that reflects the commitment and best interests of all at the Company. The establishment and maintenance of a safe environment is the shared responsibility between the employer and employees at all levels of the organization. To this end, every reasonable effort will be made in achieving the goal of accident prevention and health preservation.</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developed and implemented a comprehensive Injury and Illness Prevention Program. The goal of this program is to protect employees, agency employees, contractors, and visitors by providing an active safety program for the prevention of injuries, accidents, and illnesses. The Company has a designated environmental, health, and safety (“EHS”) department to provide a clear focal point for the safety program. The EHS department has appointed “Department Safety Coordinators” to implement and maintain the program at each location. The Department Safety Coordinators are the Department Heads of the Company and are an integral part of the Safety Awareness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About Us</w:t>
      </w:r>
    </w:p>
    <w:p>
      <w:pPr>
        <w:spacing w:after="0" w:line="25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(f.k.a. Vesper Healthcare Acquisition Corp.) was incorporated in the State of Delaware on July 8, 2020. On May 4, 2021, we consummated the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our Company’s Class A common stock, par value $0.0001 per share (the “Class A Common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6, 2021, we began trading under the ticker symbol, “SKIN”, on Nasdaq.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internet address is www.beautyhealth.com. At our investor relations website, www.investors.beautyhealth.com, we make available free of charge a variety of information for investors, including our annual reports on Form 10-K, quarterly reports on Form 10-Q, current reports on Form 8-K, proxy statements, and amendments to reports filed or furnished pursuant to Sections 13(a) and 15(d) of the Securities Exchange Act of 1934, as amended (the “Exchange Act”), as soon as reasonably practicable after we electronically file such reports with, or furnish those reports to, the Securities and Exchange Commission at www.sec.gov. Further, corporate governance information, including our corporate governance guidelines, board committee charters, and code of conduct, are also available on our investor relations website at: www.investors.beautyhealth.com/corporate-governance/documents-and-charters.</w:t>
      </w:r>
    </w:p>
    <w:p>
      <w:pPr>
        <w:spacing w:after="0" w:line="21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contained on or made available through our website or any of the websites referred to above are not incorporated by reference into, and does not form a part of, this Annual Report on Form 10-K or in any other report or document we file with or furnish to the Securities and Exchange Commission. Further, references to the URLs for these websites are intended to be inactive textual references only.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following risk in addition to the other information included in this Annual Report on Form 10-K, including matters addressed in the section entitled “Cautionary Note Regarding Forward-Looking Statements.”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the beauty health industry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beauty health industry is highly competitive, and if we are unable to compete effectively, our results will suffer.</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beauty industry is highly competitive and can rapidly change due to consumer preferences and industry trends, such as the expansion of digital channels, direct-to-consumer channels, new “disruptor” brands, and advances in technology such as artificial intelligence. We face vigorous competition from companies throughout the world, including large multinational consumer products companies that have many beauty health brands under ownership and standalone beauty and skincare brands, including those that may target the latest trends or specific distribution channels. Competition in the beauty and skincare industry is based on the introduction of new products, pricing of products, quality of products and packaging, brand awareness, perceived value and quality, innovation, in-store presence and visibility, promotional activities, advertising, editorials, e-commerce and mobile-commerce initiatives and other activities. We must compete with a high volume of new product introductions as well as existing products by diverse companies across several different distribution channels.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31" w:name="page32"/>
    <w:bookmarkEnd w:id="31"/>
    <w:p>
      <w:pPr>
        <w:ind w:right="120"/>
        <w:spacing w:after="0" w:line="258" w:lineRule="auto"/>
        <w:rPr>
          <w:sz w:val="20"/>
          <w:szCs w:val="20"/>
          <w:color w:val="auto"/>
        </w:rPr>
      </w:pPr>
      <w:r>
        <w:rPr>
          <w:rFonts w:ascii="Times New Roman" w:cs="Times New Roman" w:eastAsia="Times New Roman" w:hAnsi="Times New Roman"/>
          <w:sz w:val="18"/>
          <w:szCs w:val="18"/>
          <w:color w:val="auto"/>
        </w:rPr>
        <w:t>Many of the multinational consumer companies that we compete with have greater financial, technical or marketing resources, longer operating histories, greater brand recognition or larger customer bases than we do and may be able to respond more effectively to changing business and economic conditions than we can. Our competitors may attempt to gain market share by offering products at prices at or below the prices at which our products are typically offered, including through the use of large percentage discounts. Competitive pricing may require us to reduce our prices, which would decrease our profitability or result in lost sales. Our competitors may be better able to withstand these price reductions and lost sales.</w:t>
      </w:r>
    </w:p>
    <w:p>
      <w:pPr>
        <w:spacing w:after="0" w:line="210"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t>It is difficult to predict the timing and scale of our competitors’ activities or whether new competitors will emerge in the beauty health industry. In recent years, numerous online, “indie” and influencer-backed beauty health companies have emerged and garnered significant followings. Further technological breakthroughs, including new and enhanced technologies that increase competition in the online retail market, new product offerings by competitors and the strength and success of our competitors’ marketing programs may impede our growth and the implementation of our business strategy.</w:t>
      </w:r>
    </w:p>
    <w:p>
      <w:pPr>
        <w:spacing w:after="0" w:line="19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compete depends on the continued strength of our brand and products, the success of marketing, innovation and execution strategies, the continued diversity of product offerings, the successful management of new product introductions and innovations, strong operational execution, including in order fulfillment, and success in entering new markets and expanding our business in existing geographies. If we are unable to continue to compete effectively, it could have a material adverse effect on our business, financial condition and results of operations.</w:t>
      </w:r>
    </w:p>
    <w:p>
      <w:pPr>
        <w:spacing w:after="0" w:line="189" w:lineRule="exact"/>
        <w:rPr>
          <w:sz w:val="20"/>
          <w:szCs w:val="20"/>
          <w:color w:val="auto"/>
        </w:rPr>
      </w:pPr>
    </w:p>
    <w:p>
      <w:pPr>
        <w:ind w:right="10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commercial success and our ability to sell Delivery Systems. If we are unable to continue to successfully commercialize and sell our Delivery Systems, our results or operations and financial condition will be materially harmed.</w:t>
      </w:r>
    </w:p>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business and our ability to generate revenue largely depends on our ability to successfully commercialize and sell our Delivery Systems. Our ability to generate revenue depends on our ability to manufacture and sell high quality, reliable Delivery Systems and execute on our commercialization plans, and the size of the market for, and the level of market acceptance of, our Delivery Systems. If our Delivery Systems are not accepted and adopted by our customers, if our customers experience significant performance interruptions or if our Syndeo devices do not meet our performance standards, or if we experience an RMA rate for Syndeo devices significantly above historical averages, our revenue and results of operations will be materially and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new product introductions may not be as successful as we anticipate.</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beauty health industry is driven in part by beauty and skincare trends, which may shift quickly. Our continued success depends on our ability to anticipate, gauge and react in a timely and cost-effective manner to changes in consumer preferences for beauty health products, consumer attitudes toward our industry and brand and where and how consumers shop for and use these products. We must continually work to develop, produce and market new products, maintain and enhance the recognition of our brand, maintain a favorable mix of products and develop our approach as to how and where we market and sell our products.</w:t>
      </w:r>
    </w:p>
    <w:p>
      <w:pPr>
        <w:spacing w:after="0" w:line="2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an established process for the development, evaluation and validation of our new product concepts. Nonetheless, each new product launch involves risks, as well as the possibility of unexpected results. For example, the acceptance of new product launches and sales to our providers may not be as high as we anticipate, due to lack of acceptance of the products themselves or their price, or limited effectiveness of our marketing strategies. In addition, our ability to launch new products may be limited by delays or difficulties affecting the ability of our suppliers or manufacturers to timely manufacture, distribute and ship new products. We may also experience a decrease in sales of certain existing products as a result of newly launched products. Any of these occurrences could delay or impede our ability to achieve our sales objectives, which could have a material adverse effect on our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damage to our reputation or brand may materially and adversely affect our business,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developing and maintaining our brand is critical and that our financial success is directly dependent on consumer perception of our brand.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importance of brand recognition may become even greater as our competitors offer more products that are similar to our products.</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relatively low brand awareness among consumers when compared to other beauty health brands. Maintaining and enhancing the recognition and reputation of our brand is, therefore, critical to our business and future growth. Many factors, some of which are beyond our control, will impact our ability to maintain and enhance our reputation and brand, including our</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2" w:name="page33"/>
    <w:bookmarkEnd w:id="32"/>
    <w:p>
      <w:pPr>
        <w:ind w:right="80"/>
        <w:spacing w:after="0" w:line="261" w:lineRule="auto"/>
        <w:rPr>
          <w:sz w:val="20"/>
          <w:szCs w:val="20"/>
          <w:color w:val="auto"/>
        </w:rPr>
      </w:pPr>
      <w:r>
        <w:rPr>
          <w:rFonts w:ascii="Times New Roman" w:cs="Times New Roman" w:eastAsia="Times New Roman" w:hAnsi="Times New Roman"/>
          <w:sz w:val="18"/>
          <w:szCs w:val="18"/>
          <w:color w:val="auto"/>
        </w:rPr>
        <w:t>ability to comply with ethical, social, product, labor and environmental standards. Any actual or perceived failure in compliance with such standards could damage our reputation and brand.</w:t>
      </w:r>
    </w:p>
    <w:p>
      <w:pPr>
        <w:ind w:right="20"/>
        <w:spacing w:after="0" w:line="253" w:lineRule="auto"/>
        <w:rPr>
          <w:sz w:val="20"/>
          <w:szCs w:val="20"/>
          <w:color w:val="auto"/>
        </w:rPr>
      </w:pPr>
      <w:r>
        <w:rPr>
          <w:rFonts w:ascii="Times New Roman" w:cs="Times New Roman" w:eastAsia="Times New Roman" w:hAnsi="Times New Roman"/>
          <w:sz w:val="18"/>
          <w:szCs w:val="18"/>
          <w:color w:val="auto"/>
        </w:rPr>
        <w:t>The growth of our brand also depends largely on our ability to provide a high-quality consumer experience, which in turn depends on our ability to bring innovative products to the market at competitive prices that respond to consumer demands and preferences. Our ability to provide a high-quality consumer experience will depend, in part, on our ability to provide a reliable and user-friendly website interface and mobile applications for our consumers to browse and purchase products on our e-commerce websites.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success of our brand may also suffer if our marketing plans or product initiatives do not have the desired impact on our brand’s image or our ability to attract consumers. Further, our brand value could diminish significantly due to a number of factors, including consumer perception that we have acted in an irresponsible manner, adverse publicity about our products, failure to maintain product quality, product contamination, the failure to deliver consistently positive consumer experiences, or our products becoming unavailable to consumers.</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If we are unable to preserve our reputation, enhance brand recognition and increase positive awareness of our products and Internet platforms, it may be difficult for us to maintain and grow our consumer base, and our business, financial condition and results of operations may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quality, efficacy and safety of our products.</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loss of confidence on the part of consumers in our products or in the ingredients used in or with our products, whether related to product contamination, truthfulness of the claims, product safety or quality failures (actual or perceived), inclusion of unlawful ingredients, or for any other reason, could tarnish the image of our brand and could cause consumers to choose other products. Allegations regarding any of the above, even if untrue, may require us to expend significant time and resources investigating and responding to such allegations and could, from time to time, result in a recall or market withdrawal of a product from any or all of the markets in which the affected product was distributed. Any such issues or recalls could negatively affect our profitability and brand image. Following such recall or market withdrawal, we may decide to voluntarily or regulatory agencies may require us to implement a remedial plan or a set of corrective actions that require a significant investment of resources. Such events may result in potential disputes with our customers, vendors, or other third parties, resulting in significant expenditure of related fees and costs, loss of key relationships, and/or damage to our brand value and reputation. In addition, government authorities and self-regulatory bodies regulate advertising and product claims regarding the performance and benefits of our products. These regulatory authorities typically require a reasonable basis to support any marketing claims. What constitutes a reasonable basis for substantiation can vary widely based on geography, and the efforts that we undertake to support our claims may not be deemed adequate for any particular product or claim. If we are unable to show adequate substantiation for our product claims, or our promotional materials make claims that exceed the scope of allowed claims for the classification of the specific product, regulatory authorities could take enforcement action or impose penalties, such as monetary consumer redress, requiring us to revise our marketing materials, amend our claims, or stop selling certain products.</w:t>
      </w:r>
    </w:p>
    <w:p>
      <w:pPr>
        <w:spacing w:after="0" w:line="2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and/or our products may become subject to regulatory enforcement actions or civil litigation. We could lose sales or market share or become subject to boycotts or liability claims. In addition, third parties may sell counterfeit versions of some of our products. These counterfeit products may pose safety risks and they may fail to meet consumers’ expectations regarding our products’ safety and quality, resulting in damage to our reputation and business. Any of these outcomes could result in a material adverse effect on our business, financial condition and results of operations.</w:t>
      </w:r>
    </w:p>
    <w:p>
      <w:pPr>
        <w:spacing w:after="0" w:line="18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versions of our products or the unauthorized diversion by third parties of our products could have an adverse effect on our net sales and a negative impact on our reputation and business.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Third parties are illegally distributing and selling counterfeit versions of our products. We believe these counterfeit products are inferior to our authentic products and could pose safety risks that our authentic products would not otherwise present to consumers or our customers. Our customers and consumers could confuse counterfeit products with our authentic products, which could damage or diminish the image, reputation, and value of our brand and cause our customers and consumers to refrain from purchasing our products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3" w:name="page34"/>
    <w:bookmarkEnd w:id="33"/>
    <w:p>
      <w:pPr>
        <w:spacing w:after="0" w:line="256" w:lineRule="auto"/>
        <w:rPr>
          <w:sz w:val="20"/>
          <w:szCs w:val="20"/>
          <w:color w:val="auto"/>
        </w:rPr>
      </w:pPr>
      <w:r>
        <w:rPr>
          <w:rFonts w:ascii="Times New Roman" w:cs="Times New Roman" w:eastAsia="Times New Roman" w:hAnsi="Times New Roman"/>
          <w:sz w:val="18"/>
          <w:szCs w:val="18"/>
          <w:color w:val="auto"/>
        </w:rPr>
        <w:t>Products sold to estheticians are meant to be sold to and used by such esthetician. Our products have been and may continue to be sold to sales outlets other than the intended party, such as to general merchandise retailers or unapproved outlets. Diverted products sold in such unapproved outlets may impact our customers’ and consumers’ perception of the nature of our products. Further, in some instances, these diverted products may be old, damaged, or otherwise adulterated. Diversion may result in lower net sales of our products if our customers purchase diverted products or choose to purchase products manufactured or sold by our competitors because of any perceived damage or diminishment to the image, reputation, or value of our brand resulting from such diversion.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brand may be negatively affected if our customers do not use our Delivery System as intended.</w:t>
      </w:r>
    </w:p>
    <w:p>
      <w:pPr>
        <w:spacing w:after="0" w:line="25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use a razor/razor blade business model. We sell our Vortex-Fusion Delivery System (the razor) to providers who then offer Hydrafacial treatments to their clients. We separately sell the Consumables (the razor blades), which consist of single-use tips, solutions, and serums used during a Hydrafacial treatment. Delivery Systems and Consumables can be bought together or separately, although the Delivery System is intended to be used solely with our solutions and serums. Notwithstanding this fact, we are aware of incidents where providers, who initially purchased authentic bottles of solutions and serums from us to be used with our Delivery System, have then subsequently refilled such bottles once they became depleted with unauthentic, and often times, less expensive solutions and serums from other companies, the quality and safety of which has not been evaluated by us. This practice not only results in lower net sales of our solutions and serums to us, but could also damage our image, reputation and/or the value of our brands, where the Hydrafacial treatment is diminished as a result of the use of these unauthentic products, and the provider’s client has been misled to believe such products are our authentic products. There could be further risk to our reputation if the solutions and serums passed off as Hydrafacial solutions and serums cause a negative or adverse reaction in such provider’s client.</w:t>
      </w:r>
    </w:p>
    <w:p>
      <w:pPr>
        <w:spacing w:after="0" w:line="20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not increase as rapidly as we anticipate due to a variety of factors including a weakness in general economic conditions and resistance to non-traditional treatment methods.</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Consumer spending habits are affected by, among other things, prevailing economic conditions, levels of employment, salaries and wage rates, consumer confidence and consumer perception of economic conditions. A general slowdown in the U.S. economy and certain international economies or an uncertain economic outlook could adversely affect consumer spending habits which may, among other things, result in reduced patient traffic in dermatology or internal medicine offices and in medical spa facilities and spa facilities, a reduction in consumer spending on elective, non-urgent or higher value treatments, such as those offered by our providers, or a reduction in the demand for esthetic services generally, each of which could have a material adverse effect on our sales and operating results. Weakness in the global economy results in a challenging environment for selling esthetic technologies and doctors or estheticians may postpone investments in capital equipment, such as our delivery systems. Increased market acceptance of all of our products and treatments will depend in part upon the recommendations of medical and esthetics professionals, as well as other factors including effectiveness, safety, ease of use, reliability, esthetics and price compared to competing products and treatment methods.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declines in average selling prices of our products which may decrease our net revenues.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provide volume-based discount programs to customers and may offer additional products purchased at a discounted price. In addition, we sell a number of products at different list prices that also differ based on regions and or country. Our average selling prices could be adversely affected: if we change our volume-based discount programs; if we introduce any price reductions or consumer rebate programs; if we expand our discount programs or participation in these programs increases; if our critical accounting estimates materially differ from actual behavior or results; or if our geographic, channel, or product mix shifts to lower priced products or to products that have a higher percentage of deferred revenue. Additionally, in response to a pandemic or any resurgence of such pandemic, as a result of a new variant or otherwise, we may find the need to discount the prices of our products to facilitate sales in uncertain times. Were any of the foregoing to occur, our net revenues, gross profit, gross margin and net income may be reduced.</w:t>
      </w:r>
    </w:p>
    <w:p>
      <w:pPr>
        <w:spacing w:after="0" w:line="19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Risks related to our growth and profitability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business strategy, which, in turn, is dependent upon a number of key initiatives, including our ability to:</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demand in the brand;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providers and digital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productivity in our retailers, U.S. medical spa facilities and U.S. spa facilities;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4" w:name="page35"/>
    <w:bookmarkEnd w:id="34"/>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the necessary cost savings to help fund our marketing and digital investments;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extensions that can leverage our strengths and bring new capabilities.</w:t>
      </w:r>
    </w:p>
    <w:p>
      <w:pPr>
        <w:spacing w:after="0" w:line="23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There can be no assurance that we can successfully achieve any or all of the above initiatives in the manner or time period that we expect. Further, achieving these objectives will require investments that may result in short-term cost increases with net sales materializing on a longer-term horizon and therefore may be dilutive to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and profitability are dependent on a number of factors, and our historical growth may not be indicative of our future growth.</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historical growth should not be considered indicative of our future performance. We may be unsuccessful in executing our growth strategy, and even if we achieve our strategic plan, we may be unable to sustain profitability. In future periods, our revenue could decline or grow more slowly than we expect. In addition, we may incur significant losses in the future for a number of reasons, including as a result of the following risks and the other risks described in this Annual Report on Form 10-K, and we may encounter unforeseen expenses, difficulties, complications, delays or other unknown factors:</w:t>
      </w:r>
    </w:p>
    <w:p>
      <w:pPr>
        <w:spacing w:after="0" w:line="1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one or more significant providers, or sales of our products through these providers may decrease;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suppliers to produce our products and of our distributors to distribute our products could be disrupted;</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the subject of regulatory actions, including but not limited to actions by the FDA, the FTC and the Consumer Product Safety Commission (“CPSC”) in the United States and comparable foreign authorities outside the United States;</w:t>
      </w: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introduce new products that appeal to consumers or otherwise successfully compete with our competitors in the beauty health industry;</w:t>
      </w:r>
    </w:p>
    <w:p>
      <w:pPr>
        <w:ind w:left="660" w:right="4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enhancing the recognition and reputation of our brand, and our brand may be damaged as a result of, among other reasons, our failure, or alleged failure, to comply with applicable ethical, social, product, labor or environmental standards;</w:t>
      </w:r>
    </w:p>
    <w:p>
      <w:pPr>
        <w:ind w:left="660" w:right="1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adversely by events that cause consumers to question the safety and effectiveness of the entire category of products of which our products are a part;</w:t>
      </w:r>
    </w:p>
    <w:p>
      <w:pPr>
        <w:ind w:left="660" w:right="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service interruptions, data corruption, cyber-based attacks or network security breaches that may result in the disruption of our operating systems or the loss of confidential information of our consumers;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key members of our senior management team or attract and retain other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any adverse economic conditions in the United States or internationally.</w:t>
      </w:r>
    </w:p>
    <w:p>
      <w:pPr>
        <w:spacing w:after="0" w:line="216"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all of the anticipated benefits of any entities that we acquire, such benefits may take longer to realize than expected or we may encounter significant difficulties integrating acquired businesses into our operations. If our acquisitions do not achieve their intended benefits, or do not achieve their intended benefits on our projected timelines, our business, financial condition, and results of operations could be materially and adversely affected.</w:t>
      </w:r>
    </w:p>
    <w:p>
      <w:pPr>
        <w:spacing w:after="0" w:line="22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We believe that businesses we acquire will provide certain benefits to us, including certain cost synergies and operational efficiencies; however, to realize these anticipated benefits, the businesses we acquire must be successfully combined with our business and operations. The integration of independent businesses is a complex, costly, and time-consuming process that requires significant management attention and resources. The integration process may disrupt our business or the businesses we acquire. Furthermore, the expected benefits to us from these acquisitions could be limited if the integration process is implemented ineffectively. If we fail to meet the challenges involved in integrating acquired businesses and realizing anticipated benefits from these acquisitions, we could experience an interruption of, or a loss of momentum in, our business, which could adversely affect our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difficulties associated with combining the operations of companies include, among others, difficulties in:</w:t>
      </w:r>
    </w:p>
    <w:p>
      <w:pPr>
        <w:spacing w:after="0" w:line="8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achieving anticipated cost savings, synergies, business opportunities, and growth prospects from the combinations;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integrating operations and systems;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conforming standards, controls, procedures, accounting and other policies, business cultures, and compensation structures among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grow our business effectively or efficiently, which would harm our business, financial condition and results of operations.</w:t>
      </w:r>
    </w:p>
    <w:p>
      <w:pPr>
        <w:spacing w:after="0" w:line="25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Growing our business will place a strain on our management team, financial and information systems, supply chain and distribution capacity and other resources. To manage growth effectively, we must continue to: enhance our operational, financial and management systems, including warehouse management and inventory control; maintain and improve internal controls and disclosure controls and procedures; maintain and improve information technology systems and procedures; and expand, train and manage our employee base.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not be able to effectively manage our expansion in any one or more of these areas, and any failure to do so could significantly harm our business, financial condition and results of operations. Growing our business may make it difficult for us to adequately predict the expenditures we will need to make in the future. If we do not make the necessary overhead expenditures to accommodate our future growth, we may be unsuccessful in executing our growth strategy and our results of operations could suffer.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investments could disrupt our business and harm our financial condition.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frequently review acquisition and strategic investment opportunities that would expand our current product offerings, distribution channels, increase the size and geographic scope of operations or otherwise offer growth and operating efficiency opportunities. There can be no assurance that we will be able to identify suitable candidates or consummate these transactions on favorable terms. The process of integrating an acquired business, product or technology can create unforeseen operating difficulties, liabilities, expenditures and other challenges such as:</w:t>
      </w:r>
    </w:p>
    <w:p>
      <w:pPr>
        <w:spacing w:after="0" w:line="4" w:lineRule="exact"/>
        <w:rPr>
          <w:sz w:val="20"/>
          <w:szCs w:val="20"/>
          <w:color w:val="auto"/>
        </w:rPr>
      </w:pPr>
    </w:p>
    <w:p>
      <w:pPr>
        <w:ind w:left="440" w:hanging="108"/>
        <w:spacing w:after="0"/>
        <w:tabs>
          <w:tab w:leader="none" w:pos="4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increased regulatory and compliance requirements;</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and other business relationships;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remediation of controls, procedures and policies at the acquired company;</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legal and regulatory requirements among different geographical territories;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operation of our then-existing business to acquisition integration challenges;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sales, marketing and program and systems management functions;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the acquired company’s users and providers onto our systems;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employees from the acquired company into our organization;</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4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information management, human resources and other administrative systems and operations into our systems and operations;</w:t>
      </w:r>
    </w:p>
    <w:p>
      <w:pPr>
        <w:ind w:left="660" w:right="40" w:hanging="328"/>
        <w:spacing w:after="0" w:line="250" w:lineRule="auto"/>
        <w:tabs>
          <w:tab w:leader="none" w:pos="4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prior to the acquisition, including violations of law, commercial disputes and tax and other known and unknown liabilities; and</w:t>
      </w:r>
    </w:p>
    <w:p>
      <w:pPr>
        <w:ind w:left="660" w:right="900" w:hanging="328"/>
        <w:spacing w:after="0" w:line="260" w:lineRule="auto"/>
        <w:tabs>
          <w:tab w:leader="none" w:pos="4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brought by terminated employees, providers, former stockholders or other third parties.</w:t>
      </w:r>
    </w:p>
    <w:p>
      <w:pPr>
        <w:spacing w:after="0" w:line="2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are unable to address these difficulties and challenges or other problems encountered in connection with any acquisition or investment, we might not realize the anticipated benefits of that acquisition or investment and we might incur unanticipated liabilities or otherwise suffer harm to our business generally.</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the extent that we pay the consideration for any acquisitions or investments in cash, it would reduce the amount of cash available to us for other purposes. Acquisitions or investments could also result in dilutive issuances of our equity securities or the incurrence of debt, contingent liabilities, amortization expenses, increased interest expenses or impairment charges against goodwill on our Consolidated Balance Sheets, any of which could have a material adverse effect on our business, financial condition and results of operations. There can be no assurance that any contemplated or future acquisition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36" w:name="page37"/>
    <w:bookmarkEnd w:id="36"/>
    <w:p>
      <w:pPr>
        <w:jc w:val="both"/>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have fluctuated in the past and we expect our future quarterly and annual operating results to fluctuate for a variety of reasons, particularly as we focus on increasing provider and consumer demand for our products. Volatility in the financial markets could also have a material adverse effect on our business.</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operating results have fluctuated in the past and we expect our future quarterly and annual operating results to fluctuate for a variety of reasons. Some of the factors that could cause our operating results to fluctuate include:</w:t>
      </w: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visibility into, and difficulty predicting from quarter to quarter, the level of activity in our customers’ practices;</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geographic, channel or product mix;</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consumer spending as a result of a slowdown in the global, U.S. or other economies;</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costs;</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general and competitive developments in the market;</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our customers and distributors, including timing of orders;</w:t>
      </w:r>
    </w:p>
    <w:p>
      <w:pPr>
        <w:spacing w:after="0" w:line="49" w:lineRule="exact"/>
        <w:rPr>
          <w:rFonts w:ascii="Times New Roman" w:cs="Times New Roman" w:eastAsia="Times New Roman" w:hAnsi="Times New Roman"/>
          <w:sz w:val="18"/>
          <w:szCs w:val="18"/>
          <w:color w:val="auto"/>
        </w:rPr>
      </w:pPr>
    </w:p>
    <w:p>
      <w:pPr>
        <w:ind w:left="860" w:right="20" w:hanging="497"/>
        <w:spacing w:after="0" w:line="242"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when revenues are recognized, including as a result of the timing of receipt of product orders and shipments, the introduction of new products and software releases, product offerings or promotions, modifications to our terms and conditions or as a result of new accounting pronouncements or changes to critical accounting estimates;</w:t>
      </w:r>
    </w:p>
    <w:p>
      <w:pPr>
        <w:spacing w:after="0" w:line="35"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against the U.S. dollar;</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scale, suspend or reduce production based on variations in product demand;</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participation in our customer rebate or discount programs, which could adversely affect our average selling prices;</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demand;</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or changes to our marketing programs from quarter to quarter;</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advertising or marketing efforts or aggressive price competition from competitors;</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effective tax rate;</w:t>
      </w:r>
    </w:p>
    <w:p>
      <w:pPr>
        <w:spacing w:after="0" w:line="49" w:lineRule="exact"/>
        <w:rPr>
          <w:rFonts w:ascii="Times New Roman" w:cs="Times New Roman" w:eastAsia="Times New Roman" w:hAnsi="Times New Roman"/>
          <w:sz w:val="18"/>
          <w:szCs w:val="18"/>
          <w:color w:val="auto"/>
        </w:rPr>
      </w:pPr>
    </w:p>
    <w:p>
      <w:pPr>
        <w:ind w:left="860" w:hanging="497"/>
        <w:spacing w:after="0" w:line="266"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or disruptions in the manufacturing process caused by insufficient capacity or availability of raw materials, turnover in the labor force or the introduction of new production processes, power outages or natural or other disasters beyond our control;</w:t>
      </w: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underutilization of our manufacturing facilities;</w:t>
      </w:r>
    </w:p>
    <w:p>
      <w:pPr>
        <w:spacing w:after="0" w:line="49" w:lineRule="exact"/>
        <w:rPr>
          <w:rFonts w:ascii="Times New Roman" w:cs="Times New Roman" w:eastAsia="Times New Roman" w:hAnsi="Times New Roman"/>
          <w:sz w:val="18"/>
          <w:szCs w:val="18"/>
          <w:color w:val="auto"/>
        </w:rPr>
      </w:pPr>
    </w:p>
    <w:p>
      <w:pPr>
        <w:ind w:left="860" w:right="400" w:hanging="497"/>
        <w:spacing w:after="0" w:line="266"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available technology or the preferences of our customers, which may cause our current product offerings to become less competitive or obsolete;</w:t>
      </w: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expenditures in connection with litigation;</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expenditures in connection with the establishment of treatment planning and fabrication facilities in international locations;</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expenditures in connection with hiring and deployment of direct sales force personnel;</w:t>
      </w:r>
    </w:p>
    <w:p>
      <w:pPr>
        <w:spacing w:after="0" w:line="49" w:lineRule="exact"/>
        <w:rPr>
          <w:rFonts w:ascii="Times New Roman" w:cs="Times New Roman" w:eastAsia="Times New Roman" w:hAnsi="Times New Roman"/>
          <w:sz w:val="18"/>
          <w:szCs w:val="18"/>
          <w:color w:val="auto"/>
        </w:rPr>
      </w:pPr>
    </w:p>
    <w:p>
      <w:pPr>
        <w:ind w:left="860" w:hanging="497"/>
        <w:spacing w:after="0" w:line="242"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business due to political, economic or other social instability or any governmental regulatory or similar actions, including the impact of a pandemic such as the COVID-19 pandemic, any of which results in changes in consumer spending habits, consumers unable or unwilling to visit spas, as well as any impact on workforce absenteeism;</w:t>
      </w:r>
    </w:p>
    <w:p>
      <w:pPr>
        <w:spacing w:after="0" w:line="35"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forecasting of net revenues, production and other operating costs;</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research and development to develop new products and enhancements; and</w:t>
      </w:r>
    </w:p>
    <w:p>
      <w:pPr>
        <w:spacing w:after="0" w:line="49" w:lineRule="exact"/>
        <w:rPr>
          <w:rFonts w:ascii="Times New Roman" w:cs="Times New Roman" w:eastAsia="Times New Roman" w:hAnsi="Times New Roman"/>
          <w:sz w:val="18"/>
          <w:szCs w:val="18"/>
          <w:color w:val="auto"/>
        </w:rPr>
      </w:pPr>
    </w:p>
    <w:p>
      <w:pPr>
        <w:ind w:left="860" w:hanging="49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industry tradeshows.</w:t>
      </w:r>
    </w:p>
    <w:p>
      <w:pPr>
        <w:spacing w:after="0" w:line="36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 respond to these and other factors, we may make business decisions that adversely affect our operating results such as modifications to our pricing policy, promotions, development efforts, product releases, business structure or operations. Most of our expenses, such as employee compensation and lease payment obligations, are relatively fixed in the short term. Moreover, expense levels are based, in part, on our expectations regarding future revenue levels. As a result, if our net revenues for a particular period fall below expectations,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4"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experience future losses.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yet to establish any history of profitable operations. We reported a loss from operations of $67.8 million during the year ended December 31, 2024. We expect to incur additional operating losses for the foreseeable future. Furthermore, our strategic plan will require a significant investment in product development, sales, marketing and administrative programs, which may not result in the accelerated revenue growth that we anticipate. As a result, there can be no assurance that we will ever generate substantial revenues or achieve or sustain profitability.</w:t>
      </w:r>
    </w:p>
    <w:p>
      <w:pPr>
        <w:spacing w:after="0" w:line="18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disruption in our operations could materially and adversely affect our business.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company engaged in distribution on a global scale, our operations, including those of our third-party suppliers, brokers and delivery service providers, are subject to the risks inherent in such activities, including industrial accidents, supply chain disruptions, macroeconomic issues, environmental events, strikes and other labor disputes, disruptions in information systems, product quality control, safety, licensing requirements and other regulatory issues, changes in laws and regulatory requirements, as well as natural disasters, pandemics (such as the COVID-19 pandemic), border disputes, political crises, such as acts of terrorism, war and other political instability, including the current conflicts between Russia and Ukraine and between Israel and Hamas, and other external factors over which we and our third-party suppliers, brokers and delivery service providers may have no control.</w:t>
      </w:r>
    </w:p>
    <w:p>
      <w:pPr>
        <w:spacing w:after="0" w:line="21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ability to meet the needs of our consumers depends on the proper operation of our distribution facilities, where most of our inventory that is not in transit is housed. The loss of, or damage to, the manufacturing facilities or distribution centers of our third-party suppliers, brokers and delivery service providers could materially and adversely affect our business, financial condition and results of operations.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insurance coverage may not be sufficient to cover the full extent of any loss or damage to our manufacturing facilities or distribution centers, and any loss, damage of or disruption to those facilities, or loss or damage of the inventory stored there, could materially and adversely affect our business, financial condition and results of operations.</w:t>
      </w:r>
    </w:p>
    <w:p>
      <w:pPr>
        <w:spacing w:after="0" w:line="18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retention of key members of our senior management team, whose continued service is not guaranteed, and ability to attract and retain qualified personnel.</w:t>
      </w:r>
    </w:p>
    <w:p>
      <w:pPr>
        <w:spacing w:after="0" w:line="19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employees, including our executive officers, our senior management team and our development, operations, finance, sales and marketing personnel, whose continued service is not guaranteed. In particular, our executive officers are important to our success for many reasons, including that each has a national or regional reputation in our industry and the investment community that attracts investors, business and investment opportunities to the Company. If we lost their services, our business and investment opportunities and our relationships with existing and prospective customers and industry personnel could suffer. Many of our other senior employees also have strong industry reputations. The loss of any of these key personnel could result in the loss of these and other benefits and could also materially and adversely affect our results of operations.</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success also depends, in part, on our continuing ability to identify, hire, train and retain other highly qualified personnel. In addition, we may be unable to effectively plan for the succession of senior management, including our chief executive officer. The loss of key personnel or the failure to attract and retain qualified personnel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Our workforce reductions may cause undesirable consequences and our results of operations may be harmed.</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reduction in workforce, which was part of our business transformation program (the “Transformation Program”) that we announced in September 2023 may yield unintended consequences and costs, such as the loss of institutional knowledge and expertise, employee attrition beyond what we had intended in implementing the Transformation Program, a reduction in morale among our remaining employees, greater-than-anticipated costs incurred in connection with implementing the Transformation Program, and the risk that we may not achieve the benefits from the Transformation Program to the extent or as quickly as we anticipate, all of which may have a material adverse effect on our business, results of operations or financial condition. The initiatives of our Transformation Program could place substantial demands on our management and employees, which could lead to the diversion of our management’s and employees’ attention from other business priorities. In addition, we may discover that the workforce reduction and other Transformation Program efforts will make it difficult for us to pursue new opportunities and initiatives and require us to hire qualified replacement personnel, which may require us to incur additional and unanticipated costs and expenses.</w:t>
      </w:r>
    </w:p>
    <w:p>
      <w:pPr>
        <w:spacing w:after="0" w:line="198" w:lineRule="exact"/>
        <w:rPr>
          <w:sz w:val="20"/>
          <w:szCs w:val="20"/>
          <w:color w:val="auto"/>
        </w:rPr>
      </w:pPr>
    </w:p>
    <w:p>
      <w:pPr>
        <w:jc w:val="both"/>
        <w:ind w:right="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a number of third-party suppliers, distributors and other vendors, and they may fail to produce products or to provide services that are consistent with our standards or applicable regulatory requirements, which could harm our brand reputation, cause consumer dissatisfaction or require us to find alternative suppliers of our products or services.</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multiple third-party suppliers based in the United States and overseas to source substantially all of our products. We engage third-party suppliers on a purchase order basis and are not party to long-term contracts with any of them. The ability of these third parties to supply our products may be affected by competing orders placed by other persons and the demands of those persons. In addition, their abilities may be impacted adversely if any regulatory agencies, such as the FDA, brings any enforcement actions for legal or regulatory non-compliance. If we experience significant increases in demand or need to replace a significant number of existing suppliers, there can be no assurance that the additional supply capacity will be available when required on terms that are acceptable to us, or at all, or that any supplier will allocate sufficient capacity to us in order to meet our requirements.</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the use of ingredients and delivery of products that do not meet our quality control standards and specifications or fail to comply with applicable laws or regulations, could harm our business. These quality control problems could result in: regulatory action, such as restrictions on importation of certain products; the use of products of inferior quality; or product stock outages or shortages. Each of these outcomes could harm our sales and create inventory write-downs for unusable products.</w:t>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also outsourced significant portions of our distribution process overseas, as well as certain technology-related functions, to third-party service providers. Specifically, we rely on third-party distributors to sell products in a number of foreign countries, and our international warehouses and distribution facilities are managed and staffed by our third-party distributors. We also utilize a third-party hosting and networking provider to host our e-commerce websites. The failure of one or more of these third parties to provide the expected services on a timely basis, or at all, or at the prices we expect, or the costs and disruption incurred in changing these outsourced functions to being performed under our management and direct control or that of a different third-party, may have a material adverse effect on our business, financial condition and results of operations. We are not party to long-term contracts with some of our distributors, and upon expiration of our existing agreements with them, we may be unable to renegotiate the terms on a commercially reasonable basis, or at all.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rely on providers and estheticians to promote our treatments, but they are not under any contractual obligations to do so or continue to do so.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our third-party suppliers and distributors may:</w:t>
      </w:r>
    </w:p>
    <w:p>
      <w:pPr>
        <w:spacing w:after="0" w:line="27" w:lineRule="exact"/>
        <w:rPr>
          <w:sz w:val="20"/>
          <w:szCs w:val="20"/>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potentially increased regulatory and compliance requirements;</w:t>
      </w:r>
    </w:p>
    <w:p>
      <w:pPr>
        <w:spacing w:after="0" w:line="4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economic or business interests or goals that are inconsistent with ours;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contrary to our instructions, requests, policies or objectives;</w:t>
      </w:r>
    </w:p>
    <w:p>
      <w:pPr>
        <w:spacing w:after="0" w:line="6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or unwilling to fulfill their obligations under relevant purchase orders, including obligations to meet our production deadlines, quality standards, pricing guidelines and product specifications, or to comply with applicable regulations, including those regarding the safety and quality of products and ingredients and good manufacturing practices;</w:t>
      </w:r>
    </w:p>
    <w:p>
      <w:pPr>
        <w:spacing w:after="0" w:line="1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financial difficulties;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raw material or labor shortages;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increases in raw material or labor costs that may affect our procurement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our confidential information or intellectual property to competitors or third parties;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9" w:name="page40"/>
    <w:bookmarkEnd w:id="39"/>
    <w:p>
      <w:pPr>
        <w:ind w:left="580" w:hanging="248"/>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activities or employ practices that may harm our reputation; or</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be acquired by, or come under control of, our competitors.</w:t>
      </w:r>
    </w:p>
    <w:p>
      <w:pPr>
        <w:spacing w:after="0" w:line="30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occurrence of any of these events, alone or together, could have a material adverse effect on our business, financial condition or results of operations. In addition, such problems may require us to find new third-party suppliers or distributors, and there can be no assurance that we would be successful in finding third-party suppliers or distributors meeting our standards of innovation and quality.</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management and oversight of the engagement and activities of our third-party suppliers and distributors requires substantial time, effort and expense of our employees, and we may be unable to successfully manage and oversee the activities of our third-party suppliers and distributors. If we experience any supply chain disruptions caused by our inability to locate suitable third-party suppliers, or if our raw material suppliers experience problems with product quality or disruptions or delivery of the raw materials or components used to make our products, our business, financial condition and results of operations could be materially and adversely affected.</w:t>
      </w:r>
    </w:p>
    <w:p>
      <w:pPr>
        <w:spacing w:after="0" w:line="19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maintain single supply relationships for certain key components, and our business and operating results could be harmed if supply is restricted or ceases or the price of raw materials used in our manufacturing process increases.</w:t>
      </w:r>
    </w:p>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dependent on sole suppliers or a limited number of suppliers for certain components that are integral to our finished products. If these or other suppliers encounter financial, operating, legal, regulatory or other difficulties or if our relationship with them changes, we may be unable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suppliers to produce the needed equipment and materials in sufficient quantities to support our growth. Any one of these factors could harm our business and growth prospects.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delivery service providers.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heavily on contracted third-party delivery service providers to deliver our products to our distribution facilities and logistics providers, and from there to our providers. We also depend on contracted third-party delivery service providers to deliver products directly to providers as part of a direct sale to those providers. Interruptions to or failures in these delivery services could prevent the timely or successful delivery of our products.</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interruptions or failures may be due to unforeseen events that are beyond our control or the control of our third-party delivery service providers, such as inclement weather, natural disasters or labor unrest, among others. If our products are not delivered on time or are delivered in a damaged state, providers and customers may refuse to accept our products and have less confidence in our services, which could negatively impact our business, financial condition and results of operations.</w:t>
      </w:r>
    </w:p>
    <w:p>
      <w:pPr>
        <w:spacing w:after="0" w:line="189"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dependent on commercial freight carriers to deliver our products both within the United States and internationally. If the operations of these carriers are disrupted for any reason, we may be unable to timely deliver our products to our customers. If we cannot deliver our products on time and cost effectively, our customers may choose competitive offerings causing our net revenues and gross margins to decline, possibly materially. In a rising fuel cost environment, our freight costs will increase. In addition, we earn an increasingly larger portion of our total revenues from international sales. International sales carry higher shipping costs which could negatively impact our gross margin and results of operations. If freight costs materially increase and we are unable to pass that increase along to our customers for any reason or otherwise offset such increases in costs, our gross margin and financial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inventory effectively, our results of operations, financial condition and liquidity may be materially and adversely affected.</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requires us to manage a large volume of inventory effectively. We depend on our forecasts of demand for, and popularity of, various products to make purchase decisions and to manage our inventory of stock-keeping units. Demand for products, however, can change significantly between the time inventory or components are ordered and the date of sale. Demand may be affected by seasonality, new product launches, rapid changes in product cycles and pricing, product defects, promotions, changes in consumer spending patterns, changes in consumer tastes with respect to our products, competitors’ product launches, and other factors, and our consumers may not purchase products in the quantities that we expect. It may be difficult to accurately forecast demand and determine appropriate levels of product or componentry. If we fail to manage our inventory effectively or negotiate favorable credit terms with third-party suppliers, we may be subject to a heightened risk of inventory obsolescence, a decline in inventory values, and significant inventory write-downs or write-offs. In addition, if we are required to lower sale prices in order to reduce inventory level or to pay higher prices to our suppliers, our profit margins might be negatively affected. Any of the above may materially and adversely affect our business, financial condition and results of operations.</w:t>
      </w:r>
    </w:p>
    <w:p>
      <w:pPr>
        <w:spacing w:after="0" w:line="198"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order to deepen our market penetration and raise awareness of our brand and products, we have increased the amount we spend on marketing activities, which may not ultimately prove successful or an effective use of our resources.</w:t>
      </w:r>
    </w:p>
    <w:p>
      <w:pPr>
        <w:spacing w:after="0" w:line="19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To increase awareness of our products and services domestically and internationally, we have increased the amount we spend, and anticipate spending in the future on marketing activities. Our marketing efforts and costs are significant and include national and regional campaigns involving print media, social media, additional placements and alliances with strategic partners. We attempt to structure our advertising/marketing campaigns in ways we believe most likely to increase brand awareness and adoption; however, there is no assurance our campaigns will achieve the returns on advertising spend desired or successfully increase brand or product awareness sufficiently to sustain or increase our growth goals, which could have an adverse effect on our gross margin and business overall.</w:t>
      </w:r>
    </w:p>
    <w:p>
      <w:pPr>
        <w:spacing w:after="0" w:line="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We manufacture and assemble our Delivery Systems in California, and if this site were to become compromised or damaged, our ability to continue to manufacture and assemble our products would be negatively affected.</w:t>
      </w:r>
    </w:p>
    <w:p>
      <w:pPr>
        <w:spacing w:after="0" w:line="22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manufacturing facility in Long Beach, California manufactures and assembles our Delivery Systems and fills the majority of our Consumable products onsite. If this site were shut down or damaged by natural disaster, fire, social unrest, government regulation or other causes, our operations would be negatively impacted. In that situation, our ability to manufacture our products would be impaired and our ability to distribute to and service our customers would be impaired, which could materially and adversely affect our business, financial condition and results of operations and possibly our reputation.</w:t>
      </w:r>
    </w:p>
    <w:p>
      <w:pPr>
        <w:spacing w:after="0" w:line="1"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sales professionals to market and sell our products worldwide. If we are unable to hire, effectively train, manage, improve the productivity of and retain our sales professionals, our business will be harmed, which would impair our future revenue and profitability.</w:t>
      </w:r>
    </w:p>
    <w:p>
      <w:pPr>
        <w:spacing w:after="0" w:line="2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largely depends on our ability to hire, train, manage and improve the productivity levels of our direct sales professionals worldwide. We do not have any long-term employment contracts with members of our direct sales force and the loss of the services provided by these key personnel may harm our business. We train our existing and recently recruited sales professionals to better understand our existing and new product technologies and how they can be positioned against our competitors’ products and increase the revenue from our customers. To provide more comprehensive sales and service coverage, we continue to increase the size of our sales force to pursue growth opportunities within and outside of our existing geographic markets.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may take time for the sales professionals to become productive, and there can be no assurance that recently recruited sales professionals will be adequately trained in a timely manner, that our direct sales productivity will improve or that we will not experience significant levels of attrition in the future. As a result, either our net revenues or our ability to maintain market share could be materially harmed if: we are unable to retain our direct sales personnel or quickly replace them with individuals of equivalent technical expertise and qualifications; we are unable to successfully instill technical expertise in new and existing sales representatives; we fail to establish and maintain strong relationships with our customers; or if our efforts at specializing our selling techniques do not prove to be successful and cost-effective.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41" w:name="page42"/>
    <w:bookmarkEnd w:id="41"/>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providers generally are not under any obligation to purchase product, and business challenges at one or more of these providers could adversely affect our results of operations.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is typical in our industry, our business with providers is based primarily upon discrete sales orders, and we do not have contracts requiring providers to make firm purchases from us. Accordingly, providers could reduce their purchasing levels or cease buying products from us at any time and for any reason. If we lose a significant provider or if sales of our products to a significant provider materially decrease, it could have a material adverse effect on our business, financial condition and results of operations.</w:t>
      </w:r>
    </w:p>
    <w:p>
      <w:pPr>
        <w:spacing w:after="0" w:line="20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Because a high percentage of our sales are made through our providers, our results are subject to risks relating to the general business performance of our providers. Factors that adversely affect our providers’ businesses may also have a material adverse effect on our business, financial condition and results of operations. These factors may include:</w:t>
      </w:r>
    </w:p>
    <w:p>
      <w:pPr>
        <w:spacing w:after="0" w:line="3" w:lineRule="exact"/>
        <w:rPr>
          <w:sz w:val="20"/>
          <w:szCs w:val="20"/>
          <w:color w:val="auto"/>
        </w:rPr>
      </w:pPr>
    </w:p>
    <w:p>
      <w:pPr>
        <w:ind w:left="660" w:right="400" w:hanging="328"/>
        <w:spacing w:after="0" w:line="234" w:lineRule="auto"/>
        <w:tabs>
          <w:tab w:leader="none" w:pos="57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consumer traffic and demand at our providers as a result of economic downturns, pandemics or other health crises, changes in consumer preferences or reputational damage as a result of, among other developments, data privacy and security breaches, regulatory investigations or employee misconduct;</w:t>
      </w:r>
    </w:p>
    <w:p>
      <w:pPr>
        <w:spacing w:after="0" w:line="2" w:lineRule="exact"/>
        <w:rPr>
          <w:rFonts w:ascii="Times New Roman" w:cs="Times New Roman" w:eastAsia="Times New Roman" w:hAnsi="Times New Roman"/>
          <w:sz w:val="18"/>
          <w:szCs w:val="18"/>
          <w:color w:val="auto"/>
        </w:rPr>
      </w:pPr>
    </w:p>
    <w:p>
      <w:pPr>
        <w:ind w:left="580" w:hanging="248"/>
        <w:spacing w:after="0" w:line="234"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risks associated with the financial condition of our providers;</w:t>
      </w:r>
    </w:p>
    <w:p>
      <w:pPr>
        <w:ind w:left="660" w:right="200" w:hanging="328"/>
        <w:spacing w:after="0" w:line="226" w:lineRule="auto"/>
        <w:tabs>
          <w:tab w:leader="none" w:pos="57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consolidation or weakness in the retail industry or at certain providers, including store and spa closures and the resulting uncertainty; and</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local, or foreign regulations that affect the scope of practice of our providers.</w:t>
      </w:r>
    </w:p>
    <w:p>
      <w:pPr>
        <w:spacing w:after="0" w:line="21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product improvements or the generation of significant future revenues.</w:t>
      </w:r>
    </w:p>
    <w:p>
      <w:pPr>
        <w:spacing w:after="0" w:line="19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partnerships or other arrangements to develop new products or product improvements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revenues and could be terminated prior to developing any products.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2" w:name="page43"/>
    <w:bookmarkEnd w:id="42"/>
    <w:p>
      <w:pPr>
        <w:ind w:left="412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also be adversely affected by our inability to repay or refinance existing debt.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the filing date of this Annual Report on Form 10-K, we are in compliance with all of our debt covenants. However, we may be unable to satisfy financial covenants in the future, which could materially and adversely affect our ability to finance future operations, such as acquisitions or capital needs. If our earnings substantially decrease or we are unable to obtain future financings on terms acceptable to us, it is possible that we would be unable to make payments of principal and interest due under our 1.25% Convertible Senior Notes due October 2026 (the “Notes”), resulting in a default under the Notes. A default under the Notes, among other things, would trigger the counterparty’s ability to immediately demand payment without any further action or notice by such party.</w:t>
      </w: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we are unable to repay in full or refinance our debt obligations on commercially reasonable terms, or at all, we could face substantial liquidity problems and might be required to sell material assets or operations in an attempt to meet our debt obligations.</w:t>
      </w:r>
    </w:p>
    <w:p>
      <w:pPr>
        <w:spacing w:after="0" w:line="17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cash from operations is insufficient to meet our current or future operating needs, expenditures and debt service obligations, our business, financial condition and results of operations may be materially and adversely affected.</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ability to generate cash to meet our operating needs, expenditures and debt service obligations will depend on our future performance and financial condition, which will be affected by financial, business, economic, legislative, regulatory and other factors, including potential changes in costs, pricing, the success of product innovation and marketing, competitive pressure and consumer preferences. We may also require additional cash resources due to changed business conditions or other future developments, including any marketing initiatives, investments or acquisitions it may decide to pursue. If our cash flows and capital resources are insufficient to fund our debt service obligations and other cash needs, we could face substantial liquidity problems and could be forced to reduce or delay marketing initiatives, investments, acquisitions and capital expenditures or to dispose of material assets or operations, to sell our equity or debt securities, or to restructure or refinance our indebtedness. Our credit facilities may restrict our ability to take these actions, and we may be unable to affect any such alternative measures on commercially reasonable terms, or at all. The sale of our equity securities would result in dilution to our existing stockholders. The incurrence of additional indebtedness would result in increased debt service obligations and operating and financing covenants that could restrict our operations. If additional financing is unavailable to us in amounts or on terms acceptable to us, our business, financial condition and results of operations could be adversely affected.</w:t>
      </w:r>
    </w:p>
    <w:p>
      <w:pPr>
        <w:spacing w:after="0" w:line="2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Furthermore, if we cannot make scheduled payments on our debt, the lenders under our credit agreement may terminate their commitments to loan money to us under our revolving credit facility, and our lenders under our credit agreement can declare all outstanding principal and interest to be due and payable and foreclose against the assets securing their borrowings, and we could be forced into bankruptcy or liquidation.</w:t>
      </w:r>
    </w:p>
    <w:p>
      <w:pPr>
        <w:spacing w:after="0" w:line="185"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terms of our Notes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9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contains certain restrictive covenants including covenants restricting our ability to consolidate with or merge with or into, or sell, lease or otherwise transfer, in one transaction or a series of transactions, all or substantially all of the assets of the Company and our subsidiaries. These covenants may restrict our current and future operations, particularly our ability to respond to certain changes in our business or industry, or take future actions. Furthermore, a failure to satisfy these covenants would constitute an event of default under the Notes.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in the future we raise additional capital through debt financing, the terms of any new debt arrangements could further restrict our ability to operate our business by imposing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4"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cash is held in accounts at U.S. banking institutions that we believe are of high quality. Cash held in deposit accounts may exceed the Federal Deposit Insurance Corporation (“FDIC”) insurance limits. If such banking institutions fail, we could lose all or a portion of those amounts held in excess of such insurance limitations. Any material loss, individually or in the aggregate, from a failed banking relationship above FDIC insurance limits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any net operating loss carryforwards and certain other tax attributes may be limited.</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U.S. federal, state, and local net operating loss carryforwards and certain tax credits, if any, may be subject to significant limitations under Section 382 and Section 383 of the U.S. Internal Revenue Code of 1986, as amended (the “Code”), respectively, and similar provisions of state and local law. Under those sections of the Code, if a corporation undergoes an “ownership change,” the corporation’s ability to use its pre-change net operating loss carryforwards and other pre-change attributes to offset post-change income or tax may be limited. In general, an “ownership change” will occur if there is a cumulative change in a corporation’s ownership by “5-percent shareholders” that exceeds 50 percentage points over a rolling three-year period. Similar rules may apply under state or local tax laws. We believe that an “ownership change” for purposes of Section 382 and Section 383 of the Code occurred as a result of the transactions undertaken by us in connection with the Business Combination.</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if we earn net taxable income, our ability to use our pre-ownership change net operating loss carryforwards to offset U.S. federal taxable income may be subject to limitations, which could potentially result in increased future tax liability to us. In addition, at the state level, there may be periods during which the use of our net operating loss carryforwards is suspended or otherwise limited, which could accelerate or permanently increase our state taxes owed.</w:t>
      </w:r>
    </w:p>
    <w:p>
      <w:pPr>
        <w:spacing w:after="0" w:line="18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our tax rates or our exposure to additional income tax liabilities or assessments could materially and adversely affect our business, financial condition and results of operations.</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subject to changing tax laws and policies, and changes in interpretations of existing tax laws, both within and outside of the United States, and tax authorities are increasingly scrutinizing the tax positions of companies. For example, on August 16, 2022, the U.S. Congress passed the Inflation Reduction Act of 2022, which contained provisions effective January 1, 2023, including a 1% excise tax on certain stock repurchases that could increase our future tax liability.</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U.S. federal, state, and local governments, countries in the European Union, as well as a number of other countries and organizations such as the Organization for Economic Cooperation and Development, are considering or proposing changes to existing tax laws that, if enacted, could increase our tax obligations in jurisdictions where we do business. If U.S. or other foreign tax authorities change applicable tax laws or successfully challenge how or where our profits are currently recognized, our overall taxes could increase, and our business, financial condition or results of operations may be adversely impacted. The likelihood of any such changes being enacted or implemented is unclear and we are currently unable to predict whether any such changes will occur and, if so, the ultimate impact on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vary significantly from period to period.</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Various internal and external factors may have favorable or unfavorable effects on our future effective tax rate. These factors include, but are not limited to, changes in legal entity structure or activities performed within our entities, changes in tax laws, regulations /or rates, new or changes to accounting pronouncements, changing interpretations of existing tax laws or regulations, changes in the relative proportions of revenues and income before taxes in the various jurisdictions in which we operate that have differing statutory tax rates, changes in overall levels of pretax earnings, the future levels of tax benefits of stock-based compensation, settlement of income tax audits and non-deductible goodwill impairments.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negatively affect our financial condition and results of operations.</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Exchange rate fluctuations may affect the costs we incur in our operations. The main currencies to which we are exposed are the Euro, Chinese renminbi, British pound sterling, Mexican peso, and Australian dollar. The exchange rates between these currencies and the U.S. dollar in recent years have fluctuated significantly and may continue to do so in the future. A depreciation of these currencies against the U.S. dollar will decrease the U.S. dollar equivalent of the amounts derived from foreign operations reported in our consolidated financial statements, and an appreciation of these currencies will result in a</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4" w:name="page45"/>
    <w:bookmarkEnd w:id="44"/>
    <w:p>
      <w:pPr>
        <w:ind w:right="60"/>
        <w:spacing w:after="0" w:line="261" w:lineRule="auto"/>
        <w:rPr>
          <w:sz w:val="20"/>
          <w:szCs w:val="20"/>
          <w:color w:val="auto"/>
        </w:rPr>
      </w:pPr>
      <w:r>
        <w:rPr>
          <w:rFonts w:ascii="Times New Roman" w:cs="Times New Roman" w:eastAsia="Times New Roman" w:hAnsi="Times New Roman"/>
          <w:sz w:val="18"/>
          <w:szCs w:val="18"/>
          <w:color w:val="auto"/>
        </w:rPr>
        <w:t>corresponding increase in such amounts. The cost of certain items, such as raw materials, manufacturing, employee salaries and transportation and freight, required by our operations may be affected by changes in the value of the relevant currencies. To the extent that we are required to pay for goods or services in foreign currencies, the appreciation of such currencies against the U.S. dollar will tend to negatively affect our business. There can be no assurance that foreign currency fluctuations will not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long-lived assets become impaired, we may be required to record a significant charge to earnings.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GAAP, we review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assumptions may cause a change in circumstances indicating that the carrying value of goodwill or the asset group may be impaired. For more information, see Part II, Item 7 “Critical Accounting Policies and Estimates — Goodwill and Intangible Assets” and Part II, Item 8 “Financial Statements and Supplementary Data — Note 2 - Summary of Significant Accounting Policies — Goodwill” in this Annual Report on Form 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financial markets could have a material adverse effect on our business.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we currently generate cash flows from our ongoing operations and have had access to credit markets through our various financing activities, credit markets may experience significant disruptions. Deterioration in global financial markets could make future financings difficult or more expensive. If any financial institution party to our credit facilities or other financing arrangements were to declare bankruptcy or become insolvent, they may be unable to perform under their agreements with us. This scenario could leave us with reduced borrowing capacity,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profitability may decline as a result of increasing costs and decreasing selling prices.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pressure on costs and pricing caused by many factors, including intense competition, constrained sourcing capacity and related inflationary pressure, the availability of qualified labor and wage inflation, pressure from our customers to reduce the prices we charge for our products, and changes in consumer demand. These and other factors have, and may in the future, cause us to experience increased costs, reduce our prices to customers or experience reduced sales in response to increased prices, any of which could cause our operating margin to decline if we are unable to offset these factors by taking certain actions like reduce our operating costs and could have a material adverse effect on our business, financial condition and results of operations.</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cybersecurity</w:t>
      </w:r>
    </w:p>
    <w:p>
      <w:pPr>
        <w:spacing w:after="0" w:line="23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and if we are unable to protect against service interruptions, data corruption, cyber-based attacks or network security breaches, our operations could be disrupted.</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networks and systems to market and sell our products, to process electronic and financial information, to assist with sales tracking and reporting, to manage a variety of business processes and activities and to comply with regulatory, legal and tax requirements. We are increasingly dependent on a variety of information systems to effectively process consumer orders from our e-commerce business. We depend on our information technology infrastructure for digital marketing activities and for electronic communications among our personnel, providers, customers, consumers, distributors and suppliers around the world. These information technology systems, some of which are managed by third parties, may be susceptible to damage, disruptions or shutdowns due to failures during the process of upgrading or replacing software, databases or components, power outages, hardware failures, computer viruses, attacks by computer hackers, telecommunication failures, user errors or catastrophic events. Any material disruption of our systems, or the systems of our third-party service providers, could disrupt our ability to track, record and analyze the products that we sell and could negatively impact our operations, shipment of goods, ability to process financial information and transactions and our ability to receive and process provider and e-commerce orders or engage in normal business activities. If our information technology systems suffer damage, disruption or shutdown, we may incur substantial cost in repairing or replacing these systems, and if we do not effectively resolve the issues in a timely manner, our business, financial condition and results of operations may be materially and adversely affected, and we could experience delays in reporting our financial results.</w:t>
      </w:r>
    </w:p>
    <w:p>
      <w:pPr>
        <w:spacing w:after="0" w:line="21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Our e-commerce operations are important to our business. Our e-commerce websites serve as effective extensions of our marketing strategies by introducing potential new consumers to our brand, product offerings, providers and enhanced content.</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45" w:name="page46"/>
    <w:bookmarkEnd w:id="45"/>
    <w:p>
      <w:pPr>
        <w:ind w:right="100"/>
        <w:spacing w:after="0" w:line="261" w:lineRule="auto"/>
        <w:rPr>
          <w:sz w:val="20"/>
          <w:szCs w:val="20"/>
          <w:color w:val="auto"/>
        </w:rPr>
      </w:pPr>
      <w:r>
        <w:rPr>
          <w:rFonts w:ascii="Times New Roman" w:cs="Times New Roman" w:eastAsia="Times New Roman" w:hAnsi="Times New Roman"/>
          <w:sz w:val="18"/>
          <w:szCs w:val="18"/>
          <w:color w:val="auto"/>
        </w:rPr>
        <w:t>Due to the importance of our e-commerce operations, we are vulnerable to website downtime and other technical failures. Our failure to successfully respond to these risks in a timely manner could reduce e-commerce sales and damage our brand’s reputation. Cyber threats are constantly evolving, are becoming more sophisticated and are being made by groups and individuals with a wide range of expertise and motives, and this increases the difficulty of detecting and successfully defending against them.</w:t>
      </w:r>
    </w:p>
    <w:p>
      <w:pPr>
        <w:spacing w:after="0" w:line="18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maintain and upgrade our information technology systems, and our failure to do so could have a material adverse effect on our business, financial condition and results of operations.</w:t>
      </w:r>
    </w:p>
    <w:p>
      <w:pPr>
        <w:spacing w:after="0" w:line="19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identified the need to expand and improve our information technology systems and personnel to support historical and expected future growth. As such, we are in the process of implementing, and will continue to invest in and implement,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information technology systems, including the potential impairment of our ability to leverage our e-commerce channels or fulfill provider and customer orders, the potential disruption of our internal control structure, substantial capital expenditures, additional administration and operating expenses, acquisition and retention of sufficiently skilled personnel to implement and operate the new systems, demands on management time and other risks and costs of delays or difficulties in transitioning to or integrating new systems into our current information technology systems. These implementations, modifications and upgrades may not result in productivity improvements at a level that outweighs the costs of implementation, or at all. In addition,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laws increase our compliance burden.</w:t>
      </w:r>
    </w:p>
    <w:p>
      <w:pPr>
        <w:spacing w:after="0" w:line="25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We are subject to a variety of privacy and data protection laws and regulations that change frequently and have requirements that vary from jurisdiction to jurisdiction. For example, we are subject to significant compliance obligations under privacy laws such as the GDPR in the European Union, the Personal Information Protection and Electronic Documents Act (“PIPEDA”) in Canada, the California Consumer Privacy Act ("CCPA") modified by the California Privacy Rights Act (“CPRA”), and the Personal Information Protection Law (“PIPL”) in the People's Republic of China ("PRC"). Some privacy laws prohibit the transfer of personal information to certain other jurisdictions. We are subject to privacy and data protection audits or investigations by various government agencies. Our failure to comply with these laws subjects us to potential regulatory enforcement activity, fines, private litigation including class actions, and other costs. Our efforts to comply with privacy laws may complicate our operations and add to our compliance costs. A significant privacy breach or failure or perceived failure by us or our third-party service providers to comply with privacy or data protection laws, regulations, policies or regulatory guidance might have a material adverse impact on our reputation, business operations and our financial condition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product failure and/or technology flaws.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Components used in our products are complex in design, and our products may contain undetected errors or result in failures when first introduced or when new versions are released. Despite product testing efforts and testing by current and potential customers, it is possible that errors will be found in a new product or enhancement after commercial shipments have commenced. The occurrence of product defects and/or technological flaws could result in negative publicity, delays in product introduction, the diversion of resources to remedy defects, loss of or delay in industry acceptance and adoption or claims by customers against us, and could cause us to incur warranty obligations and additional costs, any one of which could adversely affect our business. Furthermore, the failure of our products to perform as promised could result in increased costs, lower margins, liquidated damage payment obligations, and harm to our reputation and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adopt new technologies or adapt our e-commerce websites and systems to changing consumer demands or emerging industry standards, our business may be materially and adversely affected.</w:t>
      </w:r>
    </w:p>
    <w:p>
      <w:pPr>
        <w:spacing w:after="0" w:line="19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To remain competitive, we must continue to enhance and improve the responsiveness, functionality and features of our information technology, including our e-commerce websites and mobile applications. Our competitors are continually innovating and introducing new products to increase their consumer base and enhance user experience. As a result, in order to attract and retain consumers and compete against our competitors, we must continue to invest resources to enhance our information technology and improve our existing products and services for our consumers. The Internet and the online retail industry are characterized by rapid technological evolution, changes in consumer demands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in a cost-effective and timely way. The development of our e-commerce websites and other proprietary technology entails significant technical and business risks. There can be no assurance that we will be able to properly implement or use new technologies effectively or adapt our e-commerce websites and systems to meet consumer demands or emerging industry standards. If we are unable to adapt in a cost-effective and timely manner in response to changing market conditions or consumer demands, whether for technical, legal, financial or other reasons, our business, financial condition and results of operations may be materially and adversely affected.</w:t>
      </w:r>
    </w:p>
    <w:p>
      <w:pPr>
        <w:spacing w:after="0" w:line="19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sensitive information of our consumers and information technology systems against security breaches could damage our reputation and brand and substantially harm our business, financial condition and results of operations.</w:t>
      </w:r>
    </w:p>
    <w:p>
      <w:pPr>
        <w:spacing w:after="0" w:line="198"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We collect, maintain, transmit and store data about our consumers, suppliers and others, including personal information, financial information, including consumer payment information, as well as other confidential and proprietary information important to our business. We also employ third-party service providers that collect, store, process and transmit personal information, and confidential, proprietary and financial information on our behalf.</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in place certain technical and organizational measures designed to maintain the security of critical proprietary, personal, employee, provider and financial data. Despite implementation of such measures, our information technology systems, as well as those of our service providers and of third parties with which we have relationships, could still be vulnerable to failure or damage from computer viruses and other malware (e.g., ransomware), unauthorized access or other cybersecurity attacks, natural disasters (including hurricanes and earthquakes), terrorism, war, fire, and telecommunication or electrical failures. We and our service providers may not be able to prevent third parties, including criminals, competitors or others, from breaking into or altering our systems, disrupting our business operations or communications infrastructure through denial-of-service attacks, attempting to gain access to our systems, information or monetary funds through phishing or social engineering campaigns, installing viruses or malicious software on our e-commerce websites or devices used by our employees or contractors, or carrying out other activity intended to disrupt our systems or gain access to confidential or sensitive information in our or our service providers’ systems. Attacks upon information technology systems are increasing in their frequency, levels of persistence, sophistication and intensity, and these attacks are being conducted by sophisticated and organized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extended periods. Even if identified, we may be unable to adequately investigate or remediate incidents or breaches due to attackers increasingly using tools and techniques that are designed to circumvent controls, avoid detection, and remove or obfuscate forensic evidence. Even though we do not believe that we have experienced any significant security incident to date, we cannot guarantee that our security measures will be sufficient to prevent a material breach or compromise in the future. In addition, certain regulatory agencies such as the FDA require compliance with certain regulatory standards for cybersecurity and submission of certain information regarding cybersecurity measures during premarket reviews. Failure to comply with requirements relating to cybersecurity measures could jeopardize our product clearance or authorization from such agencies or subject us to other government agency enforcement action.</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Furthermore, any third parties that could gain unauthorized access to our information technology systems may engage in various other illegal activities using information obtained from such access, including credit card fraud or identity theft, which may cause additional harm to us, our consumers or our brand. We may also be vulnerable to error or malfeasance by our own employees or other insiders with access to our information technology systems. Third parties may attempt to fraudulently induce our or our service providers’ employees or consultants to misdirect funds or to disclose information in order to gain access to personal data about our consumers or website users that we maintain. In addition, we have limited control or influence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7" w:name="page48"/>
    <w:bookmarkEnd w:id="47"/>
    <w:p>
      <w:pPr>
        <w:ind w:right="160"/>
        <w:spacing w:after="0" w:line="258" w:lineRule="auto"/>
        <w:rPr>
          <w:sz w:val="20"/>
          <w:szCs w:val="20"/>
          <w:color w:val="auto"/>
        </w:rPr>
      </w:pPr>
      <w:r>
        <w:rPr>
          <w:rFonts w:ascii="Times New Roman" w:cs="Times New Roman" w:eastAsia="Times New Roman" w:hAnsi="Times New Roman"/>
          <w:sz w:val="18"/>
          <w:szCs w:val="18"/>
          <w:color w:val="auto"/>
        </w:rPr>
        <w:t>over the security policies or measures adopted by third-party providers of online payment services through which some of our consumers may elect to make payment for purchases at our e-commerce websites. We must have a designated employee to oversee cybersecurity operations and maintain a data security/information security program with specific measures, employee training, comprehensive risk assessments, vendor contract requirements, and timely data disposal. Contracted third-party delivery service providers may also violate their confidentiality or data processing obligations and disclose or use information about our consumers inadvertently or illegally.</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 material security breach were to occur, our reputation and brand could be damaged, and we could be required to expend significant capital and other resources to alleviate problems caused by such breaches, including our potential exposure to litigation or regulatory action and an increased risk of loss and liability. If a security breach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compromise or breach of our security measures, or those of our third-party service providers, may violate applicable privacy, data security, financial, cyber and other laws and cause significant legal and financial exposure, negative publicity, and a loss of confidence in our security measures, each of which could have a material adverse effect on our business, financial condition and results of operations.</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Although we maintain cyber liability insurance, we cannot be certain that our insurance coverage will be adequate for all breach-related liabilities or that such insurance will continue to be available to us on acceptable terms, or at all,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third-party service providers, then our reputation, business, results of operations and financial condition could be adversely affected.</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may also be subject to new laws governing the privacy of consumer health data, including information concerning individual health conditions and treatment. For example, Washington’s My Health My Data Act (“MHMD”) broadly defines consumer health data, places restrictions on processing consumer health data (including imposing stringent requirements for obtaining consumer consent), provides consumers certain rights with respect to their health data, and creates a private right of action to allow individuals to sue for violations of the law. Other states, including California, are considering and may adopt similar laws.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methods used on our e-commerce websites subject us to third-party payment processing-related risks.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accept payments from our consumers using a variety of methods, including online payments with credit cards and debit cards issued by major banks, payments made with gift cards processed by third-party providers and payments through third-party online payment platforms such as PayPal, Afterpay and Apple Pay. We also rely on third parties to provide payment processing services. For certain payment methods, including credit and debit cards, we pay interchange and other fees, which may increase over time and raise our operating costs and lower our profit margins. We may also be subject to fraud and other illegal activities in connection with the various payment methods we offer, including online payment options and gift cards. Transactions on our e-commerce websites are card-not-present transactions, so they present a greater risk of fraud. Criminals are using increasingly sophisticated methods to engage in illegal activities such as unauthorized use of credit or debit cards and bank account information. Requirements relating to consumer authentication and fraud detection with respect to online sales are complex.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ind w:right="40"/>
        <w:spacing w:after="0" w:line="253" w:lineRule="auto"/>
        <w:rPr>
          <w:sz w:val="20"/>
          <w:szCs w:val="20"/>
          <w:color w:val="auto"/>
        </w:rPr>
      </w:pPr>
      <w:r>
        <w:rPr>
          <w:rFonts w:ascii="Times New Roman" w:cs="Times New Roman" w:eastAsia="Times New Roman" w:hAnsi="Times New Roman"/>
          <w:sz w:val="18"/>
          <w:szCs w:val="18"/>
          <w:color w:val="auto"/>
        </w:rPr>
        <w:t>We are subject to payment card association operating rules, certification requirements, including the Payment Card Industry Data Security Standard (“PCI DSS”), including the new standards required under PCI DSS 4.0, and various rules, regulations and requirements governing electronic funds transfers, which could change or be reinterpreted to make it difficult or impossible for us to comply. Our or our vendors’ actual or perceived failure to comply with PCI DSS or to meet other payment card standards may result in card brands imposing financial penalties or allocating costs of fraudulent charges to us. As our business changes, we may also be subject to different rules under existing standards, which may require new assessments that involve costs above what it currently pays for compliance. If we fail to comply with the rules or requirements of any third-party provider of a payment method we accept, or if the volume of fraud in our transactions limits or terminates our rights to use payment methods we currently accept, or if a data breach occurs relating to our payment systems, or if security requirements for multi-factor authentication, passwords and encryption standards to prevent theft and malware are inadequate, among other things, we may be subject to fines and higher transaction fees or lose our ability to accept credit and debit card payments from our consumers, process electronic funds transfers or facilitate other types of online payments, and our reputation and our business, financial condition and results of operations could be materially and adversely affected.</w:t>
      </w:r>
    </w:p>
    <w:p>
      <w:pPr>
        <w:spacing w:after="0" w:line="201"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use AI in our business, and challenges with properly managing its use could result in harm to our brand, reputation, business or customers, and adversely affect our results of operations.</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implementing the use of AI solutions, including machine learning and generative AI tools that collect, aggregate, and analyze data to assist in the development of our products and in the use of internal tools that support our business. These applications may become increasingly important in our operations over time. This emerging technology presents a number of risks inherent in its use. AI algorithms are based on machine learning and predictive analytics, which can create accuracy issues, unintended biases, and discriminatory outcomes that could harm our brand, reputation, business, or customers. Additionally, no assurance can be made that the usage of AI will assist us in being more efficient. Further, dependence on AI without adequate safeguards to make certain business decisions may introduce additional operational vulnerabilities by producing inaccurate outcomes, recommendations, or other suggestions based on flaws in the underlying data or other unintended results. Our competitors or other third parties may incorporate AI into their business, services, and products more rapidly or more successfully than us, which could hinder our ability to compete effectively and adversely affect our results of operations. Implementing the use of AI successfully, ethically and as intended, will require significant resources. In addition, the use of AI may increase cybersecurity and data privacy risks, such as intended, unintended, or inadvertent transmission of proprietary or sensitive information. The technologies underlying AI and their use cases are rapidly developing, and it is not possible to predict all of the legal, operational or technological risks related to the use of AI. While new AI initiatives, laws, and regulations are emerging and evolving, what they ultimately will look like remains uncertain, and our obligation to comply with them could entail significant costs, negatively affect our business, or limit our ability to incorporate certain AI capabilities into our business.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conducting business internationally</w:t>
      </w:r>
    </w:p>
    <w:p>
      <w:pPr>
        <w:spacing w:after="0" w:line="23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International sales and operations comprise a significant portion of our business, which exposes us to foreign operational, political and other risks that may harm our business.</w:t>
      </w:r>
    </w:p>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generate an increasing share of our revenue from international sales and maintain international operations, including supply and distribution chains that are, and will continue to be, a significant part of our business. Since our growth strategy depends in part on our ability to penetrate international markets and increase the localization of our products and services, we expect to continue to increase our sales and presence outside the United States, particularly in markets we believe to have high-growth potential. However, the substantial up-front investment required to enter new markets, the lack of consumer awareness of our products in certain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jurisdictions, and make the success of our international efforts uncertain.</w:t>
      </w:r>
    </w:p>
    <w:p>
      <w:pPr>
        <w:spacing w:after="0" w:line="21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a result of our international operations, we must hire and train experienced personnel to staff and manage our foreign operations. To the extent that we experience difficulties in recruiting, training, managing and retaining an international staff, and specifically staff related to marketing, sales management, and sales personnel, we may experience difficulties in sales productivity in foreign markets.</w:t>
      </w:r>
    </w:p>
    <w:p>
      <w:pPr>
        <w:spacing w:after="0" w:line="20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Moreover, our international operations expose us to other risks and uncertainties that are customarily encountered in non-U.S. operations and that may have a material effect on our results of operations and business as a whole, including:</w:t>
      </w:r>
    </w:p>
    <w:p>
      <w:pPr>
        <w:spacing w:after="0" w:line="1" w:lineRule="exact"/>
        <w:rPr>
          <w:sz w:val="20"/>
          <w:szCs w:val="20"/>
          <w:color w:val="auto"/>
        </w:rPr>
      </w:pPr>
    </w:p>
    <w:p>
      <w:pPr>
        <w:ind w:left="580" w:hanging="248"/>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political and economic instability;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 of developing, testing and making localized versions of our products;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hiring and retaining employees;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laws and labor disruptions;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such as the COVID-19 pandemic, and natural disasters;</w:t>
      </w:r>
    </w:p>
    <w:p>
      <w:pPr>
        <w:spacing w:after="0" w:line="63" w:lineRule="exact"/>
        <w:rPr>
          <w:rFonts w:ascii="Times New Roman" w:cs="Times New Roman" w:eastAsia="Times New Roman" w:hAnsi="Times New Roman"/>
          <w:sz w:val="18"/>
          <w:szCs w:val="18"/>
          <w:color w:val="auto"/>
        </w:rPr>
      </w:pPr>
    </w:p>
    <w:p>
      <w:pPr>
        <w:ind w:left="660" w:right="580" w:hanging="328"/>
        <w:spacing w:after="0" w:line="281" w:lineRule="auto"/>
        <w:tabs>
          <w:tab w:leader="none" w:pos="5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international operations, including any travel restrictions imposed on us or our customers, such as those imposed in response to the COVID-19 pandemic;</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that could make it difficult to repatriate earnings and cash;</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more stringent import and export controls, license requirements and restrictions;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controlling production volume and quality of the manufacturing process;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and acts of war, including the current conflicts between Russia and Ukraine and between Israel and Hamas;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5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geopolitical instability and the responses to it, such as the possibility of economic sanctions, trade restrictions and changes in tariffs, such as the recent economic sanctions implemented by the United States against China and Russia and tariffs imposed by the United States and China;</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and limitations in telecommunication services;</w:t>
      </w:r>
    </w:p>
    <w:p>
      <w:pPr>
        <w:spacing w:after="0" w:line="63"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5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or material transportation delays or disruption, including as a result of customs clearance, violence, protests, police and military actions, or natural disasters;</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5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non-compliance by our employees, contractors, or partners or agents with, and burdens of complying with, a wide variety of extraterritorial, regional and local laws, including competition laws and anti-bribery laws such as the U.S. Foreign Corrupt Practices Act (“FCPA”) and the UK Bribery Act 2010 (the “UKBA”), in spite of our policies and procedures designed to promote compliance with these laws;</w:t>
      </w:r>
    </w:p>
    <w:p>
      <w:pPr>
        <w:spacing w:after="0" w:line="13" w:lineRule="exact"/>
        <w:rPr>
          <w:rFonts w:ascii="Times New Roman" w:cs="Times New Roman" w:eastAsia="Times New Roman" w:hAnsi="Times New Roman"/>
          <w:sz w:val="18"/>
          <w:szCs w:val="18"/>
          <w:color w:val="auto"/>
        </w:rPr>
      </w:pPr>
    </w:p>
    <w:p>
      <w:pPr>
        <w:ind w:left="660" w:hanging="328"/>
        <w:spacing w:after="0" w:line="266" w:lineRule="auto"/>
        <w:tabs>
          <w:tab w:leader="none" w:pos="5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government-led initiatives to encourage the purchase or support of domestic vendors, which can affect the willingness of customers to purchase products from, or collaborate to promote interoperability of products with, companies whose headquarters or primary operations are not domestic;</w:t>
      </w:r>
    </w:p>
    <w:p>
      <w:pPr>
        <w:spacing w:after="0" w:line="1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maintain adequate intellectual property protection for our brand and products;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in accounts receivable collection;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system subject to undue influence or corruption;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culture in which illegal sales practices may be prevalent; and</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3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any of the risks outlined above materialize in the future, we could experience production delays and lost or delayed revenues, among other potential negative consequences, which could materially impact our international operations and adversely affect our business as a whole.</w:t>
      </w:r>
    </w:p>
    <w:p>
      <w:pPr>
        <w:spacing w:after="0" w:line="171"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in the United States, Europe, China or any of the other countries in which we may conduct business could negatively affect our business, financial condition and results of operations.</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Consumer spending on beauty health products and services is influenced by general economic conditions and the availability of discretionary income. Adverse economic conditions in the United States, Europe, China or any of the other jurisdictions in which we do significant business, or periods of inflation or high energy prices may contribute to higher unemployment levels, decreased consumer spending, reduced credit availability and declining consumer confidence and demand, each of which poses a risk to our business. A decrease in consumer spending or in consumer confidence and demand for our products could have a significant negative impact on our net sales and profitability, including our operating margins and return on invested capital. In addition, rising interest rates due to the U.S. Federal Reserve’s tightening of monetary policy in order to combat inflation could increase our costs. These economic conditions could cause some of our providers or suppliers to experience cash flow or credit problems and impair their financial condition, which could disrupt our business and adversely affect product orders, payment patterns and default rates and increase our bad debt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planned exit of the United Kingdom from the European Union are a source of instability and uncertainty.</w:t>
      </w:r>
    </w:p>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31, 2020, the United Kingdom formally withdrew from the EU. Uncertainties regarding trade arrangements between the United Kingdom and the EU resulting from such withdrawal could result in increased costs or otherwise adversely impact our operations in the EU and the United Kingdom. We distribute our products to our EU based providers and distributors from the United Kingdom. Depending on tariffs and trade regulation negotiations, we may be forced to acquire duplicate arrangements in the EU either temporarily or permanently, which may increase our costs in the EU and the United Kingdom.</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since the United Kingdom is no longer part of the EU, its data protection regulatory regime is also independent of the EU. Since January 1, 2021, companies have had to comply with the GDPR and also the UK GDPR, which, together with the amended United Kingdom Data Protection Act 2018, retains the GDPR in UK national law. The UK GDPR mirrors the fines under the GDPR, i.e.,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In addition, the longer term economic, legal, political, regulatory and social framework to be put in place between the United Kingdom and the EU remain unclear and have had and may continue to have a material and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materially and adversely affect our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conduct business in China, which exposes us to risks inherent in doing business in that country.</w:t>
      </w:r>
    </w:p>
    <w:p>
      <w:pPr>
        <w:spacing w:after="0" w:line="2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currently source components in China and do not have substantial alternatives to those suppliers. We also utilize warehouse services provided by third parties in China. As the Chinese economy continues to develop, the cost of labor has increased and may continue to increase in the future. Our results of operations may be materially and adversely affected if the labor costs of our suppliers or the third parties we utilize continue to increase significantly or if our suppliers and such third parties experience significant liabilities due to violations of Chinese labor laws and related regulations. In addition, our suppliers and the third parties we utilize in China may be unable to find a sufficient number of qualified workers due to the intensely competitive and fluid market for skilled labor in China. As we plan to transition our sales in China from a direct sales model to a distributor model and reduce our direct workforce in China, we will be subject to these labor laws and will make payments in accordance with such laws. If we decide to change or reduce our direct workforce further in the future, these labor laws could limit or restrict our ability to make such changes in a timely, favorable, and effective manner.</w:t>
      </w:r>
    </w:p>
    <w:p>
      <w:pPr>
        <w:spacing w:after="0" w:line="2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Furthermore, the Chinese government may impose additional regulations regarding ingredients and composition and these regulations may affect our products. The Chinese government may regulate or apply a substantially different set of requirements to our products than anticipated, in which case we may need to invest a significant amount of resources and time before we can commercialize our products in the country. Any of these events may materially and adversely affect our business, financial condition and results of operations.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conducting business in China also exposes us to political, legal and economic risks. In particular, the political, legal and economic climate in China, both nationally and regionally, is fluid and unpredictable. Our ability to conduct business in China may be adversely affected by changes in U.S. and Chinese laws and regulations such as those related to, among other things, taxation, import and export tariffs, environmental regulations, land use rights, intellectual property, currency controls, network security, and other matters. In addition, we or our suppliers or our distributors may not obtain or retain the requisite legal permits to continue to do business in China, and costs or operational limitations may be imposed in connection with obtaining and complying with such permits. In other cases, we may be forced to expend a significant amount of resources to obtain the requisite legal permits, such as clinical trials, or otherwise be required to forfeit such permits. In addition, Chinese trade regulations are in a state of flux, and we may become subject to other forms of taxation, tariffs and duties in China that could adversely affect our ability to sell our products in China. Furthermore, the third parties that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1" w:name="page52"/>
    <w:bookmarkEnd w:id="51"/>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 and potential additional tariffs imposed by the United States government on certain imports or a global trade war could increase the cost of our products, which could materially and adversely affect our business, financial condition and results of operations.</w:t>
      </w:r>
    </w:p>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U.S. government has imposed increased tariffs on certain imports from China and other countries, some of which cover products that we import from that country. We currently source important components for our products from third-party suppliers in China, and, as such, current tariffs may increase our cost of goods, which may result in lower gross margin on certain of our products. In any case, increased tariffs on imports from China could materially and adversely affect our business, financial condition and results of operations. In retaliation for the current U.S. tariffs, China has implemented tariffs on a wide range of American products. There is also a concern that the imposition of additional tariffs by the United States could result in the adoption of tariffs by other countries as well, leading to a global trade war. Trade restrictions implemented by the United States or other countries in connection with a global trade war could materially and adversely affect our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changes in the United States political environment.</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Any policy changes as a result of the change in presidential administration and Congress in 2025 could significantly affect our business as well as the markets in which we operate. Specific legislative and regulatory proposals discussed during election campaigns and more recently that might materially impact our business include, but are not limited to, promoting access to healthcare via market competition and pricing transparency, enhancing flexibility and choice in healthcare at the state and individual level, prioritizing domestic production and increasing tariffs on imports (which may complicate and increase costs associated with our supply chain), and rolling back regulatory initiatives adopted under the previous administration. We cannot predict whether industry initiatives to seek tariff carve-outs for devices or other life sciences goods and products will be successful.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Personnel and policy changes at the regulatory agencies, including the FDA, may hinder our ability to operate our business as intended.</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the change in the presidential administration in 2025, substantial uncertainty remains as to how, if at all, the new administration will seek to modify or revise the requirements and policies of the FDA and other regulatory agencies with jurisdiction over our products. Since the start of the new congressional session and presidential administration, substantial volatility and uncertainty have surrounded both the present activities of federal regulatory agencies and their future, including termination of a substantial number of employees at many agencies, and re-hiring of a substantial number of such employees at certain regulatory agencies, such as the FDA. The new administration also has issued, and is expected to continue relying upon, executive orders to address a wide range of policy areas, some of which may impact our business. Examples of executive orders that have already been issued on public health and healthcare topics include orders seeking to withdraw the United States from the World Health Organization, rescind a 2022 order issued under the prior administration to lower the cost of prescription drugs, and address COVID-19 vaccination requirements. The new administration has also delayed or put on pause a number of initiatives at the FDA. Such political developments may require us to allocate significant time, resources, and expense to modifying our policies and procedures, processes, systems, and practices to ensure compliance or adapt to the new regulatory climate, particularly to the extent such actions are subject to protracted and uncertain legal challenges. To the extent changes in the political environment have a negative impact on us or on our markets, our business, results of operation, and financial condition could be materially and adversely affected in the future.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environmental, social, and governance issues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governmental actions to reduce such change may disrupt our operations and/or reduce consumer demand for our products.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Climate change could impact our business in various ways. Government action to reduce climate change such as the introduction of a carbon tax, land use regulations or product composition regulations that restrict or ban certain greenhouse gas intensive ingredients, could impact our business through higher costs or reduced flexibility of operations. Market risks associated with the energy transition and rising energy prices could disrupt our operations and increase costs. Physical environment risks such as water scarcity could impact our operations or reduce demand for our products that require water during consumer use. Increased frequency of extreme weather events such as high temperatures, hurricanes or floods could cause increased incidence of disruption to our supply chain, manufacturing and distribution network. If we do not take action, climate change could result in increased costs, reduced profit and reduced growth. For example, in California, high temperatures during the summer months, earthquakes, or wildfire danger could increase the probability of planned (or unplanned) power outages which may impact our operations and have the potential to disrupt our business.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52" w:name="page53"/>
    <w:bookmarkEnd w:id="52"/>
    <w:p>
      <w:pPr>
        <w:ind w:right="2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Increased scrutiny from investors and others regarding our environmental, social, governance, or sustainability, responsibilities could result in additional costs or risks and adversely impact our reputation, employee retention, and willingness of customers and suppliers to do business with us.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Investor advocacy groups, certain institutional investors, investment funds, other market participants, stockholders, and customers have focused increasingly on the ESG or “sustainability” practices of companies, including those associated with climate change. These parties have placed increased importance on the implications of the social cost of their investments. If our ESG practices do not meet investor or other industry stakeholder expectations and standards, which continue to evolve, our brand, reputation and employee retention may be negatively impacted based on an assessment of our ESG practices. Any sustainability report that we publish or other sustainability disclosures we make may include our policies and practices on a variety of social and ethical matters, including corporate governance, environmental compliance, employee health and safety practices, human capital management, product quality, supply chain management, and workforce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customers and suppliers to do business with us.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evolving laws and regulations and compliance with laws and regulations</w:t>
      </w:r>
    </w:p>
    <w:p>
      <w:pPr>
        <w:spacing w:after="0" w:line="239"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New laws, regulations, enforcement trends or changes in existing regulations governing the introduction, marketing and sale of our products to consumers could harm our business.</w:t>
      </w:r>
    </w:p>
    <w:p>
      <w:pPr>
        <w:spacing w:after="0" w:line="19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 has been an increase in regulatory activity and activism in the United States and abroad, and the regulatory landscape is becoming more complex with increasingly strict requirements. In addition, significant uncertainty exists during periods of political and governmental transition that may impact existing laws and regulations, as well as our ability to remain compliant. If this trend continues, we may find it necessary to alter some of the ways we have traditionally manufactured and marketed our products in order to stay in compliance with a changing regulatory landscape, and this could add to the costs of our operations and have an adverse impact on our business. To the extent federal, state, local or foreign regulatory changes regarding the scope of practice of estheticians or other professionals utilizing our products, licensing, distribution, consumer protection, or the ingredients, marketing, claims, or safety of our products occurs in the future, they could require us to obtain additional licenses and registrations, reformulate or discontinue certain of our products, revise the product packaging or labeling, adjust operations and systems, or affect our ability to sell our products to certain customer groups in particular states, countries, and/or territories, any of which could result in, among other things, increased costs, delays in product launches, product returns or recalls and lower net sales, and therefore could have a material adverse effect on our business, financial condition and results of operations. Noncompliance with applicable regulations, including those for medical devices, could result in enforcement action by the FDA or other regulatory authorities within or outside the United States, including state and local regulatory authorities, with actions including but not limited to warning letters or untitled letters, fines; injunctions or civil penalties; suspension or withdrawal of approvals or clearances; seizures or recalls of product; total or partial suspension of production or distribution; administrative or judicially imposed sanctions; the FDA’s refusal to grant pending or future clearances or approvals for products; clinical holds; refusal to permit the import or export of products; and criminal prosecution, all of which could have a material adverse effect on our business, reputation, financial condition and results of operations.</w:t>
      </w:r>
    </w:p>
    <w:p>
      <w:pPr>
        <w:spacing w:after="0" w:line="2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example, Congress enacted MoCRA on December 29, 2022, which directed FDA to implement a set of new regulatory requirements that previously were not applicable to cosmetic products. Pursuant to MoCRA, FDA now subjects manufacturers and cosmetic products to requirements such as facility registration and product listing requirements, adverse event reporting requirements, and other labeling requirements. The FDA is required to promulgate final regulations implementing GMPs for cosmetics by December 29, 2025. Moreover, depending on how we market the products, they could also be regulated as both drugs and cosmetics simultaneously, as the categories are not mutually exclusive. The statutory and regulatory requirements applicable to drugs are extensive and require significant resources and time to ensure compliance. For example, if any of our products intended to be sold as cosmetics were to be regulated as drugs or as medical device accessories, we might be required to conduct, among other things, clinical trials to demonstrate the safety and efficacy of these products. We may not have sufficient resources to conduct any required clinical trials or to ensure compliance with the premarket, post market and manufacturing requirements applicable to drugs and medical devices. If the FDA determines that any of our products intended to be sold as cosmetics should be classified and regulated as drug or medical device products but we are unable to comply with the applicable requirements, we may be unable to continue to market those products. Any inquiry into the regulatory status of our products and any related interruption in the marketing and sale of these products by any regulatory agencies, such as the FDA, could damage our reputation and image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3" w:name="page54"/>
    <w:bookmarkEnd w:id="53"/>
    <w:p>
      <w:pPr>
        <w:ind w:right="80"/>
        <w:spacing w:after="0" w:line="256" w:lineRule="auto"/>
        <w:rPr>
          <w:sz w:val="20"/>
          <w:szCs w:val="20"/>
          <w:color w:val="auto"/>
        </w:rPr>
      </w:pPr>
      <w:r>
        <w:rPr>
          <w:rFonts w:ascii="Times New Roman" w:cs="Times New Roman" w:eastAsia="Times New Roman" w:hAnsi="Times New Roman"/>
          <w:sz w:val="18"/>
          <w:szCs w:val="18"/>
          <w:color w:val="auto"/>
        </w:rPr>
        <w:t>In recent years, the FDA has issued warning letters to several cosmetic companies alleging improper claims regarding their cosmetic products. If the FDA determines that we have disseminated inappropriate drug claims for our products intended to be sold as cosmetics, we could receive a warning or untitled letter or other FDA enforcement action, be required to modify our product claims, or take other actions to satisfy the FDA, which may include product recalls. In addition, plaintiffs’ lawyers have filed class action lawsuits against cosmetic companies after receipt of these types of FDA warning letters. There can be no assurance that we will not be subject to state and federal government actions or class action lawsuits, which could harm our business, financial condition, and results of operations.</w:t>
      </w: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EU does not currently require pre-market approval for cosmetic products, but all products to be marketed in the EU must be registered in the CPNP before being placed on the market. In addition, there is a ban on animal testing for cosmetic purposes and finished cosmetic products or ingredients which were tested on animals may not be marketed in the EU. A product will be considered a drug if it is intended to or presented as treating or preventing a disease or restoring, correcting or modifying significantly physiological functions by a pharmacological, immunological or metabolic action. Similarly to the United States, the statutory and regulatory requirements applicable to drugs and medical devices are extensive and require significant resources and time to ensure compliance.</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also may begin to sell consumer products, which are subject to regulation by the CPSC in the United States under the provisions of the Consumer Product Safety Act, as amended by the Consumer Product Safety Improvement Act of 2008. These statutes and the related regulations ban from the market consumer products that fail to comply with applicable product safety laws, regulations and standards. The CPSC has the authority to require the recall, repair, replacement or refund of any such banned products or products that otherwise create a substantial risk of injury and may seek penalties for regulatory noncompliance under certain circumstances. The CPSC also requires manufacturers of consumer products to report certain types of information to the CPSC regarding products that fail to comply with applicable regulations. Certain state laws also address the safety of consumer products, and mandate reporting requirements, and noncompliance may result in penalties or other regulatory action. Similar requirements may exist in foreign jurisdictions.</w:t>
      </w:r>
    </w:p>
    <w:p>
      <w:pPr>
        <w:spacing w:after="0" w:line="20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New laws, regulations, enforcement trends, or changes in existing regulations could affect the ability of our esthetician providers in certain states to provide our treatments to consumers, any of which could have a material adverse effect on our business, financial condition, and results of operation.</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Currently, many states allow licensed estheticians to provide Hydrafacial treatments to customers without supervision by a physician. Changes in regulations or enforcement trends regarding the scope of practice of estheticians and other professionals could limit the ability of estheticians to provide Hydrafacial treatments or require estheticians to obtain additional training and certifications to provide Hydrafacial treatments. Any such regulatory changes could affect our ability to sell our products to certain customer groups in particular states and/or territories, which could result in decreased sales, and therefore could have a material adverse effect on our business, financial condition, and results of operation.</w:t>
      </w:r>
    </w:p>
    <w:p>
      <w:pPr>
        <w:spacing w:after="0" w:line="19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and continuing regulatory compliance obligations. If we fail to obtain and maintain necessary market clearances from the FDA and other marketing authorizations or certifications from counterpart foreign regulatory authorities or notified bodies for our medical device products and indications, if clearances or other marketing authorizations or certifications for future products and indications are delayed or not issued, if we or any third-party suppliers or manufacturers fail to comply with applicable regulatory requirements, or if there are U.S. federal or state level or comparable foreign regulatory changes, our commercial operations could be harmed.</w:t>
      </w:r>
    </w:p>
    <w:p>
      <w:pPr>
        <w:spacing w:after="0" w:line="21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products are subject to extensive regulation by the applicable regulatory authorities where our products are or will be sold prior to their marketing for commercial use. In the United States, medical device products are subject to extensive regulation by the FDA and include requirements related to developing, testing, establishment registration and device listing, manufacturing, labeling, sale, marketing, advertising, promotion, distribution, import, export, shipping, inspections and audits, record keeping, recalls and field safety corrective actions and post-market surveillance, including reporting of certain events. Currently, Delivery Systems are subject to regulation by the FDA and comparable foreign regulatory authorities as a medical device, while our Boosters and serums are marketed as cosmetics.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54" w:name="page55"/>
    <w:bookmarkEnd w:id="54"/>
    <w:p>
      <w:pPr>
        <w:spacing w:after="0" w:line="253" w:lineRule="auto"/>
        <w:rPr>
          <w:sz w:val="20"/>
          <w:szCs w:val="20"/>
          <w:color w:val="auto"/>
        </w:rPr>
      </w:pPr>
      <w:r>
        <w:rPr>
          <w:rFonts w:ascii="Times New Roman" w:cs="Times New Roman" w:eastAsia="Times New Roman" w:hAnsi="Times New Roman"/>
          <w:sz w:val="18"/>
          <w:szCs w:val="18"/>
          <w:color w:val="auto"/>
        </w:rPr>
        <w:t>Before a new medical device, or a new use of, or claim for, an existing medical device product can be marketed in the United States, it must first receive marketing authorization from the FDA unless it is exempt from such requirements. The FDA marketing authorizations for medical devices include a clearance of a premarket notification under Section 510(k) of the FDCA (or a 510(k) clearance), or premarket approval of a Premarket Approval application. Alternatively, some devices may be exempt from 510(k) clearance, receive enforcement discretion from the FDA or may receive marketing authorization through the De Novo classification pathway. Authorization processes can be expensive and lengthy. The FDA’s 510(k) clearance process usually takes from three to 12 months, but it can take longer. The process of obtaining premarket approval is much more costly and uncertain than the 510(k) clearance process and it generally takes from one to three years, or even longer, from the time the application is submitted to the FDA. The De Novo classification pathway, when available, has a 150 day timeline for review. Our future products and enhancements or changes to products may require new 510(k) clearance, premarket approval, authorization from the FDA or listing with the FDA, as well as state licenses as may be applicable to the manufacturing or distribution of medical devices. The currently marketed medical devices are marketed pursuant to 510(k) clearances we have obtained or are exempt from the requirement to obtain such clearance or other form of marketing authorization.</w:t>
      </w:r>
    </w:p>
    <w:p>
      <w:pPr>
        <w:spacing w:after="0" w:line="21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Medical devices may be marketed only for the indications for which they are approved or cleared, or for which they are classified as exempt from such premarket requirements. If the FDA disagrees with us concerning the scope or applicability of a clearance or exemption with respect to a device or its marketing, we may be required to change its promotional and/or labeling materials and/or stop marketing that device and may need to pursue additional authorizations or conduct product recalls, corrections, or removals. We may not be able to obtain additional 510(k) clearances or premarket approvals for new products or for modifications to, or additional indications for, existing products in a timely fashion, or at all and may be found by the FDA to be in violation of these authorities.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w:t>
      </w:r>
    </w:p>
    <w:p>
      <w:pPr>
        <w:spacing w:after="0" w:line="2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EU, until May 25, 2021, medical devices were regulated by the Council Directive 93/42/EEC (the “Medical Devices Directive”), which has been repealed and replaced by Regulation (EU) No 2017/745 (the “Medical Devices Regulation”) which became effective on May 26, 2021. Our current certificates have been granted and renewed under the Medical Devices Directive. The Medical Devices Regulation provides for a transition period to extend the validity of CE certificates issued under the Medical Device Directive until May 26, 2024, and also contains an additional ‘sell-off' period which allows for the further making available until May 26, 2025 of medical devices which are placed on the market before May 26, 2021 or during the transition period and which are still in the supply chain when the transition period has ended. The transition and sell-off periods are subject to conditions, in particular, that the certificate in question must still be valid. In addition, as of May 26, 2021, manufacturers must comply with the Medical Devices Regulation requirements applying in place of the corresponding requirements of the Medical Devices Directive with regard to registration of economic operators and of devices, post-market surveillance, market surveillance and vigilance requirements. On January 6, 2023, the European Commission proposed a draft regulation to extend the transition periods under the EU Medical Devices Regulation for certain devices and thus extending the validity of the CE certificates that were issued under the EU Medical Devices Directive, as well as to delete the current “sell-off” deadline. The draft amending regulation is subject to the accelerated adoption procedure of the European Parliament and Council.</w:t>
      </w:r>
    </w:p>
    <w:p>
      <w:pPr>
        <w:spacing w:after="0" w:line="21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Under the Medical Devices Directive, all medical devices placed on the market in the EU must meet the relevant essential requirements laid down in Annex I to the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including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ind w:right="40"/>
        <w:spacing w:after="0" w:line="253" w:lineRule="auto"/>
        <w:rPr>
          <w:sz w:val="20"/>
          <w:szCs w:val="20"/>
          <w:color w:val="auto"/>
        </w:rPr>
      </w:pPr>
      <w:r>
        <w:rPr>
          <w:rFonts w:ascii="Times New Roman" w:cs="Times New Roman" w:eastAsia="Times New Roman" w:hAnsi="Times New Roman"/>
          <w:sz w:val="18"/>
          <w:szCs w:val="18"/>
          <w:color w:val="auto"/>
        </w:rPr>
        <w:t>To demonstrate compliance with the essential requirements,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21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the EU, we must inform the notified body that carried out the conformity assessment of the medical devices that we market or sell in the EU of any planned substantial changes to the quality system or substantial changes to our medical devices that could affect compliance with the general safety and performance requirements or cause a substantial change to the intended use for which the device has been CE marked. The notified body will then assess the planned changes and verify whether they affect the products’ ongoing conformity with the applicable legislation. If the assessment is favorable, the notified body will issue a new certificate of conformity or an addendum to the existing certificate attesting compliance with the general safety and performance requirements and quality system requirements.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Pursuing marketing of medical devices in the EU will require devices to be certified under the new regime set forth in the Medical Devices Regulation when our current certificates expire. If we fail to remain in compliance with applicable EU legislation, we would be unable to continue to affix the CE mark to its products, which would prevent us from selling them within the EU and the European Economic Area (“EEA”) (which consists of the 27 EU member states plus Norway, Liechtenstein and Iceland).</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FDA or the applicable foreign regulatory bodies and notified bodies can delay, limit, or deny clearance, approval, or certification of a device for many reasons. In addition, the FDA or applicable foreign regulatory bodies may change their clearance, approval, and certification policies, adopt additional regulations or revise existing regulations, or take other actions, which may prevent or delay approval, clearance, or certification of future products under development or impact our ability to modify currently cleared or certified products on a timely basis. Such policy or regulatory changes could impose additional requirements that could delay our ability to obtain new clearances, increase the costs of compliance or restrict our ability to maintain our current clearances.</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regulatory clearances, approvals, or certifications to market a product can contain limitations on the indications for use of such product. Product clearances, approvals and certifications can be withdrawn due to failure to comply with regulatory standards or the occurrence of unforeseen problems following initial clearance, approval, or certification. FDA and foreign regulations depend heavily on administrative interpretation, and there can be no assurance that future interpretations made by the FDA or other regulatory bodies or notified bodies will not adversely affect our operations. We and our manufacturers may be inspected or audited by the FDA or other regulatory bodies and notified bodies from time to time to determine whether we or our manufacturers are in compliance with applicable laws. A determination that we are in violation of FDA or other applicable foreign laws and regulations or any of our product clearances, approvals or certifications could lead to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and/or criminal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other commercial partners may engage in misconduct or other improper activities, including non-compliance with regulatory standards and requirements.</w:t>
      </w:r>
    </w:p>
    <w:p>
      <w:pPr>
        <w:spacing w:after="0" w:line="19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consultants, and other commercial partners and business associates may engage in fraudulent or other misconduct. Misconduct by these parties could include intentional, reckless or negligent conduct or other unauthorized activities that violate the regulations of the FDA and non-U.S. regulators,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billing and claims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spacing w:after="0" w:line="20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facilities are subject to regulation under the FDCA and FDA implementing regulations governing the manufacture of our products. If we fail to comply with federal, state and foreign regulations, our manufacturing operations could be halted, and our business would suffer.</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facilities are subject to regulation under the FDCA and FDA implementing regulations. With respect to our medical device products, we are required to demonstrate and maintain compliance with the FDA’s current Good Manufacturing Practices, referred to as the Quality System Regulation. The QSR is a complex regulatory scheme that covers the methods and documentation of the design, testing, control, manufacturing, labeling, quality assurance, packaging, storage, and shipping of medical device products. The FDA enforces the QSR through periodic announced or unannounced inspections. Because we are subject to the QSR, we are subject to such inspections. Any failure by us to take satisfactory corrective action in response to an adverse inspection could result in enforcement actions against us, including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 Any of these actions could significantly and negatively impact the supply of our products and could cause our sales and business to suffer. In addition, we are subject to standards imposed on our activities outside of the United States. A failure to comply with applicable regulations governing the manufacture of our products could have a material adverse effect on our business, financial condition, and results of operations.</w:t>
      </w:r>
    </w:p>
    <w:p>
      <w:pPr>
        <w:spacing w:after="0" w:line="20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use,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20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use, misuse, or off-label use of our products may harm our reputation or the image of our products in the marketplace, result in injuries that lead to product liability suits, which could be costly to the business, or result in legal sanctions if we are deemed or alleged to have engaged in the promotion of such off-label uses – i.e., off-label promotion.</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medical device products are either exempt from marketing authorization requirements or are subject to the 510(k) clearance process or certification outside the United States. We may only use labeling, including promotional materials, that are consistent with the specific indication(s) for use included in the FDA exemption regulation, 510(k) clearance or certification, or in the case of our cosmetic products, that are consistent with the kinds of claims that are permitted to be used for cosmetics under the FDCA, and as applicable to the specific product. If the FDA or other authorities determine that our promotional or training materials constitute the unlawful promotion of an off-label use, they could request that we modify our training or promotional materials and/or subject us to warning letters or untitled letters; fines, injunctions or civil penalties; suspension or withdrawal of approvals or clearances; seizures or recalls of products; total or partial suspension of production or distribution;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7" w:name="page58"/>
    <w:bookmarkEnd w:id="57"/>
    <w:p>
      <w:pPr>
        <w:ind w:right="180"/>
        <w:spacing w:after="0" w:line="282" w:lineRule="auto"/>
        <w:rPr>
          <w:sz w:val="20"/>
          <w:szCs w:val="20"/>
          <w:color w:val="auto"/>
        </w:rPr>
      </w:pPr>
      <w:r>
        <w:rPr>
          <w:rFonts w:ascii="Times New Roman" w:cs="Times New Roman" w:eastAsia="Times New Roman" w:hAnsi="Times New Roman"/>
          <w:sz w:val="18"/>
          <w:szCs w:val="18"/>
          <w:color w:val="auto"/>
        </w:rPr>
        <w:t>administrative or judicially imposed sanctions; the FDA’s refusal to grant pending or future clearances or approvals for products; clinical holds; refusal to permit the import or export of products; and/or criminal prosecution.</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there may be increased risk of regulatory enforcement if we or our sales force markets our products for off-label use, or physicians, estheticians, or others attempt to use our products off-label. The FDA and other foreign authorities do not restrict or regulate a physician’s or other licensed professional’s use of a medical product within the scope of practice of medicine or other licensed activity, and we cannot prevent the use of our products off-label. The use of our products for indications other than those for which our products have been cleared by the FDA or certified by a notified body, or that are permitted under the scope of any regulation establishing an exemption from 510(k) clearance, may not have the intended effect, which could harm our reputation in the marketplace. Physicians, estheticians, and others may also misuse our products or use improper techniques if they are not adequately trained in the particular use, potentially leading to injury and an increased risk of product liability claims. Product liability claims are expensive to defend and could divert management’s attention from the primary business and result in substantial damage awards against us. Any of these events could harm our business, results of operations and financial condition.</w:t>
      </w:r>
    </w:p>
    <w:p>
      <w:pPr>
        <w:spacing w:after="0" w:line="19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regulations and private party actions relating to the marketing and advertising of our products and services may restrict, inhibit, or delay our ability to sell our products and harm our business, financial condition and results of operations.</w:t>
      </w:r>
    </w:p>
    <w:p>
      <w:pPr>
        <w:spacing w:after="0" w:line="19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Government authorities regulate advertising and product claims regarding the performance and benefits of our products. These regulatory authorities typically require a reasonable basis to support any marketing claims. What constitutes a reasonable basis for substantiation can vary widely from market to market, and there is no assurance that the efforts that we undertake to support our claims will be deemed adequate for any particular product or claim. A significant area of risk for such activities relates to improper or unsubstantiated claims about our products and their use or safety. If we are unable to show adequate substantiation for our product claims, or our promotional materials make claims that exceed the scope of allowed claims for the classification of the specific product, the FDA, the FTC or other regulatory authorities could take enforcement action or impose penalties, such as monetary consumer redress, requiring us to revise our marketing materials, amend our claims or stop selling certain products, all of which could harm our business, financial condition and results of operations. Any regulatory action or penalty could lead to private party actions, or private parties could seek to challenge our claims even in the absence of formal regulatory actions, which could harm our business, financial condition, and results of operations.</w:t>
      </w:r>
    </w:p>
    <w:p>
      <w:pPr>
        <w:spacing w:after="0" w:line="19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other undesirable side effects that we are required to report to the FDA or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22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or foreign regulatory authorities when, among other things, we receive or become aware of certain information reasonably suggesting that our products may have caused or contributed to serious injuries or may have malfunctioned in certain ways. The timing of the obligation to report is triggered by the date we become aware of the adverse event as well as the nature of the event. We may fail to report within the prescribed timeframe adverse events of which we become aware.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w:t>
      </w:r>
    </w:p>
    <w:p>
      <w:pPr>
        <w:spacing w:after="0" w:line="2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FDA and foreign regulatory authorities have the authority to require the recall or recommend the market withdrawal, as applicable, of commercialized products in the event of material deficiencies or defects in design or manufacture of a product or in the event that a product poses an unacceptable risk to health. Companies may also choose to voluntarily recall a product if any material deficiency or regulatory violation is discovered. A government-mandated or voluntary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Depending on the corrective action we take to redress a product’s deficiencies or defects, the FDA or foreign regulatory authorities may require, or we may decide, that we will need to obtain new approvals, clearances or certifications for the product before we may market or distribute the corrected product. Seeking such approvals, clearances or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8" w:name="page59"/>
    <w:bookmarkEnd w:id="58"/>
    <w:p>
      <w:pPr>
        <w:spacing w:after="0" w:line="258" w:lineRule="auto"/>
        <w:rPr>
          <w:sz w:val="20"/>
          <w:szCs w:val="20"/>
          <w:color w:val="auto"/>
        </w:rPr>
      </w:pPr>
      <w:r>
        <w:rPr>
          <w:rFonts w:ascii="Times New Roman" w:cs="Times New Roman" w:eastAsia="Times New Roman" w:hAnsi="Times New Roman"/>
          <w:sz w:val="18"/>
          <w:szCs w:val="18"/>
          <w:color w:val="auto"/>
        </w:rPr>
        <w:t>certifications may delay our ability to replace the recalled products in a timely manner. Moreover, if we do not adequately address problems associated with our products, we may face additional regulatory enforcement action, including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corrective actions, even if they are not reportable to the FDA or foreign regulatory authorities. We may initiate voluntary withdrawals or corrections for our products in the future that we determine do not require notification to the FDA or foreign regulatory authorities. If the FDA or foreign regulatory authorities disagree with our determinations, it could require that we report those actions as recalls and we may be subject to enforcement action. A future recall announcement could harm our reputation with customers, potentially lead to product liability claims against us and negatively affect sales.</w:t>
      </w:r>
    </w:p>
    <w:p>
      <w:pPr>
        <w:spacing w:after="0" w:line="19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or disruptions caused by global health concerns impacting the FDA and other government agencies or notified bodies could hinder their ability to hire and retain key leadership and other personnel, or otherwise prevent new products from being developed, authorized, or commercialized in a timely manner, which could negatively impact our business.</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ability of the FDA, other government agencies and notified bodies to review and approve or certify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other government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be cleared or approved or certified medical devices to be reviewed and/or cleared, approved or certified by necessary government agencies or notified bodies, which would adversely affect our business. For example, over the past decade, the United States government has shut down several times and certain regulatory agencies, such as the FDA, have had to furlough critical FDA employees and stop critical and non-critical activities.</w:t>
      </w:r>
    </w:p>
    <w:p>
      <w:pPr>
        <w:spacing w:after="0" w:line="21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event that a prolonged government shutdown occurs, or if new or existing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Furthermore, changes in the regulatory landscape in response to the new presidential administration and congress in 2025 may result in significant changes to laws, regulations, and enforcement practices of various agencies that we may not be able to follow or may significantly change the way that our business operates. Changes to existing laws, regulations, and enforcement practices may cause us to experience losses, force us to discontinue the sale of certain products or alter the way our business sells products, force us to close certain facilities or restructure, and potentially cease operations in extreme circumstances. It is impossible to predict changes that may result from the new administration, and the risks associated with this change are not completely known.</w:t>
      </w:r>
    </w:p>
    <w:p>
      <w:pPr>
        <w:spacing w:after="0" w:line="2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in the EU, notified bodies must be officially designated to certify products and services in accordance with the EU Medical Devices Regulation. While several notified bodies have been designated the COVID-19 pandemic has significantly slowed down their designation process and the current designated notified bodies are facing a large amount of requests with the new regulation as a consequence of which review times have lengthened. This situation could impact our ability to grow our business in the EU and EEA.</w:t>
      </w:r>
    </w:p>
    <w:p>
      <w:pPr>
        <w:spacing w:after="0" w:line="189"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shares of Class A Common Stock.</w:t>
      </w:r>
    </w:p>
    <w:p>
      <w:pPr>
        <w:spacing w:after="0" w:line="20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As an “accelerated filer”, we are responsible for establishing and maintaining internal controls and procedures that will allow our management to report on, and our independent registered public accounting firm to attest to, our internal controls over financial reporting under Section 404 of the Sarbanes-Oxley Act of 2002, or Section 404. Although our independent registered public accounting firm is required to attest to the effectiveness of our internal control over financial reporting pursuant to Section 404(b) of the Sarbanes-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9" w:name="page60"/>
    <w:bookmarkEnd w:id="59"/>
    <w:p>
      <w:pPr>
        <w:ind w:right="60"/>
        <w:spacing w:after="0"/>
        <w:rPr>
          <w:sz w:val="20"/>
          <w:szCs w:val="20"/>
          <w:color w:val="auto"/>
        </w:rPr>
      </w:pPr>
      <w:r>
        <w:rPr>
          <w:rFonts w:ascii="Times New Roman" w:cs="Times New Roman" w:eastAsia="Times New Roman" w:hAnsi="Times New Roman"/>
          <w:sz w:val="18"/>
          <w:szCs w:val="18"/>
          <w:color w:val="auto"/>
        </w:rPr>
        <w:t>Oxley Act of 2002 and our management is required to report on our internal controls over financial reporting under Section 404, any failure to implement required new or improved controls, or difficulties encountered in their implementation could cause us to fail to meet our reporting obligations. In addition, any testing by us, as and when required, conducted in connection with Section 404 or any subsequent testing by our independent registered public accounting firm, as and when required,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shares of Class A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that could negatively impact our financial condition.</w:t>
      </w:r>
    </w:p>
    <w:p>
      <w:pPr>
        <w:spacing w:after="0" w:line="25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Based on the Company’s assessment in the prior year, management identified a material weakness in our internal control over financial reporting, due to the Company’s lack of sufficient resources within inventory operations with an appropriate level of accounting knowledge, training, and experience which resulted in the ineffective design and operating effectiveness of controls over the accounting for inventory. As a result, the Company’s accounting department was not provided with complete and adequate support, documentation, and information to effectively analyze and record accounting matters timely and account for the financial statement effects of the areas impacted. This resulted in inadequate controls over 1) excess and obsolete inventory, and</w:t>
      </w:r>
    </w:p>
    <w:p>
      <w:pPr>
        <w:spacing w:after="0" w:line="3" w:lineRule="exact"/>
        <w:rPr>
          <w:sz w:val="20"/>
          <w:szCs w:val="20"/>
          <w:color w:val="auto"/>
        </w:rPr>
      </w:pPr>
    </w:p>
    <w:p>
      <w:pPr>
        <w:ind w:right="760" w:firstLine="8"/>
        <w:spacing w:after="0" w:line="243" w:lineRule="auto"/>
        <w:tabs>
          <w:tab w:leader="none" w:pos="1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pricing and purchase arrangements. The material weakness did not result in any material misstatements to our consolidated financial statements as of December 31, 2024 or in previous periods.</w:t>
      </w:r>
    </w:p>
    <w:p>
      <w:pPr>
        <w:spacing w:after="0" w:line="209" w:lineRule="exact"/>
        <w:rPr>
          <w:sz w:val="20"/>
          <w:szCs w:val="20"/>
          <w:color w:val="auto"/>
        </w:rPr>
      </w:pPr>
    </w:p>
    <w:p>
      <w:pPr>
        <w:jc w:val="both"/>
        <w:ind w:right="780"/>
        <w:spacing w:after="0" w:line="250" w:lineRule="auto"/>
        <w:rPr>
          <w:sz w:val="20"/>
          <w:szCs w:val="20"/>
          <w:color w:val="auto"/>
        </w:rPr>
      </w:pPr>
      <w:r>
        <w:rPr>
          <w:rFonts w:ascii="Times New Roman" w:cs="Times New Roman" w:eastAsia="Times New Roman" w:hAnsi="Times New Roman"/>
          <w:sz w:val="18"/>
          <w:szCs w:val="18"/>
          <w:color w:val="auto"/>
        </w:rPr>
        <w:t>As defined in standards established by the Public Company Accounting Oversight Board (United States) (“PCAOB”),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With oversight from our Audit Committee, we have made progress on our remediation plan specific to the material weakness, with the completion of the following remediation activities as of December 31, 2024:</w:t>
      </w:r>
    </w:p>
    <w:p>
      <w:pPr>
        <w:spacing w:after="0" w:line="203"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appointed new individuals in key roles including the Chief Supply Chain and Operations Officer and other operational leadership roles;</w:t>
      </w:r>
    </w:p>
    <w:p>
      <w:pPr>
        <w:spacing w:after="0" w:line="2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enhanced training and operational guidelines resulting in the successful completion of our annual physical inventory counts;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designed and implemented controls with regards to excess and obsolete inventory and inventory pricing and purchase arrangements.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implemented the remediation steps detailed above; however, we are unable to conclude that these controls are operating effectively until the applicable controls operate for a sufficient period of time and are subject to testing to conclude that remediation has been achieved. We anticipate that remediation activities will be completed during fiscal year 2025, however, we cannot give assurance that other material weaknesses will not arise in the future. Any failure to remediate the material weakness or the development of a new material weakness in our internal control over financial reporting could result in material misstatements in our financial statements and cause us to fail to meet our reporting obligations, which could have a negative impact on our financial condition, results of operations or cash flows or otherwise cause a decline in investor confidence and the market price of our Class A Common Stock. For more information about the material weakness, see Part II, Item 9A “Controls and Procedures” in this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43"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Securities and Exchange Commission.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0" w:name="page61"/>
    <w:bookmarkEnd w:id="60"/>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and abroad governing the collection, use, access to, confidentiality and security of personal information. In the United States, numerous federal and state laws and regulations, including data breach notification laws, information privacy and security laws and consumer protection laws and regulations may apply to our operations. For example, the CCPA creates individual privacy rights for California consumers, increases the privacy and security obligations of entities handling certain personal information, and also establishes significant penalties for noncompliance. The CCPA provides for civil penalties for violations, as well as a private right of action for data breaches that is expected to increase data breach litigation. Further, the CPRA passed in California in 2020. The CPRA significantly amends the CCPA and imposes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In order to comply, we must inform consumers of their right to opt-out of the sale of their personal information, display a “Do Not Sell” link, and timely and efficiently comply by opt-out requests. The majority of the provisions went into effect on January 1, 2023,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and may impose significant costs that are likely to increase over time.</w:t>
      </w:r>
    </w:p>
    <w:p>
      <w:pPr>
        <w:spacing w:after="0" w:line="21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1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 Europe, the GDPR went into effect in May 2018 and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On March 21, 2022, new versions of the UK SCCs came into force for transfer of data outside the United Kingdom, with a two-year grace period for transfer arrangements signed up until September 21, 2022, which can still rely on existing EU SCCs for data transfers to third countries until March 21, 2024.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1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In addition, the EU’s institutions are debating the ePrivacy Regulation, which would repeal and replace the current ePrivacy Directive that regulates electronic marketing and use of cookies and tracking technologies. The new guidance and the ePrivacy Regulation would together require extensive disclosure and consent, regulate web beacons and similar technology affecting our ability to use a users’ location and other data for personalized advertising, and alter the ability of advertisers to place ads across social media and the web. Several countries in Europe have also recently issued guidance on the use of cookies and similar tracking technologies which require an additional layer of consent from, and disclosure to, website users for third-party advertising, social media advertising and analytics. Regulation of cookies and similar technologies may lead to broader restrictions on our marketing and personalization activities and may negatively impact our efforts to understand users’ Internet usage, online shopping and other relevant online behaviors, as well as the effectiveness of our marketing and our business generally. Such regulations, including uncertainties about how well the advertising technology ecosystem can adapt to legal changes around the use of tracking technologies, may have a negative effect on businesses, including ours, that collect and use online usage information for consumer acquisition and marketing. The decline of cookies or other online tracking technologies as a means to identify and target potential purchasers may increase the cost of operating our business and lead to a decline in</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61" w:name="page62"/>
    <w:bookmarkEnd w:id="61"/>
    <w:p>
      <w:pPr>
        <w:ind w:right="560"/>
        <w:spacing w:after="0" w:line="266" w:lineRule="auto"/>
        <w:rPr>
          <w:sz w:val="20"/>
          <w:szCs w:val="20"/>
          <w:color w:val="auto"/>
        </w:rPr>
      </w:pPr>
      <w:r>
        <w:rPr>
          <w:rFonts w:ascii="Times New Roman" w:cs="Times New Roman" w:eastAsia="Times New Roman" w:hAnsi="Times New Roman"/>
          <w:sz w:val="18"/>
          <w:szCs w:val="18"/>
          <w:color w:val="auto"/>
        </w:rPr>
        <w:t>revenues. In addition, legal uncertainties about the legality of cookies and other tracking technologies may increase regulatory scrutiny and increase potential civil liability under data protection or consumer protection laws.</w:t>
      </w:r>
    </w:p>
    <w:p>
      <w:pPr>
        <w:spacing w:after="0" w:line="18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cannot yet determine the impact future laws, regulations, standards, or perception of their requirements may have on our business. Compliance with existing, not yet effective, and proposed privacy and data protection laws and regulations can be costly and can delay or impede our ability to market and sell our products, impede our ability to conduct business through websites we and our partners may operate, change and limit the way we use consumer information in operating our business, cause us to have difficulty maintaining a single operating model, result in negative publicity, increase our operating costs, require significant management time and attention, or subject us to inquiries or investigations, claims or other remedies, including significant fines and penalties or demands that we modify or cease existing business practices. In addition, if our privacy or data security measures fail to comply with applicable current or future laws and regulations, we may be subject to litigation, regulatory investigations, enforcement notices requiring us to change the way we use personal data or our marketing practices, fines or other liabilities, all of which could affect our business, results of operations, and financial condition.</w:t>
      </w:r>
    </w:p>
    <w:p>
      <w:pPr>
        <w:spacing w:after="0" w:line="215"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FCPA, other applicable anti-corruption and anti-bribery laws, and applicable trade control laws could subject us to penalties and other adverse consequences.</w:t>
      </w:r>
    </w:p>
    <w:p>
      <w:pPr>
        <w:spacing w:after="0" w:line="18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We sell our products in several countries outside of the United States, primarily through distributors. Our operations are subject to FCPA, as well as the anti-corruption and anti-bribery laws in the countries where we do business, such as the UKBA. The U.S. FCPA, UKBA and other anti-corruption laws in other jurisdictions generally prohibit companies and their intermediaries from making improper payments to government officials or other persons for the purpose of obtaining or retaining business.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it may transact business, including the trade sanctions enforced by the U.S. Treasury, Office of Foreign Assets Control (“OFAC”).</w:t>
      </w:r>
    </w:p>
    <w:p>
      <w:pPr>
        <w:spacing w:after="0" w:line="21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we cannot assure you that such internal control policies and procedures will always protect us from reckless or criminal acts committed by our employees, distributors or other third-party intermediaries. In the event that we believe or have reason to believe that our employees or agents have or may have violated applicable anti-corruption laws, including the FCPA, we may be required to investigate or have outside counsel investigate the relevant facts and circumstances, which can be expensive and require significant time and attention from senior management. If we, or our employees or agents acting on our behalf, are found to have engaged in practices that violate these laws and regulations, we could be required to self-disclose such violation to government agencies and face severe fines and penalties, profit disgorgement, injunctions on future conduct, securities litigation, bans on transacting government business, delisting from securities exchanges or other consequences that may have a material adverse effect on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compliance with healthcare regulations becomes more costly and difficult for us or our customers, we may be unable to grow our business.</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Participants in the healthcare industry are subject to extensive and frequently changing regulations under numerous laws administered by governmental entities at the federal, state, local and foreign levels, some of which are, and others of which may be, applicable to our business. 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Failure to keep up and comply with such requirements may subject us to significant costs, sanctions, or penalties. For example, regulations implemented pursuant to the Health Insurance Portability and Accountability Act (“HIPAA”), including regulations governing the privacy and security of individually identifiable health information held by healthcare providers and their business associates may require us to make significant and unplanned enhancements of software applications or services, result in delays or cancellations of orders, cause us to be subject to significant penalties or fines for violations, or result in the revocation of endorsement of our products and services by healthcare participants,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62" w:name="page63"/>
    <w:bookmarkEnd w:id="62"/>
    <w:p>
      <w:pPr>
        <w:spacing w:after="0" w:line="237" w:lineRule="auto"/>
        <w:rPr>
          <w:sz w:val="20"/>
          <w:szCs w:val="20"/>
          <w:color w:val="auto"/>
        </w:rPr>
      </w:pPr>
      <w:r>
        <w:rPr>
          <w:rFonts w:ascii="Times New Roman" w:cs="Times New Roman" w:eastAsia="Times New Roman" w:hAnsi="Times New Roman"/>
          <w:sz w:val="18"/>
          <w:szCs w:val="18"/>
          <w:color w:val="auto"/>
        </w:rPr>
        <w:t>In addition, significant changes to the regulatory requirements for cosmetic products have come into effect and more are scheduled throughout 2025. On December 29, 2022, Congress enacted MoCRA that adds significant new regulatory requirements to cosmetic products. Many of the requirements became applicable on December 29, 2023, and throughout 2024, though new rules regarding manufacturing practices are expected in 2025. Notably, MoCRA requires FDA to promulgate final rules for Good Manufacturing Practices for cosmetic products by December 29, 2025. Subsequently, compliance with such GMP requirements will become mandatory for manufacturers of cosmetic products. We, as the manufacturer, and our products, will become subject to these requirements, and will need to expend capital to ensure that our manufacturing practices and labeling processes are compliant. There may be certain challenges to compliance with these requirements and failure to comply may result in enforcement actions from FDA and other regulatory agencies that could disrupt our business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products in a manner that violates healthcare laws, we may be subject to civil or criminal penalties.</w:t>
      </w:r>
    </w:p>
    <w:p>
      <w:pPr>
        <w:spacing w:after="0" w:line="24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Although our products are not currently covered by any third-party payor, including any commercial payor or government healthcare program, we may nonetheless be subject to federal and state healthcare laws, including fraud and abuse, anti-kickback, false claims and transparency laws with respect to payments or other transfers of value made to physicians and other healthcare professionals. These laws may impact, among other things, financial arrangements with physicians, sales, marketing and education programs and the manner in which any of those activities are implemented. If our operations are found to be in violation of any of those laws or any other applicable governmental regulations, we may be subject to penalties, including civil and criminal penalties, damages, fines, imprisonment, exclusion from government healthcare programs or the curtailment or restructuring of operations, any of which could adversely affect our ability to operate our business and our financial condition.</w:t>
      </w:r>
    </w:p>
    <w:p>
      <w:pPr>
        <w:spacing w:after="0" w:line="20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8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content protection, electronic contracts and communications, consumer protection, social media marketing, third-party cookies, web beacons and similar technology for online behavioral advertising and gift cards. It is unclear how existing laws governing issues such as property ownership, sales and other taxes and consumer privacy apply to the Internet as the vast majority of these laws were adopted prior to the advent of the Internet and fail to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There can be no assurances that our practices have complied, comply or will comply fully with all such laws and regulations. Any failure, or perceived failure, by us to comply with any of these laws or regulations could result in damage to our reputation, a loss in business or proceedings or actions against us by governmental entities or others. Any such proceeding or action could hurt our reputation, force us to spend significant amounts in defense of these proceedings, distract management, increase costs of doing business, decrease the use of our sites by consumers and suppliers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sites or may even attempt to completely block access to our e-commerce sites. Adverse legal or regulatory developments could substantially harm our business. In particular, in the event that we are restricted, in whole or in part, from operating in one or more countries, our ability to retain or increase our consumer base in those countries may be adversely affected, and we may be unable to maintain or grow our net sales and expand our business as anticipated.</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proceedings</w:t>
      </w:r>
    </w:p>
    <w:p>
      <w:pPr>
        <w:spacing w:after="0" w:line="239"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involved, and may become involved in the future, in disputes and other legal or regulatory proceedings that, if adversely decided or settled, could materially and adversely affect our business, financial condition and results of operations.</w:t>
      </w:r>
    </w:p>
    <w:p>
      <w:pPr>
        <w:spacing w:after="0" w:line="18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are, and may in the future become, party to litigation, regulatory proceedings, or other disputes. In general, claims made by or against us in disputes and other legal or regulatory proceedings can be expensive and time-consuming to bring or defend against, requiring us to expend significant resources and divert the efforts and attention of our management and other personnel from our business operations. These potential claims include, but are not limited to, personal injury claims, class action lawsuits, intellectual property claims, employment litigation, securities litigation, and regulatory investigations and causes of action relating to our financial reporting, claims about our business and operations, and/or the advertising and promotional claims about our products. Any adverse determination against us in these proceedings, or even the allegations contained in these claims, regardless of whether they are ultimately found to be without merit, may also result in settlements, injunctions or damages that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product liability claims, which could result in unexpected costs and damage our reputation.</w:t>
      </w:r>
    </w:p>
    <w:p>
      <w:pPr>
        <w:spacing w:after="0" w:line="24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sell products for human use. If we discover that any of our products are causing adverse reactions, we could suffer adverse publicity or regulatory or government sanctions.</w:t>
      </w:r>
    </w:p>
    <w:p>
      <w:pPr>
        <w:spacing w:after="0" w:line="20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Potential product liability risks may arise from the testing, manufacture and sale of our products, including that the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Product liability claims could increase our costs, and adversely affect our business, financial condition and results of operations. As we continue to offer an increasing number of new products, our product liability risk may increase. It may be necessary for us to recall products that either do not meet approved specifications or cause unwanted side effects, which would result in adverse publicity, potentially significant costs in connection with the recall and could have a material adverse effect on our business, financial condition and results of operations. In addition, plaintiffs in the past have received substantial damage awards from other cosmetic and drug companies based upon claims for injuries allegedly caused by the use of their respective products. Although we currently maintain general liability insurance, any claims brought against us may exceed our existing or future insurance policy coverage or limits. Any judgment against us that is in excess of our policy coverage or limits would need to be paid from our cash reserves, which would reduce our capital resources.</w:t>
      </w:r>
    </w:p>
    <w:p>
      <w:pPr>
        <w:spacing w:after="0" w:line="21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addition, we may be required to pay higher premiums and accept higher deductibles in order to secure adequate insurance coverage in the future. Furthermore, we may have insufficient capital resources to pay a judgment, in which case our creditors could levy against our assets. Any product liability claim or series of claims brought against us could harm our business significantly, particularly if a claim were to result in adverse publicity or damage awards outside or in excess of our insurance policy limits.</w:t>
      </w:r>
    </w:p>
    <w:p>
      <w:pPr>
        <w:spacing w:after="0" w:line="20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 and our Second Amended and Restated Certificate of Incorporation and Amended and Restated Bylaws could delay and discourage takeover attempts that stockholders may consider to be favorable.</w:t>
      </w:r>
    </w:p>
    <w:p>
      <w:pPr>
        <w:spacing w:after="0" w:line="18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and applicable provisions of the Delaware General Corporation Law may make it more difficult or impossible for a third-party to acquire control of us or effect a change in our Board of Directors and management. These provisions include:</w:t>
      </w:r>
    </w:p>
    <w:p>
      <w:pPr>
        <w:spacing w:after="0" w:line="224" w:lineRule="exact"/>
        <w:rPr>
          <w:sz w:val="20"/>
          <w:szCs w:val="20"/>
          <w:color w:val="auto"/>
        </w:rPr>
      </w:pPr>
    </w:p>
    <w:p>
      <w:pPr>
        <w:ind w:right="2400" w:firstLine="8"/>
        <w:spacing w:after="0" w:line="261" w:lineRule="auto"/>
        <w:tabs>
          <w:tab w:leader="none" w:pos="1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Board of Directors into three classes, with one class elected each year to serve for a term of three years;</w:t>
      </w: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preferred stock without stockholder approval;</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remove a director only for cause and only with the vote of the holders of a majority of our voting stock;</w:t>
      </w:r>
    </w:p>
    <w:p>
      <w:pPr>
        <w:spacing w:after="0" w:line="9" w:lineRule="exact"/>
        <w:rPr>
          <w:rFonts w:ascii="Times New Roman" w:cs="Times New Roman" w:eastAsia="Times New Roman" w:hAnsi="Times New Roman"/>
          <w:sz w:val="18"/>
          <w:szCs w:val="18"/>
          <w:color w:val="auto"/>
        </w:rPr>
      </w:pPr>
    </w:p>
    <w:p>
      <w:pPr>
        <w:ind w:right="2360" w:firstLine="8"/>
        <w:spacing w:after="0" w:line="265" w:lineRule="auto"/>
        <w:tabs>
          <w:tab w:leader="none" w:pos="10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meeting of stockholders may only be called by our chairman of our Board of Directors, Chief Executive Officer, or upon a resolution adopted by an affirmative vote of a majority of the Board of Directors, and not by our stockholders;</w:t>
      </w:r>
    </w:p>
    <w:p>
      <w:pPr>
        <w:ind w:left="120" w:hanging="112"/>
        <w:spacing w:after="0"/>
        <w:tabs>
          <w:tab w:leader="none" w:pos="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w:t>
      </w:r>
    </w:p>
    <w:p>
      <w:pPr>
        <w:spacing w:after="0" w:line="9" w:lineRule="exact"/>
        <w:rPr>
          <w:rFonts w:ascii="Times New Roman" w:cs="Times New Roman" w:eastAsia="Times New Roman" w:hAnsi="Times New Roman"/>
          <w:sz w:val="18"/>
          <w:szCs w:val="18"/>
          <w:color w:val="auto"/>
        </w:rPr>
      </w:pPr>
    </w:p>
    <w:p>
      <w:pPr>
        <w:ind w:right="2340" w:firstLine="8"/>
        <w:spacing w:after="0" w:line="260" w:lineRule="auto"/>
        <w:tabs>
          <w:tab w:leader="none" w:pos="1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must comply with advance notice procedures in order to nominate candidates for election to our board of directors or to place stockholder proposals on the agenda for consideration at any meeting of our stockholders.</w:t>
      </w:r>
    </w:p>
    <w:p>
      <w:pPr>
        <w:spacing w:after="0" w:line="19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and receive adverse outcomes in litigation, regulatory investigations, and other legal matters in connection with alleged violations of securities laws and regulations.</w:t>
      </w:r>
    </w:p>
    <w:p>
      <w:pPr>
        <w:spacing w:after="0" w:line="18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adversely affected by unfavorable results in pending or future litigations, regulatory investigations, and other legal matters related to violations or perceived violations of applicable securities laws and regulations by the Company or its affiliates.</w:t>
      </w:r>
    </w:p>
    <w:p>
      <w:pPr>
        <w:spacing w:after="0" w:line="20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may become subject to SEC investigations or legal proceedings in the future. The ultimate resolution of such investigations and lawsuits cannot be predicted, and the claims raised in these lawsuits may result in further legal matters or actions against us, including, but not limited to, government enforcement actions or additional private litigation. We cannot predict the outcome of any particular proceeding, or whether any SEC investigation will be resolved favorably or ultimately result in charges or material damages, fines or other penalties, enforcement actions, or civil or criminal proceedings against us or members of our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4" w:name="page65"/>
    <w:bookmarkEnd w:id="64"/>
    <w:p>
      <w:pPr>
        <w:ind w:right="60"/>
        <w:spacing w:after="0" w:line="242" w:lineRule="auto"/>
        <w:rPr>
          <w:sz w:val="20"/>
          <w:szCs w:val="20"/>
          <w:color w:val="auto"/>
        </w:rPr>
      </w:pPr>
      <w:r>
        <w:rPr>
          <w:rFonts w:ascii="Times New Roman" w:cs="Times New Roman" w:eastAsia="Times New Roman" w:hAnsi="Times New Roman"/>
          <w:sz w:val="18"/>
          <w:szCs w:val="18"/>
          <w:color w:val="auto"/>
        </w:rPr>
        <w:t>Litigation matters and regulatory investigations, regardless of their merits or their ultimate outcomes, are costly, divert management’s attention, and may materially adversely affect our reputation and demand for our products. We cannot predict with certainty the eventual outcome of pending or future legal matters. An adverse outcome of litigation or legal matters could result in us being responsible for significant damages. Any of these negative effects resulting from litigation, regulatory investigations, and other legal matters could materially adversely affect our business, financial condition, and results of operations.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3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may not provide adequate protection for some or all of our products, and 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rely on trademark, copyright, trade secret, trade dress, patent and other laws protecting proprietary rights, nondisclosure and confidentiality agreements and other practices to protect our intellectual property, brand and proprietary information, technologies and processes.</w:t>
      </w:r>
    </w:p>
    <w:p>
      <w:pPr>
        <w:spacing w:after="0" w:line="18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Our trademarks are valuable assets that support our brand and consumers’ perception of our products. Although we have existing and pending trademark registrations for our brand in the United States and in many of the foreign countries in which we operate, we may be unsuccessful in asserting trademark or trade name protection in all jurisdictions. Further, the U.S. Patent and Trademark Office (“USPTO”), international trademark offices or judicial bodies may deny our trademark applications, and, even if published or registered, these trademarks may not effectively protect our brand and goodwill for all of our products and services. Also, we have not yet applied for trademark protection in all relevant foreign jurisdictions and cannot assure you that our pending trademark applications will be approved. Third parties may also attempt to register our trademarks abroad in jurisdictions where we have not yet applied for trademark protection, oppose our trademark applications domestically or abroad, or otherwise challenge our use of the trademarks. In the event that our trademarks are successfully challenged, we could be forced to rebrand our products in some parts of the world, which could result in the loss of brand recognition and could require us to devote resources to advertising and marketing new brands.</w:t>
      </w:r>
    </w:p>
    <w:p>
      <w:pPr>
        <w:spacing w:after="0" w:line="205"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Some of our earliest filed patents have expired or will begin to expire in the near term. When patents covering a particular offering expire, loss of exclusivity may occur, which may force us to compete with third parties, thereby negatively affecting our revenue and profitability. While we have other patents and pending patent applications directed to our technologies, we cannot provide any assurances that any of our remaining patents included, or that any of our pending patent applications that mature into issued patents will include, claims with scopes that are sufficient to protect our products and technologies, including any additional features we develop for our products or any new products. Other parties may have developed technologies that may be related or competitive to our platform, may have filed or may file patent applications and may have received or may receive patents that overlap or conflict with our patents or patent applications, either by claiming the same methods or devices or by claiming subject matter that could dominate our patent position. Patents, if issued, may be challenged, narrowed in scope, deemed unenforceable, invalidated or circumvented, which in turn could affect our ability to commercialize our products.</w:t>
      </w:r>
    </w:p>
    <w:p>
      <w:pPr>
        <w:spacing w:after="0" w:line="21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Furthermore, our ability to enforce our patent rights depends on our ability to detect infringement. It may be difficult to detect infringers that do not advertise the components that are used in their products. It may be difficult or impossible to obtain evidence of infringement in a competitor’s or potential competitor’s product. We may not prevail in any lawsuits that we initiate and the damages or other remedies awarded if we were to prevail may not be commercially meaningful. Adverse proceedings can be expensive and time-consuming and may divert the efforts of our technical and managerial personnel, which could in turn harm our business, whether or not we receive a determination favorable to us. Such proceedings could also provoke third parties to assert claims. In addition, a court or other judicial body may decide that the patent we seek to enforce is invalid or unenforceable, or may refuse to stop the other party from using the technology at issue on the grounds that the patent in question does not cover the technology in question. An adverse result in any proceeding could put one or more of our patents at risk of being invalidated or interpreted narrowly. Some of our competitors may be able to devote significantly more resources to intellectual property proceedings, and may have significantly broader intellectual property portfolios to assert against us if we assert our rights against them. Further, because of the substantial discovery required in connection with intellectual property litigation, there is a risk that some of our confidential information could be disclosed or otherwise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Additionally, we may be unable to protect our intellectual property rights throughout the world. Filing, prosecuting and defending patents in all countries throughout the world would be prohibitively expensive, and our intellectual property rights in some foreign countries may be less protective than those in the United States. Consequently, we may be unable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may export otherwise infringing products to territories where we have patent protection, but enforcement is not as strong in that territory as it is in the United States. These products may compete with our products, and our patents or other intellectual property rights may not be effective or sufficient to prevent them from competing.</w:t>
      </w:r>
    </w:p>
    <w:p>
      <w:pPr>
        <w:spacing w:after="0" w:line="198"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does conceive or develop intellectual property that we regard as our own. Our assignment agreements may be breached, and we may be forced to bring claims against third parties, or defend the Company against claims they may bring against us, to determine the ownership of what we regard as our intellectual property. We may be subject to claims challenging the inventorship or ownership of our intellectual property. We also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and such an outcome could have a material adverse effect on our business. Even if we are successful in defending against such claims, litigation could result in substantial costs and distraction of our management and other employees from our business.</w:t>
      </w:r>
    </w:p>
    <w:p>
      <w:pPr>
        <w:spacing w:after="0" w:line="215"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We currently hold various Internet domain names related to our brand and business, including beautyhealth.com, among others. Failure to protect our domain names could adversely affect our reputation and brand image and make it more difficult for consumers to find our website. We may be unable, without significant cost or at all, to prevent third parties from acquiring domain names or using trademarks that are similar to, infringe upon or otherwise decrease the value of our trademarks and other proprietary rights.</w:t>
      </w:r>
    </w:p>
    <w:p>
      <w:pPr>
        <w:spacing w:after="0" w:line="21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We also rely upon unpatented trade secrets and know-how and continuing technological innovation to develop and maintain our competitive position, which we seek to protect, in part, through confidentiality agreements with our employees, collaborators and consultants. It is possible that technology relevant to our business will be developed independently by a person that is not a party to such an agreement, and that person could be an employee of or otherwise associated with one of our competitors. Even though these agreements may give us contractual remedies upon unauthorized use or disclosure of our confidential information, intellectual property or technology, we cannot guarantee that we will be able to detect such unauthorized activity. Furthermore, if the employees and consultants who are parties to these agreements breach or violate the terms of these agreements, we may not have adequate remedies for or sufficient resources to litigate any such breach or violation, and we could lose our trade secrets through such breaches or violations. Protecting our intellectual property is also particularly challenging after our employees or our contractors end their relationship with us, and, in some cases, decide to work for our competitors. If we are unable to obtain, maintain and enforce intellectual property protection directed for our technology and future technologies that we develop, others may be able to make, use, import or sell products that are the same or substantially the same as ours, which could adversely affect our business, financial condition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or competitive position could be harmed.</w:t>
      </w:r>
    </w:p>
    <w:p>
      <w:pPr>
        <w:spacing w:after="0" w:line="22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 addition to patent protection, we also rely upon other non-patent protection, such as: trademark, or, trade secret protection, as well as confidentiality agreements with our employees, consultants, vendors, and third parties, to protect our confidential and proprietary information. Despite the existence of such confidentiality agreements, or other contractual restrictions, we may not be able to prevent the unauthorized disclosure or use of our confidential proprietary information or trade secrets by employees, consultants, vendors, and third parties. 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fully protect our interests.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Furthermore, the laws of foreign countries may not protect our trade secrets effectively or to the same extent as the laws of the United States.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business and competitive position could be harmed.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6" w:name="page67"/>
    <w:bookmarkEnd w:id="66"/>
    <w:p>
      <w:pPr>
        <w:ind w:right="6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operate our business without infringing, misappropriating or otherwise violating the trademarks, patents, copyrights and other proprietary rights of third parties.</w:t>
      </w:r>
    </w:p>
    <w:p>
      <w:pPr>
        <w:spacing w:after="0" w:line="18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operate without infringing, misappropriating or otherwise violating the trademarks, patents, copyrights, trade secrets and other proprietary rights of others. We cannot be certain that the conduct of our business does not and will not infringe, misappropriate or otherwise violate such rights. From time to time, we receive allegations of trademark or patent infringement and third parties have filed claims against us with allegations of intellectual property infringement. In addition, third parties may involve us in intellectual property disputes as part of a business model or strategy to gain competitive advantage.</w:t>
      </w:r>
    </w:p>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To the extent we gain greater visibility and market exposure as a public company or otherwise, we may also face a greater risk of being the subject of such claims and litigation. For these and other reasons, third parties may allege that our products or activities infringe, misappropriate, dilute or otherwise violate their intellectual property and proprietary rights.</w:t>
      </w:r>
    </w:p>
    <w:p>
      <w:pPr>
        <w:spacing w:after="0" w:line="204"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Defending against allegations and litigation could be expensive, take up significant amounts of time, divert management’s attention from other business concerns or have an adverse impact on our ability to bring products to market. In addition, if we are found to violate third-party intellectual property or proprietary rights, we may need to obtain a license, which may not be available to us on commercially reasonable terms, or at all, or we may need to redesign or rebrand our marketing strategies or products, which may not be possible or could be incredibly costly.</w:t>
      </w:r>
    </w:p>
    <w:p>
      <w:pPr>
        <w:spacing w:after="0" w:line="2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may also be required to pay substantial damages or be subject to an order prohibiting us or our providers from importing or selling certain products or engaging in certain activities. Any of the foregoing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licenses to use the intellectual property rights of third parties to conduct our business.</w:t>
      </w:r>
    </w:p>
    <w:p>
      <w:pPr>
        <w:spacing w:after="0" w:line="243" w:lineRule="exact"/>
        <w:rPr>
          <w:sz w:val="20"/>
          <w:szCs w:val="20"/>
          <w:color w:val="auto"/>
        </w:rPr>
      </w:pPr>
    </w:p>
    <w:p>
      <w:pPr>
        <w:ind w:right="120"/>
        <w:spacing w:after="0" w:line="205" w:lineRule="exact"/>
        <w:rPr>
          <w:sz w:val="20"/>
          <w:szCs w:val="20"/>
          <w:color w:val="auto"/>
        </w:rPr>
      </w:pPr>
      <w:r>
        <w:rPr>
          <w:rFonts w:ascii="Times New Roman" w:cs="Times New Roman" w:eastAsia="Times New Roman" w:hAnsi="Times New Roman"/>
          <w:sz w:val="18"/>
          <w:szCs w:val="18"/>
          <w:color w:val="auto"/>
        </w:rPr>
        <w:t>We rely on products, technologies, and intellectual property that we license from third parties, for use in operating our business. We anticipate that we will continue to rely on such third-party products, technologies and intellectual property in the future. We cannot assure you that these third-party licenses, or support for such licensed products and technologies, will continue to be available to us on commercially reasonable terms, if at all. We cannot be certain that our licensors do not infringe the intellectual property rights of others or that our licensors have sufficient rights to the licensed intellectual property or technology in all jurisdictions in which we may operate.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and offer our products and services incorporating such technology, and otherwise operate and expand our business, could be harmed. Many of the risks associated with the use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products cannot be eliminated, and these risks could negatively affect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assert ownership or commercial rights to inventions we develop or acquire.</w:t>
      </w:r>
    </w:p>
    <w:p>
      <w:pPr>
        <w:spacing w:after="0" w:line="24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Third parties may make claims challenging the inventorship or ownership of our intellectual property.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will develop, acquired, or will acquire and interfere with our ability to capture the commercial value of such intellectual property. Litigation may be necessary to resolve an ownership dispute, and if we are not successful, we may be precluded from using certain intellectual property or we may lose our rights in that intellectual property. Either outcome could harm our business and competitive position.</w:t>
      </w:r>
    </w:p>
    <w:p>
      <w:pPr>
        <w:spacing w:after="0" w:line="19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8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We employ individuals who previously worked with other companies, including our competitors or potential competitors. We may be subject to claims that we or our employees, consultants or independent contractors have inadvertently or otherwise used or disclosed confidential information, including trade secrets or other proprietary information, of former employers or other third parties. We may also be subject to claims that former employers or other third parties have an ownership interest in our patents, design of our products, formulations, and other intellectual property. Litigation may be necessary to defend against these claims. We may not be successful in defending these claims, and even if we are successful, litigation could result in substantial cost and be a distraction to our management and other employees. Any litigation or the threat thereof may adversely affect our ability to hire employees and we may lose valuable intellectual property rights if we fail in defending any such claims. A loss of key personnel or their work product could diminish or prevent our ability to commercialize our products, which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marketing activities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may materially and adversely affect our reputation or subject us to fines or other penalties.</w:t>
      </w:r>
    </w:p>
    <w:p>
      <w:pPr>
        <w:spacing w:after="0" w:line="24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We rely to a large extent on our online presence to reach consumers, and we offer consumers the opportunity to rate and comment on our products on our e-commerce websites. Negative commentary or false statements regarding us or our products may be posted on our e-commerce websites or social media platforms and may be adverse to our reputation or business. Our target consumers often value readily available information and often act on such information without further investigation and without regard to the information’s accuracy. The harm from such negative or false statements may be immediate without affording us an opportunity for redress or correction. In addition, we may face claims relating to information that is published or made available through the interactive features of our e-commerce websites. For example, we may receive third-party complaints that the comments or other content posted by users on our platforms infringe third-party intellectual property rights or otherwise infringe the legal rights of others. While the Communications Decency Act and Digital Millennium Copyright Act generally protect online service providers from certain claims of copyright infringement or other legal liability for the self-directed activities of its users, if it were determined that we did not meet the relevant safe harbor requirements under either law, we could be exposed to claims related to advertising practices, defamation, intellectual property rights, rights of publicity and privacy, and personal injury torts. We could incur significant costs investigating and defending such claims and, if we are found liable, significant damages. If any of these events occur, our business, financial condition and results of operations could be materially and adversely affected.</w:t>
      </w:r>
    </w:p>
    <w:p>
      <w:pPr>
        <w:spacing w:after="0" w:line="21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also use third-party social media platforms as marketing tools. For example, we maintain Snapchat, Facebook, TikTok, Instagram and YouTube accounts. As e-commerce and social media platforms continue to rapidly evolve, we must continue to maintain a presence on these platforms and establish presences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us, our employees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 of operations.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an increase in the use of social media for product promotion and marketing may cause an increase in the burden to monitor compliance of such materials and increase the risk that such materials could contain problematic product or marketing claims in violation of applicable regulations.</w:t>
      </w:r>
    </w:p>
    <w:p>
      <w:pPr>
        <w:spacing w:after="0" w:line="18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heavily on email and other messaging services, and any restrictions on the sending of emails or messages or an inability to timely deliver such communications could materially adversely affect our net revenue and business.</w:t>
      </w:r>
    </w:p>
    <w:p>
      <w:pPr>
        <w:spacing w:after="0" w:line="18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Our business is highly dependent upon email and other messaging services for promoting our brand, products and e-commerce platforms. We provide emails and “push” communications to inform consumers of new products, shipping specials and other promotions. We believe these messages are an important part of our consumer experience. If we are unable to successfully deliver emails or other messages to our subscribers, or if subscribers decline to open or read our messages, our business, financial condition and results of operations may be materially adversely affected. Changes in how web and mail services block, organize and prioritize email may reduce the number of subscribers who receive or open our 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consumers.</w:t>
      </w:r>
    </w:p>
    <w:p>
      <w:pPr>
        <w:spacing w:after="0" w:line="20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Changes in the laws or regulations that limit our ability to send such communications or impose additional requirements upon us in connection with sending such communications would also materially adversely impact our business. For example, electronic marketing and privacy requirements in the EU are highly restrictive and differ greatly from those in the U.S., which could cause fewer individuals in the EU to subscribe to our marketing messages and drive up our costs and risk of regulatory oversight and fines if we are found to be non-compliant.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Our use of email and other messaging services to send communications to consumers may also result in legal claims against us, which may cause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consumers to send communications. Changes to the terms of these social networking services to limit promotional communications, any restrictions that would limit our ability or our consumers’ ability to send communications through their services, disruptions or downtime experienced by these social networking services or decline in the use of or engagement with social networking services by consumers could materially and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sustainability matters.</w:t>
      </w:r>
    </w:p>
    <w:p>
      <w:pPr>
        <w:spacing w:after="0" w:line="24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There is an increased focus from certain investors, providers, consumers, employees, and other stakeholders concerning corporate citizenship and sustainability matters. From time to time, we may announce certain initiatives, including goals, regarding our focus areas, which include environmental matters, packaging, responsible sourcing and social investments. We could fail, or be perceived to fail, in our achievement of such initiatives or goals, or we could fail in accurately reporting our progress on such initiatives and goals. In addition, we could be criticized for the scope of such initiatives or goals or perceived as not acting responsibly in connection with these matters. Any such matters, or related corporate citizenship and sustainability matters, could have a material adverse effect on our business, financial condition and results of operations.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39"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Class A Common Stock and dilute our stockholders’ percentage ownership.</w:t>
      </w:r>
    </w:p>
    <w:p>
      <w:pPr>
        <w:spacing w:after="0" w:line="18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Class A Common Stock or offering debt or other equity securities, including commercial paper, medium-term notes, senior or subordinated notes, debt securities convertible into equity or preferred shares. Future acquisitions could require substantial additional capital in excess of cash from operations. We may obtain the capital required for acquisitions through a combination of additional issuances of equity, corporate indebtedness, or cash from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issuing additional shares of our Class A Common Stock or other equity securities or securities convertible into equity may dilute the economic and voting rights of existing stockholders or reduce the market price of our Class A Common Stock or both. Upon liquidation, holders of such debt securities and preferred shares, if issued, and lenders with respect to other borrowings would receive a distribution of our available assets prior to the holders of shares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w:t>
      </w:r>
    </w:p>
    <w:p>
      <w:pPr>
        <w:spacing w:after="0" w:line="21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respective percentage ownership.</w:t>
      </w:r>
    </w:p>
    <w:p>
      <w:pPr>
        <w:spacing w:after="0" w:line="20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publish inaccurate or unfavorable research, about our business, the price of our Class A Common Stock and trading volume could decline.</w:t>
      </w:r>
    </w:p>
    <w:p>
      <w:pPr>
        <w:spacing w:after="0" w:line="17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in part by the research and reports that securities or industry analysts publish about us or our business, our market and our competitors. We do not have any control over these analysts. If industry analysts cease coverage of us, the trading price for our Class A Common Stock could be negatively affected. If one or more of the analysts who cover us downgrade our Class A Common Stock or publish inaccurate or unfavorable research about our business, our Class A Common Stock price could decline. If one or more of these analysts cease coverage of us or fail to publish reports on us regularly, demand for our Class A Common Stock could decrease, which might cause our Class A Common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Class A Common Stock.</w:t>
      </w:r>
    </w:p>
    <w:p>
      <w:pPr>
        <w:spacing w:after="0" w:line="243"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our stockholders’ ability to sell or purchase our Class A Common Stock when they wish to do so. In the event of a delisting, we can provide no assurance that any action taken by us to restore compliance with the listing requirements would allow our Class A Common Stock to become listed again, stabilize the market price or improve the liquidity of our Class A Common Stock, or prevent future non-compliance with the continued listing requirements of Nasdaq.</w:t>
      </w:r>
    </w:p>
    <w:p>
      <w:pPr>
        <w:spacing w:after="0" w:line="193"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 addition to potential dilution associated with future offerings of debt or equity securities, we currently have significant numbers of securities outstanding that may be exercisable for shares of our Class A Common Stock, which may result in significant dilution to current stockholders and downward pressure on our stock price.</w:t>
      </w:r>
    </w:p>
    <w:p>
      <w:pPr>
        <w:spacing w:after="0" w:line="20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As of March 10, 2025, there were 125,245,176 shares of our Class A Common Stock outstanding. In addition, the potential conversion of the Notes into shares of our Class A Common Stock represents the issuance of approximately 17,599,686 shares of our Class A Common Stock. The potential issuance of these shares in the future would result in significant dilution to our current stockholders and could adversely affect both the price of our Class A Common Stock and the terms on which we could raise additional capital. In addition, the issuance and subsequent trading of shares of our Class A Common Stock could cause the supply of our Class A Common Stock available for purchase in the market to exceed the purchase demand for our Class A Common Stock. Such supply in excess of demand could cause the market price of our Class A Common Stock to decline.</w:t>
      </w:r>
    </w:p>
    <w:p>
      <w:pPr>
        <w:spacing w:after="0" w:line="207"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outstanding warrants are accounted for as liabilities and the changes in value of our warrants could have a material effect on our financial results.</w:t>
      </w:r>
    </w:p>
    <w:p>
      <w:pPr>
        <w:spacing w:after="0" w:line="185"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On April 12, 2021, the Acting Chief Accountant and Acting Director of the Division of Corporation Finance of the SEC issued a Staff Statement on Accounting and Reporting Considerations for Warrants Issued by Special Purpose Acquisition Companies (“SPACs”) (the “SEC Staff Statement”). The SEC Staff Statement sets forth the conclusion of the SEC’s Office of the Chief Accountant that certain provisions included in the warrant agreements entered into by many SPACs require such warrants to be accounted for as liabilities measured at fair value, rather than as equity securities, with changes in fair value during each financial reporting period reported in earnings. As a result of the SEC Staff Statement, we reevaluated the accounting treatment of our warrants, and determined to classify the warrants as derivative liabilities measured at fair value, with changes in fair value each period reported in earnings.</w:t>
      </w:r>
    </w:p>
    <w:p>
      <w:pPr>
        <w:spacing w:after="0" w:line="2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Accounting Standards Codification (“ASC”) 815, Derivatives and Hedging,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that are outside of our control. Due to the recurring fair value measurement, we expect that we will recognize non-cash gains or losses on our warrants for each reporting period that our warrants remain outstanding and that the amount of such gains or losses on our warrants could be material.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to defend and could divert management’s attention.</w:t>
      </w:r>
    </w:p>
    <w:p>
      <w:pPr>
        <w:spacing w:after="0" w:line="243"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In the past, following periods of market volatility in the price of a company’s securities or the reporting of unfavorable news, security holders have often instituted class action litigation. If the market value of our securities experience adverse fluctuations and we become involved in this type of litigation, regardless of the outcome, we could incur substantial legal costs and our management’s attention could be diverted from the operation of our business, causing our business to suffer. Any adverse determination in litigation could also subject us to significant liabilities.</w:t>
      </w:r>
    </w:p>
    <w:p>
      <w:pPr>
        <w:spacing w:after="0" w:line="20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could be costly and time-consuming, divert management’s attention and resources, and have an adverse effect on our business.</w:t>
      </w:r>
    </w:p>
    <w:p>
      <w:pPr>
        <w:spacing w:after="0" w:line="1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While we value open dialogue and input from our stockholders, activist stockholders could take actions that could be costly and time-consuming to us, disrupt our operations, and divert the attention of our board of directors, management, and employees, such as public proposals and requests for potential nominations of candidates for election to our board of directors, requests to pursue a strategic combination or other transaction, or other special requests. As a result, we have retained, and may in the future retain additional services of various professionals to advise us in these matters, including legal, financial and communications advisers, the costs of which may negatively impact our future financial results. In addition, perceived uncertainties as to our future direction, strategy, or leadership created as a consequence of activist stockholder initiatives may result in the loss of potential business opportunities, harm our ability to attract new or retain existing investors, customers, directors, employees or other partners, and cause our stock price to experience periods of volatility or stagnation.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24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We have an enterprise-wide information security program designed to identify, protect, detect and respond to, and manage reasonably foreseeable cybersecurity risks and threats. To protect our information systems from cybersecurity threats, we utilize various security tools that help prevent, identify, escalate, investigate, resolve, and recover from identified vulnerabilities and security incidents in a reasonably timely manner. These include, but are not limited to, internal reporting and tools for monitoring and detecting cybersecurity threats. We also use third party security tools to help identify, assess, mitigate, and remediate cybersecurity threats; however, we cannot guarantee that any third-party tools that we utilize will be successful in all circumstances, and whether such tools are appropriate for their level of risk.</w:t>
      </w:r>
    </w:p>
    <w:p>
      <w:pPr>
        <w:spacing w:after="0" w:line="2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We evaluate the risks associated with technology and cybersecurity threats and monitor our information systems for potential weaknesses. We review and test our information technology system on an as-needed basis (and at least on an annual basis) and utilize internal team personnel to evaluate and assess the efficacy of our information technology system and enhance our controls and procedures. The results of these assessments are reported to our Audit Committee and, from time to time, our Board of Directors.</w:t>
      </w:r>
    </w:p>
    <w:p>
      <w:pPr>
        <w:spacing w:after="0" w:line="21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Our information technology systems are equipped to detect directed and non-directed attacks such as viruses and malware that can lead to interruptions and delays in the sale and service of our Delivery Systems and Consumables, general business operations, as well as loss, misuse of data, or theft of intellectual property, confidential information, and personal information (of third parties, employees, providers, and end consumers). However, as of the date of this report, these incidents have not had a material impact on our systems or business operations. Any significant disruption to our business operations or access to our systems could lead to a decline in operational effectiveness, result in a loss of our providers, and adversely affect our business and results of operation. In addition, a penetration of our systems or a third party’s systems or other misappropriation or misuse of personal information could subject us to business, regulatory, litigation, and reputation risk, which could have a negative effect on our business, financial condition, and results of operations. For more information about the cybersecurity risks that we face, see the risk factor entitled, “We are increasingly dependent on information technology, and if we are unable to protect against service interruptions, data corruption, cyber-based attacks or network security breaches, our operations could be disrupted” in Part I, Item 1A Risk Factors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41"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17"/>
          <w:szCs w:val="17"/>
          <w:color w:val="auto"/>
        </w:rPr>
        <w:t>Our Board of Directors considers cybersecurity risk as part of its risk oversight function and has delegated to the Audit Committee oversight of cybersecurity and other information technology risks. The Audit Committee oversees management’s implementation of our cybersecurity program.</w:t>
      </w:r>
    </w:p>
    <w:p>
      <w:pPr>
        <w:spacing w:after="0" w:line="167"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Management participates in discussions and updates the Audit Committee, as necessary, regarding any material cybersecurity incident as well as incidents with lesser potential impact. The Audit Committee reports to the full Board of Directors regarding its activities, including those related to cybersecurity. The full Board of Directors also receives briefings from management on our cyber risk program on an as-needed basis. Members of our Board of Directors receive presentations on cybersecurity topics from our Chief Information Security Officer, internal staff, or external experts as part of the Board of Directors’ continuing education on topics that impact public companies.</w:t>
      </w:r>
    </w:p>
    <w:p>
      <w:pPr>
        <w:spacing w:after="0" w:line="215"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Our management team is responsible for assessing and managing our material risks from cybersecurity threats. The team (and team personnel who support our information security program) has primary responsibility for our overall cybersecurity program and supervises both our internal cybersecurity personnel and our retained external cybersecurity third party vendors and consultants. In addition, our team supervises efforts to prevent, detect, mitigate, and remediate cybersecurity risks and incidents through various means, which may include briefings from internal personnel, threat intelligence and other information obtained from governmental, public or private sources, including external vendors and consultants engaged by us, and alerts and reports produced by security tools deployed in the IT environment. The team is led by our Vice President of Technology, who also currently serves as our Chief Information and Security Officer, and has over 25 years of industry experience leading IT for organizations of similar sizes. Team personnel who support our information security program have relevant educational and industry experience, including holding similar positions at previous large companies and government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Long Beach, California, where we lease approximately 23,000 square feet of office space. We also occupy corporate offices, warehouses and/or experience centers across the United States, Europe, Asia, Latin America and Australia.</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lease a 105,000 square foot warehouse that serves as our distribution center, manufacturing facility, and production facility in Long Beach, California. Outside of the United States, we also lease several small office spaces in China, Australia, Spain, France, Germany, the United Kingdom, and Mexico for sales and marketing employees in those markets.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present facilities are suitable and adequate for our current operating needs. We do not own any real property.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see Note 8, Commitments and Contingencies, to our consolidated financial statements included in Part II,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Class A Common Stock is traded on the Nasdaq Capital Market under the symbol “SKIN.” Prior to May 4, 2021 and before the completion of the Business Combination by and among Vesper Healthcare Acquisition Corp., Hydrate Merger Sub I, Inc., Hydrate Merger Sub II, LLC, LCP Edge Intermediate, Inc., the indirect parent of Edge Systems LLC d/b/a The Hydrafacial Company, and LCP Edge Holdco, LLC, the Class A Common Stock of Vesper Healthcare Acquisition Corp. traded on Nasdaq under the ticker symbol “VSPR.”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10, 2025, there were 42 holders of record of our Class A Common Stock. The actual number of stockholders of our Class A Common Stock is greater than this number of record holders and includes stockholders who are beneficial owners, but whose shares of Class A Stock are held in street name by banks, brokers and other nominees.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Class A Common Stock to date. The payment of cash dividends is subject to the discretion of our Board of Directors and may be affected by various factors, including our future earnings, financial condition, capital requirements, share repurchase activity, current and future planned strategic growth initiatives, levels of indebtedness and other considerations our Board of Directors deem relevant.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837555" cy="3197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3755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graph above shows the total stockholder return of an investment of $100 cash on November 20, 2020 (the date our Class A Common Stock began trading on Nasdaq) through December 31, 2024 for (1) our Class A Common Stock, (2) Standard &amp; Poor’s (“S&amp;P”) 500 Index, and (3) the S&amp;P Consumer Discretionary Select Sector Index. All values assume reinvestment of the full amount of all dividends. The comparisons in the table are required by the SEC and are not intended to forecast or be indicative of possible future performance of our Class A Common Stock.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of 1933, as amended (the “Securities Act”), whether made before or after the date hereof and irrespective of any general incorporation language in any such filing.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accompanying notes included in Part II, Item 8 of this Annual Report on Form 10-K. This section of this Annual Report on Form 10-K generally discusses 2024 and 2023 items and year-to-year comparisons between 2024 and 2023. Discussions of 2022 items and year-to-year comparisons between 2023 and 2022 are not included in this Annual Report on Form 10-K, and can be found in Part II, Item 7 of the Company’s Annual Report on Form 10-K filed on March 12, 2024 under the heading “Management’s Discussion and Analysis of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5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Beauty Health Company is a medtech meets beauty company that delivers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nanoneedling and microneedling; and Keravive in scalp health.</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Together, with its powerful global community of estheticians, partners and consumers, the Company is personalizing skin health for all ages, genders, skin tones, and skin types.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remain attentive to economic and geopolitical conditions that may materially impact our business. We continue to explore and implement risk mitigation strategies in the face of these unfolding conditions and remain agile in adopting to changing circumstances. Such conditions have or may have global implications which may impact the future performance of our business in unpredictable ways.</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Business and Macroeconomic Conditions</w:t>
      </w:r>
    </w:p>
    <w:p>
      <w:pPr>
        <w:spacing w:after="0" w:line="25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231F20"/>
        </w:rPr>
        <w:t>We continued to execute against our plan to expand our footprint by selling and placing Delivery Systems worldwide, drive Consumables, invest in our community of providers, partners, and consumers, drive brand awareness, and optimize our global infrastructure. Consumables include serums, solutions, tips, and other Consumables. Although we believe we can be successful in our current operating environment, various factors may impact our business in unpredictable ways such as:</w:t>
      </w:r>
    </w:p>
    <w:p>
      <w:pPr>
        <w:ind w:left="660" w:hanging="328"/>
        <w:spacing w:after="0" w:line="236" w:lineRule="auto"/>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in transportation and other supply chain related constraints, such as labor strife in the transportation industry;</w:t>
      </w:r>
    </w:p>
    <w:p>
      <w:pPr>
        <w:ind w:left="660" w:hanging="328"/>
        <w:spacing w:after="0" w:line="234" w:lineRule="auto"/>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tariffs and/or trade restrictions may impact material costs and pricing;</w:t>
      </w:r>
    </w:p>
    <w:p>
      <w:pPr>
        <w:ind w:left="660" w:right="80" w:hanging="328"/>
        <w:spacing w:after="0" w:line="234" w:lineRule="auto"/>
        <w:tabs>
          <w:tab w:leader="none" w:pos="655"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Global economic conditions, including inflation, recession, changes in foreign currency exchange rates, higher interest rates, and other changes in economic conditions; and</w:t>
      </w:r>
    </w:p>
    <w:p>
      <w:pPr>
        <w:spacing w:after="0" w:line="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Issues related to older models of Syndeo and our actions to remediate such issues</w:t>
      </w:r>
    </w:p>
    <w:p>
      <w:pPr>
        <w:spacing w:after="0" w:line="23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231F20"/>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spacing w:after="0" w:line="19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231F20"/>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adopting to changing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231F20"/>
        </w:rPr>
        <w:t>China Market</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The Company evaluated its global distribution strategy to align its go-to-market strategy with in-market partner capabilities and market opportunity. The Company expects to transition sales in the China market to a distributor partner during the second quarter of 2025, and as a result, the Company intends to discontinue its direct sales presence in China. The Company has not currently estimated the severance and restructuring and non-cash charges associated with these actions. The change in go-to-market strategy is expected to be accretive to the Company’s long-term profitability, as reductions in operating spend are partially offset by a reduction to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Syndeo Program</w:t>
      </w:r>
    </w:p>
    <w:p>
      <w:pPr>
        <w:spacing w:after="0" w:line="2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 stand behind its commitment to its customers and protect the Company’s brand reputation, in October 2023, the Company’s management decided that, with respect to Syndeo devices, the Company would only market and sell Syndeo 3.0 devices. The Company provided, at no cost to the customer, the option of (i) a technician upgrade to their Syndeo 1.0 or 2.0 devices to 3.0 standards in the field; or (ii) a replacement Syndeo 3.0 device for their existing device (the “Syndeo Program”). Additionally, the Company extended the customer’s warranty by one year for each system from the date it was either brought to the 3.0 standards or the customer received a Syndeo 3.0 device.</w:t>
      </w:r>
    </w:p>
    <w:p>
      <w:pPr>
        <w:spacing w:after="0" w:line="2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result of the decision to market and sell Syndeo 3.0 devices exclusively, the Company designated all Syndeo 1.0 and 2.0 builds on-hand as obsolete, resulting in an inventory write-down of $19.6 million during the year ended December 31, 2023. The Company incurred costs of $24.6 million during the year ended December 31, 2023, associated with the cost to upgrade or replace Syndeo 1.0 or 2.0 devices during the year. As of December 31, 2023, the Company accrued $21.0 million for the estimated cost for its remediation plan to upgrade or exchange Syndeo devices. Syndeo inventory write-down and Syndeo Program charges were recognized in cost of sales for the year ended December 31, 2023. As of December 31, 2024, the Syndeo Program is complete.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our Results of Operations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231F20"/>
        </w:rPr>
        <w:t>Net Sales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generates revenue through manufacturing and selling Delivery Systems. In conjunction with the sale of Delivery Systems, the Company also sells its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231F20"/>
        </w:rPr>
        <w:t>Cost of Sales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Costs of sales primarily consists of Delivery Systems and Consumables product costs, including the cost of materials, labor costs, overhead, depreciation and amortization of developed technology, shipping and handling costs, and the costs associated with excess and obsolete inventory.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231F20"/>
        </w:rPr>
        <w:t>Selling and Marketing</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Selling and marketing expense primarily consists of personnel-related expenses, sales commissions, travel costs, training, and advertising expenses incurred in connection with the sale of our products. Selling and marketing expense as a percentage of net sales may fluctuate from period to period based on net sales, and the timing of our investments in our sales and marketing functions may vary in scope and scale over future periods.</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Research and development expense primarily consists of personnel-related expenses, tooling and prototype materials, technology investments, and other expenses incurred in connection with the development of new products and internal technologies.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76" w:name="page77"/>
    <w:bookmarkEnd w:id="76"/>
    <w:p>
      <w:pPr>
        <w:ind w:left="180"/>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231F20"/>
        </w:rPr>
        <w:t>General and administrative expense primarily consists of personnel-related expenses, credit card and wire fees and facilities-related costs primarily for our executive, corporate affairs, finance, accounting, legal, human resources, and information technology (“IT”) functions. General and administrative expense also includes fees for professional services principally comprising legal, audit, tax and accounting services, and insurance.</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43" w:lineRule="exact"/>
        <w:rPr>
          <w:sz w:val="20"/>
          <w:szCs w:val="20"/>
          <w:color w:val="auto"/>
        </w:rPr>
      </w:pPr>
    </w:p>
    <w:p>
      <w:pPr>
        <w:jc w:val="both"/>
        <w:ind w:right="160"/>
        <w:spacing w:after="0" w:line="245" w:lineRule="auto"/>
        <w:rPr>
          <w:sz w:val="20"/>
          <w:szCs w:val="20"/>
          <w:color w:val="auto"/>
        </w:rPr>
      </w:pPr>
      <w:r>
        <w:rPr>
          <w:rFonts w:ascii="Times New Roman" w:cs="Times New Roman" w:eastAsia="Times New Roman" w:hAnsi="Times New Roman"/>
          <w:sz w:val="18"/>
          <w:szCs w:val="18"/>
          <w:color w:val="auto"/>
        </w:rPr>
        <w:t>Interest expense consists of interest accrued on the Company’s Notes and amortization of debt issuance costs relating to the Notes. The Notes mature on October 1, 2026 and accrue interest at a rate of 1.25% per annum. Debt issuance costs are being amortized over the term of the Notes using the effective interest method. If the Notes are repurchased, redeemed, or converted prior to the maturity date, the interest on the Notes would no longer be accrued and the amortization of debt issuance costs would be accelerated for the portion of the Notes which are repurchased, redeemed, or converted.</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43"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Interest income primarily consists of interest earned from investments in money market funds that the Company classifies as cash equivalents. Interest income as a percentage of revenue will fluctuate period to period along with fluctuations in interest rates, which is not related to normal business operations.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2020, in connection with Vesper’s initial public offering, the Company issued 9,333,333 warrants to purchase shares of the Company’s Class A common stock at $11.50 per share (the “Private Placement Warrants”), to BLS Investor Group LLC, which will expire five years after the Business Combination. The Private Placement Warrants are accounted for as liabilities on the Consolidated Balance Sheets and are measured at fair value at inception and on a recurring basis. The fair value of the Private Placement Warrants was determined using a Monte Carlo simulation model. Changes in fair value of warrant liabilities as a percentage of revenue will fluctuate period to period along with fluctuations in fair value, which is not related to normal business operations.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 Loss (Gain), Net</w:t>
      </w:r>
    </w:p>
    <w:p>
      <w:pPr>
        <w:spacing w:after="0" w:line="243"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Foreign currency transaction gains and losses are generated by intercompany balances and transactions denominated in other currencies other than the functional currency of the entity. Foreign currency transaction gains and losses as a percentage of revenue will fluctuate period to period along with fluctuations in exchange rates, which is not related to normal business operations.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provision for income taxes consists of income taxes related to federal, state and foreign jurisdictions in which we conduct 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years ended December 31, 2024 and December 31, 2023 have been derived from the consolidated financial statements included elsewhere in this Annual Report on Form 10-K. Amounts and percentages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231F20"/>
        </w:rPr>
        <w:t>Comparison of Year Ended December 31, 2024 to Year Ended December 31,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
        </w:trPr>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231F20"/>
              </w:rPr>
              <w:t>% of Net Sales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b w:val="1"/>
                <w:bCs w:val="1"/>
                <w:color w:val="231F20"/>
              </w:rPr>
              <w:t>% of Net Sales</w:t>
            </w:r>
          </w:p>
        </w:tc>
      </w:tr>
      <w:tr>
        <w:trPr>
          <w:trHeight w:val="223"/>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Net sales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334.3</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398.0</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100.0 %</w:t>
            </w:r>
          </w:p>
        </w:tc>
      </w:tr>
      <w:tr>
        <w:trPr>
          <w:trHeight w:val="230"/>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152.0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45.5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242.9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231F20"/>
              </w:rPr>
              <w:t>61.0</w:t>
            </w:r>
          </w:p>
        </w:tc>
      </w:tr>
      <w:tr>
        <w:trPr>
          <w:trHeight w:val="223"/>
        </w:trPr>
        <w:tc>
          <w:tcPr>
            <w:tcW w:w="5100" w:type="dxa"/>
            <w:vAlign w:val="bottom"/>
          </w:tcPr>
          <w:p>
            <w:pPr>
              <w:ind w:left="580"/>
              <w:spacing w:after="0"/>
              <w:rPr>
                <w:sz w:val="20"/>
                <w:szCs w:val="20"/>
                <w:color w:val="auto"/>
              </w:rPr>
            </w:pPr>
            <w:r>
              <w:rPr>
                <w:rFonts w:ascii="Times New Roman" w:cs="Times New Roman" w:eastAsia="Times New Roman" w:hAnsi="Times New Roman"/>
                <w:sz w:val="18"/>
                <w:szCs w:val="18"/>
                <w:color w:val="231F20"/>
              </w:rPr>
              <w:t>Gross profit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182.3</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54.5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155.1</w:t>
            </w:r>
          </w:p>
        </w:tc>
        <w:tc>
          <w:tcPr>
            <w:tcW w:w="1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231F20"/>
              </w:rPr>
              <w:t>39.0</w:t>
            </w:r>
          </w:p>
        </w:tc>
      </w:tr>
      <w:tr>
        <w:trPr>
          <w:trHeight w:val="230"/>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Operating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5100" w:type="dxa"/>
            <w:vAlign w:val="bottom"/>
          </w:tcPr>
          <w:p>
            <w:pPr>
              <w:ind w:left="580"/>
              <w:spacing w:after="0"/>
              <w:rPr>
                <w:sz w:val="20"/>
                <w:szCs w:val="20"/>
                <w:color w:val="auto"/>
              </w:rPr>
            </w:pPr>
            <w:r>
              <w:rPr>
                <w:rFonts w:ascii="Times New Roman" w:cs="Times New Roman" w:eastAsia="Times New Roman" w:hAnsi="Times New Roman"/>
                <w:sz w:val="18"/>
                <w:szCs w:val="18"/>
                <w:color w:val="231F20"/>
              </w:rPr>
              <w:t>Selling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118.3</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231F20"/>
              </w:rPr>
              <w:t>35.4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144.5</w:t>
            </w:r>
          </w:p>
        </w:tc>
        <w:tc>
          <w:tcPr>
            <w:tcW w:w="1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231F20"/>
              </w:rPr>
              <w:t>36.3</w:t>
            </w:r>
          </w:p>
        </w:tc>
      </w:tr>
      <w:tr>
        <w:trPr>
          <w:trHeight w:val="229"/>
        </w:trPr>
        <w:tc>
          <w:tcPr>
            <w:tcW w:w="5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1.9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231F20"/>
              </w:rPr>
              <w:t>2.5</w:t>
            </w:r>
          </w:p>
        </w:tc>
      </w:tr>
      <w:tr>
        <w:trPr>
          <w:trHeight w:val="230"/>
        </w:trPr>
        <w:tc>
          <w:tcPr>
            <w:tcW w:w="51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125.5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37.5</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131.4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231F20"/>
              </w:rPr>
              <w:t>33.0</w:t>
            </w:r>
          </w:p>
        </w:tc>
      </w:tr>
      <w:tr>
        <w:trPr>
          <w:trHeight w:val="223"/>
        </w:trPr>
        <w:tc>
          <w:tcPr>
            <w:tcW w:w="5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74.8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286.0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231F20"/>
              </w:rPr>
              <w:t>71.9</w:t>
            </w:r>
          </w:p>
        </w:tc>
      </w:tr>
      <w:tr>
        <w:trPr>
          <w:trHeight w:val="230"/>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(67.8)</w:t>
            </w:r>
          </w:p>
        </w:tc>
        <w:tc>
          <w:tcPr>
            <w:tcW w:w="100" w:type="dxa"/>
            <w:vAlign w:val="bottom"/>
          </w:tcPr>
          <w:p>
            <w:pPr>
              <w:spacing w:after="0"/>
              <w:rPr>
                <w:sz w:val="19"/>
                <w:szCs w:val="19"/>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rPr>
              <w:t>(20.3)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(130.9)</w:t>
            </w:r>
          </w:p>
        </w:tc>
        <w:tc>
          <w:tcPr>
            <w:tcW w:w="10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231F20"/>
              </w:rPr>
              <w:t>(32.9)</w:t>
            </w:r>
          </w:p>
        </w:tc>
      </w:tr>
      <w:tr>
        <w:trPr>
          <w:trHeight w:val="229"/>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3.1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231F20"/>
              </w:rPr>
              <w:t>3.4</w:t>
            </w:r>
          </w:p>
        </w:tc>
      </w:tr>
      <w:tr>
        <w:trPr>
          <w:trHeight w:val="229"/>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Interest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(16.6)</w:t>
            </w:r>
          </w:p>
        </w:tc>
        <w:tc>
          <w:tcPr>
            <w:tcW w:w="100" w:type="dxa"/>
            <w:vAlign w:val="bottom"/>
          </w:tcPr>
          <w:p>
            <w:pPr>
              <w:spacing w:after="0"/>
              <w:rPr>
                <w:sz w:val="19"/>
                <w:szCs w:val="19"/>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rPr>
              <w:t>(5.0)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(23.2)</w:t>
            </w:r>
          </w:p>
        </w:tc>
        <w:tc>
          <w:tcPr>
            <w:tcW w:w="10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231F20"/>
              </w:rPr>
              <w:t>(5.8)</w:t>
            </w:r>
          </w:p>
        </w:tc>
      </w:tr>
      <w:tr>
        <w:trPr>
          <w:trHeight w:val="230"/>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Other income,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rPr>
              <w:t>(10.0)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231F20"/>
              </w:rPr>
              <w:t>(1.3)</w:t>
            </w:r>
          </w:p>
        </w:tc>
      </w:tr>
      <w:tr>
        <w:trPr>
          <w:trHeight w:val="229"/>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w:t>
            </w:r>
          </w:p>
        </w:tc>
        <w:tc>
          <w:tcPr>
            <w:tcW w:w="100" w:type="dxa"/>
            <w:vAlign w:val="bottom"/>
          </w:tcPr>
          <w:p>
            <w:pPr>
              <w:spacing w:after="0"/>
              <w:rPr>
                <w:sz w:val="19"/>
                <w:szCs w:val="19"/>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rPr>
              <w:t>(0.9)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(11.9)</w:t>
            </w:r>
          </w:p>
        </w:tc>
        <w:tc>
          <w:tcPr>
            <w:tcW w:w="10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231F20"/>
              </w:rPr>
              <w:t>(3.0)</w:t>
            </w:r>
          </w:p>
        </w:tc>
      </w:tr>
      <w:tr>
        <w:trPr>
          <w:trHeight w:val="230"/>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Foreign currency transaction loss (gain),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1.4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231F20"/>
              </w:rPr>
              <w:t>(0.6)</w:t>
            </w:r>
          </w:p>
        </w:tc>
      </w:tr>
      <w:tr>
        <w:trPr>
          <w:trHeight w:val="223"/>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Loss before provision for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(29.6)</w:t>
            </w:r>
          </w:p>
        </w:tc>
        <w:tc>
          <w:tcPr>
            <w:tcW w:w="100" w:type="dxa"/>
            <w:vAlign w:val="bottom"/>
          </w:tcPr>
          <w:p>
            <w:pPr>
              <w:spacing w:after="0"/>
              <w:rPr>
                <w:sz w:val="19"/>
                <w:szCs w:val="19"/>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231F20"/>
              </w:rPr>
              <w:t>(8.8)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5"/>
              </w:rPr>
              <w:t>(101.9)</w:t>
            </w:r>
          </w:p>
        </w:tc>
        <w:tc>
          <w:tcPr>
            <w:tcW w:w="10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231F20"/>
              </w:rPr>
              <w:t>(25.6)</w:t>
            </w:r>
          </w:p>
        </w:tc>
      </w:tr>
      <w:tr>
        <w:trPr>
          <w:trHeight w:val="230"/>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rPr>
              <w:t>(0.1)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231F20"/>
              </w:rPr>
              <w:t>(0.4)</w:t>
            </w:r>
          </w:p>
        </w:tc>
      </w:tr>
      <w:tr>
        <w:trPr>
          <w:trHeight w:val="223"/>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(29.1)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(8.7)%</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95"/>
              </w:rPr>
              <w:t>(100.1)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(25.2)%</w:t>
            </w:r>
          </w:p>
        </w:tc>
      </w:tr>
      <w:tr>
        <w:trPr>
          <w:trHeight w:val="21"/>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231F20"/>
        </w:rPr>
        <w:t>Net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sales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231F20"/>
              </w:rPr>
              <w:t>Delivery Systems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125.4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206.6</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Pr>
          <w:p>
            <w:pPr>
              <w:jc w:val="center"/>
              <w:ind w:left="557"/>
              <w:spacing w:after="0"/>
              <w:rPr>
                <w:sz w:val="20"/>
                <w:szCs w:val="20"/>
                <w:color w:val="auto"/>
              </w:rPr>
            </w:pPr>
            <w:r>
              <w:rPr>
                <w:rFonts w:ascii="Times New Roman" w:cs="Times New Roman" w:eastAsia="Times New Roman" w:hAnsi="Times New Roman"/>
                <w:sz w:val="18"/>
                <w:szCs w:val="18"/>
                <w:color w:val="231F20"/>
              </w:rPr>
              <w:t>(81.2)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shd w:val="clear" w:color="auto" w:fill="CCEEFF"/>
          </w:tcPr>
          <w:p>
            <w:pPr>
              <w:jc w:val="center"/>
              <w:ind w:right="3332"/>
              <w:spacing w:after="0"/>
              <w:rPr>
                <w:sz w:val="20"/>
                <w:szCs w:val="20"/>
                <w:color w:val="auto"/>
              </w:rPr>
            </w:pPr>
            <w:r>
              <w:rPr>
                <w:rFonts w:ascii="Times New Roman" w:cs="Times New Roman" w:eastAsia="Times New Roman" w:hAnsi="Times New Roman"/>
                <w:sz w:val="18"/>
                <w:szCs w:val="18"/>
                <w:color w:val="231F20"/>
              </w:rPr>
              <w:t>Consumables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231F20"/>
              </w:rPr>
              <w:t>17.5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9.2%</w:t>
            </w:r>
          </w:p>
        </w:tc>
        <w:tc>
          <w:tcPr>
            <w:tcW w:w="0" w:type="dxa"/>
            <w:vAlign w:val="bottom"/>
          </w:tcPr>
          <w:p>
            <w:pPr>
              <w:spacing w:after="0"/>
              <w:rPr>
                <w:sz w:val="1"/>
                <w:szCs w:val="1"/>
                <w:color w:val="auto"/>
              </w:rPr>
            </w:pPr>
          </w:p>
        </w:tc>
      </w:tr>
      <w:tr>
        <w:trPr>
          <w:trHeight w:val="223"/>
        </w:trPr>
        <w:tc>
          <w:tcPr>
            <w:tcW w:w="5320" w:type="dxa"/>
            <w:vAlign w:val="bottom"/>
          </w:tcPr>
          <w:p>
            <w:pPr>
              <w:ind w:left="800"/>
              <w:spacing w:after="0"/>
              <w:rPr>
                <w:sz w:val="20"/>
                <w:szCs w:val="20"/>
                <w:color w:val="auto"/>
              </w:rPr>
            </w:pPr>
            <w:r>
              <w:rPr>
                <w:rFonts w:ascii="Times New Roman" w:cs="Times New Roman" w:eastAsia="Times New Roman" w:hAnsi="Times New Roman"/>
                <w:sz w:val="18"/>
                <w:szCs w:val="18"/>
                <w:color w:val="231F20"/>
              </w:rPr>
              <w:t>Total 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334.3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398.0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8"/>
                <w:szCs w:val="18"/>
                <w:color w:val="231F20"/>
              </w:rPr>
              <w:t>(63.7)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231F20"/>
              </w:rPr>
              <w:t>Percentage of net sales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Delivery Systems</w:t>
            </w:r>
          </w:p>
        </w:tc>
        <w:tc>
          <w:tcPr>
            <w:tcW w:w="320" w:type="dxa"/>
            <w:vAlign w:val="bottom"/>
          </w:tcPr>
          <w:p>
            <w:pPr>
              <w:spacing w:after="0"/>
              <w:rPr>
                <w:sz w:val="19"/>
                <w:szCs w:val="19"/>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231F20"/>
              </w:rPr>
              <w:t>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Consumables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231F20"/>
              </w:rPr>
              <w:t>62.5%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jc w:val="center"/>
              <w:ind w:right="3352"/>
              <w:spacing w:after="0"/>
              <w:rPr>
                <w:sz w:val="20"/>
                <w:szCs w:val="20"/>
                <w:color w:val="auto"/>
              </w:rPr>
            </w:pPr>
            <w:r>
              <w:rPr>
                <w:rFonts w:ascii="Times New Roman" w:cs="Times New Roman" w:eastAsia="Times New Roman" w:hAnsi="Times New Roman"/>
                <w:sz w:val="18"/>
                <w:szCs w:val="18"/>
                <w:color w:val="231F20"/>
                <w:w w:val="94"/>
              </w:rPr>
              <w:t>Total</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231F20"/>
              </w:rPr>
              <w:t>100.0%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 xml:space="preserve">Total net sales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decreased $63.7 million, or 16.0%, compared to the year ended December 31, 2023. Delivery Systems net sales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decreased $81.2 million, or 39.3%, compared to the year ended December 31, 2023, with decreases across all regions. The decrease in Delivery Systems net sales reflects a challenging year-over-year comparison due to the prior year international launch of Syndeo, which included net sales from the trade-in program. Delivery Systems net sales were also negatively impacted globally by unfavorable macroeconomic and credit conditions and as the Company works to strengthen customer confidence in Syndeo.</w:t>
      </w:r>
    </w:p>
    <w:p>
      <w:pPr>
        <w:spacing w:after="0" w:line="21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231F20"/>
        </w:rPr>
        <w:t xml:space="preserve">Consumables net sales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increased $17.5 million, or 9.2%, compared to the year ended December 31, 2023. The increase in Consumables sales was primarily attributable to increased placements of Delivery Systems and the adjoining consumption of Consumables during the </w:t>
      </w:r>
      <w:r>
        <w:rPr>
          <w:rFonts w:ascii="Times New Roman" w:cs="Times New Roman" w:eastAsia="Times New Roman" w:hAnsi="Times New Roman"/>
          <w:sz w:val="18"/>
          <w:szCs w:val="18"/>
          <w:color w:val="000000"/>
        </w:rPr>
        <w:t>year ended</w:t>
      </w:r>
      <w:r>
        <w:rPr>
          <w:rFonts w:ascii="Times New Roman" w:cs="Times New Roman" w:eastAsia="Times New Roman" w:hAnsi="Times New Roman"/>
          <w:sz w:val="18"/>
          <w:szCs w:val="18"/>
          <w:color w:val="231F20"/>
        </w:rPr>
        <w:t xml:space="preserve"> December 31, 2024.</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Cost of Sales, Gross Profit, and Gross Margin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5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0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Cost of sales</w:t>
            </w:r>
          </w:p>
        </w:tc>
        <w:tc>
          <w:tcPr>
            <w:tcW w:w="92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93"/>
              </w:rPr>
              <w:t>152.0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93"/>
              </w:rPr>
              <w:t>242.9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(37.4)%</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Gross profit</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231F20"/>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w w:val="93"/>
              </w:rPr>
              <w:t>182.3</w:t>
            </w:r>
          </w:p>
        </w:tc>
        <w:tc>
          <w:tcPr>
            <w:tcW w:w="100" w:type="dxa"/>
            <w:vAlign w:val="bottom"/>
          </w:tcPr>
          <w:p>
            <w:pPr>
              <w:spacing w:after="0"/>
              <w:rPr>
                <w:sz w:val="20"/>
                <w:szCs w:val="20"/>
                <w:color w:val="auto"/>
              </w:rPr>
            </w:pP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231F20"/>
                <w:w w:val="88"/>
              </w:rPr>
              <w:t>$</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w w:val="93"/>
              </w:rPr>
              <w:t>155.1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17.5%</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Gross margin</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54.5 %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8" w:name="page79"/>
    <w:bookmarkEnd w:id="78"/>
    <w:p>
      <w:pPr>
        <w:ind w:right="20"/>
        <w:spacing w:after="0" w:line="255" w:lineRule="auto"/>
        <w:rPr>
          <w:sz w:val="20"/>
          <w:szCs w:val="20"/>
          <w:color w:val="auto"/>
        </w:rPr>
      </w:pPr>
      <w:r>
        <w:rPr>
          <w:rFonts w:ascii="Times New Roman" w:cs="Times New Roman" w:eastAsia="Times New Roman" w:hAnsi="Times New Roman"/>
          <w:sz w:val="18"/>
          <w:szCs w:val="18"/>
          <w:color w:val="231F20"/>
        </w:rPr>
        <w:t>Cost of sales for the year ended December 31, 2024 decreased by $90.9 million, or 37.4%, compared to the year ended December 31, 2023. The decrease is primarily due to the absence of charges and inventory write-downs associated with the Syndeo Program of $65.2 million and lower net sales, partially offset by higher inventory related charges and approximately $8 million of manufacturing optimization related costs incurred in 2024. Cost of sales for the year ended December 31, 2024 include $28.0 million in charges for discontinued, excess, or obsolete inventory, including the write-down of Delivery System inventory to its net realizable value and the write-off of excess raw materials. Gross margin increased from 39.0% to 54.5% during the year ended December 31, 2024, primarily due to the prior year’s charges and inventory write-downs associated with the Syndeo Program, partially offset by higher inventory related charges and the manufacturing optimization related costs.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Selling and Marketing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300" w:type="dxa"/>
            <w:vAlign w:val="bottom"/>
          </w:tcPr>
          <w:p>
            <w:pPr>
              <w:spacing w:after="0"/>
              <w:rPr>
                <w:sz w:val="17"/>
                <w:szCs w:val="17"/>
                <w:color w:val="auto"/>
              </w:rPr>
            </w:pPr>
          </w:p>
        </w:tc>
        <w:tc>
          <w:tcPr>
            <w:tcW w:w="188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2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Selling and marketing</w:t>
            </w: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231F20"/>
              </w:rPr>
              <w:t>118.3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231F20"/>
              </w:rPr>
              <w:t>144.5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Selling and marketing expense for the year ended December 31, 2024 decreased $26.2 million, or 18.1%, compared to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decrease is primarily driven by lower personnel-related expenses, including sales commission expense and lower marketing related spend.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6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vMerge w:val="continue"/>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2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080" w:type="dxa"/>
            <w:vAlign w:val="bottom"/>
            <w:tcBorders>
              <w:top w:val="single" w:sz="8" w:color="auto"/>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231F20"/>
              </w:rPr>
              <w:t>$</w:t>
            </w:r>
          </w:p>
        </w:tc>
        <w:tc>
          <w:tcPr>
            <w:tcW w:w="56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8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1.9 %</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Research and development expense for the year ended December 31, 2024 decreased $3.8 million, or 37.7%, compared to the year ended December 31, 2023. The decrease is primarily driven by lower personnel-related expenses, including share-based compensation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34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231F20"/>
              </w:rPr>
              <w:t>125.5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231F20"/>
              </w:rPr>
              <w:t>131.4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31F20"/>
        </w:rPr>
        <w:t>General and administrative expense for the year ended December 31, 2024 decreased $6.0 million, or 4.5%, compared to the year ended December 31, 2023. The decrease is primarily driven by lower losses on the sale of assets and software expenses.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Change in Fair Value of Warrant Liabilities, and Other Income,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38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6"/>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Interest income</w:t>
            </w:r>
          </w:p>
        </w:tc>
        <w:tc>
          <w:tcPr>
            <w:tcW w:w="940" w:type="dxa"/>
            <w:vAlign w:val="bottom"/>
            <w:tcBorders>
              <w:top w:val="single" w:sz="8" w:color="auto"/>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231F20"/>
                <w:w w:val="88"/>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(23.2)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(28.2)%</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w:t>
            </w:r>
          </w:p>
        </w:tc>
        <w:tc>
          <w:tcPr>
            <w:tcW w:w="100" w:type="dxa"/>
            <w:vAlign w:val="bottom"/>
          </w:tcPr>
          <w:p>
            <w:pPr>
              <w:spacing w:after="0"/>
              <w:rPr>
                <w:sz w:val="20"/>
                <w:szCs w:val="20"/>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231F20"/>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6"/>
              </w:rPr>
              <w:t>(11.9)</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(74.3)%</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Other income, net</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231F20"/>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N/M - Not meaningful</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Interest income for the year ended December 31, 2024 decreased $6.5 million compared to the year ended December 31, 2023, primarily due to lower average invested balances during the year ended December 31, 2024.</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w:t>
      </w:r>
      <w:r>
        <w:rPr>
          <w:rFonts w:ascii="Times New Roman" w:cs="Times New Roman" w:eastAsia="Times New Roman" w:hAnsi="Times New Roman"/>
          <w:sz w:val="18"/>
          <w:szCs w:val="18"/>
          <w:color w:val="231F20"/>
        </w:rPr>
        <w:t>December 31, 2024, the Company recognized income of $3.1 million related to the change in the fair value of the warrant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 decrease of $8.9 million, as compared to income of $11.9 million during the year ended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231F20"/>
        </w:rPr>
        <w:t>December 31, 2023, driven primarily by the fluctuation of the price of the Class A Common Stock underlying the Private Placement Warrants.</w:t>
      </w:r>
    </w:p>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w:t>
      </w:r>
      <w:r>
        <w:rPr>
          <w:rFonts w:ascii="Times New Roman" w:cs="Times New Roman" w:eastAsia="Times New Roman" w:hAnsi="Times New Roman"/>
          <w:sz w:val="18"/>
          <w:szCs w:val="18"/>
          <w:color w:val="231F20"/>
        </w:rPr>
        <w:t>December 31, 2024, the Company recognized other income, net of</w:t>
      </w:r>
      <w:r>
        <w:rPr>
          <w:rFonts w:ascii="Times New Roman" w:cs="Times New Roman" w:eastAsia="Times New Roman" w:hAnsi="Times New Roman"/>
          <w:sz w:val="18"/>
          <w:szCs w:val="18"/>
          <w:color w:val="auto"/>
        </w:rPr>
        <w:t xml:space="preserve"> $33.6 million, which includes a net gain of </w:t>
      </w:r>
      <w:r>
        <w:rPr>
          <w:rFonts w:ascii="Times New Roman" w:cs="Times New Roman" w:eastAsia="Times New Roman" w:hAnsi="Times New Roman"/>
          <w:sz w:val="18"/>
          <w:szCs w:val="18"/>
          <w:color w:val="231F20"/>
        </w:rPr>
        <w:t>$33.4 million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to the repurchase of the Company’s Notes. </w:t>
      </w:r>
      <w:r>
        <w:rPr>
          <w:rFonts w:ascii="Times New Roman" w:cs="Times New Roman" w:eastAsia="Times New Roman" w:hAnsi="Times New Roman"/>
          <w:sz w:val="18"/>
          <w:szCs w:val="18"/>
          <w:color w:val="000000"/>
        </w:rPr>
        <w:t>During the year ended December 31, 2023</w:t>
      </w:r>
      <w:r>
        <w:rPr>
          <w:rFonts w:ascii="Times New Roman" w:cs="Times New Roman" w:eastAsia="Times New Roman" w:hAnsi="Times New Roman"/>
          <w:sz w:val="18"/>
          <w:szCs w:val="18"/>
          <w:color w:val="231F20"/>
        </w:rPr>
        <w:t xml:space="preserve">, the Company recognized other income, net of </w:t>
      </w:r>
      <w:r>
        <w:rPr>
          <w:rFonts w:ascii="Times New Roman" w:cs="Times New Roman" w:eastAsia="Times New Roman" w:hAnsi="Times New Roman"/>
          <w:sz w:val="18"/>
          <w:szCs w:val="18"/>
          <w:color w:val="000000"/>
        </w:rPr>
        <w:t>$5.2 million</w:t>
      </w:r>
      <w:r>
        <w:rPr>
          <w:rFonts w:ascii="Times New Roman" w:cs="Times New Roman" w:eastAsia="Times New Roman" w:hAnsi="Times New Roman"/>
          <w:sz w:val="18"/>
          <w:szCs w:val="18"/>
          <w:color w:val="231F20"/>
        </w:rPr>
        <w:t>, which includes $4.9 million related to payments received for the Employee Retention Credit under the Coronavirus Aid, Relief, and Economic Security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 xml:space="preserve">Our primary sources of capital have been (i) cash flow from operating activities, (ii) net proceeds received from the consummation of the Business Combination, (iii) net proceeds received from the Notes, and (iv) net proceeds received from the exercise of public and Private Placement Warrants.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we had cash, cash equivalents, and restricted cash of</w:t>
      </w:r>
      <w:r>
        <w:rPr>
          <w:rFonts w:ascii="Times New Roman" w:cs="Times New Roman" w:eastAsia="Times New Roman" w:hAnsi="Times New Roman"/>
          <w:sz w:val="18"/>
          <w:szCs w:val="18"/>
          <w:color w:val="000000"/>
        </w:rPr>
        <w:t xml:space="preserve"> $370.1 million</w:t>
      </w:r>
      <w:r>
        <w:rPr>
          <w:rFonts w:ascii="Times New Roman" w:cs="Times New Roman" w:eastAsia="Times New Roman" w:hAnsi="Times New Roman"/>
          <w:sz w:val="18"/>
          <w:szCs w:val="18"/>
          <w:color w:val="231F20"/>
        </w:rPr>
        <w:t>.</w:t>
      </w:r>
    </w:p>
    <w:p>
      <w:pPr>
        <w:spacing w:after="0" w:line="20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for our Notes. Cash received from our customers and other activities generally corresponds to our net sales.</w:t>
      </w:r>
    </w:p>
    <w:p>
      <w:pPr>
        <w:spacing w:after="0" w:line="20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Our sources of liquidity and cash flows are used to fund ongoing operations, research and development projects for new products, services, and technologies, and provide ongoing support services for our providers and customers, </w:t>
      </w:r>
      <w:r>
        <w:rPr>
          <w:rFonts w:ascii="Times New Roman" w:cs="Times New Roman" w:eastAsia="Times New Roman" w:hAnsi="Times New Roman"/>
          <w:sz w:val="18"/>
          <w:szCs w:val="18"/>
          <w:color w:val="231F20"/>
        </w:rPr>
        <w:t>including liabilities associated with the recently completed Syndeo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Program</w:t>
      </w:r>
      <w:r>
        <w:rPr>
          <w:rFonts w:ascii="Times New Roman" w:cs="Times New Roman" w:eastAsia="Times New Roman" w:hAnsi="Times New Roman"/>
          <w:sz w:val="18"/>
          <w:szCs w:val="18"/>
          <w:color w:val="000000"/>
        </w:rPr>
        <w:t>. As part of our business strategy, we occasionally evaluate potential acquisitions of businesses and products and technologies. Accordingly,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2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Capital expenditures for property and equipment and intangible assets for the year ended December 31, 2024 were $6.8 million. 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may, from time to time, seek to redeem or repurchase our outstanding debt or equity securities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For information regarding the Company’s repurchases of its Notes during the year ended December 31, 2024, see Note 7, Long-Term Debt, to the Notes to the Consolidated Financial Statements included elsewhere in this Annual Report on Form 10-K for additional information.</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0" w:name="page81"/>
    <w:bookmarkEnd w:id="8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14, 2021, the Company issued an aggregate of $750.0 million in principal amount of its Notes. The Notes were issued pursuant to, and are governed by, an indenture dated as of September 14, 2021, between the Company and U.S. Bank National Association, as trustee (the “Indenture”). The Notes accrue interest at a rate of 1.25% per annum, payable semi-annually in arrears on April 1 and October 1 of each year, which began on April 1, 2022. The Notes will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We will settle conversions by paying or delivering, as applicable, cash, shares of our Class A Common Stock or a combination of cash and shares of our Class A Common Stock, at our election. The initial conversion rate is 31.4859 shares of Class A Common Stock per $1,000 principal amount of Notes, which represents an initial conversion price of approximately $31.76 per share of Class A Common Stock. See Note 7 – Long-term Debt, to the Notes to the Consolidated Financial Statements included elsewhere in this Annual Report on Form 10-K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During the year ended December 31, 2024, t</w:t>
      </w:r>
      <w:r>
        <w:rPr>
          <w:rFonts w:ascii="Times New Roman" w:cs="Times New Roman" w:eastAsia="Times New Roman" w:hAnsi="Times New Roman"/>
          <w:sz w:val="18"/>
          <w:szCs w:val="18"/>
          <w:color w:val="000000"/>
        </w:rPr>
        <w:t>he Company repurchased $192.3 million principal amount of the Notes for $156.1 million.</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Credit Agreement</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14, 2022, the Company, as successor by assumption to Hydrafacial, a California limited liability company, entered into an Amended and Restated Credit Agreement (as it may be further amended, restated, supplemented or modified from time to time, the “Credit Agreement”) with JPMorgan Chase Bank, N.A. (the “Administrative Agent”). The Credit Agreement provided the Company with a $50.0 million revolving credit facility that had a maturity date of November 14, 2027.</w:t>
      </w:r>
    </w:p>
    <w:p>
      <w:pPr>
        <w:spacing w:after="0" w:line="207"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On August 6, 2024, the Company prepaid all obligations and terminated all commitments, liabilities, and other obligations under the Credit Agreement. There were no material early termination penalties incurred in connection therewith, all outstanding obligations and commitments under the Credit Agreement were satisfied and terminated, and all related security interests and liens securing such obligations and commitments were released.</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Known Trends or Uncertainties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majority of our customers operate within the medical industry (dermatologists and plastic surgeons), esthetician industry, and beauty retail industry. Although we have not seen any significant reduction in revenues to date due to consolidations, we have seen some consolidation in these industries during economic downturns. These consolidations have not had a negative effect on our total net sales; however, should consolidations and downsizing in the industries continue to occur, those events could adversely impact our revenues and earnings going forward.</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In addition, we continue to face macroeconomic challenges such as the possibility of recession or financial market instability, and the impact of any governmental actions on the economy, such as tariffs and/or trade restrictions. These factors may adversely impact consumers, business, and government spending as well as our customers' ability to pay for our products and services on an ongoing basis.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If economic and social conditions or the degree of uncertainty or volatility worsen, or the adverse conditions previously described are further prolonged, our revenues could be adversely affected. Macroeconomic challenges and credit conditions have negatively impacted our revenues in 2024. We are continuing to monitor these and other risks that may affect our business so that we can respond appropriately. Negative trends in our financial performance or financial condition may result in a sustained decline in our stock price, which may result in a triggering event necessitating an interim goodwill impairment assessment and potential goodwill impairment.</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81" w:name="page82"/>
    <w:bookmarkEnd w:id="81"/>
    <w:p>
      <w:pPr>
        <w:ind w:left="180"/>
        <w:spacing w:after="0"/>
        <w:rPr>
          <w:sz w:val="20"/>
          <w:szCs w:val="20"/>
          <w:color w:val="auto"/>
        </w:rPr>
      </w:pPr>
      <w:r>
        <w:rPr>
          <w:rFonts w:ascii="Times New Roman" w:cs="Times New Roman" w:eastAsia="Times New Roman" w:hAnsi="Times New Roman"/>
          <w:sz w:val="18"/>
          <w:szCs w:val="18"/>
          <w:b w:val="1"/>
          <w:bCs w:val="1"/>
          <w:i w:val="1"/>
          <w:iCs w:val="1"/>
          <w:color w:val="231F20"/>
        </w:rPr>
        <w:t>Contractual Obligations and Other Commercial Commitments</w:t>
      </w:r>
    </w:p>
    <w:p>
      <w:pPr>
        <w:spacing w:after="0" w:line="31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 xml:space="preserve">The following table summarizes the Company’s contractual obligations and other commercial commitments as of </w:t>
      </w:r>
      <w:r>
        <w:rPr>
          <w:rFonts w:ascii="Times New Roman" w:cs="Times New Roman" w:eastAsia="Times New Roman" w:hAnsi="Times New Roman"/>
          <w:sz w:val="18"/>
          <w:szCs w:val="18"/>
          <w:color w:val="231F20"/>
        </w:rPr>
        <w:t>December 31, 2024. In regards to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capital expenditures, we intend to use cash-on-hand and cash from operations to help satisfy future requirements.</w:t>
      </w: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231F20"/>
              </w:rPr>
              <w:t>Payments Due by Fiscal Period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231F20"/>
              </w:rPr>
              <w:t>Total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231F20"/>
              </w:rPr>
              <w:t>Less Than 1</w:t>
            </w:r>
          </w:p>
        </w:tc>
        <w:tc>
          <w:tcPr>
            <w:tcW w:w="180" w:type="dxa"/>
            <w:vAlign w:val="bottom"/>
          </w:tcPr>
          <w:p>
            <w:pPr>
              <w:spacing w:after="0"/>
              <w:rPr>
                <w:sz w:val="11"/>
                <w:szCs w:val="11"/>
                <w:color w:val="auto"/>
              </w:rPr>
            </w:pPr>
          </w:p>
        </w:tc>
        <w:tc>
          <w:tcPr>
            <w:tcW w:w="9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231F20"/>
              </w:rPr>
              <w:t>1-3 years</w:t>
            </w:r>
          </w:p>
        </w:tc>
        <w:tc>
          <w:tcPr>
            <w:tcW w:w="180" w:type="dxa"/>
            <w:vAlign w:val="bottom"/>
          </w:tcPr>
          <w:p>
            <w:pPr>
              <w:spacing w:after="0"/>
              <w:rPr>
                <w:sz w:val="11"/>
                <w:szCs w:val="11"/>
                <w:color w:val="auto"/>
              </w:rPr>
            </w:pPr>
          </w:p>
        </w:tc>
        <w:tc>
          <w:tcPr>
            <w:tcW w:w="9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231F20"/>
              </w:rPr>
              <w:t>3-5 Years</w:t>
            </w:r>
          </w:p>
        </w:tc>
        <w:tc>
          <w:tcPr>
            <w:tcW w:w="140" w:type="dxa"/>
            <w:vAlign w:val="bottom"/>
          </w:tcPr>
          <w:p>
            <w:pPr>
              <w:spacing w:after="0"/>
              <w:rPr>
                <w:sz w:val="11"/>
                <w:szCs w:val="11"/>
                <w:color w:val="auto"/>
              </w:rPr>
            </w:pPr>
          </w:p>
        </w:tc>
        <w:tc>
          <w:tcPr>
            <w:tcW w:w="92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231F20"/>
              </w:rPr>
              <w:t>More than 5</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231F20"/>
              </w:rPr>
              <w:t>Year</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231F20"/>
              </w:rPr>
              <w:t>Years</w:t>
            </w:r>
          </w:p>
        </w:tc>
        <w:tc>
          <w:tcPr>
            <w:tcW w:w="0" w:type="dxa"/>
            <w:vAlign w:val="bottom"/>
          </w:tcPr>
          <w:p>
            <w:pPr>
              <w:spacing w:after="0"/>
              <w:rPr>
                <w:sz w:val="1"/>
                <w:szCs w:val="1"/>
                <w:color w:val="auto"/>
              </w:rPr>
            </w:pPr>
          </w:p>
        </w:tc>
      </w:tr>
      <w:tr>
        <w:trPr>
          <w:trHeight w:val="228"/>
        </w:trPr>
        <w:tc>
          <w:tcPr>
            <w:tcW w:w="56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231F20"/>
              </w:rPr>
              <w:t xml:space="preserve">Notes </w:t>
            </w:r>
            <w:r>
              <w:rPr>
                <w:rFonts w:ascii="Times New Roman" w:cs="Times New Roman" w:eastAsia="Times New Roman" w:hAnsi="Times New Roman"/>
                <w:sz w:val="23"/>
                <w:szCs w:val="23"/>
                <w:color w:val="231F20"/>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231F20"/>
              </w:rPr>
              <w:t xml:space="preserve">Interest on Notes </w:t>
            </w:r>
            <w:r>
              <w:rPr>
                <w:rFonts w:ascii="Times New Roman" w:cs="Times New Roman" w:eastAsia="Times New Roman" w:hAnsi="Times New Roman"/>
                <w:sz w:val="23"/>
                <w:szCs w:val="23"/>
                <w:color w:val="231F20"/>
                <w:vertAlign w:val="superscript"/>
              </w:rPr>
              <w:t>(1)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Operating leases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Purchase of inventory, service, and other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Total contractual obligations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340" w:right="240" w:hanging="332"/>
        <w:spacing w:after="0" w:line="225" w:lineRule="auto"/>
        <w:tabs>
          <w:tab w:leader="none" w:pos="29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Notes will mature on October 1, 2026 and are due either in cash or shares of the Company’s Class A Common Stock. From and after April 1, 2026, noteholders may convert their Notes into shares of Class A Common Stock until the close of business on the second scheduled trading day immediately before the maturity date.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from our statements of cash flows. Amounts may not foot due to rounding.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0" w:type="dxa"/>
            <w:vAlign w:val="bottom"/>
          </w:tcPr>
          <w:p>
            <w:pPr>
              <w:spacing w:after="0"/>
              <w:rPr>
                <w:sz w:val="1"/>
                <w:szCs w:val="1"/>
                <w:color w:val="auto"/>
              </w:rPr>
            </w:pPr>
          </w:p>
        </w:tc>
      </w:tr>
      <w:tr>
        <w:trPr>
          <w:trHeight w:val="6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cash equivalents, and restricted cash at beginning of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Operating activities: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Non-cash adjustments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Changes in working capital</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Net cash provided by operating activities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cash used for investing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Net cash used for financing activities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change in cash, cash equivalents, and restricted cash</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Effect of foreign currency translation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cash equivalents, and restricted cash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231F20"/>
        </w:rPr>
        <w:t xml:space="preserve">Net cash provided by operating activities for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31F20"/>
        </w:rPr>
        <w:t xml:space="preserve"> was $16.1 million, as compared to $21.8 million for the </w:t>
      </w:r>
      <w:r>
        <w:rPr>
          <w:rFonts w:ascii="Times New Roman" w:cs="Times New Roman" w:eastAsia="Times New Roman" w:hAnsi="Times New Roman"/>
          <w:sz w:val="18"/>
          <w:szCs w:val="18"/>
          <w:color w:val="000000"/>
        </w:rPr>
        <w:t>year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The change in cash provided by operating activities was primarily related to higher working capital usage and changes in net loss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non-cash adjustments. The current year net </w:t>
      </w:r>
      <w:r>
        <w:rPr>
          <w:rFonts w:ascii="Times New Roman" w:cs="Times New Roman" w:eastAsia="Times New Roman" w:hAnsi="Times New Roman"/>
          <w:sz w:val="18"/>
          <w:szCs w:val="18"/>
          <w:color w:val="000000"/>
        </w:rPr>
        <w:t>loss</w:t>
      </w:r>
      <w:r>
        <w:rPr>
          <w:rFonts w:ascii="Times New Roman" w:cs="Times New Roman" w:eastAsia="Times New Roman" w:hAnsi="Times New Roman"/>
          <w:sz w:val="18"/>
          <w:szCs w:val="18"/>
          <w:color w:val="231F20"/>
        </w:rPr>
        <w:t xml:space="preserve"> and non-cash adjustments include a net </w:t>
      </w:r>
      <w:r>
        <w:rPr>
          <w:rFonts w:ascii="Times New Roman" w:cs="Times New Roman" w:eastAsia="Times New Roman" w:hAnsi="Times New Roman"/>
          <w:sz w:val="18"/>
          <w:szCs w:val="18"/>
          <w:color w:val="000000"/>
        </w:rPr>
        <w:t>gain of $33.4 million related to the repurchase of the Company’s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Notes. The prior year net loss, non-cash adjustments, and changes in working capital include the impact of the Syndeo Program charges and inventory write-down.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Net cash used for investing activities </w:t>
      </w:r>
      <w:r>
        <w:rPr>
          <w:rFonts w:ascii="Times New Roman" w:cs="Times New Roman" w:eastAsia="Times New Roman" w:hAnsi="Times New Roman"/>
          <w:sz w:val="18"/>
          <w:szCs w:val="18"/>
          <w:color w:val="231F20"/>
        </w:rPr>
        <w:t>for the</w:t>
      </w:r>
      <w:r>
        <w:rPr>
          <w:rFonts w:ascii="Times New Roman" w:cs="Times New Roman" w:eastAsia="Times New Roman" w:hAnsi="Times New Roman"/>
          <w:sz w:val="18"/>
          <w:szCs w:val="18"/>
          <w:color w:val="auto"/>
        </w:rPr>
        <w:t xml:space="preserve"> year ended December 31, 2024 was </w:t>
      </w:r>
      <w:r>
        <w:rPr>
          <w:rFonts w:ascii="Times New Roman" w:cs="Times New Roman" w:eastAsia="Times New Roman" w:hAnsi="Times New Roman"/>
          <w:sz w:val="18"/>
          <w:szCs w:val="18"/>
          <w:color w:val="231F20"/>
        </w:rPr>
        <w:t>$6.8 million, as compared to $31.5 million for the</w:t>
      </w:r>
      <w:r>
        <w:rPr>
          <w:rFonts w:ascii="Times New Roman" w:cs="Times New Roman" w:eastAsia="Times New Roman" w:hAnsi="Times New Roman"/>
          <w:sz w:val="18"/>
          <w:szCs w:val="18"/>
          <w:color w:val="auto"/>
        </w:rPr>
        <w:t xml:space="preserve"> year ended December 31, 2023</w:t>
      </w:r>
      <w:r>
        <w:rPr>
          <w:rFonts w:ascii="Times New Roman" w:cs="Times New Roman" w:eastAsia="Times New Roman" w:hAnsi="Times New Roman"/>
          <w:sz w:val="18"/>
          <w:szCs w:val="18"/>
          <w:color w:val="231F20"/>
        </w:rPr>
        <w:t>. The change in cash used for investing activities was primarily related to prior year’s asset acquisitions of Esthetic Medical Inc.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Anacapa Aesthetics LLC for $18.5 million.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5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231F20"/>
        </w:rPr>
        <w:t xml:space="preserve">Net cash used for financing activities for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31F20"/>
        </w:rPr>
        <w:t xml:space="preserve"> was $158.3 million, as compared to $37.4 million for the </w:t>
      </w:r>
      <w:r>
        <w:rPr>
          <w:rFonts w:ascii="Times New Roman" w:cs="Times New Roman" w:eastAsia="Times New Roman" w:hAnsi="Times New Roman"/>
          <w:sz w:val="18"/>
          <w:szCs w:val="18"/>
          <w:color w:val="000000"/>
        </w:rPr>
        <w:t>year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The change in cash used for financing activities was primarily related to the repurchase of $192.3 million principal amount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Company’s Notes at a weighted average price equal to </w:t>
      </w:r>
      <w:r>
        <w:rPr>
          <w:rFonts w:ascii="Times New Roman" w:cs="Times New Roman" w:eastAsia="Times New Roman" w:hAnsi="Times New Roman"/>
          <w:sz w:val="18"/>
          <w:szCs w:val="18"/>
          <w:color w:val="000000"/>
        </w:rPr>
        <w:t>81%</w:t>
      </w:r>
      <w:r>
        <w:rPr>
          <w:rFonts w:ascii="Times New Roman" w:cs="Times New Roman" w:eastAsia="Times New Roman" w:hAnsi="Times New Roman"/>
          <w:sz w:val="18"/>
          <w:szCs w:val="18"/>
          <w:color w:val="231F20"/>
        </w:rPr>
        <w:t xml:space="preserve"> for $156.1 million, partially offset by share repurchases of </w:t>
      </w:r>
      <w:r>
        <w:rPr>
          <w:rFonts w:ascii="Times New Roman" w:cs="Times New Roman" w:eastAsia="Times New Roman" w:hAnsi="Times New Roman"/>
          <w:sz w:val="18"/>
          <w:szCs w:val="18"/>
          <w:color w:val="000000"/>
        </w:rPr>
        <w:t>$30.2 million</w:t>
      </w:r>
      <w:r>
        <w:rPr>
          <w:rFonts w:ascii="Times New Roman" w:cs="Times New Roman" w:eastAsia="Times New Roman" w:hAnsi="Times New Roman"/>
          <w:sz w:val="18"/>
          <w:szCs w:val="18"/>
          <w:color w:val="231F20"/>
        </w:rPr>
        <w:t xml:space="preserve"> in the prior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4"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u w:val="single" w:color="auto"/>
          <w:color w:val="231F20"/>
        </w:rPr>
        <w:t>Management’s Policy</w:t>
      </w:r>
      <w:r>
        <w:rPr>
          <w:rFonts w:ascii="Times New Roman" w:cs="Times New Roman" w:eastAsia="Times New Roman" w:hAnsi="Times New Roman"/>
          <w:sz w:val="18"/>
          <w:szCs w:val="18"/>
          <w:color w:val="231F20"/>
        </w:rPr>
        <w:t xml:space="preserve">: In accordance with ASC 606,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231F20"/>
        </w:rPr>
        <w:t>, we determine the amount of revenue to be recognized through application of the following steps:</w:t>
      </w:r>
    </w:p>
    <w:p>
      <w:pPr>
        <w:spacing w:after="0" w:line="5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 the customer contract;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 the performance obligations in the contract;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Determine the transaction price;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Recognize revenue as the performance obligations are satisfied.</w:t>
      </w:r>
    </w:p>
    <w:p>
      <w:pPr>
        <w:spacing w:after="0" w:line="23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u w:val="single" w:color="auto"/>
          <w:color w:val="231F20"/>
        </w:rPr>
        <w:t>Subjective Estimates and Judgements</w:t>
      </w:r>
      <w:r>
        <w:rPr>
          <w:rFonts w:ascii="Times New Roman" w:cs="Times New Roman" w:eastAsia="Times New Roman" w:hAnsi="Times New Roman"/>
          <w:sz w:val="18"/>
          <w:szCs w:val="18"/>
          <w:color w:val="231F20"/>
        </w:rPr>
        <w:t xml:space="preserve">: The determination of the reduction of the transaction price for noncash consideration received related to the Company’s trade-in program requires that we make certain estimates and assumptions that affect the timing and amounts of revenue recognized. We estimate the noncash consideration based on the Company’s historical experience of reselling refurbished Delivery Systems. As a result, the noncash consideration represents the estimated selling price, less the cost to refurbish the inventory and the expected margin to be earned on the refurbishment, along with the expected margin to be earned on the selling effort. The Company recognized revenue based on the estimated fair value of such Delivery Systems for the years ended December 31, 2023 and 2022 of approximately $17 million and $9 million, respectively. </w:t>
      </w:r>
      <w:r>
        <w:rPr>
          <w:rFonts w:ascii="Times New Roman" w:cs="Times New Roman" w:eastAsia="Times New Roman" w:hAnsi="Times New Roman"/>
          <w:sz w:val="18"/>
          <w:szCs w:val="18"/>
          <w:color w:val="000000"/>
        </w:rPr>
        <w:t>No trade-in revenue was recognized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 the year ended December 31, 2024.</w:t>
      </w: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Impact if Actual Results Differ from Estimates and Judgements</w:t>
      </w:r>
      <w:r>
        <w:rPr>
          <w:rFonts w:ascii="Times New Roman" w:cs="Times New Roman" w:eastAsia="Times New Roman" w:hAnsi="Times New Roman"/>
          <w:sz w:val="18"/>
          <w:szCs w:val="18"/>
          <w:color w:val="auto"/>
        </w:rPr>
        <w:t>: If changes in market conditions result in reductions in the estimated reselling price below its previous estimates, the Company would decrease its basis in the trade-in Delivery Systems in the period in which it made such a determination. During the year ended December 31, 2024, the Company recognized approximately $7 million of inventory charges related to the write-down of trade-in Delivery Systems to its net realizable value. If the actual selling price of the refurbished Delivery Systems are higher than the estimated reselling price, the difference would result in an increase in gross profit in the periods the refurbished Delivery Systems are sold.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Management’s Policy</w:t>
      </w:r>
      <w:r>
        <w:rPr>
          <w:rFonts w:ascii="Times New Roman" w:cs="Times New Roman" w:eastAsia="Times New Roman" w:hAnsi="Times New Roman"/>
          <w:sz w:val="18"/>
          <w:szCs w:val="18"/>
          <w:color w:val="auto"/>
        </w:rPr>
        <w:t>: Intangible assets primarily consist of developed technology, capitalized software, customer relationships and trademarks and are amortized on a straight-line basis over the estimated useful life of the asset. We assess the impairment of intangible assets whenever events or changes in circumstances indicate that the carrying amount may not be recoverable. Goodwill is recorded as the difference between the aggregate consideration paid for an acquisition and the fair value of the assets acquired and liabilities assumed. Goodwill is not amortized but is evaluated for impairment at least annually or more frequently if indicators of impairment are present or changes in circumstances suggest that impairment may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83" w:name="page84"/>
    <w:bookmarkEnd w:id="83"/>
    <w:p>
      <w:pPr>
        <w:ind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Subjective Estimates and Judgements</w:t>
      </w:r>
      <w:r>
        <w:rPr>
          <w:rFonts w:ascii="Times New Roman" w:cs="Times New Roman" w:eastAsia="Times New Roman" w:hAnsi="Times New Roman"/>
          <w:sz w:val="18"/>
          <w:szCs w:val="18"/>
          <w:color w:val="auto"/>
        </w:rPr>
        <w:t>: We will use industry accepted valuation models to estimate the fair value for impairment testing. The fair value calculation requires significant judgments in determining the assets’ fair value. The key estimates and factors used in the valuation models may include, as applicable, revenue growth rates and profit margins based on internal forecasts, weighted average cost of capital used to discount future cash flows, comparable market multiples for the industry segment, and historical operating trends. Certain future events and circumstances, including deterioration of market conditions, higher cost of capital, a decline in actual and expected consumer consumption and demands, could result in changes to these assumptions and judgments. If these assumptions differ materially from future results, we may record impairment charges in the future.</w:t>
      </w:r>
    </w:p>
    <w:p>
      <w:pPr>
        <w:spacing w:after="0" w:line="21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u w:val="single" w:color="auto"/>
          <w:color w:val="auto"/>
        </w:rPr>
        <w:t>Impact if Actual Results Differ from Estimates and Judgements</w:t>
      </w:r>
      <w:r>
        <w:rPr>
          <w:rFonts w:ascii="Times New Roman" w:cs="Times New Roman" w:eastAsia="Times New Roman" w:hAnsi="Times New Roman"/>
          <w:sz w:val="18"/>
          <w:szCs w:val="18"/>
          <w:color w:val="auto"/>
        </w:rPr>
        <w:t>: Changes in qualitative factors assessed, changes to assumptions used in the impairment test, selection and weighting of the various fair value techniques, and downturns in economic or business conditions, could have a significant adverse impact on the carrying value of goodwill and intangible assets and could result in impairment losses which could have a material impact on our financial condition and earnings.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u w:val="single" w:color="auto"/>
          <w:color w:val="231F20"/>
        </w:rPr>
        <w:t>Management’s Policy</w:t>
      </w:r>
      <w:r>
        <w:rPr>
          <w:rFonts w:ascii="Times New Roman" w:cs="Times New Roman" w:eastAsia="Times New Roman" w:hAnsi="Times New Roman"/>
          <w:sz w:val="18"/>
          <w:szCs w:val="18"/>
          <w:color w:val="231F20"/>
        </w:rPr>
        <w:t>: Inventories are stated at the lower of cost (determined using the average cost method which approximates the first-in, first-out method) or net realizable value.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231F20"/>
        </w:rPr>
        <w:t>Subjective Estimates and Judgements</w:t>
      </w:r>
      <w:r>
        <w:rPr>
          <w:rFonts w:ascii="Times New Roman" w:cs="Times New Roman" w:eastAsia="Times New Roman" w:hAnsi="Times New Roman"/>
          <w:sz w:val="18"/>
          <w:szCs w:val="18"/>
          <w:color w:val="231F20"/>
        </w:rPr>
        <w:t>: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Impact if Actual Results Differ from Estimates and Judgements</w:t>
      </w:r>
      <w:r>
        <w:rPr>
          <w:rFonts w:ascii="Times New Roman" w:cs="Times New Roman" w:eastAsia="Times New Roman" w:hAnsi="Times New Roman"/>
          <w:sz w:val="18"/>
          <w:szCs w:val="18"/>
          <w:color w:val="auto"/>
        </w:rPr>
        <w:t>: If the assumptions around future demand for our inventory are more optimistic than actual future results, the net realizable value calculated using these assumptions may be overstated, resulting in an overstatement of the inventory balance.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Management’s Policy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We use the asset-and-liability method for income taxes. Under this approach, deferred tax assets and liabilities arise</w:t>
      </w:r>
      <w:r>
        <w:rPr>
          <w:rFonts w:ascii="Times New Roman" w:cs="Times New Roman" w:eastAsia="Times New Roman" w:hAnsi="Times New Roman"/>
          <w:sz w:val="18"/>
          <w:szCs w:val="18"/>
          <w:color w:val="auto"/>
        </w:rPr>
        <w:t xml:space="preserve"> from differences between the financial statement carrying amounts and tax bases of assets and liabilities, as well as operating loss and tax credit carryforwards. These are measured using enacted tax rates expected to be in effect when the differences reverse. Any change in tax rates is recognized in income in the period of enactment.</w:t>
      </w:r>
    </w:p>
    <w:p>
      <w:pPr>
        <w:spacing w:after="0" w:line="207"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u w:val="single" w:color="auto"/>
          <w:color w:val="231F20"/>
        </w:rPr>
        <w:t>Subjective Estimates and Judgements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We assess the need for valuation allowances to reduce deferred tax assets to amounts that are more likely than not to</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be realized. This requires significant judgment. As of December 31, 2024, due to cumulative pre-tax losses, we do not rely on projected income to support the realization of deferred tax assets. Instead, we consider the reversal of taxable temporary differences as a source of income for realizing these assets.</w:t>
      </w:r>
    </w:p>
    <w:p>
      <w:pPr>
        <w:spacing w:after="0" w:line="1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uncertain tax positions, we evaluate whether they meet the “more-likely-than-not” threshold for sustaining upon examination by tax authorities. Positions that do not meet this threshold are recorded as a tax expense. We reassess these positions based on changes in facts, tax law interpretations, audit outcomes, or statute expirations. Interest and penalties related to unrecognized tax benefits are recorded in income tax expense.</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Impact if Actual Results Differ from Estimates and Judgments</w:t>
      </w:r>
      <w:r>
        <w:rPr>
          <w:rFonts w:ascii="Times New Roman" w:cs="Times New Roman" w:eastAsia="Times New Roman" w:hAnsi="Times New Roman"/>
          <w:sz w:val="18"/>
          <w:szCs w:val="18"/>
          <w:color w:val="auto"/>
        </w:rPr>
        <w:t>: While we believe our estimates and judgments are reasonable, actual results may differ. If we are unable to realize all or part of our deferred tax assets or if a tax position is overturned by a taxing authority, we may need to adjust the valuation allowance, affecting income tax expense and potentially our earnings.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4" w:name="page85"/>
    <w:bookmarkEnd w:id="8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Management’s Policy</w:t>
      </w:r>
      <w:r>
        <w:rPr>
          <w:rFonts w:ascii="Times New Roman" w:cs="Times New Roman" w:eastAsia="Times New Roman" w:hAnsi="Times New Roman"/>
          <w:sz w:val="18"/>
          <w:szCs w:val="18"/>
          <w:color w:val="auto"/>
        </w:rPr>
        <w:t xml:space="preserve">: We classify the Private Placement Warrants as liabilities on our Consolidated Balance Sheets as these instruments are precluded from being indexed to our own stock given the terms allow for a settlement adjustment that does not meet the scope of the fixed-for-fixed exception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Private Placement Warrants were initially measured at fair value at inception and are subsequently adjusted to fair value at each subsequent reporting date. The value of the Private Placement Warrants was determined at year end using the Monte Carlo simulation model. Changes in the fair value of these instruments are recognized within the Consolidated Statements of Comprehensive Income Loss.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231F20"/>
        </w:rPr>
        <w:t>Subjective Estimates and Judgements</w:t>
      </w:r>
      <w:r>
        <w:rPr>
          <w:rFonts w:ascii="Times New Roman" w:cs="Times New Roman" w:eastAsia="Times New Roman" w:hAnsi="Times New Roman"/>
          <w:sz w:val="18"/>
          <w:szCs w:val="18"/>
          <w:color w:val="231F20"/>
        </w:rPr>
        <w:t>: The valuation technique requires assumptions and judgement around the inputs to be used. Specifically, there is a high degree of subjectivity and judgement in evaluating the determination of the expected share price volatility inputs used in the Monte Carlo simulation model for the warrant derivative liability. Historical, implied, and peer group volatility levels provide a range of possible expected volatility inputs and the fair value estimates are sensitive to the expected volatility inputs.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Impact if Actual Results Differ from Estimates and Judgments</w:t>
      </w:r>
      <w:r>
        <w:rPr>
          <w:rFonts w:ascii="Times New Roman" w:cs="Times New Roman" w:eastAsia="Times New Roman" w:hAnsi="Times New Roman"/>
          <w:sz w:val="18"/>
          <w:szCs w:val="18"/>
          <w:color w:val="auto"/>
        </w:rPr>
        <w:t>: Changes around share price volatility and assumptions and inputs used in the Monte Carlo simulation model can result in an increase or decrease in fair value which can substantially impact the outstanding liability and the change in fair value of warrant liabilities on the Consolidated Statements of Comprehensive Loss.</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Syndeo Program Reserves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Management’s Policy</w:t>
      </w:r>
      <w:r>
        <w:rPr>
          <w:rFonts w:ascii="Times New Roman" w:cs="Times New Roman" w:eastAsia="Times New Roman" w:hAnsi="Times New Roman"/>
          <w:sz w:val="18"/>
          <w:szCs w:val="18"/>
          <w:color w:val="auto"/>
        </w:rPr>
        <w:t>: The Company accrues for the estimated cost for its remediation plan to upgrade or exchange customer Syndeo devices to meet the Syndeo 3.0 device standard. The cost of the remediation program has been recognized in cost of sales, and is based on the Company’s estimates of the cost to upgrade or exchange customer devices.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231F20"/>
        </w:rPr>
        <w:t>Subjective Estimates and Judgements</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accrued cost includes significant judgments regarding customer response rates, the assumed method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remediation, and the cost of remediation, which include considerations such as the material and labor costs of upgrades and the manufacturing and logistics costs for replacement devices. As of December 31, 2023, the Company accrued $21.0 million for the estimated cost for its remediation plan to upgrade or exchange Syndeo devices. As of December 31, 2024, the Syndeo Program is complete.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 xml:space="preserve">See Note </w:t>
      </w:r>
      <w:r>
        <w:rPr>
          <w:rFonts w:ascii="Times New Roman" w:cs="Times New Roman" w:eastAsia="Times New Roman" w:hAnsi="Times New Roman"/>
          <w:sz w:val="18"/>
          <w:szCs w:val="18"/>
          <w:color w:val="000000"/>
        </w:rPr>
        <w:t>2 -</w:t>
      </w:r>
      <w:r>
        <w:rPr>
          <w:rFonts w:ascii="Times New Roman" w:cs="Times New Roman" w:eastAsia="Times New Roman" w:hAnsi="Times New Roman"/>
          <w:sz w:val="18"/>
          <w:szCs w:val="18"/>
          <w:color w:val="231F20"/>
        </w:rPr>
        <w:t xml:space="preserve"> Summary of Significant Accounting Policies to the Notes to Consolidated Financial Statements included elsewhere in this Annual Report on Form 10-K for a discussion about new accounting pronouncements adopted and not yet adopted.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exposure to changes in interest rates relates primarily to our investment portfolio. We monitor our cost of borrowing, taking into account our funding requirements, and our expectations for short-term rates in the future. While we are exposed to global interest rate fluctuations, we are most affected by fluctuations in U.S. interest rates. Changes in U.S. interest rates affect the interest earned on our cash, cash equivalents, restricted cash and marketable securities and the fair value of those securities.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investment policy and strategy are focused on the preservation of capital and supporting our liquidity requirements. We use a combination of internal and external management to execute our investment strategy and achieve our investment objectives. We typically invest in highly rated securities, with the primary objective of minimizing the potential risk of principal loss. Our investment policy generally requires securities to be investment grade and limits the amount of credit exposure to any one issuer.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If a hypothetical 100 basis points increase was applied to our investment positions at the balance sheet date, it would result in approximately $3 million and $5 million increase in the fair market value of the portfolio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Our debt obligations related to the Notes are long-term in nature with fixed interest rates.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reporting currency is the U.S. dollar. Due to our international operations, we have foreign currency risks related to revenue and operating expenses denominated in currencies other than the U.S. dollar, primarily the Euro, Chinese renminbi, British pound sterling, Mexican peso, and Australian dollar. Our international sales contracts are primarily denominated in the local currency of the customer making the purchase. In addition, a portion of our operating expenses are incurred outside the United States and are denominated in foreign currencies. Increases in the relative value of the U.S. dollar to other currencies (e.g., unfavorable movement in the exchange rate between the U.S. dollar and the currencies in which we conduct sales in foreign countries) will negatively affect our revenue and net operating results as expressed in U.S. dollars. For the purpose of analyzing foreign currency exchange risk, we considered the historical trends in foreign currency exchange rates and determined that it was reasonably possible that adverse changes in exchange rates of 10% could be experienced. If an adverse 10% foreign currency exchange rate change was applied to total monetary assets and liabilities denominated in currencies other than the functional currencies at the balance sheet date, it would have resulted in an adverse effect on income before income taxes of approximately $6 million and $8 million for the years ended December 31, 2024 and 2023, respectively.</w:t>
      </w:r>
    </w:p>
    <w:p>
      <w:pPr>
        <w:spacing w:after="0" w:line="2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experienced and may continue to experience fluctuations in net loss as a result of foreign currency transaction gains or losses related to remeasuring monetary asset and liability balances denominated in currencies other than the functional currency of the entities in which they are recorded. We have not engaged in the hedging of foreign currency transactions to date, although we may choose to do so in the future.</w:t>
      </w:r>
    </w:p>
    <w:p>
      <w:pPr>
        <w:spacing w:after="0" w:line="203"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5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particularly if we are unable to achieve commensurate increases in the prices we charge our customers. The existence of inflation in the economy has resulted in, and may continue to result in, higher interest rates and capital costs, shipping costs, supply shortages, increased costs of labor, weakening exchange rates, and other similar effects. While it is difficult to accurately measure the impact of inflation due to the imprecise nature of the estimates required, we have experienced the effects of inflation during the periods covered by this Annual Report on Form 10-K on our results of operations and financial condition, and we expect to experience other effects, such as additional cost increases in the near future if inflation continues to persist. Additionally, because we purchase materials from our suppliers, we may be adversely impacted by their inability to adequately mitigate inflationary, industry, or economic pressures.</w:t>
      </w:r>
    </w:p>
    <w:p>
      <w:pPr>
        <w:spacing w:after="0" w:line="2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Furthermore,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1" w:right="4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9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4220" w:type="dxa"/>
            <w:vAlign w:val="bottom"/>
            <w:tcBorders>
              <w:bottom w:val="single" w:sz="8" w:color="0000FF"/>
            </w:tcBorders>
            <w:gridSpan w:val="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5980" w:type="dxa"/>
            <w:vAlign w:val="bottom"/>
            <w:tcBorders>
              <w:bottom w:val="single" w:sz="8" w:color="CCEEFF"/>
            </w:tcBorders>
            <w:shd w:val="clear" w:color="auto" w:fill="CCEEFF"/>
          </w:tcPr>
          <w:p>
            <w:pPr>
              <w:jc w:val="right"/>
              <w:ind w:right="4350"/>
              <w:spacing w:after="0" w:line="169" w:lineRule="exact"/>
              <w:rPr>
                <w:sz w:val="20"/>
                <w:szCs w:val="20"/>
                <w:color w:val="auto"/>
              </w:rPr>
            </w:pPr>
            <w:r>
              <w:rPr>
                <w:rFonts w:ascii="Times New Roman" w:cs="Times New Roman" w:eastAsia="Times New Roman" w:hAnsi="Times New Roman"/>
                <w:sz w:val="18"/>
                <w:szCs w:val="18"/>
                <w:color w:val="auto"/>
              </w:rPr>
              <w:t>(PCAOB ID No. 34</w:t>
            </w: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center"/>
              <w:ind w:left="330"/>
              <w:spacing w:after="0" w:line="169" w:lineRule="exact"/>
              <w:rPr>
                <w:sz w:val="20"/>
                <w:szCs w:val="20"/>
                <w:color w:val="auto"/>
              </w:rPr>
            </w:pPr>
            <w:r>
              <w:rPr>
                <w:rFonts w:ascii="Times New Roman" w:cs="Times New Roman" w:eastAsia="Times New Roman" w:hAnsi="Times New Roman"/>
                <w:sz w:val="18"/>
                <w:szCs w:val="18"/>
                <w:color w:val="0000FF"/>
                <w:w w:val="99"/>
              </w:rPr>
              <w:t>88</w:t>
            </w:r>
          </w:p>
        </w:tc>
        <w:tc>
          <w:tcPr>
            <w:tcW w:w="420" w:type="dxa"/>
            <w:vAlign w:val="bottom"/>
            <w:tcBorders>
              <w:bottom w:val="single" w:sz="8" w:color="CCEEFF"/>
            </w:tcBorders>
            <w:shd w:val="clear" w:color="auto" w:fill="CCEEFF"/>
          </w:tcPr>
          <w:p>
            <w:pPr>
              <w:spacing w:after="0"/>
              <w:rPr>
                <w:sz w:val="18"/>
                <w:szCs w:val="18"/>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10200" w:type="dxa"/>
            <w:vAlign w:val="bottom"/>
            <w:tcBorders>
              <w:top w:val="single" w:sz="8" w:color="CCEEFF"/>
            </w:tcBorders>
            <w:gridSpan w:val="7"/>
          </w:tcPr>
          <w:p>
            <w:pPr>
              <w:spacing w:after="0" w:line="183"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420" w:type="dxa"/>
            <w:vAlign w:val="bottom"/>
            <w:tcBorders>
              <w:top w:val="single" w:sz="8" w:color="CCEEFF"/>
            </w:tcBorders>
          </w:tcPr>
          <w:p>
            <w:pPr>
              <w:spacing w:after="0"/>
              <w:rPr>
                <w:sz w:val="15"/>
                <w:szCs w:val="15"/>
                <w:color w:val="auto"/>
              </w:rPr>
            </w:pPr>
          </w:p>
        </w:tc>
        <w:tc>
          <w:tcPr>
            <w:tcW w:w="180" w:type="dxa"/>
            <w:vAlign w:val="bottom"/>
            <w:tcBorders>
              <w:top w:val="single" w:sz="8" w:color="0000FF"/>
            </w:tcBorders>
          </w:tcPr>
          <w:p>
            <w:pPr>
              <w:jc w:val="center"/>
              <w:spacing w:after="0" w:line="183" w:lineRule="exact"/>
              <w:rPr>
                <w:sz w:val="20"/>
                <w:szCs w:val="20"/>
                <w:color w:val="auto"/>
              </w:rPr>
            </w:pPr>
            <w:r>
              <w:rPr>
                <w:rFonts w:ascii="Times New Roman" w:cs="Times New Roman" w:eastAsia="Times New Roman" w:hAnsi="Times New Roman"/>
                <w:sz w:val="18"/>
                <w:szCs w:val="18"/>
                <w:color w:val="0000FF"/>
                <w:w w:val="99"/>
              </w:rPr>
              <w:t>90</w:t>
            </w:r>
          </w:p>
        </w:tc>
        <w:tc>
          <w:tcPr>
            <w:tcW w:w="4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2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r>
              <w:rPr>
                <w:rFonts w:ascii="Times New Roman" w:cs="Times New Roman" w:eastAsia="Times New Roman" w:hAnsi="Times New Roman"/>
                <w:sz w:val="18"/>
                <w:szCs w:val="18"/>
                <w:color w:val="000000"/>
              </w:rPr>
              <w:t>)</w:t>
            </w:r>
          </w:p>
        </w:tc>
        <w:tc>
          <w:tcPr>
            <w:tcW w:w="600" w:type="dxa"/>
            <w:vAlign w:val="bottom"/>
            <w:gridSpan w:val="2"/>
            <w:shd w:val="clear" w:color="auto" w:fill="CCEEFF"/>
          </w:tcPr>
          <w:p>
            <w:pPr>
              <w:jc w:val="center"/>
              <w:ind w:left="330"/>
              <w:spacing w:after="0" w:line="189" w:lineRule="exact"/>
              <w:rPr>
                <w:sz w:val="20"/>
                <w:szCs w:val="20"/>
                <w:color w:val="auto"/>
              </w:rPr>
            </w:pPr>
            <w:r>
              <w:rPr>
                <w:rFonts w:ascii="Times New Roman" w:cs="Times New Roman" w:eastAsia="Times New Roman" w:hAnsi="Times New Roman"/>
                <w:sz w:val="18"/>
                <w:szCs w:val="18"/>
                <w:color w:val="0000FF"/>
                <w:w w:val="99"/>
              </w:rPr>
              <w:t>91</w:t>
            </w:r>
          </w:p>
        </w:tc>
        <w:tc>
          <w:tcPr>
            <w:tcW w:w="4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18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6020" w:type="dxa"/>
            <w:vAlign w:val="bottom"/>
            <w:tcBorders>
              <w:top w:val="single" w:sz="8" w:color="CCEEFF"/>
            </w:tcBorders>
            <w:gridSpan w:val="2"/>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92</w:t>
            </w:r>
          </w:p>
        </w:tc>
        <w:tc>
          <w:tcPr>
            <w:tcW w:w="4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320" w:type="dxa"/>
            <w:vAlign w:val="bottom"/>
            <w:tcBorders>
              <w:bottom w:val="single" w:sz="8" w:color="CCEEFF"/>
            </w:tcBorders>
            <w:gridSpan w:val="5"/>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93</w:t>
            </w: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16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040" w:type="dxa"/>
            <w:vAlign w:val="bottom"/>
            <w:gridSpan w:val="4"/>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94</w:t>
            </w:r>
          </w:p>
        </w:tc>
        <w:tc>
          <w:tcPr>
            <w:tcW w:w="420" w:type="dxa"/>
            <w:vAlign w:val="bottom"/>
          </w:tcPr>
          <w:p>
            <w:pPr>
              <w:spacing w:after="0"/>
              <w:rPr>
                <w:sz w:val="16"/>
                <w:szCs w:val="16"/>
                <w:color w:val="auto"/>
              </w:rPr>
            </w:pPr>
          </w:p>
        </w:tc>
      </w:tr>
      <w:tr>
        <w:trPr>
          <w:trHeight w:val="763"/>
        </w:trPr>
        <w:tc>
          <w:tcPr>
            <w:tcW w:w="10220" w:type="dxa"/>
            <w:vAlign w:val="bottom"/>
            <w:gridSpan w:val="8"/>
          </w:tcPr>
          <w:p>
            <w:pPr>
              <w:jc w:val="right"/>
              <w:ind w:right="4410"/>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Beauty Health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Beauty Health Company and its subsidiaries (the "Company") as of December 31, 2024 and 2023, the related consolidated statements of comprehensive income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March 12, 2025, expressed an adverse opinion on the Company's internal control over financial reporting because of a material weakness.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 Provision for obsolete and excess inventory – Refer to Notes 2 and 3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Company estimates the net realizable value and makes a provision as necessary based on economic trends, future demand for products, and technological obsolescence to value goods that are obsolete or in excess. As of December 31, 2024, the Company’s inventories balance was $69.1 million.</w:t>
      </w: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identified the provision for obsolete and excess inventories as a critical audit matter because of the significant judgment required by management in developing its assumptions about future demand, selling prices and market conditions. Testing management’s assumptions and estimates used in calculating the provision required a high degree of auditor judgment and the use of more experienced audit professionals.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testing the provision for obsolete and excess inventories included the following, among others:</w:t>
      </w:r>
    </w:p>
    <w:p>
      <w:pPr>
        <w:spacing w:after="0" w:line="25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observed the physical condition of inventories during physical inventory counts.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performed a retrospective review on the prior year provision for obsolete and excess inventories by considering current year write-off activity.</w:t>
      </w:r>
    </w:p>
    <w:p>
      <w:pPr>
        <w:spacing w:after="0" w:line="128" w:lineRule="exact"/>
        <w:rPr>
          <w:rFonts w:ascii="Times New Roman" w:cs="Times New Roman" w:eastAsia="Times New Roman" w:hAnsi="Times New Roman"/>
          <w:sz w:val="17"/>
          <w:szCs w:val="17"/>
          <w:color w:val="auto"/>
        </w:rPr>
      </w:pPr>
    </w:p>
    <w:p>
      <w:pPr>
        <w:ind w:left="660" w:right="5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on-hand inventories to current year sales to assess the projected future demand and to identify potential indicators of excess inventory.</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inventory products, we estimated the future demand based on historical usage, and compared the projected sell through to the quantity on hand, including consideration of expiration dates, if applicable.</w:t>
      </w:r>
    </w:p>
    <w:p>
      <w:pPr>
        <w:spacing w:after="0" w:line="40" w:lineRule="exact"/>
        <w:rPr>
          <w:rFonts w:ascii="Times New Roman" w:cs="Times New Roman" w:eastAsia="Times New Roman" w:hAnsi="Times New Roman"/>
          <w:sz w:val="18"/>
          <w:szCs w:val="18"/>
          <w:color w:val="auto"/>
        </w:rPr>
      </w:pPr>
    </w:p>
    <w:p>
      <w:pPr>
        <w:ind w:left="660" w:right="240" w:hanging="328"/>
        <w:spacing w:after="0" w:line="239" w:lineRule="auto"/>
        <w:tabs>
          <w:tab w:leader="none" w:pos="653" w:val="left"/>
        </w:tabs>
        <w:numPr>
          <w:ilvl w:val="0"/>
          <w:numId w:val="37"/>
        </w:numPr>
        <w:rPr>
          <w:rFonts w:ascii="Calibri" w:cs="Calibri" w:eastAsia="Calibri" w:hAnsi="Calibri"/>
          <w:sz w:val="20"/>
          <w:szCs w:val="20"/>
          <w:color w:val="auto"/>
        </w:rPr>
      </w:pPr>
      <w:r>
        <w:rPr>
          <w:rFonts w:ascii="Times New Roman" w:cs="Times New Roman" w:eastAsia="Times New Roman" w:hAnsi="Times New Roman"/>
          <w:sz w:val="18"/>
          <w:szCs w:val="18"/>
          <w:color w:val="auto"/>
        </w:rPr>
        <w:t>We corroborated the assumptions with individuals outside of the accounting department to identify whether any changes in the business would impact the future demand, selling prices, market conditions and technological obsolescence.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7" w:right="4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w:t>
      </w:r>
      <w:r>
        <w:rPr>
          <w:rFonts w:ascii="Times New Roman" w:cs="Times New Roman" w:eastAsia="Times New Roman" w:hAnsi="Times New Roman"/>
          <w:sz w:val="18"/>
          <w:szCs w:val="18"/>
          <w:b w:val="1"/>
          <w:bCs w:val="1"/>
          <w:color w:val="231F20"/>
        </w:rPr>
        <w:t>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8"/>
                <w:szCs w:val="18"/>
                <w:color w:val="auto"/>
              </w:rPr>
            </w:pPr>
          </w:p>
        </w:tc>
        <w:tc>
          <w:tcPr>
            <w:tcW w:w="17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Current assets: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Cash, cash equivalents, and restricted cash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370,063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523,025</w:t>
            </w:r>
          </w:p>
        </w:tc>
        <w:tc>
          <w:tcPr>
            <w:tcW w:w="0" w:type="dxa"/>
            <w:vAlign w:val="bottom"/>
          </w:tcPr>
          <w:p>
            <w:pPr>
              <w:spacing w:after="0"/>
              <w:rPr>
                <w:sz w:val="1"/>
                <w:szCs w:val="1"/>
                <w:color w:val="auto"/>
              </w:rPr>
            </w:pPr>
          </w:p>
        </w:tc>
      </w:tr>
      <w:tr>
        <w:trPr>
          <w:trHeight w:val="176"/>
        </w:trPr>
        <w:tc>
          <w:tcPr>
            <w:tcW w:w="7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231F20"/>
              </w:rPr>
              <w:t>Accounts receivable, net of allowances for estimated credit losses of $9,597 and $6,604 at</w:t>
            </w: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600"/>
              <w:spacing w:after="0"/>
              <w:rPr>
                <w:sz w:val="20"/>
                <w:szCs w:val="20"/>
                <w:color w:val="auto"/>
              </w:rPr>
            </w:pPr>
            <w:r>
              <w:rPr>
                <w:rFonts w:ascii="Times New Roman" w:cs="Times New Roman" w:eastAsia="Times New Roman" w:hAnsi="Times New Roman"/>
                <w:sz w:val="18"/>
                <w:szCs w:val="18"/>
                <w:color w:val="231F20"/>
              </w:rPr>
              <w:t>December 31, 2024 and December 31, 2023, respectively</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27,643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54,697</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Inventories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69,113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91,321</w:t>
            </w:r>
          </w:p>
        </w:tc>
        <w:tc>
          <w:tcPr>
            <w:tcW w:w="0" w:type="dxa"/>
            <w:vAlign w:val="bottom"/>
          </w:tcPr>
          <w:p>
            <w:pPr>
              <w:spacing w:after="0"/>
              <w:rPr>
                <w:sz w:val="1"/>
                <w:szCs w:val="1"/>
                <w:color w:val="auto"/>
              </w:rPr>
            </w:pPr>
          </w:p>
        </w:tc>
      </w:tr>
      <w:tr>
        <w:trPr>
          <w:trHeight w:val="229"/>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Income tax receivable</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9,487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28,877</w:t>
            </w:r>
          </w:p>
        </w:tc>
        <w:tc>
          <w:tcPr>
            <w:tcW w:w="0" w:type="dxa"/>
            <w:vAlign w:val="bottom"/>
          </w:tcPr>
          <w:p>
            <w:pPr>
              <w:spacing w:after="0"/>
              <w:rPr>
                <w:sz w:val="1"/>
                <w:szCs w:val="1"/>
                <w:color w:val="auto"/>
              </w:rPr>
            </w:pPr>
          </w:p>
        </w:tc>
      </w:tr>
      <w:tr>
        <w:trPr>
          <w:trHeight w:val="223"/>
        </w:trPr>
        <w:tc>
          <w:tcPr>
            <w:tcW w:w="7260" w:type="dxa"/>
            <w:vAlign w:val="bottom"/>
          </w:tcPr>
          <w:p>
            <w:pPr>
              <w:ind w:left="560"/>
              <w:spacing w:after="0"/>
              <w:rPr>
                <w:sz w:val="20"/>
                <w:szCs w:val="20"/>
                <w:color w:val="auto"/>
              </w:rPr>
            </w:pPr>
            <w:r>
              <w:rPr>
                <w:rFonts w:ascii="Times New Roman" w:cs="Times New Roman" w:eastAsia="Times New Roman" w:hAnsi="Times New Roman"/>
                <w:sz w:val="18"/>
                <w:szCs w:val="18"/>
                <w:color w:val="231F20"/>
              </w:rPr>
              <w:t>Total current assets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477,124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698,252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14,226</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Right-of-use assets,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12,120</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Intangible assets,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47,512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62,123</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Goodwill</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123,499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125,818</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Deferred income tax assets, net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531</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Other assets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14,086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16,043</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685,683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929,113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Current liabilities:</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21,941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44,768</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Accrued payroll-related expenses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17,636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22,028</w:t>
            </w:r>
          </w:p>
        </w:tc>
        <w:tc>
          <w:tcPr>
            <w:tcW w:w="0" w:type="dxa"/>
            <w:vAlign w:val="bottom"/>
          </w:tcPr>
          <w:p>
            <w:pPr>
              <w:spacing w:after="0"/>
              <w:rPr>
                <w:sz w:val="1"/>
                <w:szCs w:val="1"/>
                <w:color w:val="auto"/>
              </w:rPr>
            </w:pPr>
          </w:p>
        </w:tc>
      </w:tr>
      <w:tr>
        <w:trPr>
          <w:trHeight w:val="229"/>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Lease liabilities, current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4,598</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Income tax payable</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2,759</w:t>
            </w: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Syndeo Program reserves</w:t>
            </w:r>
          </w:p>
        </w:tc>
        <w:tc>
          <w:tcPr>
            <w:tcW w:w="22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21,009</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Other 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20,002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19,846</w:t>
            </w:r>
          </w:p>
        </w:tc>
        <w:tc>
          <w:tcPr>
            <w:tcW w:w="0" w:type="dxa"/>
            <w:vAlign w:val="bottom"/>
          </w:tcPr>
          <w:p>
            <w:pPr>
              <w:spacing w:after="0"/>
              <w:rPr>
                <w:sz w:val="1"/>
                <w:szCs w:val="1"/>
                <w:color w:val="auto"/>
              </w:rPr>
            </w:pPr>
          </w:p>
        </w:tc>
      </w:tr>
      <w:tr>
        <w:trPr>
          <w:trHeight w:val="223"/>
        </w:trPr>
        <w:tc>
          <w:tcPr>
            <w:tcW w:w="7260" w:type="dxa"/>
            <w:vAlign w:val="bottom"/>
          </w:tcPr>
          <w:p>
            <w:pPr>
              <w:ind w:left="560"/>
              <w:spacing w:after="0"/>
              <w:rPr>
                <w:sz w:val="20"/>
                <w:szCs w:val="20"/>
                <w:color w:val="auto"/>
              </w:rPr>
            </w:pPr>
            <w:r>
              <w:rPr>
                <w:rFonts w:ascii="Times New Roman" w:cs="Times New Roman" w:eastAsia="Times New Roman" w:hAnsi="Times New Roman"/>
                <w:sz w:val="18"/>
                <w:szCs w:val="18"/>
                <w:color w:val="231F20"/>
              </w:rPr>
              <w:t>Total current liabilities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68,152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115,008</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Lease liabilities, non-current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10,813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9,319</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Deferred income tax liabilities,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Warrant liabilities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3,555</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Convertible senior notes, net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552,198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738,372</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2,767</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231F20"/>
              </w:rPr>
              <w:t>Total liabilities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633,880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869,723</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(Note 8)</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Stockholders’ equity:</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231F20"/>
              </w:rPr>
              <w:t>Class A Common Stock, $0.0001 par value; 320,000,000 shares authorized; 124,924,185 and</w:t>
            </w: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231F20"/>
              </w:rPr>
              <w:t>122,899,002 shares issued and outstanding at December 31, 2024 and December 31, 2023,</w:t>
            </w:r>
          </w:p>
        </w:tc>
        <w:tc>
          <w:tcPr>
            <w:tcW w:w="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231F20"/>
              </w:rPr>
              <w:t>respectively</w:t>
            </w: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0" w:type="dxa"/>
            <w:vAlign w:val="bottom"/>
          </w:tcPr>
          <w:p>
            <w:pPr>
              <w:spacing w:after="0"/>
              <w:rPr>
                <w:sz w:val="1"/>
                <w:szCs w:val="1"/>
                <w:color w:val="auto"/>
              </w:rPr>
            </w:pPr>
          </w:p>
        </w:tc>
      </w:tr>
      <w:tr>
        <w:trPr>
          <w:trHeight w:val="230"/>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Additional paid-in capital</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566,709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541,281</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Accumulated other comprehensive loss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(6,953)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(3,036)</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231F20"/>
              </w:rPr>
              <w:t>Accumulated deficit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(507,965)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(478,867)</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51,803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59,390</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231F20"/>
              </w:rPr>
              <w:t>TOTAL 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231F20"/>
                <w:w w:val="88"/>
              </w:rPr>
              <w:t>$</w:t>
            </w:r>
          </w:p>
        </w:tc>
        <w:tc>
          <w:tcPr>
            <w:tcW w:w="1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231F20"/>
              </w:rPr>
              <w:t>685,683</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231F20"/>
              </w:rPr>
              <w:t>$</w:t>
            </w:r>
          </w:p>
        </w:tc>
        <w:tc>
          <w:tcPr>
            <w:tcW w:w="1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231F20"/>
              </w:rPr>
              <w:t>929,113</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w:t>
      </w:r>
      <w:r>
        <w:rPr>
          <w:rFonts w:ascii="Times New Roman" w:cs="Times New Roman" w:eastAsia="Times New Roman" w:hAnsi="Times New Roman"/>
          <w:sz w:val="18"/>
          <w:szCs w:val="18"/>
          <w:b w:val="1"/>
          <w:bCs w:val="1"/>
          <w:color w:val="231F20"/>
        </w:rPr>
        <w:t>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231F20"/>
              </w:rPr>
              <w:t>2022</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334,294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397,991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365,876</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Cost of sales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151,998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242,878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117,097</w:t>
            </w:r>
          </w:p>
        </w:tc>
      </w:tr>
      <w:tr>
        <w:trPr>
          <w:trHeight w:val="237"/>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231F20"/>
              </w:rPr>
              <w:t>Gross profit</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182,296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155,113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248,779</w:t>
            </w: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Operating expenses: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Selling and marketing</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118,311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144,496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160,076</w:t>
            </w:r>
          </w:p>
        </w:tc>
      </w:tr>
      <w:tr>
        <w:trPr>
          <w:trHeight w:val="257"/>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6,296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10,102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8,444</w:t>
            </w:r>
          </w:p>
        </w:tc>
      </w:tr>
      <w:tr>
        <w:trPr>
          <w:trHeight w:val="256"/>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125,463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131,432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106,100</w:t>
            </w:r>
          </w:p>
        </w:tc>
      </w:tr>
      <w:tr>
        <w:trPr>
          <w:trHeight w:val="223"/>
        </w:trPr>
        <w:tc>
          <w:tcPr>
            <w:tcW w:w="652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250,070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286,030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274,620</w:t>
            </w:r>
          </w:p>
        </w:tc>
      </w:tr>
      <w:tr>
        <w:trPr>
          <w:trHeight w:val="25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Loss from operations</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(67,774)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(130,917)</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(25,841)</w:t>
            </w:r>
          </w:p>
        </w:tc>
      </w:tr>
      <w:tr>
        <w:trPr>
          <w:trHeight w:val="237"/>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Interest expense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10,412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13,649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13,392</w:t>
            </w:r>
          </w:p>
        </w:tc>
      </w:tr>
      <w:tr>
        <w:trPr>
          <w:trHeight w:val="257"/>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Interest income</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(16,644)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(23,173)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(9,175)</w:t>
            </w:r>
          </w:p>
        </w:tc>
      </w:tr>
      <w:tr>
        <w:trPr>
          <w:trHeight w:val="256"/>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Other (income) expense, net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(33,563)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(5,200)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1,650</w:t>
            </w:r>
          </w:p>
        </w:tc>
      </w:tr>
      <w:tr>
        <w:trPr>
          <w:trHeight w:val="257"/>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(11,919)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(78,343)</w:t>
            </w:r>
          </w:p>
        </w:tc>
      </w:tr>
      <w:tr>
        <w:trPr>
          <w:trHeight w:val="257"/>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231F20"/>
              </w:rPr>
              <w:t>Foreign currency transaction loss (gain), net</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4,638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(2,385)</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1,296</w:t>
            </w:r>
          </w:p>
        </w:tc>
      </w:tr>
      <w:tr>
        <w:trPr>
          <w:trHeight w:val="23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(Loss) income before provision for income taxes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(29,550)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(101,889)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45,339</w:t>
            </w:r>
          </w:p>
        </w:tc>
      </w:tr>
      <w:tr>
        <w:trPr>
          <w:trHeight w:val="256"/>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231F20"/>
              </w:rPr>
              <w:t>Income tax (benefit) expense</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(452)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(1,773)</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1,115</w:t>
            </w:r>
          </w:p>
        </w:tc>
      </w:tr>
      <w:tr>
        <w:trPr>
          <w:trHeight w:val="25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(loss) income</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(29,098)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(100,116)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44,224</w:t>
            </w: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Comprehensive (loss) income, net of tax:</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Foreign currency translation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(3,273)</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Comprehensive (loss)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(33,015)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(98,622)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40,951</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3"/>
        </w:trPr>
        <w:tc>
          <w:tcPr>
            <w:tcW w:w="652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231F20"/>
              </w:rPr>
              <w:t>Net (loss) income per share</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56"/>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(0.23)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(0.76)</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0.30</w:t>
            </w:r>
          </w:p>
        </w:tc>
      </w:tr>
      <w:tr>
        <w:trPr>
          <w:trHeight w:val="257"/>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(0.36)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(0.76)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(0.23)</w:t>
            </w: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Weighted average common stock outstanding</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
        </w:trPr>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6"/>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231F20"/>
              </w:rPr>
              <w:t>Basic</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123,827,372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131,680,605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147,554,090</w:t>
            </w:r>
          </w:p>
        </w:tc>
      </w:tr>
      <w:tr>
        <w:trPr>
          <w:trHeight w:val="257"/>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231F20"/>
              </w:rPr>
              <w:t>Diluted</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142,492,575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131,680,605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148,506,312</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CONSOLIDATED </w:t>
      </w:r>
      <w:r>
        <w:rPr>
          <w:rFonts w:ascii="Times New Roman" w:cs="Times New Roman" w:eastAsia="Times New Roman" w:hAnsi="Times New Roman"/>
          <w:sz w:val="18"/>
          <w:szCs w:val="18"/>
          <w:b w:val="1"/>
          <w:bCs w:val="1"/>
          <w:color w:val="231F20"/>
        </w:rPr>
        <w:t>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46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1340" w:type="dxa"/>
            <w:vAlign w:val="bottom"/>
            <w:vMerge w:val="restart"/>
          </w:tcPr>
          <w:p>
            <w:pPr>
              <w:jc w:val="right"/>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150,598,047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722,250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(422,975)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298,034</w:t>
            </w:r>
          </w:p>
        </w:tc>
        <w:tc>
          <w:tcPr>
            <w:tcW w:w="0" w:type="dxa"/>
            <w:vAlign w:val="bottom"/>
          </w:tcPr>
          <w:p>
            <w:pPr>
              <w:spacing w:after="0"/>
              <w:rPr>
                <w:sz w:val="1"/>
                <w:szCs w:val="1"/>
                <w:color w:val="auto"/>
              </w:rPr>
            </w:pPr>
          </w:p>
        </w:tc>
      </w:tr>
      <w:tr>
        <w:trPr>
          <w:trHeight w:val="213"/>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44,224</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and retirement of common stock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(18,759,243)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(159,998)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0" w:type="dxa"/>
            <w:vAlign w:val="bottom"/>
          </w:tcPr>
          <w:p>
            <w:pPr>
              <w:spacing w:after="0"/>
              <w:rPr>
                <w:sz w:val="1"/>
                <w:szCs w:val="1"/>
                <w:color w:val="auto"/>
              </w:rPr>
            </w:pPr>
          </w:p>
        </w:tc>
      </w:tr>
      <w:tr>
        <w:trPr>
          <w:trHeight w:val="162"/>
        </w:trPr>
        <w:tc>
          <w:tcPr>
            <w:tcW w:w="44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Equity forward contract in connection with accelerated share</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213"/>
        </w:trPr>
        <w:tc>
          <w:tcPr>
            <w:tcW w:w="4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w:t>
            </w:r>
          </w:p>
        </w:tc>
        <w:tc>
          <w:tcPr>
            <w:tcW w:w="11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in connection with asset acquisition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pursuant to equity compensation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withheld for tax withholdings on vested stock awards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213"/>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28,495</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0" w:type="dxa"/>
            <w:vAlign w:val="bottom"/>
          </w:tcPr>
          <w:p>
            <w:pPr>
              <w:spacing w:after="0"/>
              <w:rPr>
                <w:sz w:val="1"/>
                <w:szCs w:val="1"/>
                <w:color w:val="auto"/>
              </w:rPr>
            </w:pPr>
          </w:p>
        </w:tc>
      </w:tr>
      <w:tr>
        <w:trPr>
          <w:trHeight w:val="20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132,214,695</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550,320</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(378,751)</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167,053</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(100,116)</w:t>
            </w:r>
          </w:p>
        </w:tc>
        <w:tc>
          <w:tcPr>
            <w:tcW w:w="0" w:type="dxa"/>
            <w:vAlign w:val="bottom"/>
          </w:tcPr>
          <w:p>
            <w:pPr>
              <w:spacing w:after="0"/>
              <w:rPr>
                <w:sz w:val="1"/>
                <w:szCs w:val="1"/>
                <w:color w:val="auto"/>
              </w:rPr>
            </w:pPr>
          </w:p>
        </w:tc>
      </w:tr>
      <w:tr>
        <w:trPr>
          <w:trHeight w:val="213"/>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and retirement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(10,350,749)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(30,457)</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Accelerated share repurchase payment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13"/>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in connection with asset acquisition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common stock pursuant to equity compensation plan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1,039,176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4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of common stock relating to employee stock purchase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241,342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213"/>
        </w:trPr>
        <w:tc>
          <w:tcPr>
            <w:tcW w:w="4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plan</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withheld for tax withholdings on vested stock awards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w:t>
            </w:r>
          </w:p>
        </w:tc>
        <w:tc>
          <w:tcPr>
            <w:tcW w:w="0" w:type="dxa"/>
            <w:vAlign w:val="bottom"/>
          </w:tcPr>
          <w:p>
            <w:pPr>
              <w:spacing w:after="0"/>
              <w:rPr>
                <w:sz w:val="1"/>
                <w:szCs w:val="1"/>
                <w:color w:val="auto"/>
              </w:rPr>
            </w:pPr>
          </w:p>
        </w:tc>
      </w:tr>
      <w:tr>
        <w:trPr>
          <w:trHeight w:val="213"/>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22,544</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0" w:type="dxa"/>
            <w:vAlign w:val="bottom"/>
          </w:tcPr>
          <w:p>
            <w:pPr>
              <w:spacing w:after="0"/>
              <w:rPr>
                <w:sz w:val="1"/>
                <w:szCs w:val="1"/>
                <w:color w:val="auto"/>
              </w:rPr>
            </w:pPr>
          </w:p>
        </w:tc>
      </w:tr>
      <w:tr>
        <w:trPr>
          <w:trHeight w:val="20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122,899,002</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541,281</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(478,867)</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59,390</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(29,098)</w:t>
            </w:r>
          </w:p>
        </w:tc>
        <w:tc>
          <w:tcPr>
            <w:tcW w:w="0" w:type="dxa"/>
            <w:vAlign w:val="bottom"/>
          </w:tcPr>
          <w:p>
            <w:pPr>
              <w:spacing w:after="0"/>
              <w:rPr>
                <w:sz w:val="1"/>
                <w:szCs w:val="1"/>
                <w:color w:val="auto"/>
              </w:rPr>
            </w:pPr>
          </w:p>
        </w:tc>
      </w:tr>
      <w:tr>
        <w:trPr>
          <w:trHeight w:val="213"/>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pursuant to equity compensation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2,407,671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Issuance of common stock relating to employee stock purchase</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plan</w:t>
            </w: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withheld for tax withholdings on vested stock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(755,733)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26,696</w:t>
            </w:r>
          </w:p>
        </w:tc>
        <w:tc>
          <w:tcPr>
            <w:tcW w:w="0" w:type="dxa"/>
            <w:vAlign w:val="bottom"/>
          </w:tcPr>
          <w:p>
            <w:pPr>
              <w:spacing w:after="0"/>
              <w:rPr>
                <w:sz w:val="1"/>
                <w:szCs w:val="1"/>
                <w:color w:val="auto"/>
              </w:rPr>
            </w:pPr>
          </w:p>
        </w:tc>
      </w:tr>
      <w:tr>
        <w:trPr>
          <w:trHeight w:val="213"/>
        </w:trPr>
        <w:tc>
          <w:tcPr>
            <w:tcW w:w="4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0" w:type="dxa"/>
            <w:vAlign w:val="bottom"/>
          </w:tcPr>
          <w:p>
            <w:pPr>
              <w:spacing w:after="0"/>
              <w:rPr>
                <w:sz w:val="1"/>
                <w:szCs w:val="1"/>
                <w:color w:val="auto"/>
              </w:rPr>
            </w:pPr>
          </w:p>
        </w:tc>
      </w:tr>
      <w:tr>
        <w:trPr>
          <w:trHeight w:val="237"/>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124,924,185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566,709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41" w:right="47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CONSOLIDATED </w:t>
      </w:r>
      <w:r>
        <w:rPr>
          <w:rFonts w:ascii="Times New Roman" w:cs="Times New Roman" w:eastAsia="Times New Roman" w:hAnsi="Times New Roman"/>
          <w:sz w:val="18"/>
          <w:szCs w:val="18"/>
          <w:b w:val="1"/>
          <w:bCs w:val="1"/>
          <w:color w:val="231F20"/>
        </w:rPr>
        <w:t>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231F20"/>
              </w:rPr>
              <w:t>2022</w:t>
            </w:r>
          </w:p>
        </w:tc>
      </w:tr>
      <w:tr>
        <w:trPr>
          <w:trHeight w:val="19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231F20"/>
              </w:rPr>
              <w:t>Net (loss)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(29,098)</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(100,116)</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44,224</w:t>
            </w:r>
          </w:p>
        </w:tc>
      </w:tr>
      <w:tr>
        <w:trPr>
          <w:trHeight w:val="21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31F20"/>
              </w:rPr>
              <w:t>Adjustments to reconcile net (loss) income to net cash from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Share-based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28,495</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Amortization of intangible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14,852</w:t>
            </w: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Depreciation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7,164</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Amortization of other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Amortization of debt issuance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Inventory write-down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w:t>
            </w: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Syndeo inventory write-down</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Provision for estimated credit losses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Change in fair value of warrant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(78,343)</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Gain on repurchase of convertible senior notes,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Deferred income taxes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Other,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w:t>
            </w:r>
          </w:p>
        </w:tc>
      </w:tr>
      <w:tr>
        <w:trPr>
          <w:trHeight w:val="21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231F20"/>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Accounts receivable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(32,025)</w:t>
            </w: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Inventories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(84,363)</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Prepaid expenses, other current assets, and income tax receivable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(13,847)</w:t>
            </w: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Accounts payable, accrued expenses, and income tax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(12,078)</w:t>
            </w:r>
          </w:p>
        </w:tc>
      </w:tr>
      <w:tr>
        <w:trPr>
          <w:trHeight w:val="207"/>
        </w:trPr>
        <w:tc>
          <w:tcPr>
            <w:tcW w:w="64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231F20"/>
              </w:rPr>
              <w:t>Net cash provided by (used for) operating activities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16,134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21,750</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(106,600)</w:t>
            </w:r>
          </w:p>
        </w:tc>
      </w:tr>
      <w:tr>
        <w:trPr>
          <w:trHeight w:val="19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31F20"/>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Cash paid for intangible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(6,547)</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Cash paid for property and equipment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(10,847)</w:t>
            </w:r>
          </w:p>
        </w:tc>
      </w:tr>
      <w:tr>
        <w:trPr>
          <w:trHeight w:val="213"/>
        </w:trPr>
        <w:tc>
          <w:tcPr>
            <w:tcW w:w="64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231F20"/>
              </w:rPr>
              <w:t>Cash paid for asset acquisitions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(18,458)</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212"/>
        </w:trPr>
        <w:tc>
          <w:tcPr>
            <w:tcW w:w="64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231F20"/>
              </w:rPr>
              <w:t>Net cash used for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(6,794)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(31,507)</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(18,869)</w:t>
            </w:r>
          </w:p>
        </w:tc>
      </w:tr>
      <w:tr>
        <w:trPr>
          <w:trHeight w:val="194"/>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Cash flows from financing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8"/>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Repurchase of convertible senior notes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Payment of tax withholdings on vested stock awards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Repurchase of common stock</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Advanced payment for equity forward contract</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Payment of accelerated share repurchases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4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Payment of contingent considerations related to acquisitions</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w:t>
            </w:r>
          </w:p>
        </w:tc>
      </w:tr>
      <w:tr>
        <w:trPr>
          <w:trHeight w:val="219"/>
        </w:trPr>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4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231F20"/>
              </w:rPr>
              <w:t>Net cash used for financing activities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(158,341)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(37,448)</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31F20"/>
              </w:rPr>
              <w:t>(205,242)</w:t>
            </w:r>
          </w:p>
        </w:tc>
      </w:tr>
      <w:tr>
        <w:trPr>
          <w:trHeight w:val="212"/>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31F20"/>
              </w:rPr>
              <w:t>Net change in cash, cash equivalents, and restricted cash</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(330,711)</w:t>
            </w:r>
          </w:p>
        </w:tc>
      </w:tr>
      <w:tr>
        <w:trPr>
          <w:trHeight w:val="21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231F20"/>
              </w:rPr>
              <w:t>Effect of foreign currency translation on cash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w:t>
            </w:r>
          </w:p>
        </w:tc>
      </w:tr>
      <w:tr>
        <w:trPr>
          <w:trHeight w:val="21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31F20"/>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901,886</w:t>
            </w:r>
          </w:p>
        </w:tc>
      </w:tr>
      <w:tr>
        <w:trPr>
          <w:trHeight w:val="207"/>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231F20"/>
              </w:rPr>
              <w:t>Cash, cash equivalents, and restricted cash end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370,063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523,025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568,197</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6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3"/>
        </w:trPr>
        <w:tc>
          <w:tcPr>
            <w:tcW w:w="6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Supplemental disclosures of cash flow information and non-cash investing activities: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6"/>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231F20"/>
              </w:rPr>
              <w:t>Cash paid for interest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9,818</w:t>
            </w:r>
          </w:p>
        </w:tc>
      </w:tr>
      <w:tr>
        <w:trPr>
          <w:trHeight w:val="213"/>
        </w:trPr>
        <w:tc>
          <w:tcPr>
            <w:tcW w:w="6420" w:type="dxa"/>
            <w:vAlign w:val="bottom"/>
          </w:tcPr>
          <w:p>
            <w:pPr>
              <w:ind w:left="480"/>
              <w:spacing w:after="0"/>
              <w:rPr>
                <w:sz w:val="20"/>
                <w:szCs w:val="20"/>
                <w:color w:val="auto"/>
              </w:rPr>
            </w:pPr>
            <w:r>
              <w:rPr>
                <w:rFonts w:ascii="Times New Roman" w:cs="Times New Roman" w:eastAsia="Times New Roman" w:hAnsi="Times New Roman"/>
                <w:sz w:val="16"/>
                <w:szCs w:val="16"/>
                <w:color w:val="231F20"/>
              </w:rPr>
              <w:t>Cash paid (received) for income taxes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219"/>
        </w:trPr>
        <w:tc>
          <w:tcPr>
            <w:tcW w:w="6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231F20"/>
              </w:rPr>
              <w:t>Class A Common Stock issued for asset acquisition</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100"/>
          </w:cols>
          <w:pgMar w:left="400" w:top="212" w:right="39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212" w:right="399" w:bottom="1440" w:gutter="0" w:footer="0" w:header="0"/>
          <w:type w:val="continuous"/>
        </w:sectPr>
      </w:pPr>
    </w:p>
    <w:bookmarkStart w:id="93" w:name="page94"/>
    <w:bookmarkEnd w:id="93"/>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Beauty Health Company (the “Company” or “we”) is a medtech meets beauty company that delivers skin health experiences that help consumers reinvent their relationship with their skin, bodies, and self-confidence. The Company and its subsidiaries design, develop, manufacture, market, and sell esthetic technologies and products. </w:t>
      </w:r>
      <w:r>
        <w:rPr>
          <w:rFonts w:ascii="Times New Roman" w:cs="Times New Roman" w:eastAsia="Times New Roman" w:hAnsi="Times New Roman"/>
          <w:sz w:val="18"/>
          <w:szCs w:val="18"/>
          <w:color w:val="231F20"/>
        </w:rPr>
        <w:t>The Company’s brands are pioneers: Hydrafacial in hydradermabrasion; SkinStylus in nanoneedling and microneedling;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Keravive in scalp health. Together, with its powerful global community of estheticians, partners, and consumers, the Company is personalizing skin health for all ages, genders, skin tones, and skin types.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Information</w:t>
      </w:r>
    </w:p>
    <w:p>
      <w:pPr>
        <w:spacing w:after="0" w:line="25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Company (f.k.a. Vesper Healthcare Acquisition Corp.) was incorporated in the State of Delaware on July 8, 2020. On May 4, 2021, we consummated the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 this Annual Report on Form 10-K are presented in accordance with accounting principles generally accepted in the United States of America (“GAAP”) and include the Company’s consolidated domestic and international subsidiaries. Intercompany accounts and transactions have been eliminated.</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preparing its consolidated financial statements in conformity with GAAP, the Company makes assumptions, estimates, and judgments that affect the reported amounts of assets and liabilities and disclosure of contingent assets and liabilities at the dates of the consolidated financial statements and the reported amounts of net sales and expenses during the reported periods. On an ongoing basis, the Company evaluates its estimates, including, among others, those related to revenue related reserves, allowance for estimated credit losses, the realizability of inventory, fair value measurements including common stock and warrant liabilities, useful lives of property and equipment, goodwill and finite-lived intangible assets, accounting for income taxes, stock-based compensation expense and commitments and contingencies. The Company’s estimates are based on historical experience and on its future expectations that are believed to be reasonable. The combination of these factors forms the basis for making judgments about the carrying values of assets and liabilities that are not readily apparent from other sources. Actual results may differ from current estimates and those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4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All highly liquid investments, including credit card receivables due from banks, with original maturities of 90 days or less at date of purchase, are reported at fair value and are considered to be cash equivalents. The balances of cash at financial institutions may exceed the federally insured limit.</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primarily arise out of product purchases by customers and from various distribution channels. Typical payment terms provide that customers pay within less than a year of the invoice. The allowance for estimated credit losses represents management's best estimate of probable credit losses in accounts receivable. The allowance is based upon a number of factors, including the length of time accounts receivable are past due, the Company’s previous loss history, the specific customer’s ability to pay its obligation and any other forward-looking data regarding customers’ ability to pay which may be available, and other qualitative factors. Receivables are written off against the allowance when management believes that the amount receivable will not be recovered.</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(determined using the average cost method which approximates the first-in, first-out method) or net realizable value.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 Cost is determined using weighted average costs, and includes all costs incurred to deliver inventory to the Company’s distribution centers including freight, non-refundable taxes, duty, and other landing costs.</w:t>
      </w:r>
    </w:p>
    <w:p>
      <w:pPr>
        <w:spacing w:after="0" w:line="21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periodically reviews its inventories and makes a provision as necessary to appropriately value goods that are obsolete or in excess, have quality issues, or are damaged. The amount of the provision is equal to the difference between the cost of the inventory and its net realizable value based upon assumptions about product quality, damages, future demand, selling prices, and market conditions. If changes in market conditions result in reductions in the estimated net realizable value of its inventory below its previous estimate, the Company would decrease its basis in the inventory in the period in which it made such a determination.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Repair and maintenance costs are expensed as incurred. Depreciation commences when an asset is ready for its intended use. Depreciation is recorded on a straight-line basis over each asset’s estimated useful life. Leasehold improvements are depreciated on a straight-line basis over the lesser of the length of the lease or the estimated useful life of the improvement.</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Leased Property and Equipment</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Right-of-use assets and lease liabilities are recognized at the lease commencement date based on the present value of lease payments over the lease term. The Company uses an incremental borrowing rate to determine the present value of lease payments as the rate implicit in the lease is generally not readily determinable. The Company excludes right-of-use assets and lease liabilities for leases with an initial term of 12 months or less from the balance sheet, and combines lease and non-lease components for property leases, which primarily relate to ancillary expenses such as common area maintenance expenses, property taxes, and management fees. The Company determines if an arrangement is a lease at inception by assessing whether it conveys the right to control the use of an identified asset for a period of time in exchange for consideration. Renewal and termination options are included in the lease term when it is reasonably certain that the Company will exercise the option. Certain of these leases include escalation clauses that adjust rental expense to reflect changes in price indices, as well as renewal and termination options. Operating lease costs are recognized on a straight-line basis over the lease term.</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developed technology, capitalized software, customer relationships and trademarks and are amortized on a straight-line basis over the estimated useful life of the asset.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Long-lived assets, including property and equipment, right-of-use assets, and intangible assets with finite lives are evaluated for impairment when the occurrence of events or a change in circumstances indicates that the carrying value of the assets may not be recoverable as measured by comparing their carrying value to the estimated undiscounted future cash flows generated by their use and eventual disposition. Impaired assets are recorded at fair value, determined principally by discounting the future cash flows expected from their use and eventual disposition. Reductions in asset values resulting from impairment valuations are recognized in income in the period that the impairment is determined.</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Goodwill is recorded as the difference, if any, between the aggregate consideration paid for an acquisition and the fair value of the assets acquired and liabilities assumed. Goodwill is not amortized but is evaluated for impairment at least annually or more frequently if indicators of impairment are present or changes in circumstances suggest that impairment may exist. The Company has one reporting unit and management evaluates the carrying value of the Company’s goodwill annually in the fourth quarter of its fiscal year or whenever events or changes in circumstances indicate that an impairment may exist.</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When testing goodwill for impairment, management has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the qualitative assessment, management considers the extent to which unfavorable events or circumstances identified, such as changes in economic conditions, industry and market conditions or company specific events, could affect the comparison of the reporting unit’s fair value with its carrying amount. If management concludes that it is more likely than not that the fair value of the reporting unit is less than its carrying amount, management is required to perform a quantitative impairment test.</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Quantitative impairment testing for goodwill is based upon the fair value of the reporting unit as compared to its carrying value. The impairment loss recognized would be the difference between the reporting unit’s carrying value and fair value in an amount not to exceed the carrying value of the reporting unit’s goodwill. Testing goodwill for impairment requires management to estimate fair value of the reporting unit using significant estimates and assumptions. The assumptions made will impact the outcome and ultimate results of the testing. Management will use industry accepted valuation models and set criteria that are reviewed and approved by various levels of management and, in certain instances, we will engage independent third-party valuation specialists for advice.</w:t>
      </w:r>
    </w:p>
    <w:p>
      <w:pPr>
        <w:spacing w:after="0" w:line="2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key estimates and factors used in the valuation models may include as applicable, revenue growth rates and profit margins based on internal forecasts, weighted-average cost of capital used to discount future cash flows, comparable market multiples for the industry segment, and historical operating trends. Certain future events and circumstances, including deterioration of market conditions, higher cost of capital, a decline in actual and expected consumer consumption and demands, could result in changes to these assumptions and judgments and could cause the fair value of the reporting unit to fall below its respective carrying value, resulting in a non-cash impairment charge. Such charge could have a material effect on the consolidated financial statements.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5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October 2020, in connection with Vesper’s initial public offering, the Company issued 9,333,333 warrants to purchase shares of the Company’s Class A common stock at $11.50 per share (the “Private Placement Warrants”), to BLS Investor Group LLC, which will expire five years after the Business Combination.</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classifies the Private Placement Warrants as liabilities on its Consolidated Balance Sheets as these instruments are precluded from being indexed to its own stock given the terms allow for a settlement adjustment that does not meet the scope of the fixed-for-fixed exception in </w:t>
      </w:r>
      <w:r>
        <w:rPr>
          <w:rFonts w:ascii="Times New Roman" w:cs="Times New Roman" w:eastAsia="Times New Roman" w:hAnsi="Times New Roman"/>
          <w:sz w:val="18"/>
          <w:szCs w:val="18"/>
          <w:color w:val="231F20"/>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Standards Codification (“</w:t>
      </w:r>
      <w:r>
        <w:rPr>
          <w:rFonts w:ascii="Times New Roman" w:cs="Times New Roman" w:eastAsia="Times New Roman" w:hAnsi="Times New Roman"/>
          <w:sz w:val="18"/>
          <w:szCs w:val="18"/>
          <w:color w:val="000000"/>
        </w:rPr>
        <w:t>ASC”) 815,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Derivatives and Hedging</w:t>
      </w:r>
      <w:r>
        <w:rPr>
          <w:rFonts w:ascii="Times New Roman" w:cs="Times New Roman" w:eastAsia="Times New Roman" w:hAnsi="Times New Roman"/>
          <w:sz w:val="18"/>
          <w:szCs w:val="18"/>
          <w:color w:val="000000"/>
        </w:rPr>
        <w:t>. In certain events outside of the Company’s control, the Private Placement Warrant holders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are entitled to receive cash while in certain scenarios the holders of the Company’s Class A common stock are not entitled to receive cash or may receive less than 100% of any proceeds in cash, which precludes these instruments from being classified within equity pursuant to ASC 815-40. The Private Placement Warrants were initially measured at fair value at inception and are subsequently adjusted to fair value at each subsequent reporting date. The fair value of the Private Placement Warrants was determined using a Monte Carlo simulation model. Changes in the fair value of these instruments are recognized within change in fair value of warrant liabilities in the </w:t>
      </w:r>
      <w:r>
        <w:rPr>
          <w:rFonts w:ascii="Times New Roman" w:cs="Times New Roman" w:eastAsia="Times New Roman" w:hAnsi="Times New Roman"/>
          <w:sz w:val="18"/>
          <w:szCs w:val="18"/>
          <w:color w:val="231F20"/>
        </w:rPr>
        <w:t>Consolidated Statements of Comprehensive Income (Loss)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September 14, 2021, the Company issued an aggregate of $750.0 million in principal amount of 1.25% Convertible Senior Notes due 2026 (the “Notes”) in a private placement to qualified institutional buyers pursuant to Rule 144A under the Securities Act of 1933, as amended (the “Securities Act”). The Notes were issued pursuant to, and are governed by, an indenture (the “Indenture”), dated as of September 14, 2021, between the Company and U.S. Bank National Association, as trustee (the “Trustee”). The Company accounts for the Notes under ASC 470-20 -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Derivatives and Hedging—Contracts in Entity's Own Equity</w:t>
      </w:r>
      <w:r>
        <w:rPr>
          <w:rFonts w:ascii="Times New Roman" w:cs="Times New Roman" w:eastAsia="Times New Roman" w:hAnsi="Times New Roman"/>
          <w:sz w:val="18"/>
          <w:szCs w:val="18"/>
          <w:color w:val="auto"/>
        </w:rPr>
        <w:t>, which the Company early adopted in the first quarter of 2021 concurrent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issuance of the Notes. The Company records the Notes as a long-term liability at face value net of issuance costs. If any of the conditions to the convertibility of the Notes is satisfied, or the Notes become due within one year, then the Company may be required under applicable accounting standards to reclassify the carrying value of the Notes as a current, rather than a long-term liability. Refer to Note 7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detail.</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Issuance Costs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Issuance costs related to our Notes offering were capitalized and offset against proceeds from the Notes. Issuance costs consist of legal and other direct costs related to the issuance of the Notes and are amortized to interest expense over the term of the Notes using the effective interest method. Refer to Note 7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detail.</w:t>
      </w: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sales consist of the sale of products to retail and wholesale customers through e-commerce and distributor sales. The Company generates revenue through manufacturing and selling its patented hydradermabrasion delivery systems (“Delivery Systems”). In conjunction with the sale of Delivery Systems, the Company also sells single-use tips, solutions, and serums used to provide a Hydrafacial treatment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distributes products to customers both through national and international retailers as well as direct-to-consumers through its e-commerce and store channels. The Company sells to direct customers, including non-corporate customers (such as spas and dermatologist offices), corporate customers, and international distributors. For non-corporate customers, a contract exists when the customer initiates an order by submitting a purchase request. Such requests are accepted by the Company upon issuance of a corresponding invoice. For corporate customers, a contract exists when the customer submits a purchase order and is accepted upon issuance of a subsequent invoice. For distributors, a customer submits an order request which is processed in the system by a sales representative. This is also considered accepted upon the subsequent issuance of an invoice by the Company. For all customers, each invoice is considered a separate contract for accounting purposes.</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is recognized in an amount that reflects the consideration that the Company expects to be entitled to in exchange for the sale of its products which is determined based upon the sales price per the invoice or contract and the estimated fair market value for any non-cash consideration received in connection with the trade-in program.</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During the years ended December 31, 2023 and 2022 the Company provided certain customers with the option to trade-in their existing Delivery System and applied the fair value of their old Delivery System towards the transaction price of a Syndeo device. The Company determined that the trade-in is viewed as a marketing offer due to the fact that it did not constitute the Company’s customary business practice and was not offered at contract inception. Therefore, the trade-in was accounted for under ASC 606,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auto"/>
        </w:rPr>
        <w:t xml:space="preserve"> and represented a type of noncash consideration, which the Company measured at its estimated fair value. The estimated fair value represented the estimated selling price, less the cost to refurbish the inventory and the expected margin to be earned on the refurbishment, along with the expected margin to be earned on the selling effort. The estimated selling price was determined based on the Company’s historical experience of reselling refurbished Delivery Systems. The Company recognized revenue based on the estimated fair value of such Delivery Systems for the years ended December 31, 2023 and 2022 of approximately $17 million and $9 million, respectively. No trade-in revenue was recognized for the year ended December 31, 2024.</w:t>
      </w:r>
    </w:p>
    <w:p>
      <w:pPr>
        <w:spacing w:after="0" w:line="21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Discounts applied to invoices are not associated with future purchases and solely relate to the product invoiced. As a result, the invoice and transaction price are recorded net of any discounts.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7" w:name="page98"/>
    <w:bookmarkEnd w:id="97"/>
    <w:p>
      <w:pPr>
        <w:spacing w:after="0" w:line="261" w:lineRule="auto"/>
        <w:rPr>
          <w:sz w:val="20"/>
          <w:szCs w:val="20"/>
          <w:color w:val="auto"/>
        </w:rPr>
      </w:pPr>
      <w:r>
        <w:rPr>
          <w:rFonts w:ascii="Times New Roman" w:cs="Times New Roman" w:eastAsia="Times New Roman" w:hAnsi="Times New Roman"/>
          <w:sz w:val="18"/>
          <w:szCs w:val="18"/>
          <w:color w:val="auto"/>
        </w:rPr>
        <w:t>The Company’s sales terms for its Delivery Systems generally allow for the right of return within 30 days, subject to a restocking fee. Estimates for variable consideration, which relate to sales returns associated with Delivery Systems, are based on the expected amount the Company will be expected to be entitled to, subject to constraint, and is recorded as a reduction against net sales. Sales returns are estimated based on historical sales and returns data and have not significantly impacted net sales because sales returns are not material.</w:t>
      </w:r>
    </w:p>
    <w:p>
      <w:pPr>
        <w:spacing w:after="0" w:line="20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Payment terms vary by customer but typically provide for the customer to pay within less than a year; however, the Company provides options for qualified customers through third party financing companies, generally without recourse to the Company, or through internal financing to pay for Delivery Systems over 12 monthly installments or less. Under certain limited arrangements, which are not material, the customer’s receivable balance is with recourse whereby we are responsible for repaying the financing company should the customer default. The Company performs credit evaluations of customers and evaluates the need for allowances for potential credit losses based on historical experience, as well as current and expected general economic conditions. The Company elected the practical expedient and does not evaluate contracts of one year or less for the existence of a significant financing component.</w:t>
      </w:r>
    </w:p>
    <w:p>
      <w:pPr>
        <w:spacing w:after="0" w:line="20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Depending on the type of Delivery System that was purchased, the Company offers its customers with a one to two-year standard type warranty from point of sale that provides the customer with the assurance that its Delivery Systems will function as intended. During the fourth quarter of 2023, the Company announced a one year extension of warranty for certain Syndeo systems from the date it was either brought to the 3.0 standards or the customer received a Syndeo 3.0 device. The warranty reserve is assessed periodically, and the reserve is adjusted as necessary based on a review of historical warranty experience as well as the length and actual terms of the warranties. As of December 31, 2024, total warranty reserve was approximately $4 million, which was included in other accrued expenses on the Consolidated Balance Sheets. As of December 31, 2023, total warranty reserve was approximately</w:t>
      </w:r>
    </w:p>
    <w:p>
      <w:pPr>
        <w:spacing w:after="0" w:line="5"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$6 million, of which approximately $4 million was included in other accrued expenses and approximately $2 million was included in other long-term liabilities on the Consolidated Balance Sheets.</w:t>
      </w:r>
    </w:p>
    <w:p>
      <w:pPr>
        <w:spacing w:after="0" w:line="2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also has a loyalty program that allows members to receive points based on qualifying Consumable purchases that may be redeemed as a discount on future Consumable purchases. This customer option is a material right and, accordingly, represents a separate performance obligation to the customer. The related loyalty program deferred revenue included in other accrued expenses on the Consolidated Balance Sheets was approximately $1 million as of December 31, 2024 and 2023.</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Cost of sales primarily consists of Delivery Systems and Consumables product costs, including the cost of materials, labor costs, overhead, depreciation and amortization of developed technology, shipping and handling costs, and the costs associated with excess and obsolete inventory.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Selling and marketing expense primarily consists of personnel-related expenses, sales commissions, travel costs, training, and advertising expenses incurred in connection with the sale of our products.</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Advertising costs are expensed in the period in which they are incurred. Total advertising costs were $1.7 million, $2.3 million and $3.8 million for the years ending December 31, 2024, 2023, and 2022 respectively.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personnel-related expenses, tooling and prototype materials, technology investments, and other expenses incurred in connection with the development of new products and internal technologies. Research and development expenses are expensed in the period in which they are incurred.</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231F20"/>
        </w:rPr>
        <w:t>General and administrative expense primarily consists of personnel-related expenses, credit card and wire fees and facilities-related costs primarily for our executive, corporate affairs, finance, accounting, legal, human resources, and information technology (“IT”) functions. General and administrative expense also includes fees for professional services principally comprising legal, audit, tax and accounting services, and insurance.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8" w:name="page99"/>
    <w:bookmarkEnd w:id="98"/>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231F20"/>
        </w:rPr>
        <w:t xml:space="preserve">Interest expense consists of interest accrued on the Company’s Notes and amortization of debt issuance costs relating to the Notes. The Notes mature on October 1, 2026 and accrue interest at a rate of </w:t>
      </w:r>
      <w:r>
        <w:rPr>
          <w:rFonts w:ascii="Times New Roman" w:cs="Times New Roman" w:eastAsia="Times New Roman" w:hAnsi="Times New Roman"/>
          <w:sz w:val="18"/>
          <w:szCs w:val="18"/>
          <w:color w:val="000000"/>
        </w:rPr>
        <w:t>1.25%</w:t>
      </w:r>
      <w:r>
        <w:rPr>
          <w:rFonts w:ascii="Times New Roman" w:cs="Times New Roman" w:eastAsia="Times New Roman" w:hAnsi="Times New Roman"/>
          <w:sz w:val="18"/>
          <w:szCs w:val="18"/>
          <w:color w:val="231F20"/>
        </w:rPr>
        <w:t xml:space="preserve"> per annum. Debt issuance costs are being amortized over the term of the Notes using the effective interest method. If the Notes are repurchased, redeemed, or converted prior to the maturity date, the interest on the Notes would no longer be accrued and the amortization of debt issuance costs would be accelerated for the portion of the Notes which are repurchased, redeemed, or converted.</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primarily consists of interest earned from investments in money market funds that the Company classifies as cash equivalents.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follows the asset and liability method for accounting for income taxes. This approach requires recognizing deferred tax assets (“DTAs”) and deferred tax liabilities (“DTLs”) based on the expected future tax consequences of events recorded in the financial statements. DTAs and DTLs are determined by the differences between the financial statement and tax bases of assets and liabilities, using enacted tax rates applicable to the periods in which these differences are expected to reverse. Any changes in tax rates affecting DTAs and DTLs are recorded in income during the period the tax rate change is enacted.</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recognizes DTAs only when it believes they are more likely than not to be realized. This assessment considers various factors, including future reversals of taxable temporary differences, projected taxable income, tax-planning strategies, potential carrybacks (if permitted by law), and recent operating results. A valuation allowance is applied when necessary to reduce DTAs to the amount expected to be realized. If the Company later determines that additional DTAs can be utilized, it will adjust the valuation allowance, reducing income tax expense.</w:t>
      </w:r>
    </w:p>
    <w:p>
      <w:pPr>
        <w:spacing w:after="0" w:line="2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For uncertain tax positions, the Company applies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using a two-step approach: (1) determining whether a tax position is more likely than not to be upheld based on its technical merits, and (2) recognizing the largest amount of tax benefit that is more than 50 percent likely to be realized upon settlement with the tax authority. Any interest and penalties related to unrecognized tax benefits are recorded in income tax (benefit) expense on the Consolidated Statements of Comprehensive Loss.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reporting currency is the U.S. Dollars. The functional currency for each entity included in these consolidated financial statements that is domiciled outside of the United States is generally the applicable local currency. Assets and liabilities of each foreign entity are translated into U.S. dollars at the foreign currency exchange rate in effect on the balance sheet date. Net revenue and expenses are translated at the average foreign currency rate in effect during the period. The resulting foreign currency translation adjustments are recorded as a component of accumulated other comprehensive loss within Consolidated Statements of Stockholders' Equity.</w:t>
      </w:r>
    </w:p>
    <w:p>
      <w:pPr>
        <w:spacing w:after="0" w:line="19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Foreign currency transaction gains and losses are generated by intercompany balances and transactions denominated in other currencies other than the functional currency of the entity and are recorded in foreign currency transaction loss (gain), net on the Consolidated Statements of Comprehensive Income (Loss) in the period in which the foreign currency exchange rate changes.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accounts receivable. The Company primarily maintains its operating cash balance with a major financial institution. At times, cash balances may be in excess of Federal Deposit Insurance Corporation insurance limits. The Company has not experienced any losses in these accounts and does not believe it is exposed to any significant credit risk in this area. Accounts receivable are unsecured and the Company is at risk to the extent such amounts become uncollectible. Concentration of credit risk with respect to accounts receivable is generally mitigated by the Company performing ongoing credit evaluations of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9" w:name="page100"/>
    <w:bookmarkEnd w:id="9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 accounts for share-based compensation transactions using a fair-value method and recognizes the fair value of each award as an expense over the service period. The Company estimates the fair value of stock options granted using the Black-Scholes option-pricing model. The use of the Black-Scholes model requires a number of estimates, including the expected option term, the expected volatility in the price of the Company’s Class A Common Stock, the risk-free rate of interest and the dividend yield on the Company’s Class A Common Stock. The fair value of the Company’s restricted stock units is the closing price of the Company’s Class A Common Stock on the grant date. The fair value of the Company’s performance-based restricted stock units is estimated using a Monte Carlo simulation model. The consolidated financial statements include amounts that are based on the Company’s best estimates and judgments. The Company classifies compensation expense related to these awards on the Consolidated Statements of Comprehensive Income (Loss) based on the department to which the recipient reports. Forfeitures are accounted for in the period they occur.</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Earnings per share is calculated using the weighted average number of common and exchangeable shares outstanding during the period. Exchangeable shares are the equivalent of common shares in all material respects. Diluted earnings per share is calculated by dividing net income available to stockholders for the period by the diluted weighted average number of shares outstanding during the period. Diluted earnings per share reflects the potential dilution from common shares issuable through stock options, performance-based restricted stock units, restricted stock units, and Private Placement Warrants using the treasury stock method and the "if-converted" method related to the Notes.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November 2023, the Financial Standards Accounting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The Company adopted ASU 2023-07 during the year ended December 31, 2024 on a retrospective basis. See Note 16 - Segment, Geographic, and Other Information for additional information.</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expand the disclosure requirements for income taxes, specifically related to the rate reconciliation and income taxes paid. ASU 2023-09 is effective for annual periods beginning January 1, 2025, with early adoption permitted. The Company is currently evaluating the potential effect that the updated standard will have on its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p>
      <w:pPr>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expands interim and annual requirements to disclose about specific types of expenses included in the expense captions presented on the face of the income statement as well as disclosures about selling expenses. The guidance will be effective for annual periods beginning after December 15, 2026, with either retrospective or prospective application. The standard allows for early adoption of these requirements. The Company is currently evaluating the potential effect that the updated standard will have on its financial statement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Inventories consist of the following as of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180" w:type="dxa"/>
            <w:vAlign w:val="bottom"/>
          </w:tcPr>
          <w:p>
            <w:pPr>
              <w:spacing w:after="0"/>
              <w:rPr>
                <w:sz w:val="16"/>
                <w:szCs w:val="16"/>
                <w:color w:val="auto"/>
              </w:rPr>
            </w:pPr>
          </w:p>
        </w:tc>
        <w:tc>
          <w:tcPr>
            <w:tcW w:w="15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231F20"/>
              </w:rPr>
              <w:t>December 31, 2023</w:t>
            </w: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24,406</w:t>
            </w:r>
          </w:p>
        </w:tc>
      </w:tr>
      <w:tr>
        <w:trPr>
          <w:trHeight w:val="229"/>
        </w:trPr>
        <w:tc>
          <w:tcPr>
            <w:tcW w:w="7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Finished goods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43,094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66,915</w:t>
            </w:r>
          </w:p>
        </w:tc>
      </w:tr>
      <w:tr>
        <w:trPr>
          <w:trHeight w:val="248"/>
        </w:trPr>
        <w:tc>
          <w:tcPr>
            <w:tcW w:w="7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69,113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91,321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20"/>
        </w:rPr>
        <w:t xml:space="preserve">During the year ended </w:t>
      </w:r>
      <w:r>
        <w:rPr>
          <w:rFonts w:ascii="Times New Roman" w:cs="Times New Roman" w:eastAsia="Times New Roman" w:hAnsi="Times New Roman"/>
          <w:sz w:val="18"/>
          <w:szCs w:val="18"/>
          <w:color w:val="000000"/>
        </w:rPr>
        <w:t>December 31, 2024, the Company recognized</w:t>
      </w:r>
      <w:r>
        <w:rPr>
          <w:rFonts w:ascii="Times New Roman" w:cs="Times New Roman" w:eastAsia="Times New Roman" w:hAnsi="Times New Roman"/>
          <w:sz w:val="18"/>
          <w:szCs w:val="18"/>
          <w:color w:val="231F20"/>
        </w:rPr>
        <w:t xml:space="preserve"> $28.0 million of inventory charges for discontinued, excess, obsolete inventory, including the write-down of Delivery System inventory to its net realizable value and the write-off of excess raw materials.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Accrued payroll-related expenses consist of the following as of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payroll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commissions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payroll-related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Other accrued expenses consist of the following as of the periods indicated:</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8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180" w:type="dxa"/>
            <w:vAlign w:val="bottom"/>
          </w:tcPr>
          <w:p>
            <w:pPr>
              <w:spacing w:after="0"/>
              <w:rPr>
                <w:sz w:val="24"/>
                <w:szCs w:val="24"/>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231F20"/>
              </w:rPr>
              <w:t>December 31,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Sales and VAT tax payables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Accrued interest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Royalty liabilities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Deferred revenue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8,167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Total other accrued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20,002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19,846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During the year ended December 31, 2024, in connection with the Company’s manufacturing optimization plans, the Company recorded approximately $8 million of contract termination costs related to the Company concluding its relationship with its third-party manufacturing partner in China, which was recorded within cost of sales on the Consolidated Statements of Comprehensive Income (Loss). As of December 31, 2024, the Company has accrued $0.5 million for the contract termination related costs, which was included in other accrued expenses on the Consolidated Balance Sheets.</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total warranty reserve was approximately $4 million, which was included in other accrued expenses on the Consolidated Balance Sheets. As of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auto"/>
        </w:rPr>
        <w:t>, total warranty reserve was approximately $6 million, of which approximately $4 million was included in other accrued expenses and approximately $2 million was included in other long-term liabilities on the Consolidated Balance Sheets.</w:t>
      </w:r>
    </w:p>
    <w:p>
      <w:pPr>
        <w:spacing w:after="0" w:line="20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2024, the Company has approximately $2 million in restricted cash held as collateral for the Company’s credit cards, which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included in cash, cash equivalents and restricted cash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1" w:name="page102"/>
    <w:bookmarkEnd w:id="101"/>
    <w:p>
      <w:pPr>
        <w:ind w:right="40"/>
        <w:spacing w:after="0" w:line="261" w:lineRule="auto"/>
        <w:rPr>
          <w:sz w:val="20"/>
          <w:szCs w:val="20"/>
          <w:color w:val="auto"/>
        </w:rPr>
      </w:pPr>
      <w:r>
        <w:rPr>
          <w:rFonts w:ascii="Times New Roman" w:cs="Times New Roman" w:eastAsia="Times New Roman" w:hAnsi="Times New Roman"/>
          <w:sz w:val="18"/>
          <w:szCs w:val="18"/>
          <w:color w:val="231F20"/>
        </w:rPr>
        <w:t>As of December 31, 2024 and December 31, 2023, the Company has approximately $1 million and $15 million, respectively, of non-trade receivables from certain of its manufacturing vendors resulting from the sale of components to these vendors who manufacture or assemble final products for the Company, which is included in prepaid expenses and other current assets on the Consolidated Balance Sheets. The Company purchases components directly from suppliers and do not reflect the sale of these components to the manufacturing vendors in net sales.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allowance for estimated credit losses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9"/>
          </w:tcPr>
          <w:p>
            <w:pPr>
              <w:jc w:val="right"/>
              <w:ind w:right="7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Beginning balance</w:t>
            </w:r>
          </w:p>
        </w:tc>
        <w:tc>
          <w:tcPr>
            <w:tcW w:w="27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231F20"/>
              </w:rPr>
              <w:t>6,604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8"/>
              </w:rPr>
              <w:t>2,929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2,681</w:t>
            </w: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Provision for estimated credit losses</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left="236"/>
              <w:spacing w:after="0"/>
              <w:rPr>
                <w:sz w:val="20"/>
                <w:szCs w:val="20"/>
                <w:color w:val="auto"/>
              </w:rPr>
            </w:pPr>
            <w:r>
              <w:rPr>
                <w:rFonts w:ascii="Times New Roman" w:cs="Times New Roman" w:eastAsia="Times New Roman" w:hAnsi="Times New Roman"/>
                <w:sz w:val="18"/>
                <w:szCs w:val="18"/>
                <w:color w:val="231F20"/>
              </w:rPr>
              <w:t>5,134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231F20"/>
                <w:w w:val="98"/>
              </w:rPr>
              <w:t>5,153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1,622</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Write-offs, recoveries of previous write-offs, and foreign currency translation impact</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231F20"/>
                <w:w w:val="98"/>
              </w:rPr>
              <w:t>(2,141)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4"/>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231F20"/>
                <w:w w:val="98"/>
              </w:rPr>
              <w:t>(1,478)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(1,374)</w:t>
            </w:r>
          </w:p>
        </w:tc>
        <w:tc>
          <w:tcPr>
            <w:tcW w:w="0" w:type="dxa"/>
            <w:vAlign w:val="bottom"/>
          </w:tcPr>
          <w:p>
            <w:pPr>
              <w:spacing w:after="0"/>
              <w:rPr>
                <w:sz w:val="1"/>
                <w:szCs w:val="1"/>
                <w:color w:val="auto"/>
              </w:rPr>
            </w:pPr>
          </w:p>
        </w:tc>
      </w:tr>
      <w:tr>
        <w:trPr>
          <w:trHeight w:val="223"/>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Ending balance</w:t>
            </w:r>
          </w:p>
        </w:tc>
        <w:tc>
          <w:tcPr>
            <w:tcW w:w="27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8"/>
                <w:szCs w:val="18"/>
                <w:color w:val="231F20"/>
              </w:rPr>
              <w:t>9,597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231F20"/>
                <w:w w:val="98"/>
              </w:rPr>
              <w:t>6,604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2,929</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 net</w:t>
            </w:r>
          </w:p>
        </w:tc>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74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as of the periods indicated: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740" w:type="dxa"/>
            <w:vAlign w:val="bottom"/>
          </w:tcPr>
          <w:p>
            <w:pPr>
              <w:spacing w:after="0"/>
              <w:rPr>
                <w:sz w:val="24"/>
                <w:szCs w:val="24"/>
                <w:color w:val="auto"/>
              </w:rPr>
            </w:pPr>
          </w:p>
        </w:tc>
        <w:tc>
          <w:tcPr>
            <w:tcW w:w="278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78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231F20"/>
              </w:rPr>
              <w:t>(years)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231F20"/>
              </w:rPr>
              <w:t>December 31, 2023</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740" w:type="dxa"/>
            <w:vAlign w:val="bottom"/>
            <w:shd w:val="clear" w:color="auto" w:fill="CCEEFF"/>
          </w:tcPr>
          <w:p>
            <w:pPr>
              <w:spacing w:after="0"/>
              <w:rPr>
                <w:sz w:val="15"/>
                <w:szCs w:val="15"/>
                <w:color w:val="auto"/>
              </w:rPr>
            </w:pPr>
          </w:p>
        </w:tc>
        <w:tc>
          <w:tcPr>
            <w:tcW w:w="2780" w:type="dxa"/>
            <w:vAlign w:val="bottom"/>
            <w:shd w:val="clear" w:color="auto" w:fill="CCEEFF"/>
          </w:tcPr>
          <w:p>
            <w:pPr>
              <w:jc w:val="center"/>
              <w:ind w:left="134"/>
              <w:spacing w:after="0" w:line="177" w:lineRule="exact"/>
              <w:rPr>
                <w:sz w:val="20"/>
                <w:szCs w:val="20"/>
                <w:color w:val="auto"/>
              </w:rPr>
            </w:pPr>
            <w:r>
              <w:rPr>
                <w:rFonts w:ascii="Times New Roman" w:cs="Times New Roman" w:eastAsia="Times New Roman" w:hAnsi="Times New Roman"/>
                <w:sz w:val="18"/>
                <w:szCs w:val="18"/>
                <w:color w:val="231F20"/>
              </w:rPr>
              <w:t>Shorter of remaining lease</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Leasehold improvements</w:t>
            </w:r>
          </w:p>
        </w:tc>
        <w:tc>
          <w:tcPr>
            <w:tcW w:w="27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231F20"/>
              </w:rPr>
              <w:t>term or estimated useful life</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12,019</w:t>
            </w:r>
          </w:p>
        </w:tc>
        <w:tc>
          <w:tcPr>
            <w:tcW w:w="4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12,323</w:t>
            </w:r>
          </w:p>
        </w:tc>
        <w:tc>
          <w:tcPr>
            <w:tcW w:w="0" w:type="dxa"/>
            <w:vAlign w:val="bottom"/>
          </w:tcPr>
          <w:p>
            <w:pPr>
              <w:spacing w:after="0"/>
              <w:rPr>
                <w:sz w:val="1"/>
                <w:szCs w:val="1"/>
                <w:color w:val="auto"/>
              </w:rPr>
            </w:pPr>
          </w:p>
        </w:tc>
      </w:tr>
      <w:tr>
        <w:trPr>
          <w:trHeight w:val="229"/>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Machinery and equipment</w:t>
            </w:r>
          </w:p>
        </w:tc>
        <w:tc>
          <w:tcPr>
            <w:tcW w:w="2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231F20"/>
                <w:w w:val="99"/>
              </w:rPr>
              <w:t>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8,597</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Furniture and fixtures</w:t>
            </w:r>
          </w:p>
        </w:tc>
        <w:tc>
          <w:tcPr>
            <w:tcW w:w="27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231F20"/>
                <w:w w:val="99"/>
              </w:rPr>
              <w:t>2-7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5,903</w:t>
            </w:r>
          </w:p>
        </w:tc>
        <w:tc>
          <w:tcPr>
            <w:tcW w:w="0" w:type="dxa"/>
            <w:vAlign w:val="bottom"/>
          </w:tcPr>
          <w:p>
            <w:pPr>
              <w:spacing w:after="0"/>
              <w:rPr>
                <w:sz w:val="1"/>
                <w:szCs w:val="1"/>
                <w:color w:val="auto"/>
              </w:rPr>
            </w:pPr>
          </w:p>
        </w:tc>
      </w:tr>
      <w:tr>
        <w:trPr>
          <w:trHeight w:val="239"/>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Computers and equipment</w:t>
            </w:r>
          </w:p>
        </w:tc>
        <w:tc>
          <w:tcPr>
            <w:tcW w:w="2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231F20"/>
                <w:w w:val="99"/>
              </w:rPr>
              <w:t>3-5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5,496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5,479</w:t>
            </w: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Tooling</w:t>
            </w:r>
          </w:p>
        </w:tc>
        <w:tc>
          <w:tcPr>
            <w:tcW w:w="27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231F20"/>
                <w:w w:val="88"/>
              </w:rPr>
              <w:t>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887</w:t>
            </w: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Autos and trucks</w:t>
            </w:r>
          </w:p>
        </w:tc>
        <w:tc>
          <w:tcPr>
            <w:tcW w:w="27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231F20"/>
                <w:w w:val="88"/>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Construction in progress</w:t>
            </w:r>
          </w:p>
        </w:tc>
        <w:tc>
          <w:tcPr>
            <w:tcW w:w="2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748</w:t>
            </w:r>
          </w:p>
        </w:tc>
        <w:tc>
          <w:tcPr>
            <w:tcW w:w="0" w:type="dxa"/>
            <w:vAlign w:val="bottom"/>
          </w:tcPr>
          <w:p>
            <w:pPr>
              <w:spacing w:after="0"/>
              <w:rPr>
                <w:sz w:val="1"/>
                <w:szCs w:val="1"/>
                <w:color w:val="auto"/>
              </w:rPr>
            </w:pPr>
          </w:p>
        </w:tc>
      </w:tr>
      <w:tr>
        <w:trPr>
          <w:trHeight w:val="223"/>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Total property and equipment</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31,478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34,179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Less: accumulated depreciation and amortization</w:t>
            </w:r>
          </w:p>
        </w:tc>
        <w:tc>
          <w:tcPr>
            <w:tcW w:w="2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7"/>
              </w:rPr>
              <w:t>(25,500)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(19,953)</w:t>
            </w:r>
          </w:p>
        </w:tc>
        <w:tc>
          <w:tcPr>
            <w:tcW w:w="0" w:type="dxa"/>
            <w:vAlign w:val="bottom"/>
          </w:tcPr>
          <w:p>
            <w:pPr>
              <w:spacing w:after="0"/>
              <w:rPr>
                <w:sz w:val="1"/>
                <w:szCs w:val="1"/>
                <w:color w:val="auto"/>
              </w:rPr>
            </w:pPr>
          </w:p>
        </w:tc>
      </w:tr>
      <w:tr>
        <w:trPr>
          <w:trHeight w:val="223"/>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5,978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231F20"/>
                <w:w w:val="88"/>
              </w:rPr>
              <w: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14,226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56"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Operating leases primarily consist of property leases related to the Company’s warehouse, which also serves as its production, manufacturing, and distribution facility, corporate offices, experience centers, and sales and marketing offices. Operating right-of-use assets and lease liabilities as of December 31, 2024 and December 31, 2023 comprises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260" w:type="dxa"/>
            <w:vAlign w:val="bottom"/>
          </w:tcPr>
          <w:p>
            <w:pPr>
              <w:spacing w:after="0"/>
              <w:rPr>
                <w:sz w:val="16"/>
                <w:szCs w:val="16"/>
                <w:color w:val="auto"/>
              </w:rPr>
            </w:pPr>
          </w:p>
        </w:tc>
        <w:tc>
          <w:tcPr>
            <w:tcW w:w="1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231F20"/>
              </w:rPr>
              <w:t>December 31, 2023</w:t>
            </w:r>
          </w:p>
        </w:tc>
      </w:tr>
      <w:tr>
        <w:trPr>
          <w:trHeight w:val="23"/>
        </w:trPr>
        <w:tc>
          <w:tcPr>
            <w:tcW w:w="7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Right-of-use assets,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13,590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12,120</w:t>
            </w:r>
          </w:p>
        </w:tc>
      </w:tr>
      <w:tr>
        <w:trPr>
          <w:trHeight w:val="257"/>
        </w:trPr>
        <w:tc>
          <w:tcPr>
            <w:tcW w:w="7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9"/>
        </w:trPr>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Lease liabilities, current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4,598</w:t>
            </w:r>
          </w:p>
        </w:tc>
      </w:tr>
      <w:tr>
        <w:trPr>
          <w:trHeight w:val="229"/>
        </w:trPr>
        <w:tc>
          <w:tcPr>
            <w:tcW w:w="7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Lease liabilities, non-current</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10,813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9,319</w:t>
            </w:r>
          </w:p>
        </w:tc>
      </w:tr>
      <w:tr>
        <w:trPr>
          <w:trHeight w:val="248"/>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Total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15,960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13,917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Operating lease costs for the years ended December 31, 2024, 2023, and 2022 were $5.9 million, $5.2 million, and $5.0 million, respectively. Short-term lease costs and variable lease costs were immaterial for the years ended December 31, 2024, 2023, and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following table summarizes future operating lease payments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300" w:type="dxa"/>
            <w:vAlign w:val="bottom"/>
            <w:tcBorders>
              <w:bottom w:val="single" w:sz="8" w:color="auto"/>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231F20"/>
              </w:rPr>
              <w:t>Future Minimum Payments</w:t>
            </w:r>
          </w:p>
        </w:tc>
        <w:tc>
          <w:tcPr>
            <w:tcW w:w="0" w:type="dxa"/>
            <w:vAlign w:val="bottom"/>
          </w:tcPr>
          <w:p>
            <w:pPr>
              <w:spacing w:after="0"/>
              <w:rPr>
                <w:sz w:val="1"/>
                <w:szCs w:val="1"/>
                <w:color w:val="auto"/>
              </w:rPr>
            </w:pPr>
          </w:p>
        </w:tc>
      </w:tr>
      <w:tr>
        <w:trPr>
          <w:trHeight w:val="22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2025</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5,758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2026</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5,189</w:t>
            </w:r>
          </w:p>
        </w:tc>
        <w:tc>
          <w:tcPr>
            <w:tcW w:w="0" w:type="dxa"/>
            <w:vAlign w:val="bottom"/>
          </w:tcPr>
          <w:p>
            <w:pPr>
              <w:spacing w:after="0"/>
              <w:rPr>
                <w:sz w:val="1"/>
                <w:szCs w:val="1"/>
                <w:color w:val="auto"/>
              </w:rPr>
            </w:pPr>
          </w:p>
        </w:tc>
      </w:tr>
      <w:tr>
        <w:trPr>
          <w:trHeight w:val="229"/>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2027</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1,430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2028</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1,013</w:t>
            </w:r>
          </w:p>
        </w:tc>
        <w:tc>
          <w:tcPr>
            <w:tcW w:w="0" w:type="dxa"/>
            <w:vAlign w:val="bottom"/>
          </w:tcPr>
          <w:p>
            <w:pPr>
              <w:spacing w:after="0"/>
              <w:rPr>
                <w:sz w:val="1"/>
                <w:szCs w:val="1"/>
                <w:color w:val="auto"/>
              </w:rPr>
            </w:pPr>
          </w:p>
        </w:tc>
      </w:tr>
      <w:tr>
        <w:trPr>
          <w:trHeight w:val="229"/>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2029</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1,006</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Thereafter</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2,979</w:t>
            </w:r>
          </w:p>
        </w:tc>
        <w:tc>
          <w:tcPr>
            <w:tcW w:w="0" w:type="dxa"/>
            <w:vAlign w:val="bottom"/>
          </w:tcPr>
          <w:p>
            <w:pPr>
              <w:spacing w:after="0"/>
              <w:rPr>
                <w:sz w:val="1"/>
                <w:szCs w:val="1"/>
                <w:color w:val="auto"/>
              </w:rPr>
            </w:pPr>
          </w:p>
        </w:tc>
      </w:tr>
      <w:tr>
        <w:trPr>
          <w:trHeight w:val="223"/>
        </w:trPr>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Total</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17,375</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Less: Imputed Interest</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(1,415)</w:t>
            </w:r>
          </w:p>
        </w:tc>
        <w:tc>
          <w:tcPr>
            <w:tcW w:w="0" w:type="dxa"/>
            <w:vAlign w:val="bottom"/>
          </w:tcPr>
          <w:p>
            <w:pPr>
              <w:spacing w:after="0"/>
              <w:rPr>
                <w:sz w:val="1"/>
                <w:szCs w:val="1"/>
                <w:color w:val="auto"/>
              </w:rPr>
            </w:pPr>
          </w:p>
        </w:tc>
      </w:tr>
      <w:tr>
        <w:trPr>
          <w:trHeight w:val="223"/>
        </w:trPr>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Present value of net lease payments</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15,960</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The following table includes supplemental operating lease information (dollars in thousands):</w:t>
            </w: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7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40" w:type="dxa"/>
            <w:vAlign w:val="bottom"/>
            <w:gridSpan w:val="7"/>
          </w:tcPr>
          <w:p>
            <w:pPr>
              <w:jc w:val="right"/>
              <w:ind w:right="21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Cash paid for amounts included in the measurement of lease liabilities</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231F20"/>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5,123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rPr>
              <w:t>$</w:t>
            </w:r>
          </w:p>
        </w:tc>
        <w:tc>
          <w:tcPr>
            <w:tcW w:w="10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231F20"/>
              </w:rPr>
              <w:t>5,419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231F20"/>
              </w:rPr>
              <w:t>2,981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Right-of-use assets obtained in exchange for new and modified lease liabilities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231F20"/>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3"/>
              </w:rPr>
              <w:t>6,593</w:t>
            </w:r>
          </w:p>
        </w:tc>
        <w:tc>
          <w:tcPr>
            <w:tcW w:w="4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231F20"/>
              </w:rPr>
              <w:t>$</w:t>
            </w:r>
          </w:p>
        </w:tc>
        <w:tc>
          <w:tcPr>
            <w:tcW w:w="10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231F20"/>
              </w:rPr>
              <w:t>1,181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231F20"/>
              </w:rPr>
              <w:t>4,476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Weighted average remaining lease term (in years)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231F20"/>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231F20"/>
              </w:rPr>
              <w:t>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Weighted average discount rate</w:t>
            </w:r>
          </w:p>
        </w:tc>
        <w:tc>
          <w:tcPr>
            <w:tcW w:w="8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3.0 %</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leases are not material and are included in property and equipment, net and other accrued expenses on the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 net</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The changes in the carrying value of goodwill for the </w:t>
            </w:r>
            <w:r>
              <w:rPr>
                <w:rFonts w:ascii="Times New Roman" w:cs="Times New Roman" w:eastAsia="Times New Roman" w:hAnsi="Times New Roman"/>
                <w:sz w:val="18"/>
                <w:szCs w:val="18"/>
                <w:color w:val="000000"/>
              </w:rPr>
              <w:t>year ended December 31, 2024</w:t>
            </w:r>
            <w:r>
              <w:rPr>
                <w:rFonts w:ascii="Times New Roman" w:cs="Times New Roman" w:eastAsia="Times New Roman" w:hAnsi="Times New Roman"/>
                <w:sz w:val="18"/>
                <w:szCs w:val="18"/>
                <w:color w:val="231F20"/>
              </w:rPr>
              <w:t xml:space="preserve"> is as follows (in thousands):</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9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125,818</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231F20"/>
        </w:rPr>
        <w:t>The Company performed its annual impairment test and determined that goodwill was not impaired since the reporting unit's fair value exceeded its carrying value.</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gross carrying amount and accumulated amortization of the Company’s intangible assets, net, as of December 31, 2024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3"/>
                <w:szCs w:val="13"/>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200" w:type="dxa"/>
            <w:vAlign w:val="bottom"/>
          </w:tcPr>
          <w:p>
            <w:pPr>
              <w:spacing w:after="0"/>
              <w:rPr>
                <w:sz w:val="13"/>
                <w:szCs w:val="13"/>
                <w:color w:val="auto"/>
              </w:rPr>
            </w:pPr>
          </w:p>
        </w:tc>
        <w:tc>
          <w:tcPr>
            <w:tcW w:w="12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231F20"/>
              </w:rPr>
              <w:t>Net Carrying</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Estimated</w:t>
            </w:r>
          </w:p>
        </w:tc>
        <w:tc>
          <w:tcPr>
            <w:tcW w:w="0" w:type="dxa"/>
            <w:vAlign w:val="bottom"/>
          </w:tcPr>
          <w:p>
            <w:pPr>
              <w:spacing w:after="0"/>
              <w:rPr>
                <w:sz w:val="1"/>
                <w:szCs w:val="1"/>
                <w:color w:val="auto"/>
              </w:rPr>
            </w:pPr>
          </w:p>
        </w:tc>
      </w:tr>
      <w:tr>
        <w:trPr>
          <w:trHeight w:val="146"/>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231F20"/>
              </w:rPr>
              <w:t>Useful Life</w:t>
            </w:r>
          </w:p>
        </w:tc>
        <w:tc>
          <w:tcPr>
            <w:tcW w:w="0" w:type="dxa"/>
            <w:vAlign w:val="bottom"/>
          </w:tcPr>
          <w:p>
            <w:pPr>
              <w:spacing w:after="0"/>
              <w:rPr>
                <w:sz w:val="1"/>
                <w:szCs w:val="1"/>
                <w:color w:val="auto"/>
              </w:rPr>
            </w:pPr>
          </w:p>
        </w:tc>
      </w:tr>
      <w:tr>
        <w:trPr>
          <w:trHeight w:val="198"/>
        </w:trPr>
        <w:tc>
          <w:tcPr>
            <w:tcW w:w="524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231F20"/>
              </w:rPr>
              <w:t>Amortization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(Years)</w:t>
            </w:r>
          </w:p>
        </w:tc>
        <w:tc>
          <w:tcPr>
            <w:tcW w:w="0" w:type="dxa"/>
            <w:vAlign w:val="bottom"/>
          </w:tcPr>
          <w:p>
            <w:pPr>
              <w:spacing w:after="0"/>
              <w:rPr>
                <w:sz w:val="1"/>
                <w:szCs w:val="1"/>
                <w:color w:val="auto"/>
              </w:rPr>
            </w:pPr>
          </w:p>
        </w:tc>
      </w:tr>
      <w:tr>
        <w:trPr>
          <w:trHeight w:val="268"/>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Developed technology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91,629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(74,655)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16,974</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231F20"/>
                <w:w w:val="99"/>
              </w:rPr>
              <w:t>3 - 10</w:t>
            </w:r>
          </w:p>
        </w:tc>
        <w:tc>
          <w:tcPr>
            <w:tcW w:w="0" w:type="dxa"/>
            <w:vAlign w:val="bottom"/>
          </w:tcPr>
          <w:p>
            <w:pPr>
              <w:spacing w:after="0"/>
              <w:rPr>
                <w:sz w:val="1"/>
                <w:szCs w:val="1"/>
                <w:color w:val="auto"/>
              </w:rPr>
            </w:pPr>
          </w:p>
        </w:tc>
      </w:tr>
      <w:tr>
        <w:trPr>
          <w:trHeight w:val="229"/>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Capitalized software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14,956</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w w:val="96"/>
              </w:rPr>
              <w:t>3 - 5</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Customer relationships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17,569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(13,696)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3,873</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231F20"/>
                <w:w w:val="99"/>
              </w:rPr>
              <w:t>5 - 10</w:t>
            </w:r>
          </w:p>
        </w:tc>
        <w:tc>
          <w:tcPr>
            <w:tcW w:w="0" w:type="dxa"/>
            <w:vAlign w:val="bottom"/>
          </w:tcPr>
          <w:p>
            <w:pPr>
              <w:spacing w:after="0"/>
              <w:rPr>
                <w:sz w:val="1"/>
                <w:szCs w:val="1"/>
                <w:color w:val="auto"/>
              </w:rPr>
            </w:pPr>
          </w:p>
        </w:tc>
      </w:tr>
      <w:tr>
        <w:trPr>
          <w:trHeight w:val="270"/>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Trademarks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11,674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(6,189)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5,485</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Non-compete agreement</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3,209</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Patents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3,781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3,015</w:t>
            </w:r>
          </w:p>
        </w:tc>
        <w:tc>
          <w:tcPr>
            <w:tcW w:w="15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9"/>
              </w:rPr>
              <w:t>3 - 19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153,450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(105,938)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47,512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gross carrying amount and accumulated amortization of the Company’s intangible assets, net, as of December 31, 2023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3"/>
                <w:szCs w:val="13"/>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200" w:type="dxa"/>
            <w:vAlign w:val="bottom"/>
          </w:tcPr>
          <w:p>
            <w:pPr>
              <w:spacing w:after="0"/>
              <w:rPr>
                <w:sz w:val="13"/>
                <w:szCs w:val="13"/>
                <w:color w:val="auto"/>
              </w:rPr>
            </w:pPr>
          </w:p>
        </w:tc>
        <w:tc>
          <w:tcPr>
            <w:tcW w:w="12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231F20"/>
              </w:rPr>
              <w:t>Net Carrying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Estimated</w:t>
            </w:r>
          </w:p>
        </w:tc>
        <w:tc>
          <w:tcPr>
            <w:tcW w:w="0" w:type="dxa"/>
            <w:vAlign w:val="bottom"/>
          </w:tcPr>
          <w:p>
            <w:pPr>
              <w:spacing w:after="0"/>
              <w:rPr>
                <w:sz w:val="1"/>
                <w:szCs w:val="1"/>
                <w:color w:val="auto"/>
              </w:rPr>
            </w:pPr>
          </w:p>
        </w:tc>
      </w:tr>
      <w:tr>
        <w:trPr>
          <w:trHeight w:val="148"/>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Useful Life</w:t>
            </w: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231F20"/>
              </w:rPr>
              <w:t>Amortization</w:t>
            </w:r>
          </w:p>
        </w:tc>
        <w:tc>
          <w:tcPr>
            <w:tcW w:w="200" w:type="dxa"/>
            <w:vAlign w:val="bottom"/>
          </w:tcPr>
          <w:p>
            <w:pPr>
              <w:spacing w:after="0"/>
              <w:rPr>
                <w:sz w:val="17"/>
                <w:szCs w:val="17"/>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(Years)</w:t>
            </w:r>
          </w:p>
        </w:tc>
        <w:tc>
          <w:tcPr>
            <w:tcW w:w="0" w:type="dxa"/>
            <w:vAlign w:val="bottom"/>
          </w:tcPr>
          <w:p>
            <w:pPr>
              <w:spacing w:after="0"/>
              <w:rPr>
                <w:sz w:val="1"/>
                <w:szCs w:val="1"/>
                <w:color w:val="auto"/>
              </w:rPr>
            </w:pPr>
          </w:p>
        </w:tc>
      </w:tr>
      <w:tr>
        <w:trPr>
          <w:trHeight w:val="270"/>
        </w:trPr>
        <w:tc>
          <w:tcPr>
            <w:tcW w:w="52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Developed technology</w:t>
            </w:r>
          </w:p>
        </w:tc>
        <w:tc>
          <w:tcPr>
            <w:tcW w:w="260" w:type="dxa"/>
            <w:vAlign w:val="bottom"/>
            <w:tcBorders>
              <w:top w:val="single" w:sz="8" w:color="231F20"/>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91,629</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231F20"/>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(64,453)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27,176</w:t>
            </w:r>
          </w:p>
        </w:tc>
        <w:tc>
          <w:tcPr>
            <w:tcW w:w="1520" w:type="dxa"/>
            <w:vAlign w:val="bottom"/>
            <w:tcBorders>
              <w:top w:val="single" w:sz="8" w:color="231F20"/>
            </w:tcBorders>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231F20"/>
                <w:w w:val="99"/>
              </w:rPr>
              <w:t>3 - 10</w:t>
            </w:r>
          </w:p>
        </w:tc>
        <w:tc>
          <w:tcPr>
            <w:tcW w:w="0" w:type="dxa"/>
            <w:vAlign w:val="bottom"/>
          </w:tcPr>
          <w:p>
            <w:pPr>
              <w:spacing w:after="0"/>
              <w:rPr>
                <w:sz w:val="1"/>
                <w:szCs w:val="1"/>
                <w:color w:val="auto"/>
              </w:rPr>
            </w:pPr>
          </w:p>
        </w:tc>
      </w:tr>
      <w:tr>
        <w:trPr>
          <w:trHeight w:val="230"/>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Capitalized software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14,345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6"/>
              </w:rPr>
              <w:t>3 - 5</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Customer relationships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18,809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(11,317)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7,492</w:t>
            </w:r>
          </w:p>
        </w:tc>
        <w:tc>
          <w:tcPr>
            <w:tcW w:w="152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231F20"/>
                <w:w w:val="99"/>
              </w:rPr>
              <w:t>5 - 10</w:t>
            </w:r>
          </w:p>
        </w:tc>
        <w:tc>
          <w:tcPr>
            <w:tcW w:w="0" w:type="dxa"/>
            <w:vAlign w:val="bottom"/>
          </w:tcPr>
          <w:p>
            <w:pPr>
              <w:spacing w:after="0"/>
              <w:rPr>
                <w:sz w:val="1"/>
                <w:szCs w:val="1"/>
                <w:color w:val="auto"/>
              </w:rPr>
            </w:pPr>
          </w:p>
        </w:tc>
      </w:tr>
      <w:tr>
        <w:trPr>
          <w:trHeight w:val="230"/>
        </w:trPr>
        <w:tc>
          <w:tcPr>
            <w:tcW w:w="52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Trademarks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6,154</w:t>
            </w:r>
          </w:p>
        </w:tc>
        <w:tc>
          <w:tcPr>
            <w:tcW w:w="152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Non-compete agreement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4,348</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88"/>
              </w:rPr>
              <w:t>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Patents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3,132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2,608</w:t>
            </w:r>
          </w:p>
        </w:tc>
        <w:tc>
          <w:tcPr>
            <w:tcW w:w="152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231F20"/>
                <w:w w:val="99"/>
              </w:rPr>
              <w:t>3 - 19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149,392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62,123</w:t>
            </w: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Acquisition of Esthetic Medical,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Edge Systems Intermediate, LLC, an indirect, wholly-owned subsidiary of the Company, acquired all of the outstanding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Esthetic Medical, Inc. (“EMI”) in exchange for (i) a cash payment of $11.8 million and (ii) 109,625 shares of Class A Common Stock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million). In addition, Dr. Lawrence Groop (the “Seller”) is entitled to receive up to an additional $3.2 million in contingent consideration based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achievement of certain conditions defined in the purchase agreement, of which $1.9 million was considered probable as of the acquisition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tax guidance was used to apply the simultaneous equation method to incrementally assign $4.6 million to the book value of the intangible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excess of the purchase price. The Company accounted for this transaction as an asset acquisition and allocated substantially all of the purchase price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basis difference totaling $19.9 million to intangible assets, primarily related to developed technology.</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July 2023, EMI obtained clearance from the U.S. Food and Drug Administration that the SkinStylus Sterilock MicroSystem is cleared for use as a treatment to improve the appearance of facial acne scars in Fitzpatrick skin types I, II, and III in adults aged 22 years and older (the “Facial Indication Approval”). Obtaining the Facial Indication Approval triggered a $1.3 million contingent payment made in July 2023 by the Company to the Seller, which was previously not considered probable of payment.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Acquisition of Anacapa Aesthetics LLC</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March 2023, the Company acquired assets from Anacapa Aesthetics LLC and recognized approximately $5 million of intangible assets, primarily related to non-compete agreements.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04" w:name="page105"/>
    <w:bookmarkEnd w:id="104"/>
    <w:p>
      <w:pPr>
        <w:ind w:left="180"/>
        <w:spacing w:after="0"/>
        <w:rPr>
          <w:sz w:val="20"/>
          <w:szCs w:val="20"/>
          <w:color w:val="auto"/>
        </w:rPr>
      </w:pPr>
      <w:r>
        <w:rPr>
          <w:rFonts w:ascii="Times New Roman" w:cs="Times New Roman" w:eastAsia="Times New Roman" w:hAnsi="Times New Roman"/>
          <w:sz w:val="18"/>
          <w:szCs w:val="18"/>
          <w:i w:val="1"/>
          <w:iCs w:val="1"/>
          <w:color w:val="auto"/>
        </w:rPr>
        <w:t>Acquisition of The Personalized Beauty Company, Inc. (“Mxt”)</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April 2022, Edge Systems Intermediate, LLC, acquired The Personalized Beauty Company, Inc., a Delaware corporation d.b.a. Mxt in exchange for (i) cash payment of $1.5 million and (ii) 28,733 shares of the Class A Common Stock of the Company ($0.5 million). In addition, depending on the achievement of certain revenue milestones, the former Mxt shareholders were entitled to receive up to $30 million of earn-out payments. The Company accounted for this transaction as an asset acquisition and allocated substantially all of the purchase price totaling $1.9 million to intangible assets, primarily related to developed technology. During the year ended December 31, 2023, Mxt was sold, resulting in a loss on sale of $2.8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estimated future amortization expense for the next five years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9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9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w:t>
            </w:r>
          </w:p>
        </w:tc>
      </w:tr>
      <w:tr>
        <w:trPr>
          <w:trHeight w:val="248"/>
        </w:trPr>
        <w:tc>
          <w:tcPr>
            <w:tcW w:w="9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p>
      <w:pPr>
        <w:spacing w:after="0" w:line="3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14, 2021, the Company issued an aggregate of $750.0 million in principal amount of its 1.25% Convertible Senior Notes due 2026. The Notes were issued pursuant to, and are governed by, an indenture dated as of September 14, 2021, between the Company and U.S. Bank National Association, as trustee (the “Indenture”).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$100.0 million principal amount of Notes. The Notes issued on September 14, 2021 include the $100.0 million principal amount of Notes issued pursuant to the full exercise by the initial purchasers of such option.</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2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Notes accrue interest at a rate of 1.25% per annum, payable semi-annually in arrears on April 1 and October 1 of each year, beginning on April 1, 2022. The Notes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The Company will settle conversions by paying or delivering, as applicable, cash, shares of its Class A Common Stock or a combination of cash and shares of its Class A Common Stock, at the Company’s election. The initial conversion rate is 31.4859 shares of Class A Common Stock per $1,000 principal amount of Notes, which represents an initial conversion price of approximately $31.76 per share of Class A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The conversion price as of December 31, 2024 was $31.76 per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05" w:name="page106"/>
    <w:bookmarkEnd w:id="105"/>
    <w:p>
      <w:pPr>
        <w:ind w:right="40"/>
        <w:spacing w:after="0" w:line="246" w:lineRule="auto"/>
        <w:rPr>
          <w:sz w:val="20"/>
          <w:szCs w:val="20"/>
          <w:color w:val="auto"/>
        </w:rPr>
      </w:pPr>
      <w:r>
        <w:rPr>
          <w:rFonts w:ascii="Times New Roman" w:cs="Times New Roman" w:eastAsia="Times New Roman" w:hAnsi="Times New Roman"/>
          <w:sz w:val="18"/>
          <w:szCs w:val="18"/>
          <w:color w:val="auto"/>
        </w:rPr>
        <w:t>The Notes are redeemable, in whole or in part (subject to certain limitations described below), at the Company’s option at any time, and from time to time, on or after October 6, 2024, and on or before the 40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scheduled trading day immediately before the maturity date, but only if certain liquidity conditions are satisfied and the last reported sale price per share of the Company’s Class A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Class A Common Stock.</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upon the exercise of the conversion right with respect to such Note, subject to a three business-day cure period;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subsidiaries with respect to indebtedness for money borrowed of at least $45.0 million; (vii) the rendering of certain judgments against the Company or any of its significant subsidiaries for the payment of at least $45.0 million,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180 days at a specified rate per annum not exceeding 1.00% on the principal amount of the Notes.</w:t>
      </w:r>
    </w:p>
    <w:p>
      <w:pPr>
        <w:spacing w:after="0" w:line="21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231F20"/>
        </w:rPr>
        <w:t>The Notes were issued to the initial purchasers of such Notes in transactions not involving any public offering in reliance upon Section 4(a)(2) of the Securities Act. The Notes were resold by the initial purchasers to persons whom the initial purchasers reasonably believe are “qualified institutional buyers,” as defined in, and in accordance with, Rule 144A under the Securities Act.</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231F20"/>
        </w:rPr>
        <w:t>The total amount of debt issuance costs of $21.3 million was recorded as a reduction to Convertible senior notes, net in the Consolidated Balance Sheets and are being amortized as interest expense over the term of the Notes using the effective interest method. During the years ended December 31, 2024, 2023, and 2022, the Company recognized $3.3 million, $4.2 million, and $4.2 million, respectively, in interest expense related to the amortization of the debt issuance costs related to the Notes.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231F20"/>
        </w:rPr>
        <w:t>The following is a summary of the Company’s Notes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in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(11,628)</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738,372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carried at face value less the unamortized debt issuance costs on the Company’s Consolidated Balance Sheets.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Notes Repurchase</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 xml:space="preserve">During the year ended December 31, 2024, the Company repurchased </w:t>
      </w:r>
      <w:r>
        <w:rPr>
          <w:rFonts w:ascii="Times New Roman" w:cs="Times New Roman" w:eastAsia="Times New Roman" w:hAnsi="Times New Roman"/>
          <w:sz w:val="18"/>
          <w:szCs w:val="18"/>
          <w:color w:val="000000"/>
        </w:rPr>
        <w:t>$192.3 million principal amount of the Notes for $156.1 million and recognized a net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gain of $33.4 million, which includes $2.8 million of unamortized debt issuance costs related to the repurchase. The net gain is included in other income, net on the Consolidated Statements of Comprehensive Income (Loss).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Amended and Restated Credit Facility</w:t>
      </w:r>
    </w:p>
    <w:p>
      <w:pPr>
        <w:spacing w:after="0" w:line="2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November 14, 2022, the Company, as successor by assumption to Hydrafacial, a California limited liability company, entered into an Amended and Restated Credit Agreement (as it may be further amended, restated, supplemented or modified from time to time, the “Credit Agreement”) with JPMorgan Chase Bank, N.A. (the “Administrative Agent”). The Credit Agreement provided the Company with a $50.0 million revolving credit facility that had a maturity date of November 14, 2027.</w:t>
      </w:r>
    </w:p>
    <w:p>
      <w:pPr>
        <w:spacing w:after="0" w:line="207"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On August 6, 2024, the Company prepaid all obligations and terminated all commitments, liabilities, and other obligations under the Credit Agreement. There were no material early termination penalties incurred in connection therewith, all outstanding obligations and commitments under the Credit Agreement were satisfied and terminated, and all related security interests and liens securing such obligations and commitments were released.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Cartessa Aesthetics, LLC</w:t>
      </w:r>
    </w:p>
    <w:p>
      <w:pPr>
        <w:spacing w:after="0" w:line="24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December 14, 2020, Hydrafacial filed a complaint (the “Cartessa Complaint”) against Cartessa Aesthetics, LLC (“Cartessa”) in the United States District Court for the Eastern District of New York (the “New York Court”), captioned Edge Systems LLC v. Cartessa Aesthetics, LLC, Case No. 1:20-cv-6082 (the “Cartessa Case”), for patent infringement arising from Cartessa’s sale of Cartessa’s hydrodermabrasion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The parties agreed to dismiss the remaining claims without prejudice so that Hydrafacial can appeal the New York Court’s grant of Cartessa’s Motion for Summary Judgment. Final judgment was entered on October 15, 2024.</w:t>
      </w:r>
    </w:p>
    <w:p>
      <w:pPr>
        <w:spacing w:after="0" w:line="21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8, 2024, Hydrafacial filed an appeal in the New York Court challenging the New York Court’s final judgment and summary judgment decision of Cartessa’s non-infringement regarding the fourth patent-in-suit. On November 13, 2024, Cartessa filed a cross-appeal challenging the New York Court’s final judgment and summary judgment decision of granting Hydrafacial’s motion for summary judgment of no invalidity regarding the fourth patent-in-suit. The appeal is in its early stages with opening briefs set to be exchanged on March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07" w:name="page108"/>
    <w:bookmarkEnd w:id="107"/>
    <w:p>
      <w:pPr>
        <w:ind w:right="20"/>
        <w:spacing w:after="0" w:line="255" w:lineRule="auto"/>
        <w:rPr>
          <w:sz w:val="20"/>
          <w:szCs w:val="20"/>
          <w:color w:val="auto"/>
        </w:rPr>
      </w:pPr>
      <w:r>
        <w:rPr>
          <w:rFonts w:ascii="Times New Roman" w:cs="Times New Roman" w:eastAsia="Times New Roman" w:hAnsi="Times New Roman"/>
          <w:sz w:val="18"/>
          <w:szCs w:val="18"/>
          <w:color w:val="auto"/>
        </w:rPr>
        <w:t>On June 11, 2024, Hydrafacial filed a complaint against Cartessa and its foreign manufacturer, Eunsung Global Corp (“Eunsung”), in the United States International Trade Commission. A Notice of Institution of Investigation was issued on July 11, 2024, and the investigation was assigned investigation number 337-TA-1408 (the “ITC Cartessa Matter”). In the ITC Cartessa Matter, Hydrafacial has asserted that Cartessa and Eunsung infringe Hydrafacial’s U.S. Patent No. 11,865,287, which relates to hydrodermabrasion systems but was not asserted in the Cartessa Case. Eunsung has consented to an exclusion order during the term of the Hydrafacial patent-in-suit. In the ITC Cartessa Matter, both fact and expert discovery have been completed, motions for summary determination have been filed, and the parties are preparing for evidentiary hearing, which will be held April 9-15, 2025. Hydrafacial continues to seek an exclusion order preventing importation or sale of Cartessa’s hydrodermabrasion systems within the United States.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Cartessa Aesthetics, LLC - Second Complaint</w:t>
      </w:r>
    </w:p>
    <w:p>
      <w:pPr>
        <w:spacing w:after="0" w:line="2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14, 2024, Hydrafacial filed a complaint (the “Second Cartessa Complaint”) against Cartessa in the New York Court, captioned HydraFacial LLC v. Cartessa Aesthetics, LLC, Case No. 2:24-cv-04253 (the “Second Cartessa Case”), for patent infringement arising from Cartessa’s sale of Cartessa’s hydrodermabrasion system that Hydrafacial alleged has infringed Hydrafacial’s U.S. Patent No. 11,865,287. The Second Cartessa Case has been stayed pending resolution of the ITC Cartessa Matter and there will be no activity until the conclusion of the ITC Cartessa Matter. After conclusion of the ITC Cartessa Matter, Hydrafacial plans to reopen the Second Cartessa Case to seek monetary damages and plans to vigorously pursue its claims against Cartessa.</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Eunsung Global Corp (and Sinclair Pharma Ltd)</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September 30, 2024, Eunsung filed a Petition for inter partes review (“IPR”), IPR2024-01491, challenging the validity of Hydrafacial’s U.S. Patent No. 11,865, 287. On November 25, 2024, Sinclair Pharma Ltd filed a similar IPR Petition, IPR2025-00145, challenging the same patent and relying on the same arguments. On January 10, 2025, Eunsung filed an IPR Petition, IPR2025-00445, challenging the validity of Hydrafacial’s U.S. Patent No. 9,550,052. On January 13, 2025, Eunsung filed an IPR Petition, IPR2025-00452, challenging the validity of Hydrafacial’s U.S. Patent No. 12,053,607. On January 14, 2025, Eunsung filed an IPR Petition, IPR2025-00453, challenging the validity of Hydrafacial’s U.S. Patent No. 11,446,477. These IPR proceedings are in their early stages, with initial briefing due between March-May 2025, and Hydrafacial plans to vigorously defend its patents against each of these challenges.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Medicreations LLC</w:t>
      </w:r>
    </w:p>
    <w:p>
      <w:pPr>
        <w:spacing w:after="0" w:line="2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6, 2024, Hydrafacial filed a complaint against Medicreations LLC (“Medicreations”) in the United States District Court for Nevada, Case Number 2:24-cv-00855 (the “Medicreations Case”), for patent infringement arising from Medicreations’ sale of hydrodermabrasion systems that Hydrafacial alleged to have infringed twelve of Hydrafacial’s patents. On July 26, 2024, Medicreations filed a motion to dismiss the complaint. Briefing on the motion to dismiss is complete, but no order has been issued yet. The Medicreations Case is in its early stages, and Hydrafacial is seeking monetary damages and plans to vigorously pursue its claims against Medicreations.</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Sinclair Pharma US, Inc</w:t>
      </w:r>
    </w:p>
    <w:p>
      <w:pPr>
        <w:spacing w:after="0" w:line="24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July 24, 2024, Hydrafacial filed a complaint against Sinclair Pharma US, Inc (“Sinclair”), and its distributor Viora, Inc (“Viora”), in the United States District Court for the Central District of California, Case No. 2:24-cv-06250 (the “Sinclair Case”), for patent infringement arising from Sinclair’s sale of hydrodermabrasion systems that Hydrafacial alleged to have infringed five of Hydrafacial’s patents on its device. The Sinclair Case has been stayed pending the resolution of the ITC Sinclair Matter, discussed below, and there will be no activity on the Sinclair Case until the conclusion of the ITC Sinclair Matter. After conclusion of the ITC Sinclair Matter, Hydrafacial plans to reopen the Sinclair Case to seek monetary damages and plans to vigorously pursue its claims against Sinclair and Viora.</w:t>
      </w:r>
    </w:p>
    <w:p>
      <w:pPr>
        <w:spacing w:after="0" w:line="2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August 2, 2024, Hydrafacial filed a complaint against Sinclair, Aesthetic Management Partners, Inc. (“AMP”), their foreign manufacturer, EMA Aesthetics, Ltd. (“EMA Aesthetics”), and H.R. Meditech (“H.R. Meditech”) in the United States International Trade Commission. A Notice of Institution of Investigation was issued on September 10, 2024, and the investigation was assigned investigation number 337-TA-1416 (the “ITC Sinclair Matter”). In the ITC Sinclair Matter, Hydrafacial has asserted that Sinclair, AMP, EMA Aesthetics, and H.R. Meditech infringe Hydrafacial’s U.S. Patent Nos. 11,865,287 and 9,550,052, which relate to hydrodermabrasion systems. Hydrafacial is seeking an exclusion order preventing importation or sale of each of the respondents’ hydrodermabrasion systems within the United States. On February 19, 2025, the Administrative Law Judge issued an Initial Determination granting Hydrafacial’s motion to terminate the ITC Sinclair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8" w:name="page109"/>
    <w:bookmarkEnd w:id="108"/>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Aesthetic Management Partners Inc.</w:t>
      </w:r>
    </w:p>
    <w:p>
      <w:pPr>
        <w:spacing w:after="0" w:line="24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8, 2024, Hydrafacial filed a complaint against AMP in the United States District Court for the Western District of Tennessee, Case No. 2:24-cv-02480-JPM-TMP (the “AMP Case”), for patent infringement arising from Aesthetic Management Partners’ sale of hydrodermabrasion systems that Hydrafacial alleged to have infringed five of Hydrafacial’s patents on its device. The AMP Case is now stayed, and there will be no activity until the conclusion of the ITC Sinclair Matter. After conclusion of the ITC Sinclair Matter, Hydrafacial plans to reopen the AMP Case to seek monetary damages and plans to vigorously pursue its claims against AMP.</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Medical Purchasing Resource, LLC</w:t>
      </w:r>
    </w:p>
    <w:p>
      <w:pPr>
        <w:spacing w:after="0" w:line="2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June 4, 2024, Hydrafacial filed a complaint against Medical Purchasing Resource, LLC (“Medical Purchasing Resource”) in the United States District Court for the Central District of California, Case No. 2:24-cv-4655 (the “MPR Case”), for trademark infringement, false designation of origin, unfair competition, tortious interference, and other causes of action relating to Hydrafacial’s trademark rights. The MPR Case is in its early stages, and Hydrafacial is seeking monetary damages and plans to vigorously pursue its claims against Medical Purchasing Resource.</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Luvo Medical Technologies Inc</w:t>
      </w:r>
    </w:p>
    <w:p>
      <w:pPr>
        <w:spacing w:after="0" w:line="2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16, 2024, Hydrafacial filed a complaint against Luvo Medical Technologies Inc (“Luvo”), Healthcare Markets, Inc (“Healthcare Markets”), and their foreign manufacturer Eunsung in the United States District Court of Utah, Case No. 2:24-cv-00587 (the “Luvo Case”), for patent infringement arising from Healthcare Markets’ sale of Luvo’s hydrodermabrasion systems that Hydrafacial alleged to have infringed five of Hydrafacial’s patents on its device. The Luvo Case is now stayed, and there will be no any activity until the conclusion of the ITC Luvo Matter. After conclusion of the ITC’s investigation, Hydrafacial plans to reopen the Luvo Case to seek monetary damages and plans to vigorously pursue its claims against Luvo, Healthcare Markets, and Eunsung.</w:t>
      </w:r>
    </w:p>
    <w:p>
      <w:pPr>
        <w:spacing w:after="0" w:line="2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August 7, 2024, Hydrafacial filed a complaint against Luvo, its distributor Healthcare Markets, Medical Purchasing Resource, eMIRAmed, and its manufacturer, MIRAmedtech, in the United States International Trade Commission. A Notice of Institution of Investigation was issued on September 16, 2024, and the investigation was assigned investigation number 337-TA-1417 (the “ITC Luvo Matter”). In the ITC Luvo Matter, Hydrafacial has asserted that Luvo, Healthcare Markets, Medical Purchasing Resource, and eMIRAmed USA, LLC (“eMIRAmed”) infringe Hydrafacial’s U.S. Patent No. 11,446,477, which is not asserted in the ITC Cartessa Matter or ITC Sinclair Matter, and relates to hydrodermabrasion systems. Hydrafacial is seeking an exclusion order preventing importation or sale of each of the respondents’ hydrodermabrasion systems within the United States. In the ITC Luvo Matter, the parties have completed fact discovery and will complete expert discovery on February 20, 2025. The evidentiary hearing is scheduled for April 23-29, 2025.</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eMIRAmed USA, LLC</w:t>
      </w:r>
    </w:p>
    <w:p>
      <w:pPr>
        <w:spacing w:after="0" w:line="24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26, 2024, Hydrafacial filed a complaint against eMIRAmed USA, LLC (“eMIRAmed”), and its manufacturer MIRAmedtech UG (“MIRAmedtech”), in the United States District Court for the Central District of California, Case No. 2:24-cv-01865 (the “eMIRAmed Case”), for patent infringement arising from eMIRAmed’s sale of hydrodermabrasion systems that Hydrafacial alleged to have infringed five of Hydrafacial’s patents on its device. Hydrafacial is seeking monetary damages and plans to vigorously pursue its claims against eMIRAmed and MIRAmedtech. On January 22, 2025, Hydrafacial moved for default judgment against eMIRAmed and MIRAmedtech. On January 30, 2025, eMIRAmed filed notice of Chapter 7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9" w:name="page110"/>
    <w:bookmarkEnd w:id="109"/>
    <w:p>
      <w:pPr>
        <w:ind w:left="180"/>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4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complaint, styled Abduladhim A. Alghazwi, individually and on behalf of all others similarly situated, v. The Beauty Health Company, Andrew Stanleick, Liyuan Woo, and Michael Monahan, Case No. 2:23-cv-09733 (C.D. Ca.) (the “Securities Class Action”), asserts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alleges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includes a request for compensatory damages suffered by the plaintiff and other members of the putative class for damages allegedly sustained as a result of the alleged securities violations.</w:t>
      </w: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is assigned to U.S. District Judge Sherilyn Peace Garnett. On September 30, 2024, the Company filed a motion to dismiss the consolidated amended class action complaint in its entirety. Plaintiffs filed their opposition brief on November 22, 2024, and the Company filed its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can complete a private mediation that is scheduled to occur on March 27, 2025.</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believes that the claims asserted in the Securities Class Action have no merit and intends to vigorously defend them. The Company is unable to reasonably estimate the possible loss or range of loss, if any, associated with these claims, and, accordingly, it has not accrued any liability associated with the Securities Class Action.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Class Action</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against Hydrafacial LLC d/b/a The Hydrafacial Company and The Beauty Health Company (collectively, the “Class Action Defendants”) for alleged violations of New York consumer fraud statutes, breach of contract, and common law breach of implied warranties (the “Consumer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alleges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 to bring claims on behalf of themselves, and all other similarly situated purchasers within the United States, of Class Action Defendants’ Syndeo machines. The complaint asserts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110" w:name="page111"/>
    <w:bookmarkEnd w:id="110"/>
    <w:p>
      <w:pPr>
        <w:spacing w:after="0" w:line="253" w:lineRule="auto"/>
        <w:rPr>
          <w:sz w:val="20"/>
          <w:szCs w:val="20"/>
          <w:color w:val="auto"/>
        </w:rPr>
      </w:pPr>
      <w:r>
        <w:rPr>
          <w:rFonts w:ascii="Times New Roman" w:cs="Times New Roman" w:eastAsia="Times New Roman" w:hAnsi="Times New Roman"/>
          <w:sz w:val="18"/>
          <w:szCs w:val="18"/>
          <w:color w:val="auto"/>
        </w:rPr>
        <w:t>On December 30, 2024, the Class Action Defendants filed a motion to dismiss the Consumer Class Action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Consumer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on April 29, 2025.</w:t>
      </w:r>
    </w:p>
    <w:p>
      <w:pPr>
        <w:spacing w:after="0" w:line="21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believes that the claims asserted in the Consumer Class Action have no merit and Class Action Defendants intend to vigorously defend them. The Company is unable to reasonably estimate the possible loss or range of loss, if any, associated with these claims, and, accordingly, it has not accrued any liability associated with the Consumer Class Action.</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Consolidated Derivative Action</w:t>
      </w:r>
    </w:p>
    <w:p>
      <w:pPr>
        <w:spacing w:after="0" w:line="24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w:t>
      </w:r>
    </w:p>
    <w:p>
      <w:pPr>
        <w:spacing w:after="0" w:line="21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1" w:name="page112"/>
    <w:bookmarkEnd w:id="111"/>
    <w:p>
      <w:pPr>
        <w:spacing w:after="0" w:line="252" w:lineRule="auto"/>
        <w:rPr>
          <w:sz w:val="20"/>
          <w:szCs w:val="20"/>
          <w:color w:val="auto"/>
        </w:rPr>
      </w:pPr>
      <w:r>
        <w:rPr>
          <w:rFonts w:ascii="Times New Roman" w:cs="Times New Roman" w:eastAsia="Times New Roman" w:hAnsi="Times New Roman"/>
          <w:sz w:val="18"/>
          <w:szCs w:val="18"/>
          <w:color w:val="auto"/>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is due May 2, 2025, and Defendants’ reply brief is due June 3, 2025.</w:t>
      </w:r>
    </w:p>
    <w:p>
      <w:pPr>
        <w:spacing w:after="0" w:line="2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believes that the claims asserted in the Consolidated Derivative Action have no merit and intends to vigorously defend them. The Company is unable to reasonably estimate the possible loss or range of loss, if any, associated with these claims, and, accordingly, it has not accrued any liability associated with the Consolidated Derivative Action.</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Securities and Exchange Commission (the “SEC”) Subpoena</w:t>
      </w:r>
    </w:p>
    <w:p>
      <w:pPr>
        <w:spacing w:after="0" w:line="2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Division of Enforcement of the SEC has issued a subpoena in connection with a formal order of investigation of the Company seeking documents and information from us. The Company is in the process of responding to the subpoena and intends to fully cooperate with the SEC investigation. We cannot predict the duration, scope, or outcome of this matter at this time.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Contractual Obligations and Other Commercial Commitments</w:t>
      </w:r>
    </w:p>
    <w:p>
      <w:pPr>
        <w:spacing w:after="0" w:line="2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$30.2 million of non-cancelable contractual obligations and other commercial commitments related to the purchase of inventory, service, other items, of which $21.8 million will be paid within the next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Related-Party Transactions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5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BLS Investor Group LLC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Class A Common Stock by way of a stock dividend or stock split or in connection with a combination of shares, recapitalization, merger, consolidation or other reorganization or otherwise will be entitled to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2" w:name="page113"/>
    <w:bookmarkEnd w:id="112"/>
    <w:p>
      <w:pPr>
        <w:spacing w:after="0" w:line="254" w:lineRule="auto"/>
        <w:rPr>
          <w:sz w:val="20"/>
          <w:szCs w:val="20"/>
          <w:color w:val="auto"/>
        </w:rPr>
      </w:pPr>
      <w:r>
        <w:rPr>
          <w:rFonts w:ascii="Times New Roman" w:cs="Times New Roman" w:eastAsia="Times New Roman" w:hAnsi="Times New Roman"/>
          <w:sz w:val="18"/>
          <w:szCs w:val="18"/>
          <w:color w:val="auto"/>
        </w:rPr>
        <w:t>The Registration Rights Agreement provides that the Company will, within 60 days after the consummation of the Business Combination, file with the SEC a shelf registration statement registering the resale of the shares of Class A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Class A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Class A Common Stock effected pursuant to the terms of the Registration Rights Agreement.</w:t>
      </w:r>
    </w:p>
    <w:p>
      <w:pPr>
        <w:spacing w:after="0" w:line="21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Class A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Class A Common Stock for cash, securities or other property, and</w:t>
      </w:r>
    </w:p>
    <w:p>
      <w:pPr>
        <w:spacing w:after="0" w:line="3" w:lineRule="exact"/>
        <w:rPr>
          <w:sz w:val="20"/>
          <w:szCs w:val="20"/>
          <w:color w:val="auto"/>
        </w:rPr>
      </w:pPr>
    </w:p>
    <w:p>
      <w:pPr>
        <w:ind w:right="40" w:firstLine="8"/>
        <w:spacing w:after="0" w:line="253"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Class A Common Stock issuable upon the exercise thereof for 30 days following the Closing.</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 xml:space="preserve">The Company is authorized to issue 320,000,000 shares of Class A Common Stock, par value of $0.0001 per share. Holders of Class A Common Stock are entitled to </w:t>
      </w:r>
      <w:r>
        <w:rPr>
          <w:rFonts w:ascii="Times New Roman" w:cs="Times New Roman" w:eastAsia="Times New Roman" w:hAnsi="Times New Roman"/>
          <w:sz w:val="18"/>
          <w:szCs w:val="18"/>
          <w:color w:val="000000"/>
        </w:rPr>
        <w:t>one</w:t>
      </w:r>
      <w:r>
        <w:rPr>
          <w:rFonts w:ascii="Times New Roman" w:cs="Times New Roman" w:eastAsia="Times New Roman" w:hAnsi="Times New Roman"/>
          <w:sz w:val="18"/>
          <w:szCs w:val="18"/>
          <w:color w:val="231F20"/>
        </w:rPr>
        <w:t xml:space="preserve"> vote for each share. As of December 31, 2024 and December 31, 2023, there were 124,924,185 and 122,899,002, respectively, of Class A Common Stock issued and outstanding. The Company has not declared or paid any dividends with respect to its Class A Common Stock</w:t>
      </w:r>
      <w:r>
        <w:rPr>
          <w:rFonts w:ascii="Times New Roman" w:cs="Times New Roman" w:eastAsia="Times New Roman" w:hAnsi="Times New Roman"/>
          <w:sz w:val="18"/>
          <w:szCs w:val="18"/>
          <w:color w:val="000000"/>
        </w:rPr>
        <w:t>.</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12, 2023, the Company’s Board of Directors approved a share repurchase program authorizing the Company to repurchase up to</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$100.0 million of the Company’s Class A Common Stock. Under the share repurchase program, repurchases can be made from time to time using a variety of methods, which may include open market purchases, privately negotiated transactions, transactions structured through investment banking institutions, or a combination of the foregoing. Under this share repurchase program, for the year ended December 31, 2023, the Company repurchased and retired 10.4 million shares for $30.2 million excluding taxes. During the year ended December 31, 2024, the Company did not repurchase any shares of its Class A Common Stock.</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September 26, 2022, the Company’s Board of Directors approved a common stock repurchase program pursuant to which the Company may repurchase up to $200.0 million of its outstanding shares of Class A Common Stock. Under the share repurchase program, repurchases can be made from time to time using a variety of methods, which may include open market purchases, privately negotiated transactions, or accelerated share repurchase programs. The Company entered into two accelerated share repurchase agreements on September 27, 2022 and November 9, 2022, respectively, with a financial institution to repurchase a total of $200.0 million of Class A Common Stock. Under the September 27, 2022 accelerated share repurchase agreement, the Company repurchased and retired 9.3 million shares for $100.0 million. Under the November 9, 2022 accelerated share repurchase agreement, the Company made a payment of $100.0 million and received initial deliveries of 9.5 million shares, which were also retired, which represented 80% of the payment amount divided by the Company’s closing stock price on that date. During the year ended December 31, 2023, the Company paid $2.2 million as the final settlement of the November 9, 2022 accelerated share repurchase agreement, which was based upon the average daily volume weighted average price of the Company’s Class A Common Stock during the repurchase period, less an agreed upon discount. The accelerated share repurchase agreements are accounted for as a repurchases and retirements of shares and as equity forward contracts indexed to the Company’s Class A Common Stock. The equity forward contracts are classified as equity instruments under ASC 815-40, Contracts in Entity's Own Equity. The par value of the initial shares received is recorded as a reduction to the Company’s Class A Common Stock and the excess of par value is recognized as a reduction to additional paid in capital. The equity forward stock purchase contracts are classified as equity instruments and are recognized as a reduction to additional paid in capital.</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Company is authorized to issue 1,000,000 shares of preferred stock with a par value of $0.0001 per share with such designations, voting and other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rights and preferences as may be determined from time to time by the Company’s Board of Directors. At December 31, 2024 and </w:t>
      </w:r>
      <w:r>
        <w:rPr>
          <w:rFonts w:ascii="Times New Roman" w:cs="Times New Roman" w:eastAsia="Times New Roman" w:hAnsi="Times New Roman"/>
          <w:sz w:val="18"/>
          <w:szCs w:val="18"/>
          <w:color w:val="231F20"/>
        </w:rPr>
        <w:t>December 31, 2023</w:t>
      </w:r>
      <w:r>
        <w:rPr>
          <w:rFonts w:ascii="Times New Roman" w:cs="Times New Roman" w:eastAsia="Times New Roman" w:hAnsi="Times New Roman"/>
          <w:sz w:val="18"/>
          <w:szCs w:val="18"/>
          <w:color w:val="000000"/>
        </w:rPr>
        <w:t>, there were no shares of preferred stock issued or outstanding.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 December 31, 2024 and December 31, 2023, and indicate the fair value hierarchy of the valuation inputs the Company utilized to determine such fair value.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231F20"/>
              </w:rPr>
              <w:t>As of December 31, 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231F20"/>
              </w:rPr>
              <w:t>Level 1</w:t>
            </w:r>
          </w:p>
        </w:tc>
        <w:tc>
          <w:tcPr>
            <w:tcW w:w="3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231F20"/>
              </w:rPr>
              <w:t>Level 2</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231F20"/>
              </w:rPr>
              <w:t>Level 3</w:t>
            </w: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Cash, cash equivalents, and restricted cash:</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284,462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284,462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231F20"/>
              </w:rPr>
              <w:t>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Warrant liability — Private Placement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231F20"/>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231F20"/>
              </w:rPr>
              <w:t>As of December 31, 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231F20"/>
              </w:rPr>
              <w:t>Level 1</w:t>
            </w:r>
          </w:p>
        </w:tc>
        <w:tc>
          <w:tcPr>
            <w:tcW w:w="34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231F20"/>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Level 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Cash, cash equivalents, and restricted cash:</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Money market 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458,676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458,676</w:t>
            </w:r>
          </w:p>
        </w:tc>
        <w:tc>
          <w:tcPr>
            <w:tcW w:w="0" w:type="dxa"/>
            <w:vAlign w:val="bottom"/>
          </w:tcPr>
          <w:p>
            <w:pPr>
              <w:spacing w:after="0"/>
              <w:rPr>
                <w:sz w:val="1"/>
                <w:szCs w:val="1"/>
                <w:color w:val="auto"/>
              </w:rPr>
            </w:pPr>
          </w:p>
        </w:tc>
      </w:tr>
      <w:tr>
        <w:trPr>
          <w:trHeight w:val="229"/>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International treasuries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3,777</w:t>
            </w:r>
          </w:p>
        </w:tc>
        <w:tc>
          <w:tcPr>
            <w:tcW w:w="120" w:type="dxa"/>
            <w:vAlign w:val="bottom"/>
          </w:tcPr>
          <w:p>
            <w:pPr>
              <w:spacing w:after="0"/>
              <w:rPr>
                <w:sz w:val="19"/>
                <w:szCs w:val="19"/>
                <w:color w:val="auto"/>
              </w:rPr>
            </w:pPr>
          </w:p>
        </w:tc>
        <w:tc>
          <w:tcPr>
            <w:tcW w:w="102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231F20"/>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3,777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231F20"/>
              </w:rPr>
              <w:t>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Warrant liability — Private Placement Warrants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102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3,555</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3,555</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Money Market Funds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the Company’s U.S. portfolio had no material exposure to money market funds with a fluctuating net asset value.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approximately 7 million Private Placement Warrants outstanding for which the fair value was determined using a Monte Carlo simulation model because these warrants are not subject to redemption if the reference value of the common stock, as defined, is between $10.00 and $18.00 per share.</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 xml:space="preserve">As of December 31, 2024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the estimated fair value of the Notes were approximately $446 million and $558 million, respectively. The estimated fair value of the Notes was determined based on the actual bid price of the Notes on December 31, 2024 and </w:t>
      </w:r>
      <w:r>
        <w:rPr>
          <w:rFonts w:ascii="Times New Roman" w:cs="Times New Roman" w:eastAsia="Times New Roman" w:hAnsi="Times New Roman"/>
          <w:sz w:val="18"/>
          <w:szCs w:val="18"/>
          <w:color w:val="000000"/>
        </w:rPr>
        <w:t>2023. The estimated fair values have been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calculated based on broker quotes or rates for the same or similar instruments and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2" w:right="3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Note 12 — Share-Based Compensation</w:t>
      </w:r>
    </w:p>
    <w:p>
      <w:pPr>
        <w:spacing w:after="0" w:line="25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The Beauty Health Company 2021 Incentive Award Plan (the “2021 Plan”) became effective upon the consummation of the Business Combination. Pursuant to the 2021 Plan, the Company may grant stock options, stock appreciation rights, restricted stock, restricted stock units, dividend equivalents, other stock or cash based awards to eligible service providers. The aggregate number of shares of the Company’s Class A Common Stock that may be issued pursuant to awards granted under the 2021 Plan is the sum of (i) 14,839,640 and (ii) an annual increase on January 1 of each calendar year (commencing with January 1, 2022 and ending on and including January 1, 2031) equal to a number of shares equal to 4% of the aggregate shares outstanding as of December 31 of the immediately preceding calendar year (or such lesser number of shares as is determined by the Company’s Board of Directors), subject to adjustment by the plan administrator in the event of certain changes in our corporate structure. The maximum number of shares that may be granted with respect to incentive stock options under the 2021 Plan is 7,500,000. At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approximately 17 million shares of the Company’s Class A Common Stock were reserved for the issuance of awards under the 2021 Plan.</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i w:val="1"/>
          <w:iCs w:val="1"/>
          <w:color w:val="231F20"/>
        </w:rPr>
        <w:t>Options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Weighted Average</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Aggregate Intrinsic</w:t>
            </w:r>
          </w:p>
        </w:tc>
        <w:tc>
          <w:tcPr>
            <w:tcW w:w="0" w:type="dxa"/>
            <w:vAlign w:val="bottom"/>
          </w:tcPr>
          <w:p>
            <w:pPr>
              <w:spacing w:after="0"/>
              <w:rPr>
                <w:sz w:val="1"/>
                <w:szCs w:val="1"/>
                <w:color w:val="auto"/>
              </w:rPr>
            </w:pPr>
          </w:p>
        </w:tc>
      </w:tr>
      <w:tr>
        <w:trPr>
          <w:trHeight w:val="146"/>
        </w:trPr>
        <w:tc>
          <w:tcPr>
            <w:tcW w:w="5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Weighted Average</w:t>
            </w: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231F20"/>
              </w:rPr>
              <w:t>Remaining</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rPr>
              <w:t>Contractual Term</w:t>
            </w:r>
          </w:p>
        </w:tc>
        <w:tc>
          <w:tcPr>
            <w:tcW w:w="180" w:type="dxa"/>
            <w:vAlign w:val="bottom"/>
          </w:tcPr>
          <w:p>
            <w:pPr>
              <w:spacing w:after="0"/>
              <w:rPr>
                <w:sz w:val="12"/>
                <w:szCs w:val="12"/>
                <w:color w:val="auto"/>
              </w:rPr>
            </w:pPr>
          </w:p>
        </w:tc>
        <w:tc>
          <w:tcPr>
            <w:tcW w:w="11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231F20"/>
              </w:rPr>
              <w:t>Value</w:t>
            </w:r>
          </w:p>
        </w:tc>
        <w:tc>
          <w:tcPr>
            <w:tcW w:w="0" w:type="dxa"/>
            <w:vAlign w:val="bottom"/>
          </w:tcPr>
          <w:p>
            <w:pPr>
              <w:spacing w:after="0"/>
              <w:rPr>
                <w:sz w:val="1"/>
                <w:szCs w:val="1"/>
                <w:color w:val="auto"/>
              </w:rPr>
            </w:pPr>
          </w:p>
        </w:tc>
      </w:tr>
      <w:tr>
        <w:trPr>
          <w:trHeight w:val="198"/>
        </w:trPr>
        <w:tc>
          <w:tcPr>
            <w:tcW w:w="59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231F20"/>
              </w:rPr>
              <w:t>Exercise Price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(in years)</w:t>
            </w:r>
          </w:p>
        </w:tc>
        <w:tc>
          <w:tcPr>
            <w:tcW w:w="180" w:type="dxa"/>
            <w:vAlign w:val="bottom"/>
          </w:tcPr>
          <w:p>
            <w:pPr>
              <w:spacing w:after="0"/>
              <w:rPr>
                <w:sz w:val="17"/>
                <w:szCs w:val="17"/>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0" w:type="dxa"/>
            <w:vAlign w:val="bottom"/>
          </w:tcPr>
          <w:p>
            <w:pPr>
              <w:spacing w:after="0"/>
              <w:rPr>
                <w:sz w:val="1"/>
                <w:szCs w:val="1"/>
                <w:color w:val="auto"/>
              </w:rPr>
            </w:pPr>
          </w:p>
        </w:tc>
      </w:tr>
      <w:tr>
        <w:trPr>
          <w:trHeight w:val="228"/>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Outstanding - January 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3,732,420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14.00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Forfeited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(141,900)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17.54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Expired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(107,450)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21.28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Outstanding - December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3,483,070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13.64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Vested and Exercisable - December 31, 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2,769,240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Options vested and expected to vest - December 31,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3,483,070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13.64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color w:val="231F20"/>
        </w:rPr>
        <w:t>December 31, 2024, aggregate unrecognized compensation cost for unvested stock options was</w:t>
      </w:r>
      <w:r>
        <w:rPr>
          <w:rFonts w:ascii="Times New Roman" w:cs="Times New Roman" w:eastAsia="Times New Roman" w:hAnsi="Times New Roman"/>
          <w:sz w:val="18"/>
          <w:szCs w:val="18"/>
          <w:color w:val="auto"/>
        </w:rPr>
        <w:t xml:space="preserve"> $1.9 million </w:t>
      </w:r>
      <w:r>
        <w:rPr>
          <w:rFonts w:ascii="Times New Roman" w:cs="Times New Roman" w:eastAsia="Times New Roman" w:hAnsi="Times New Roman"/>
          <w:sz w:val="18"/>
          <w:szCs w:val="18"/>
          <w:color w:val="231F20"/>
        </w:rPr>
        <w:t>recognized over a weighted average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of </w:t>
      </w:r>
      <w:r>
        <w:rPr>
          <w:rFonts w:ascii="Times New Roman" w:cs="Times New Roman" w:eastAsia="Times New Roman" w:hAnsi="Times New Roman"/>
          <w:sz w:val="18"/>
          <w:szCs w:val="18"/>
          <w:color w:val="000000"/>
        </w:rPr>
        <w:t>0.4 years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stock options granted generally vest over a four year period.</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year ended December 31, 2023. The weighted average grant date fair value of the stock options granted during the year ended December 31, 2022 was $12.23.</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The intrinsic value of a stock option is the amount by which the current market value of the underlying stock exceeds the exercise price of the option. </w:t>
      </w:r>
      <w:r>
        <w:rPr>
          <w:rFonts w:ascii="Times New Roman" w:cs="Times New Roman" w:eastAsia="Times New Roman" w:hAnsi="Times New Roman"/>
          <w:sz w:val="18"/>
          <w:szCs w:val="18"/>
          <w:color w:val="231F20"/>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year ended December 31, 2023, t</w:t>
      </w:r>
      <w:r>
        <w:rPr>
          <w:rFonts w:ascii="Times New Roman" w:cs="Times New Roman" w:eastAsia="Times New Roman" w:hAnsi="Times New Roman"/>
          <w:sz w:val="18"/>
          <w:szCs w:val="18"/>
          <w:color w:val="000000"/>
        </w:rPr>
        <w:t>he total intrinsic value of stock options exercised was immaterial. There were no stock options exercised during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year ended December 31, 2022.</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(“RSU”) and </w:t>
      </w:r>
      <w:r>
        <w:rPr>
          <w:rFonts w:ascii="Times New Roman" w:cs="Times New Roman" w:eastAsia="Times New Roman" w:hAnsi="Times New Roman"/>
          <w:sz w:val="18"/>
          <w:szCs w:val="18"/>
          <w:i w:val="1"/>
          <w:iCs w:val="1"/>
          <w:color w:val="231F20"/>
        </w:rPr>
        <w:t>Performance-based Restricted Stock Units (“PSU”)</w:t>
      </w:r>
    </w:p>
    <w:p>
      <w:pPr>
        <w:spacing w:after="0" w:line="2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reserves the right to grant RSUs to certain employees, executives and directors. The RSUs granted are eligible to vest over the service period, which is generally over three to four years, subject to the recipient’s continued employment through each vesting date.</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PSUs are granted to select executive officers pursuant to the 2021 Plan and vest based on either (i) the performance of the Company’s Class A Common Stock (“Top-hat”) or (ii) the total shareholder return of the Company’s Class A Common Stock relative to a defined peer group (“TSR”).</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Top-hat PSUs are earned over a three or four-year performance period, based on the attainment of pre-determined goals related to the performance of the Company’s Class A Common Stock, and subject to the recipient’s continued employment through the end of the performance period. The actual number of shares of the Company’s Class A Common Stock to be issued related to Top-hat PSUs will range from 0% to 100% of the number of PSUs granted.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6" w:name="page117"/>
    <w:bookmarkEnd w:id="116"/>
    <w:p>
      <w:pPr>
        <w:ind w:right="120"/>
        <w:spacing w:after="0" w:line="289" w:lineRule="auto"/>
        <w:rPr>
          <w:sz w:val="20"/>
          <w:szCs w:val="20"/>
          <w:color w:val="auto"/>
        </w:rPr>
      </w:pPr>
      <w:r>
        <w:rPr>
          <w:rFonts w:ascii="Times New Roman" w:cs="Times New Roman" w:eastAsia="Times New Roman" w:hAnsi="Times New Roman"/>
          <w:sz w:val="17"/>
          <w:szCs w:val="17"/>
          <w:color w:val="auto"/>
        </w:rPr>
        <w:t>TSR PSUs are earned over a three-year performance period, based on the attainment of pre-determined goals related to the Company’s total shareholder return relative to a defined peer group, and subject to the recipient’s continued employment through the end of the performance period. The actual number of shares of the Company’s Class A Common Stock to be issued related to TSR PSUs will range from 0% to 200% of the number of PSUs granted.</w:t>
      </w:r>
    </w:p>
    <w:p>
      <w:pPr>
        <w:spacing w:after="0" w:line="18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PSUs is recognized on a straight-line basis over their measurement period as compensation expense, and is not subject to reversal even if the market condition is not achieved. The fair value of PSUs was determined using a Monte Carlo simulation subject to the performance conditions of the underlying PSUs with the following assumptions: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Input</w:t>
            </w:r>
          </w:p>
        </w:tc>
        <w:tc>
          <w:tcPr>
            <w:tcW w:w="260" w:type="dxa"/>
            <w:vAlign w:val="bottom"/>
          </w:tcPr>
          <w:p>
            <w:pPr>
              <w:spacing w:after="0"/>
              <w:rPr>
                <w:sz w:val="16"/>
                <w:szCs w:val="16"/>
                <w:color w:val="auto"/>
              </w:rPr>
            </w:pPr>
          </w:p>
        </w:tc>
        <w:tc>
          <w:tcPr>
            <w:tcW w:w="17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231F20"/>
              </w:rPr>
              <w:t>2024 Grants</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231F20"/>
              </w:rPr>
              <w:t>2023 Grants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2022 Grants</w:t>
            </w:r>
          </w:p>
        </w:tc>
      </w:tr>
      <w:tr>
        <w:trPr>
          <w:trHeight w:val="23"/>
        </w:trPr>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r>
      <w:tr>
        <w:trPr>
          <w:trHeight w:val="223"/>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Risk-free interest rate</w:t>
            </w:r>
          </w:p>
        </w:tc>
        <w:tc>
          <w:tcPr>
            <w:tcW w:w="1760" w:type="dxa"/>
            <w:vAlign w:val="bottom"/>
            <w:gridSpan w:val="2"/>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231F20"/>
              </w:rPr>
              <w:t>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231F20"/>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4"/>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231F20"/>
              </w:rPr>
              <w:t>1.5% - 4.2%</w:t>
            </w:r>
          </w:p>
        </w:tc>
      </w:tr>
      <w:tr>
        <w:trPr>
          <w:trHeight w:val="234"/>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Expected volatility of the Company’s Class A Common Stock</w:t>
            </w:r>
          </w:p>
        </w:tc>
        <w:tc>
          <w:tcPr>
            <w:tcW w:w="1760" w:type="dxa"/>
            <w:vAlign w:val="bottom"/>
            <w:gridSpan w:val="2"/>
          </w:tcPr>
          <w:p>
            <w:pPr>
              <w:jc w:val="right"/>
              <w:ind w:right="457"/>
              <w:spacing w:after="0"/>
              <w:rPr>
                <w:sz w:val="20"/>
                <w:szCs w:val="20"/>
                <w:color w:val="auto"/>
              </w:rPr>
            </w:pPr>
            <w:r>
              <w:rPr>
                <w:rFonts w:ascii="Times New Roman" w:cs="Times New Roman" w:eastAsia="Times New Roman" w:hAnsi="Times New Roman"/>
                <w:sz w:val="18"/>
                <w:szCs w:val="18"/>
                <w:color w:val="231F20"/>
              </w:rPr>
              <w:t>101.5%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231F20"/>
              </w:rPr>
              <w:t>74.9%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5"/>
          </w:tcPr>
          <w:p>
            <w:pPr>
              <w:jc w:val="right"/>
              <w:ind w:right="313"/>
              <w:spacing w:after="0"/>
              <w:rPr>
                <w:sz w:val="20"/>
                <w:szCs w:val="20"/>
                <w:color w:val="auto"/>
              </w:rPr>
            </w:pPr>
            <w:r>
              <w:rPr>
                <w:rFonts w:ascii="Times New Roman" w:cs="Times New Roman" w:eastAsia="Times New Roman" w:hAnsi="Times New Roman"/>
                <w:sz w:val="18"/>
                <w:szCs w:val="18"/>
                <w:color w:val="231F20"/>
              </w:rPr>
              <w:t>57.7% - 66.0%</w:t>
            </w:r>
          </w:p>
        </w:tc>
      </w:tr>
      <w:tr>
        <w:trPr>
          <w:trHeight w:val="414"/>
        </w:trPr>
        <w:tc>
          <w:tcPr>
            <w:tcW w:w="8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and PSU activity for the year ended December 31, 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5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231F20"/>
              </w:rPr>
              <w:t>Weighted Average Grant Date Fair</w:t>
            </w:r>
          </w:p>
        </w:tc>
      </w:tr>
      <w:tr>
        <w:trPr>
          <w:trHeight w:val="196"/>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840" w:type="dxa"/>
            <w:vAlign w:val="bottom"/>
            <w:tcBorders>
              <w:bottom w:val="single" w:sz="8" w:color="auto"/>
            </w:tcBorders>
          </w:tcPr>
          <w:p>
            <w:pPr>
              <w:spacing w:after="0"/>
              <w:rPr>
                <w:sz w:val="17"/>
                <w:szCs w:val="17"/>
                <w:color w:val="auto"/>
              </w:rPr>
            </w:pPr>
          </w:p>
        </w:tc>
      </w:tr>
      <w:tr>
        <w:trPr>
          <w:trHeight w:val="196"/>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231F20"/>
              </w:rPr>
              <w:t>RSU Shares</w:t>
            </w:r>
          </w:p>
        </w:tc>
        <w:tc>
          <w:tcPr>
            <w:tcW w:w="14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231F20"/>
              </w:rPr>
              <w:t>PSU Shares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231F20"/>
              </w:rPr>
              <w:t>RSU</w:t>
            </w:r>
          </w:p>
        </w:tc>
        <w:tc>
          <w:tcPr>
            <w:tcW w:w="260" w:type="dxa"/>
            <w:vAlign w:val="bottom"/>
          </w:tcPr>
          <w:p>
            <w:pPr>
              <w:spacing w:after="0"/>
              <w:rPr>
                <w:sz w:val="17"/>
                <w:szCs w:val="17"/>
                <w:color w:val="auto"/>
              </w:rPr>
            </w:pPr>
          </w:p>
        </w:tc>
        <w:tc>
          <w:tcPr>
            <w:tcW w:w="8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231F20"/>
              </w:rPr>
              <w:t>PSU</w:t>
            </w:r>
          </w:p>
        </w:tc>
      </w:tr>
      <w:tr>
        <w:trPr>
          <w:trHeight w:val="229"/>
        </w:trPr>
        <w:tc>
          <w:tcPr>
            <w:tcW w:w="54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Outstanding - January 1, 2024</w:t>
            </w:r>
          </w:p>
        </w:tc>
        <w:tc>
          <w:tcPr>
            <w:tcW w:w="2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5,242,680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1,306,558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231F20"/>
                <w:w w:val="88"/>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9.13</w:t>
            </w:r>
          </w:p>
        </w:tc>
      </w:tr>
      <w:tr>
        <w:trPr>
          <w:trHeight w:val="229"/>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Granted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6,421,618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1,258,112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5.27</w:t>
            </w:r>
          </w:p>
        </w:tc>
      </w:tr>
      <w:tr>
        <w:trPr>
          <w:trHeight w:val="230"/>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Vested</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(2,407,671)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29"/>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Forfeited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(2,002,236)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(375,097)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9.80</w:t>
            </w:r>
          </w:p>
        </w:tc>
      </w:tr>
      <w:tr>
        <w:trPr>
          <w:trHeight w:val="230"/>
        </w:trPr>
        <w:tc>
          <w:tcPr>
            <w:tcW w:w="54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231F20"/>
              </w:rPr>
              <w:t>Cancelled</w:t>
            </w:r>
            <w:r>
              <w:rPr>
                <w:rFonts w:ascii="Times New Roman" w:cs="Times New Roman" w:eastAsia="Times New Roman" w:hAnsi="Times New Roman"/>
                <w:sz w:val="23"/>
                <w:szCs w:val="23"/>
                <w:color w:val="231F20"/>
                <w:vertAlign w:val="superscript"/>
              </w:rPr>
              <w:t>(1)</w:t>
            </w:r>
          </w:p>
        </w:tc>
        <w:tc>
          <w:tcPr>
            <w:tcW w:w="26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231F2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(951,751)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7.93</w:t>
            </w:r>
          </w:p>
        </w:tc>
      </w:tr>
      <w:tr>
        <w:trPr>
          <w:trHeight w:val="223"/>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Outstanding - December 31, 2024</w:t>
            </w:r>
          </w:p>
        </w:tc>
        <w:tc>
          <w:tcPr>
            <w:tcW w:w="2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7,254,391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1,237,822</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231F20"/>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4.56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5.93</w:t>
            </w:r>
          </w:p>
        </w:tc>
      </w:tr>
      <w:tr>
        <w:trPr>
          <w:trHeight w:val="21"/>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306" w:lineRule="exact"/>
        <w:rPr>
          <w:sz w:val="20"/>
          <w:szCs w:val="20"/>
          <w:color w:val="auto"/>
        </w:rPr>
      </w:pPr>
    </w:p>
    <w:p>
      <w:pPr>
        <w:ind w:right="700" w:firstLine="8"/>
        <w:spacing w:after="0" w:line="242" w:lineRule="auto"/>
        <w:tabs>
          <w:tab w:leader="none" w:pos="181"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Cancelled PSU shares represent Top-hat PSUs and TSR PSUs that were not earned for the performance period that ended during the year ended December 31, 2024.</w:t>
      </w:r>
    </w:p>
    <w:p>
      <w:pPr>
        <w:spacing w:after="0" w:line="22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fair value of RSUs that vested, determined based on their respective fair values at vesting date, during the years ended December 31, 2024, 2023, and 2022 was $5.9 million, $9.7 million, and $2.7 million, respectively. At December 31, 2024, the aggregate unrecognized compensation cost for unvested RSUs and PSUs was $21.4 million and $4.9 million, respectively, recognized over a weighted average period of 1.8 years and 1.9 years, respectively.</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RSUs granted during the years ended December 31, 2023 and 2022 was $8.58 and $13.47, respectively. The weighted average grant date fair value of PSUs granted during the years ended December 31, 2023 and 2022 was $17.54 and $8.79, respectively.</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Employee Stock Purchase Plan (“ESPP”)</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maintains the ESPP for employees located in the United States, which became effective upon the consummation of the Business Combination. Under the ESPP, eligible employees can have up to 10% of their earnings withheld, up to certain maximums, to be used to purchase shares of the Company’s Class A Common Stock at certain purchase dates. The price of the Company’s Class A Common Stock purchased under the ESPP for the offering periods is equal to 85% of the lesser of the fair market value of a share of Class A Common Stock of the Company on the beginning or the end of the offering period. In November 2024, the Company suspended the operation of the ESPP after the conclusion of its sixth offering period.</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aggregate number of shares of the Company’s Class A Common Stock initially reserved for issuance pursuant to rights granted under the ESPP was 2,000,000. In addition, on the first day of each calendar year beginning on January 1, 2022 and ending on (and including) January 1, 2031, the number of shares available for issuance under the ESPP will be increased by a number of shares equal to the lesser of (1) one percent (1%) of the shares outstanding on the final day of the immediately preceding calendar year, and (2) such smaller number of shares as determined by the Company’s Board of Directors. As of December 31, 2024, approximately 5 million shares were reserved for the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7" w:name="page118"/>
    <w:bookmarkEnd w:id="117"/>
    <w:p>
      <w:pPr>
        <w:ind w:left="180"/>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Share-based compensation expense was as follows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Cost of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30"/>
        </w:trPr>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Selling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share-based compensation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22,544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28,495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Benefit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sponsors a defined contribution 401(k) plan that all regular domestic employees are eligible to participate in after </w:t>
      </w:r>
      <w:r>
        <w:rPr>
          <w:rFonts w:ascii="Times New Roman" w:cs="Times New Roman" w:eastAsia="Times New Roman" w:hAnsi="Times New Roman"/>
          <w:sz w:val="18"/>
          <w:szCs w:val="18"/>
          <w:color w:val="231F20"/>
        </w:rPr>
        <w:t>one month</w:t>
      </w:r>
      <w:r>
        <w:rPr>
          <w:rFonts w:ascii="Times New Roman" w:cs="Times New Roman" w:eastAsia="Times New Roman" w:hAnsi="Times New Roman"/>
          <w:sz w:val="18"/>
          <w:szCs w:val="18"/>
          <w:color w:val="auto"/>
        </w:rPr>
        <w:t xml:space="preserve"> of service.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include voluntary contributions by eligible employees and employer matching contributions by the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international employees participate in other defined contribution retirement plans with varying vesting and contribution provisions.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Defined contributions expense was $2.7 million, $3.0 million and $2.2 million for the years ended December 31, 2024, 2023 and 2022,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domestic and foreign components of (loss) income before income taxes as follows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42,080</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(Loss) income before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federal, state and foreign components of the income tax (benefit) expense are summarized as follows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Current: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231F20"/>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current income tax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30"/>
        </w:trPr>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Deferred: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Federal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State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Total deferred tax benefit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income tax (benefit)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effective tax rate of the provision for income tax differs from the federal statutory rate as follows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Federal statutory income tax rate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State taxes, net of federal benefit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Officer compensation</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Change in fair value of warrants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Transaction costs</w:t>
            </w:r>
          </w:p>
        </w:tc>
        <w:tc>
          <w:tcPr>
            <w:tcW w:w="4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Share-based compensation</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Foreign rate differential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R&amp;D credit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Permanent differences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Change in valuation allowance</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Income tax (benefit) expense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A valuation allowance is established when necessary to reduce deferred tax assets to the amounts more likely than not to be realized. The components of the deferred tax assets are as follows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0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20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231F20"/>
              </w:rPr>
              <w:t>December 31, 2023</w:t>
            </w:r>
          </w:p>
        </w:tc>
      </w:tr>
      <w:tr>
        <w:trPr>
          <w:trHeight w:val="23"/>
        </w:trPr>
        <w:tc>
          <w:tcPr>
            <w:tcW w:w="7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Deferred income tax assets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State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Accrued expenses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w:t>
            </w:r>
          </w:p>
        </w:tc>
      </w:tr>
      <w:tr>
        <w:trPr>
          <w:trHeight w:val="22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Inventories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r>
      <w:tr>
        <w:trPr>
          <w:trHeight w:val="230"/>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Accounts receivable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30"/>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Section 163(j) limitation</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r>
      <w:tr>
        <w:trPr>
          <w:trHeight w:val="230"/>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Net operating loss carryforwards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w:t>
            </w:r>
          </w:p>
        </w:tc>
      </w:tr>
      <w:tr>
        <w:trPr>
          <w:trHeight w:val="22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Share-based compensation</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r>
      <w:tr>
        <w:trPr>
          <w:trHeight w:val="230"/>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Lease liabilities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230"/>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Capitalized research</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w:t>
            </w:r>
          </w:p>
        </w:tc>
      </w:tr>
      <w:tr>
        <w:trPr>
          <w:trHeight w:val="230"/>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23"/>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Total deferred income tax assets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44,886</w:t>
            </w:r>
          </w:p>
        </w:tc>
      </w:tr>
      <w:tr>
        <w:trPr>
          <w:trHeight w:val="256"/>
        </w:trPr>
        <w:tc>
          <w:tcPr>
            <w:tcW w:w="7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30"/>
        </w:trPr>
        <w:tc>
          <w:tcPr>
            <w:tcW w:w="76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Deferred income tax liabilities</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Goodwill and intangibles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r>
      <w:tr>
        <w:trPr>
          <w:trHeight w:val="230"/>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Prepaid expenses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9"/>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Right-of-use assets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30"/>
        </w:trPr>
        <w:tc>
          <w:tcPr>
            <w:tcW w:w="7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231F20"/>
              </w:rPr>
              <w:t>Property and equipment</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23"/>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Total deferred tax liabilities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r>
      <w:tr>
        <w:trPr>
          <w:trHeight w:val="230"/>
        </w:trPr>
        <w:tc>
          <w:tcPr>
            <w:tcW w:w="7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Valuation allowance</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(33,239)</w:t>
            </w:r>
          </w:p>
        </w:tc>
      </w:tr>
      <w:tr>
        <w:trPr>
          <w:trHeight w:val="248"/>
        </w:trPr>
        <w:tc>
          <w:tcPr>
            <w:tcW w:w="7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Net deferred income tax assets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9" w:name="page120"/>
    <w:bookmarkEnd w:id="119"/>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net deferred income tax assets (liabilities) as presented on the Consolidated Balance Sheets consists of the following items as of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18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December 31, 2023</w:t>
            </w: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Deferred income tax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shd w:val="clear" w:color="auto" w:fill="CCEEFF"/>
          </w:tcPr>
          <w:p>
            <w:pPr>
              <w:jc w:val="center"/>
              <w:ind w:left="995"/>
              <w:spacing w:after="0"/>
              <w:rPr>
                <w:sz w:val="20"/>
                <w:szCs w:val="20"/>
                <w:color w:val="auto"/>
              </w:rPr>
            </w:pPr>
            <w:r>
              <w:rPr>
                <w:rFonts w:ascii="Times New Roman" w:cs="Times New Roman" w:eastAsia="Times New Roman" w:hAnsi="Times New Roman"/>
                <w:sz w:val="18"/>
                <w:szCs w:val="18"/>
                <w:color w:val="231F20"/>
                <w:w w:val="96"/>
              </w:rPr>
              <w:t>531</w:t>
            </w:r>
          </w:p>
        </w:tc>
      </w:tr>
      <w:tr>
        <w:trPr>
          <w:trHeight w:val="230"/>
        </w:trPr>
        <w:tc>
          <w:tcPr>
            <w:tcW w:w="7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231F20"/>
              </w:rPr>
              <w:t>Deferred income tax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955"/>
              <w:spacing w:after="0"/>
              <w:rPr>
                <w:sz w:val="20"/>
                <w:szCs w:val="20"/>
                <w:color w:val="auto"/>
              </w:rPr>
            </w:pPr>
            <w:r>
              <w:rPr>
                <w:rFonts w:ascii="Times New Roman" w:cs="Times New Roman" w:eastAsia="Times New Roman" w:hAnsi="Times New Roman"/>
                <w:sz w:val="18"/>
                <w:szCs w:val="18"/>
                <w:color w:val="231F20"/>
                <w:w w:val="97"/>
              </w:rPr>
              <w:t>(702)</w:t>
            </w:r>
          </w:p>
        </w:tc>
      </w:tr>
      <w:tr>
        <w:trPr>
          <w:trHeight w:val="248"/>
        </w:trPr>
        <w:tc>
          <w:tcPr>
            <w:tcW w:w="7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Net deferred income tax assets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tcBorders>
              <w:bottom w:val="single" w:sz="8" w:color="auto"/>
            </w:tcBorders>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231F20"/>
                <w:w w:val="97"/>
              </w:rPr>
              <w:t>(171)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increased the valuation allowance on the net U.S. federal and state deferred tax assets by $1.0 million for the year ended December 31, 2024. In determining whether deferred tax assets are realizable, the Company considered numerous factors including historical profitability, the amount of future taxable income and the existence of taxable temporary differences that can be used to realize the deferred tax assets. The Company has provided a full valuation allowance against the net U.S. federal and state deferred tax assets that management believes is not more likely than not to be realized.</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If the Company were to release the valuation allowance upon management determining that it is more likely than not the deferred tax assets could be recognized, $34.2 million of income tax benefit would be recorded to continuing operations.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had gross federal and state net operating loss carryforwards of $40.6 million and $23.0 million, respectively, that can be carried forward indefinitely, subject to an 80% taxable income limitation, and state net operating loss carryforward of $37.3 million, which will expire in varying amounts beginning in 2025.</w:t>
      </w: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federal and state research and development credit carryforwards of $1.0 million and $1.1 million, respectively. The federal credits will expire in 2041 and the state credits are available indefinitely.</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and December 31, 2023, the Company had recorded gross unrecognized tax benefits of $1.2 million and $1.1 million, respectively. As of December 31, 2024, the Company has $0.2 million of unrecognized tax benefits that, if recognized and realized, will affect the effective tax rate. The Company does not expect a significant change in the unrecognized tax benefits over the next 12 months. The Company recognizes interest expense and penalties associated with uncertain tax positions as a component of income tax expense. Accruals for interest and penalties related to income tax matters were not material as of December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unrecognized tax benefits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231F20"/>
              </w:rPr>
              <w:t>December 31, 2023</w:t>
            </w:r>
          </w:p>
        </w:tc>
      </w:tr>
      <w:tr>
        <w:trPr>
          <w:trHeight w:val="2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Unrecognized tax benefits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674</w:t>
            </w:r>
          </w:p>
        </w:tc>
      </w:tr>
      <w:tr>
        <w:trPr>
          <w:trHeight w:val="230"/>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Increases for tax positions in prior periods</w:t>
            </w: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230</w:t>
            </w:r>
          </w:p>
        </w:tc>
      </w:tr>
      <w:tr>
        <w:trPr>
          <w:trHeight w:val="230"/>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Decreases for tax positions in prior periods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(112)</w:t>
            </w:r>
          </w:p>
        </w:tc>
      </w:tr>
      <w:tr>
        <w:trPr>
          <w:trHeight w:val="230"/>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Increases for tax positions in current period</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312</w:t>
            </w:r>
          </w:p>
        </w:tc>
      </w:tr>
      <w:tr>
        <w:trPr>
          <w:trHeight w:val="229"/>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Settlements/statute expirations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23"/>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Unrecognized tax benefits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1,104</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and files income tax returns in the U.S. federal and various state and foreign jurisdictions. The Company’s tax returns remain open for examination in the United States for years 2020 through 2023, while tax returns in the foreign jurisdictions in which the Company operates are generally subject to examination up to three years following the year in which the tax obligation originated. The Company is not currently under examination by income tax authorities in federal, state, or other jurisdictions.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APB 23 (codified as FASB ASC 740-10-25-3) allows an exception to the general rule that a U.S. multinational company must accrue U.S. taxes on foreign earnings of its controlled non-U.S. subsidiaries. Under this exception, a U.S. multinational company is not required to accrue U.S. taxes on foreign earnings that are indefinitely reinvested in its foreign subsidiaries. The Company will continue to indefinitely reinvest earnings from its foreign subsidiaries, which are not significant.</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$5.4 million for the Employee Retention Credit under the Coronavirus Aid, Relief, and Economic Security Act, of which $4.9 million was recorded in other (income) expense, net and $0.5 million was recorded in interest income on the Company’s Consolidated Statements of Comprehensive Income (Loss).</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Note 15 — Net (Loss) Income Attributable to Common Stockholders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following table sets forth the calculation of both basic and diluted net </w:t>
      </w:r>
      <w:r>
        <w:rPr>
          <w:rFonts w:ascii="Times New Roman" w:cs="Times New Roman" w:eastAsia="Times New Roman" w:hAnsi="Times New Roman"/>
          <w:sz w:val="18"/>
          <w:szCs w:val="18"/>
          <w:color w:val="000000"/>
        </w:rPr>
        <w:t>(loss) income</w:t>
      </w:r>
      <w:r>
        <w:rPr>
          <w:rFonts w:ascii="Times New Roman" w:cs="Times New Roman" w:eastAsia="Times New Roman" w:hAnsi="Times New Roman"/>
          <w:sz w:val="18"/>
          <w:szCs w:val="18"/>
          <w:color w:val="231F20"/>
        </w:rPr>
        <w:t xml:space="preserve"> per share as follows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2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 except share and per share amounts)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0" w:type="dxa"/>
            <w:vAlign w:val="bottom"/>
          </w:tcPr>
          <w:p>
            <w:pPr>
              <w:spacing w:after="0"/>
              <w:rPr>
                <w:sz w:val="1"/>
                <w:szCs w:val="1"/>
                <w:color w:val="auto"/>
              </w:rPr>
            </w:pPr>
          </w:p>
        </w:tc>
      </w:tr>
      <w:tr>
        <w:trPr>
          <w:trHeight w:val="236"/>
        </w:trPr>
        <w:tc>
          <w:tcPr>
            <w:tcW w:w="6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Net (loss) income available to common stockholders - 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(29,098)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(100,116)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44,224</w:t>
            </w:r>
          </w:p>
        </w:tc>
        <w:tc>
          <w:tcPr>
            <w:tcW w:w="0" w:type="dxa"/>
            <w:vAlign w:val="bottom"/>
          </w:tcPr>
          <w:p>
            <w:pPr>
              <w:spacing w:after="0"/>
              <w:rPr>
                <w:sz w:val="1"/>
                <w:szCs w:val="1"/>
                <w:color w:val="auto"/>
              </w:rPr>
            </w:pPr>
          </w:p>
        </w:tc>
      </w:tr>
      <w:tr>
        <w:trPr>
          <w:trHeight w:val="229"/>
        </w:trPr>
        <w:tc>
          <w:tcPr>
            <w:tcW w:w="6940" w:type="dxa"/>
            <w:vAlign w:val="bottom"/>
          </w:tcPr>
          <w:p>
            <w:pPr>
              <w:ind w:left="80"/>
              <w:spacing w:after="0" w:line="230" w:lineRule="exact"/>
              <w:rPr>
                <w:sz w:val="20"/>
                <w:szCs w:val="20"/>
                <w:color w:val="auto"/>
              </w:rPr>
            </w:pPr>
            <w:r>
              <w:rPr>
                <w:rFonts w:ascii="Times New Roman" w:cs="Times New Roman" w:eastAsia="Times New Roman" w:hAnsi="Times New Roman"/>
                <w:sz w:val="18"/>
                <w:szCs w:val="18"/>
                <w:color w:val="231F20"/>
              </w:rPr>
              <w:t xml:space="preserve">Adjustments related to the Notes </w:t>
            </w:r>
            <w:r>
              <w:rPr>
                <w:rFonts w:ascii="Times New Roman" w:cs="Times New Roman" w:eastAsia="Times New Roman" w:hAnsi="Times New Roman"/>
                <w:sz w:val="23"/>
                <w:szCs w:val="23"/>
                <w:color w:val="231F20"/>
                <w:vertAlign w:val="superscript"/>
              </w:rPr>
              <w:t>(1)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(22,671)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Income on Private Placement Warrants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(78,343)</w:t>
            </w:r>
          </w:p>
        </w:tc>
        <w:tc>
          <w:tcPr>
            <w:tcW w:w="0" w:type="dxa"/>
            <w:vAlign w:val="bottom"/>
          </w:tcPr>
          <w:p>
            <w:pPr>
              <w:spacing w:after="0"/>
              <w:rPr>
                <w:sz w:val="1"/>
                <w:szCs w:val="1"/>
                <w:color w:val="auto"/>
              </w:rPr>
            </w:pPr>
          </w:p>
        </w:tc>
      </w:tr>
      <w:tr>
        <w:trPr>
          <w:trHeight w:val="223"/>
        </w:trPr>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Net loss available to common stockholders - diluted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(51,769)</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(100,116)</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(34,119)</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Weighted average common stock outstanding - basic</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123,827,372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131,680,605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147,554,090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Effect of dilutive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Notes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18,665,203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Private Placement Warrants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952,222</w:t>
            </w:r>
          </w:p>
        </w:tc>
        <w:tc>
          <w:tcPr>
            <w:tcW w:w="0" w:type="dxa"/>
            <w:vAlign w:val="bottom"/>
          </w:tcPr>
          <w:p>
            <w:pPr>
              <w:spacing w:after="0"/>
              <w:rPr>
                <w:sz w:val="1"/>
                <w:szCs w:val="1"/>
                <w:color w:val="auto"/>
              </w:rPr>
            </w:pPr>
          </w:p>
        </w:tc>
      </w:tr>
      <w:tr>
        <w:trPr>
          <w:trHeight w:val="223"/>
        </w:trPr>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Weighted average common stock outstanding - diluted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142,492,575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131,680,605</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148,506,312</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Basic net (loss) income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(0.23)</w:t>
            </w:r>
          </w:p>
        </w:tc>
        <w:tc>
          <w:tcPr>
            <w:tcW w:w="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(0.76)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0.30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Dilutive net loss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(0.36)</w:t>
            </w:r>
          </w:p>
        </w:tc>
        <w:tc>
          <w:tcPr>
            <w:tcW w:w="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(0.23)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900" w:firstLine="8"/>
        <w:spacing w:after="0" w:line="242" w:lineRule="auto"/>
        <w:tabs>
          <w:tab w:leader="none" w:pos="181"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2024, the adjustments related to the Notes include the net gain on repurchase offset by interest expense and amortization of debt issuance costs related to the Company’s Notes (net of taxes).</w:t>
      </w:r>
    </w:p>
    <w:p>
      <w:pPr>
        <w:spacing w:after="0" w:line="31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following shares have been excluded from the calculation of the weighted average diluted shares outstanding as the effect would have been anti-dilutive: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142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6780" w:type="dxa"/>
            <w:vAlign w:val="bottom"/>
          </w:tcPr>
          <w:p>
            <w:pPr>
              <w:spacing w:after="0"/>
              <w:rPr>
                <w:sz w:val="16"/>
                <w:szCs w:val="16"/>
                <w:color w:val="auto"/>
              </w:rPr>
            </w:pPr>
          </w:p>
        </w:tc>
        <w:tc>
          <w:tcPr>
            <w:tcW w:w="14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54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100" w:type="dxa"/>
            <w:vAlign w:val="bottom"/>
          </w:tcPr>
          <w:p>
            <w:pPr>
              <w:spacing w:after="0"/>
              <w:rPr>
                <w:sz w:val="16"/>
                <w:szCs w:val="16"/>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231F20"/>
              </w:rPr>
              <w:t>2022</w:t>
            </w:r>
          </w:p>
        </w:tc>
      </w:tr>
      <w:tr>
        <w:trPr>
          <w:trHeight w:val="229"/>
        </w:trPr>
        <w:tc>
          <w:tcPr>
            <w:tcW w:w="67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Notes</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23,614,425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23,614,425</w:t>
            </w:r>
          </w:p>
        </w:tc>
      </w:tr>
      <w:tr>
        <w:trPr>
          <w:trHeight w:val="229"/>
        </w:trPr>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RSUs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7,254,391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5,242,680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2,580,152</w:t>
            </w:r>
          </w:p>
        </w:tc>
      </w:tr>
      <w:tr>
        <w:trPr>
          <w:trHeight w:val="230"/>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Stock Options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3,483,070</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3,732,420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5,601,770</w:t>
            </w:r>
          </w:p>
        </w:tc>
      </w:tr>
      <w:tr>
        <w:trPr>
          <w:trHeight w:val="234"/>
        </w:trPr>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PSUs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1,237,822</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1,306,558</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2,500,126</w:t>
            </w:r>
          </w:p>
        </w:tc>
      </w:tr>
    </w:tbl>
    <w:p>
      <w:pPr>
        <w:spacing w:after="0" w:line="16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income and shares related to the Private Placement Warrants were excluded from the calculation of diluted net loss per share of Class A Common Stock because their effect would be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Geographic, and Other Information</w:t>
      </w:r>
    </w:p>
    <w:p>
      <w:pPr>
        <w:spacing w:after="0" w:line="256"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The Company manages its business on the basis of one operating segment and one reportable segment. The chief operating decision maker (“CODM”), who is the Chief Executive Officer, assesses performance for the one operating segment and decides how to allocate resources based on consolidated net income (loss) and consolidated income (loss) from operations, which is also reported on the Consolidated Statements of Comprehensive Income (Loss).</w:t>
      </w:r>
    </w:p>
    <w:p>
      <w:pPr>
        <w:spacing w:after="0" w:line="18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Significant expenses within consolidated net (loss) income include cost of sales, total operating expenses, interest expense, interest income, other (income) expense, net, change in fair value of warrant liabilities, foreign currency transaction loss (gain), net, and income tax expense (benefit), all of which are each separately reported on the Consolidated Statements of Comprehensive Income (Loss).</w:t>
      </w:r>
    </w:p>
    <w:p>
      <w:pPr>
        <w:spacing w:after="0" w:line="20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CODM also reviews the disaggregation of total operating expenses, of which significant segment expenses are related to personnel-related expenses, which includes sales commissions and share-based compensation expense. Other segment expenses included in total operating expenses primarily consist of fees for professional services principally comprising legal, audit, tax and accounting services, depreciation and amortization expenses, advertising and marketing related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1" w:name="page122"/>
    <w:bookmarkEnd w:id="121"/>
    <w:p>
      <w:pPr>
        <w:ind w:right="100"/>
        <w:spacing w:after="0" w:line="282" w:lineRule="auto"/>
        <w:rPr>
          <w:sz w:val="20"/>
          <w:szCs w:val="20"/>
          <w:color w:val="auto"/>
        </w:rPr>
      </w:pPr>
      <w:r>
        <w:rPr>
          <w:rFonts w:ascii="Times New Roman" w:cs="Times New Roman" w:eastAsia="Times New Roman" w:hAnsi="Times New Roman"/>
          <w:sz w:val="18"/>
          <w:szCs w:val="18"/>
          <w:color w:val="auto"/>
        </w:rPr>
        <w:t>software, facilities-related costs, credit card and wire fees, and insurance. The following summarizes the components of operating expenses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231F20"/>
                <w:w w:val="99"/>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Personnel-related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131,134</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152,625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146,748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Other segment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118,936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133,405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127,872</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250,070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286,030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274,620</w:t>
            </w:r>
          </w:p>
        </w:tc>
        <w:tc>
          <w:tcPr>
            <w:tcW w:w="0" w:type="dxa"/>
            <w:vAlign w:val="bottom"/>
          </w:tcPr>
          <w:p>
            <w:pPr>
              <w:spacing w:after="0"/>
              <w:rPr>
                <w:sz w:val="1"/>
                <w:szCs w:val="1"/>
                <w:color w:val="auto"/>
              </w:rPr>
            </w:pPr>
          </w:p>
        </w:tc>
      </w:tr>
      <w:tr>
        <w:trPr>
          <w:trHeight w:val="21"/>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Net sales disaggregated by major product line were as follows for the periods indicated:</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231F20"/>
                <w:w w:val="99"/>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Sales</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Delivery Systems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125,400</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206,630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206,235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231F20"/>
              </w:rPr>
              <w:t>Consumables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208,894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191,361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159,641</w:t>
            </w:r>
          </w:p>
        </w:tc>
        <w:tc>
          <w:tcPr>
            <w:tcW w:w="0" w:type="dxa"/>
            <w:vAlign w:val="bottom"/>
          </w:tcPr>
          <w:p>
            <w:pPr>
              <w:spacing w:after="0"/>
              <w:rPr>
                <w:sz w:val="1"/>
                <w:szCs w:val="1"/>
                <w:color w:val="auto"/>
              </w:rPr>
            </w:pPr>
          </w:p>
        </w:tc>
      </w:tr>
      <w:tr>
        <w:trPr>
          <w:trHeight w:val="223"/>
        </w:trPr>
        <w:tc>
          <w:tcPr>
            <w:tcW w:w="6760" w:type="dxa"/>
            <w:vAlign w:val="bottom"/>
          </w:tcPr>
          <w:p>
            <w:pPr>
              <w:ind w:left="1000"/>
              <w:spacing w:after="0"/>
              <w:rPr>
                <w:sz w:val="20"/>
                <w:szCs w:val="20"/>
                <w:color w:val="auto"/>
              </w:rPr>
            </w:pPr>
            <w:r>
              <w:rPr>
                <w:rFonts w:ascii="Times New Roman" w:cs="Times New Roman" w:eastAsia="Times New Roman" w:hAnsi="Times New Roman"/>
                <w:sz w:val="18"/>
                <w:szCs w:val="18"/>
                <w:color w:val="231F20"/>
              </w:rPr>
              <w:t>Total net sales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334,294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397,991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365,876</w:t>
            </w:r>
          </w:p>
        </w:tc>
        <w:tc>
          <w:tcPr>
            <w:tcW w:w="0" w:type="dxa"/>
            <w:vAlign w:val="bottom"/>
          </w:tcPr>
          <w:p>
            <w:pPr>
              <w:spacing w:after="0"/>
              <w:rPr>
                <w:sz w:val="1"/>
                <w:szCs w:val="1"/>
                <w:color w:val="auto"/>
              </w:rPr>
            </w:pPr>
          </w:p>
        </w:tc>
      </w:tr>
      <w:tr>
        <w:trPr>
          <w:trHeight w:val="21"/>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 by geographic region were as follows for the periods indicated:</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231F20"/>
                <w:w w:val="99"/>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Americas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216,993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227,709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243,243</w:t>
            </w:r>
          </w:p>
        </w:tc>
        <w:tc>
          <w:tcPr>
            <w:tcW w:w="0" w:type="dxa"/>
            <w:vAlign w:val="bottom"/>
          </w:tcPr>
          <w:p>
            <w:pPr>
              <w:spacing w:after="0"/>
              <w:rPr>
                <w:sz w:val="1"/>
                <w:szCs w:val="1"/>
                <w:color w:val="auto"/>
              </w:rPr>
            </w:pPr>
          </w:p>
        </w:tc>
      </w:tr>
      <w:tr>
        <w:trPr>
          <w:trHeight w:val="230"/>
        </w:trPr>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Asia-Pacific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82,193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54,306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Europe, the Middle East and Africa</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71,633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88,089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68,327</w:t>
            </w:r>
          </w:p>
        </w:tc>
        <w:tc>
          <w:tcPr>
            <w:tcW w:w="0" w:type="dxa"/>
            <w:vAlign w:val="bottom"/>
          </w:tcPr>
          <w:p>
            <w:pPr>
              <w:spacing w:after="0"/>
              <w:rPr>
                <w:sz w:val="1"/>
                <w:szCs w:val="1"/>
                <w:color w:val="auto"/>
              </w:rPr>
            </w:pPr>
          </w:p>
        </w:tc>
      </w:tr>
      <w:tr>
        <w:trPr>
          <w:trHeight w:val="223"/>
        </w:trPr>
        <w:tc>
          <w:tcPr>
            <w:tcW w:w="676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Total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334,294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397,991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365,876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 single customer accounted for 10% or more of consolidated net sales during the years ended December 31, 2024, 2023, and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 single customer accounted for 10% or more of the Company’s accounts receivable balance as December 31, 2024 and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Long-lived assets, which includes property and equipment, net and right-of-use assets, net, by geographic region were as follows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0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231F20"/>
              </w:rPr>
              <w:t>December 31, 2024</w:t>
            </w:r>
          </w:p>
        </w:tc>
        <w:tc>
          <w:tcPr>
            <w:tcW w:w="180" w:type="dxa"/>
            <w:vAlign w:val="bottom"/>
          </w:tcPr>
          <w:p>
            <w:pPr>
              <w:spacing w:after="0"/>
              <w:rPr>
                <w:sz w:val="16"/>
                <w:szCs w:val="16"/>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231F20"/>
              </w:rPr>
              <w:t>December 31, 2023</w:t>
            </w:r>
          </w:p>
        </w:tc>
      </w:tr>
      <w:tr>
        <w:trPr>
          <w:trHeight w:val="23"/>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U.S.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13,937</w:t>
            </w:r>
          </w:p>
        </w:tc>
      </w:tr>
      <w:tr>
        <w:trPr>
          <w:trHeight w:val="230"/>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United Kingdom</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4,174</w:t>
            </w:r>
          </w:p>
        </w:tc>
      </w:tr>
      <w:tr>
        <w:trPr>
          <w:trHeight w:val="229"/>
        </w:trPr>
        <w:tc>
          <w:tcPr>
            <w:tcW w:w="7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Germany</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2,312</w:t>
            </w:r>
          </w:p>
        </w:tc>
      </w:tr>
      <w:tr>
        <w:trPr>
          <w:trHeight w:val="230"/>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China</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3,398</w:t>
            </w:r>
          </w:p>
        </w:tc>
      </w:tr>
      <w:tr>
        <w:trPr>
          <w:trHeight w:val="230"/>
        </w:trPr>
        <w:tc>
          <w:tcPr>
            <w:tcW w:w="7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231F20"/>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2,525</w:t>
            </w:r>
          </w:p>
        </w:tc>
      </w:tr>
      <w:tr>
        <w:trPr>
          <w:trHeight w:val="223"/>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231F20"/>
              </w:rPr>
              <w:t>Total long-lived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19,568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26,346</w:t>
            </w: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Note 17 — Syndeo Program</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launched Syndeo in March 2022, the first new Delivery System model in five years. Subsequent to launch, many customers with Syndeo 1.0 and Syndeo 2.0 builds began to experience frequent treatment interruptions and unacceptable device conditions. In addition to issues such as distractive noise and difficult bottle insertion, a significant issue was low flow and clogs in the system, due to recommended maintenance requiring overly rigorous levels to prevent serum build-up inside the system’s fluidics manifold. Throughout 2022 and the first half of 2023, the Company made several enhancements to each version of the Syndeo in an effort to address and remediate these issues, but despite these efforts, performance interruptions that negatively impacted customer productivity and satisfaction continued to persist.</w: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July 2023 the Company developed Syndeo 3.0 and has noted a significant improvement in user experience and a substantial decline in initial return rates, primarily due to hardware and software enhancements that automate and force effective rinse cycles and manifold cleaning with an air blast procedure that reduce build-up and clogging as well as improvements in the connector to the handpiece to facilitate user cleaning. During the third quarter of 2023, the Company announced announced its Syndeo Enhancement Program (the “Syndeo Program”) to upgrade devices to Syndeo 3.0 build standards via field service.</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stand behind its commitment to its customers and protect the Company’s brand reputation, in October 2023, the Company’s management decided that, with respect to Syndeo devices, the Company would only market and sell Syndeo 3.0 devices. The Company provided, at no cost to the customer, the option of (i) a technician upgrade to their Syndeo 1.0 or 2.0 devices to 3.0 standards in the field; or (ii) a replacement Syndeo 3.0 device for their existing device. Additionally, the Company extended the customer’s warranty by one year for each system from the date it was either brought to the 3.0 standards or the customer received a Syndeo 3.0 device. The Company incurred costs of $45.6 million during the year ended December 31, 2023, associated with the costs to upgrade, replace, and remediate Syndeo 1.0 or 2.0 devices. As of December 31, 2024, the Syndeo Program is complete.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Syndeo Program charges and usage (in thousands):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9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 liability as of December 31, 2022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Usage</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(24,629)</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 liability as of December 31, 2023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21,009</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Usage</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 liability as of December 31, 2024</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With respect to Syndeo devices, as a result of the decision to market and sell Syndeo 3.0 devices exclusively, the Company designated all Syndeo 1.0 and 2.0 builds on-hand as obsolete, resulting in an inventory write-down of $19.6 million during the year ended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Syndeo Program charges and Syndeo inventory write-down were recognized in cost of sales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231F20"/>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not effective due to a material weakness in internal control over financial reporting related to the Company's inventory process described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as of December 31, 2024, based on the criteria set forth in Internal Control – Integrated Framework issued by the Committee of Sponsoring Organizations of the Treadway Commission (2013 framework).</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Based on the Company’s assessment, management identified a material weakness in our internal control over financial reporting, due to the Company’s lack of sufficient resources within inventory operations with an appropriate level of accounting knowledge, training, and experience which resulted in the ineffective design and operating effectiveness of controls over the accounting for inventory. As a result, the Company’s accounting department was not provided with complete and adequate support, documentation, and information to effectively analyze and record accounting matters timely and account for the financial statement effects of the areas impacted. This resulted in inadequate controls over 1) excess and obsolete inventory, and 2) inventory pricing and purchase arrangements. The material weakness did not result in any material misstatements to our consolidated financial statements as of December 31, 2024 or in previous periods.</w:t>
      </w:r>
    </w:p>
    <w:p>
      <w:pPr>
        <w:spacing w:after="0" w:line="2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The Company’s independent registered public accounting firm, Deloitte &amp; Touche LLP, has issued an audit report on the Company’s internal control over financial reporting, which is included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with oversight from our Audit Committee, has made progress on its remediation plan specific to the material weakness, with the completion of the following remediation activities as of December 31, 2024:</w:t>
      </w:r>
    </w:p>
    <w:p>
      <w:pPr>
        <w:spacing w:after="0" w:line="189" w:lineRule="exact"/>
        <w:rPr>
          <w:sz w:val="20"/>
          <w:szCs w:val="20"/>
          <w:color w:val="auto"/>
        </w:rPr>
      </w:pPr>
    </w:p>
    <w:p>
      <w:pPr>
        <w:ind w:left="660" w:right="22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appointed new individuals in key roles including the Chief Supply Chain and Operations Officer and other operational leadership roles;</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training and operational guidelines resulting in the successful completion of the Company’s annual physical inventory counts;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controls with regards to excess and obsolete inventory and inventory pricing and purchase arrangements.</w:t>
      </w:r>
    </w:p>
    <w:p>
      <w:pPr>
        <w:spacing w:after="0" w:line="2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implemented the remediation steps detailed above; however, the Company is unable to conclude that these controls are operating effectively until the applicable controls operate for a sufficient period of time and are subject to testing to conclude that remediation has been achieved. The Company anticipates that remediation activities will be completed during fiscal year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Other than the material weakness described above, there were no changes in our internal control over financial reporting (as such term is defined in the Exchange Act) that occurred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125" w:name="page126"/>
    <w:bookmarkEnd w:id="125"/>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Beauty Health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The Beauty Health Company and subsidiaries (the “Company”) as of December 31, 2024, based on criteria established in Internal Control — Integrated Framework (2013)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31, 2024, based on criteria established in Internal Control — Integrated Framework (2013) issued by COSO.</w:t>
      </w:r>
    </w:p>
    <w:p>
      <w:pPr>
        <w:spacing w:after="0" w:line="2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March 12, 2025, expressed an unqualified opinion on those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8"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5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lacks sufficient resources within inventory operations, with an appropriate level of accounting knowledge, training and experience which resulted in the ineffective design and operating effectiveness of controls over the accounting for inventory. As a result, the accounting department was not provided with complete and adequate support, documentation, and information to effectively analyze and record accounting matters timely and account for the financial statement effects of the areas impacted. This resulted in inadequate controls over 1) excess and obsolete inventory and 2) inventory pricing and purchase arrangements.</w:t>
      </w:r>
    </w:p>
    <w:p>
      <w:pPr>
        <w:spacing w:after="0" w:line="214" w:lineRule="exact"/>
        <w:rPr>
          <w:sz w:val="20"/>
          <w:szCs w:val="20"/>
          <w:color w:val="auto"/>
        </w:rPr>
      </w:pPr>
    </w:p>
    <w:p>
      <w:pPr>
        <w:jc w:val="both"/>
        <w:ind w:right="560"/>
        <w:spacing w:after="0" w:line="312" w:lineRule="auto"/>
        <w:rPr>
          <w:sz w:val="20"/>
          <w:szCs w:val="20"/>
          <w:color w:val="auto"/>
        </w:rPr>
      </w:pPr>
      <w:r>
        <w:rPr>
          <w:rFonts w:ascii="Times New Roman" w:cs="Times New Roman" w:eastAsia="Times New Roman" w:hAnsi="Times New Roman"/>
          <w:sz w:val="17"/>
          <w:szCs w:val="17"/>
          <w:color w:val="auto"/>
        </w:rPr>
        <w:t>This material weakness was considered in determining the nature, timing, and extent of audit tests applied in our audit of the consolidated financial statements as of and for the year ended December 31, 2024, of the Company, and this report does not affect our report on such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8" w:right="399" w:bottom="1440" w:gutter="0" w:footer="0" w:header="0"/>
        </w:sectPr>
      </w:pPr>
    </w:p>
    <w:bookmarkStart w:id="127" w:name="page128"/>
    <w:bookmarkEnd w:id="1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stated below, the information required by this Item will be included in the Company’s definitive proxy statement to be filed with the Securities and Exchange Commission within 120 days after our fiscal year end December 31, 2024, in connection with the solicitation of proxies for the Company’s 2025 Annual Meeting of Stockholders (the “2025 Proxy Statement”), under the captions “Proposal 1: Election of Eight Directors”, “Directors and Nominees”, “Corporate Governance — Board Committees — Audit Committee,”, and “Section 16(a) Beneficial Ownership Reporting Compliance” and is incorporated herein by reference.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4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the Company’s securities by its directors, officers, and employees that the Company believes is reasonably designed to promote compliance with insider trading laws, rules and regulations and the applicable Nasdaq listing standards. A copy of the Company's Insider Trading Policy is filed as Exhibit 19.1 to this Annual Report on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3" w:lineRule="exact"/>
        <w:rPr>
          <w:sz w:val="20"/>
          <w:szCs w:val="20"/>
          <w:color w:val="auto"/>
        </w:rPr>
      </w:pPr>
    </w:p>
    <w:p>
      <w:pPr>
        <w:ind w:right="460"/>
        <w:spacing w:after="0" w:line="245"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under the captions “Compensation Discussion and Analysis”, “Executive Compensation”, “Narrative to Summary Compensation Table and Grants of Plan-Based Awards Table”, “2024 Director Compensation”, “Corporate Governance - Compensation Committee Interlocks and Insider Participation,”, “Compensation Committee Report”, and “CEO Pay Ratio Disclosure”, and is incorporated herein by reference.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under the captions “Equity Compensation Plan Information” and “Security Ownership of Certain Beneficial Owners and Management”,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under the captions “Certain Relationships and Related Party Transactions” and “Corporate Governance - Affirmative Determinations Regarding Director and Nominee Independence”, and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43"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under the caption “Proposal 2: Ratification of Appointment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in Item 8 of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Exhibits required by Item 601 of Regulation S-K. See part (b)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exhibits listed in the accompanying index to exhibits are filed, furnished, or incorporated by reference as part of this Annual Report on Form 10-K.</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of the agreements filed as exhibits to this Annual Report on Form 10-K contain representations and warranties by the parties to the agreements that have been made solely for the benefit of the parties to the agreement. These representations and warranties:</w:t>
      </w:r>
    </w:p>
    <w:p>
      <w:pPr>
        <w:spacing w:after="0" w:line="189" w:lineRule="exact"/>
        <w:rPr>
          <w:sz w:val="20"/>
          <w:szCs w:val="20"/>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been qualified by disclosures that were made to the other parties in connection with the negotiation of the agreements, which disclosures are not necessarily reflected in the agreements;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that differ from those of a reasonable investor;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specified dates contained in the agreements and are subject to subsequent developments and changed circumstances.</w:t>
      </w:r>
    </w:p>
    <w:p>
      <w:pPr>
        <w:spacing w:after="0" w:line="252"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that these representations and warranties were made or at any other time. Investors should not rely on them as statements of fact.</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238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8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File No.   </w:t>
            </w:r>
            <w:r>
              <w:rPr>
                <w:rFonts w:ascii="Times New Roman" w:cs="Times New Roman" w:eastAsia="Times New Roman" w:hAnsi="Times New Roman"/>
                <w:sz w:val="18"/>
                <w:szCs w:val="18"/>
                <w:b w:val="1"/>
                <w:bCs w:val="1"/>
                <w:u w:val="single" w:color="auto"/>
                <w:color w:val="auto"/>
              </w:rPr>
              <w:t>Exhibit</w:t>
            </w:r>
          </w:p>
        </w:tc>
        <w:tc>
          <w:tcPr>
            <w:tcW w:w="13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940" w:type="dxa"/>
            <w:vAlign w:val="bottom"/>
          </w:tcPr>
          <w:p>
            <w:pPr>
              <w:jc w:val="center"/>
              <w:ind w:left="150"/>
              <w:spacing w:after="0" w:line="202" w:lineRule="exact"/>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43"/>
        </w:trPr>
        <w:tc>
          <w:tcPr>
            <w:tcW w:w="1940" w:type="dxa"/>
            <w:vAlign w:val="bottom"/>
            <w:vMerge w:val="continue"/>
          </w:tcPr>
          <w:p>
            <w:pPr>
              <w:spacing w:after="0"/>
              <w:rPr>
                <w:sz w:val="21"/>
                <w:szCs w:val="21"/>
                <w:color w:val="auto"/>
              </w:rPr>
            </w:pPr>
          </w:p>
        </w:tc>
        <w:tc>
          <w:tcPr>
            <w:tcW w:w="2380" w:type="dxa"/>
            <w:vAlign w:val="bottom"/>
            <w:vMerge w:val="continue"/>
          </w:tcPr>
          <w:p>
            <w:pPr>
              <w:spacing w:after="0"/>
              <w:rPr>
                <w:sz w:val="21"/>
                <w:szCs w:val="21"/>
                <w:color w:val="auto"/>
              </w:rPr>
            </w:pPr>
          </w:p>
        </w:tc>
        <w:tc>
          <w:tcPr>
            <w:tcW w:w="184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9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0</wp:posOffset>
            </wp:positionV>
            <wp:extent cx="7132320" cy="4972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2040" w:space="720"/>
            <w:col w:w="8460"/>
          </w:cols>
          <w:pgMar w:left="320" w:top="981" w:right="35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2.1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3.1</w:t>
        </w:r>
      </w:hyperlink>
    </w:p>
    <w:p>
      <w:pPr>
        <w:spacing w:after="0" w:line="20" w:lineRule="exact"/>
        <w:rPr>
          <w:sz w:val="20"/>
          <w:szCs w:val="20"/>
          <w:color w:val="auto"/>
        </w:rPr>
      </w:pPr>
      <w:r>
        <w:rPr>
          <w:sz w:val="20"/>
          <w:szCs w:val="20"/>
          <w:color w:val="auto"/>
        </w:rPr>
        <w:br w:type="column"/>
      </w:r>
    </w:p>
    <w:p>
      <w:pPr>
        <w:spacing w:after="0" w:line="236" w:lineRule="auto"/>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Agreement and Plan of Merger, dated as of December 8, 2020, by and</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among Vesper Healthcare Acquisition Corp., Hydrate Merger Sub I, Inc.,</w:t>
        </w:r>
      </w:hyperlink>
    </w:p>
    <w:p>
      <w:pPr>
        <w:ind w:right="180"/>
        <w:spacing w:after="0" w:line="239" w:lineRule="auto"/>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Hydrate Merger Sub II, LLC, LCP Edge Intermediate, Inc. and LCP</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Edge Holdco, LLC, in its capacity as the Stockholders’ Representative</w:t>
        </w:r>
      </w:hyperlink>
    </w:p>
    <w:p>
      <w:pPr>
        <w:spacing w:after="0" w:line="1" w:lineRule="exact"/>
        <w:rPr>
          <w:sz w:val="20"/>
          <w:szCs w:val="20"/>
          <w:color w:val="auto"/>
        </w:rPr>
      </w:pPr>
    </w:p>
    <w:p>
      <w:pPr>
        <w:ind w:right="480"/>
        <w:spacing w:after="0" w:line="260"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Second Amended and Restated Certificate of Incorporation of The</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Beauty Health Company</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001-39565</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2020</w:t>
            </w: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001-39565</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r>
    </w:tbl>
    <w:p>
      <w:pPr>
        <w:spacing w:after="0" w:line="200" w:lineRule="exact"/>
        <w:rPr>
          <w:sz w:val="20"/>
          <w:szCs w:val="20"/>
          <w:color w:val="auto"/>
        </w:rPr>
      </w:pPr>
    </w:p>
    <w:p>
      <w:pPr>
        <w:sectPr>
          <w:pgSz w:w="11900" w:h="16838" w:orient="portrait"/>
          <w:cols w:equalWidth="0" w:num="3">
            <w:col w:w="260" w:space="700"/>
            <w:col w:w="5260" w:space="160"/>
            <w:col w:w="4840"/>
          </w:cols>
          <w:pgMar w:left="320" w:top="981" w:right="35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gridSpan w:val="2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gridSpan w:val="33"/>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vMerge w:val="restart"/>
          </w:tcPr>
          <w:p>
            <w:pPr>
              <w:spacing w:after="0"/>
              <w:rPr>
                <w:sz w:val="15"/>
                <w:szCs w:val="15"/>
                <w:color w:val="auto"/>
              </w:rPr>
            </w:pPr>
          </w:p>
        </w:tc>
        <w:tc>
          <w:tcPr>
            <w:tcW w:w="240" w:type="dxa"/>
            <w:vAlign w:val="bottom"/>
            <w:tcBorders>
              <w:top w:val="single" w:sz="8" w:color="auto"/>
            </w:tcBorders>
            <w:vMerge w:val="restart"/>
          </w:tcPr>
          <w:p>
            <w:pPr>
              <w:spacing w:after="0"/>
              <w:rPr>
                <w:rFonts w:ascii="Times New Roman" w:cs="Times New Roman" w:eastAsia="Times New Roman" w:hAnsi="Times New Roman"/>
                <w:sz w:val="18"/>
                <w:szCs w:val="18"/>
                <w:color w:val="0000FF"/>
                <w:w w:val="97"/>
              </w:rPr>
            </w:pPr>
            <w:hyperlink r:id="rId15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340" w:type="dxa"/>
            <w:vAlign w:val="bottom"/>
            <w:tcBorders>
              <w:top w:val="single" w:sz="8" w:color="auto"/>
            </w:tcBorders>
            <w:gridSpan w:val="36"/>
          </w:tcPr>
          <w:p>
            <w:pPr>
              <w:spacing w:after="0" w:line="182"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Certificate of Amendment to the Second Amended and Restated</w:t>
              </w:r>
            </w:hyperlink>
          </w:p>
        </w:tc>
        <w:tc>
          <w:tcPr>
            <w:tcW w:w="40" w:type="dxa"/>
            <w:vAlign w:val="bottom"/>
          </w:tcPr>
          <w:p>
            <w:pPr>
              <w:spacing w:after="0"/>
              <w:rPr>
                <w:sz w:val="15"/>
                <w:szCs w:val="15"/>
                <w:color w:val="auto"/>
              </w:rPr>
            </w:pPr>
          </w:p>
        </w:tc>
        <w:tc>
          <w:tcPr>
            <w:tcW w:w="6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76"/>
        </w:trPr>
        <w:tc>
          <w:tcPr>
            <w:tcW w:w="20" w:type="dxa"/>
            <w:vAlign w:val="bottom"/>
            <w:tcBorders>
              <w:top w:val="single" w:sz="8" w:color="auto"/>
            </w:tcBorders>
            <w:vMerge w:val="continue"/>
          </w:tcPr>
          <w:p>
            <w:pPr>
              <w:spacing w:after="0"/>
              <w:rPr>
                <w:sz w:val="15"/>
                <w:szCs w:val="15"/>
                <w:color w:val="auto"/>
              </w:rPr>
            </w:pPr>
          </w:p>
        </w:tc>
        <w:tc>
          <w:tcPr>
            <w:tcW w:w="240" w:type="dxa"/>
            <w:vAlign w:val="bottom"/>
            <w:tcBorders>
              <w:top w:val="single" w:sz="8" w:color="auto"/>
              <w:bottom w:val="single" w:sz="8" w:color="0000FF"/>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Certificate of Incorporation of The Beauty Health Company</w:t>
              </w:r>
            </w:hyperlink>
          </w:p>
        </w:tc>
        <w:tc>
          <w:tcPr>
            <w:tcW w:w="300" w:type="dxa"/>
            <w:vAlign w:val="bottom"/>
            <w:tcBorders>
              <w:top w:val="single" w:sz="8" w:color="0000FF"/>
            </w:tcBorders>
            <w:gridSpan w:val="3"/>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80" w:type="dxa"/>
            <w:vAlign w:val="bottom"/>
            <w:tcBorders>
              <w:top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0" w:type="dxa"/>
            <w:vAlign w:val="bottom"/>
            <w:vMerge w:val="restart"/>
          </w:tcPr>
          <w:p>
            <w:pPr>
              <w:spacing w:after="0"/>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37"/>
          </w:tcPr>
          <w:p>
            <w:pPr>
              <w:spacing w:after="0" w:line="203"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Certificate of Amendment to the Second Amended and Restated</w:t>
              </w:r>
            </w:hyperlink>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2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Certificate of Incorporation of The Beauty Health Company</w:t>
              </w:r>
            </w:hyperlink>
          </w:p>
        </w:tc>
        <w:tc>
          <w:tcPr>
            <w:tcW w:w="260" w:type="dxa"/>
            <w:vAlign w:val="bottom"/>
            <w:tcBorders>
              <w:top w:val="single" w:sz="8" w:color="0000FF"/>
              <w:bottom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gridSpan w:val="2"/>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Amended and Restated Bylaws of The Beauty Health Company</w:t>
              </w:r>
            </w:hyperlink>
          </w:p>
        </w:tc>
        <w:tc>
          <w:tcPr>
            <w:tcW w:w="780" w:type="dxa"/>
            <w:vAlign w:val="bottom"/>
            <w:gridSpan w:val="19"/>
          </w:tcPr>
          <w:p>
            <w:pPr>
              <w:spacing w:after="0"/>
              <w:rPr>
                <w:sz w:val="21"/>
                <w:szCs w:val="21"/>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10"/>
        </w:trPr>
        <w:tc>
          <w:tcPr>
            <w:tcW w:w="260" w:type="dxa"/>
            <w:vAlign w:val="bottom"/>
            <w:gridSpan w:val="2"/>
            <w:vMerge w:val="restart"/>
          </w:tcPr>
          <w:p>
            <w:pPr>
              <w:ind w:left="20"/>
              <w:spacing w:after="0"/>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37"/>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Indenture, dated as of September 14, 2021, between The Beauty Health</w:t>
              </w:r>
            </w:hyperlink>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75"/>
        </w:trPr>
        <w:tc>
          <w:tcPr>
            <w:tcW w:w="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Company and U.S. Bank National Association, as trustee</w:t>
              </w:r>
            </w:hyperlink>
          </w:p>
        </w:tc>
        <w:tc>
          <w:tcPr>
            <w:tcW w:w="460" w:type="dxa"/>
            <w:vAlign w:val="bottom"/>
            <w:tcBorders>
              <w:top w:val="single" w:sz="8" w:color="0000FF"/>
            </w:tcBorders>
            <w:gridSpan w:val="2"/>
          </w:tcPr>
          <w:p>
            <w:pPr>
              <w:spacing w:after="0"/>
              <w:rPr>
                <w:sz w:val="15"/>
                <w:szCs w:val="15"/>
                <w:color w:val="auto"/>
              </w:rPr>
            </w:pPr>
          </w:p>
        </w:tc>
        <w:tc>
          <w:tcPr>
            <w:tcW w:w="140" w:type="dxa"/>
            <w:vAlign w:val="bottom"/>
            <w:tcBorders>
              <w:top w:val="single" w:sz="8" w:color="0000FF"/>
            </w:tcBorders>
            <w:gridSpan w:val="3"/>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37"/>
          </w:tcPr>
          <w:p>
            <w:pPr>
              <w:spacing w:after="0" w:line="203"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certificate representing the 1.25% Convertible Senior Notes due</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2026 (included as Exhibit A to Exhibit 4.1)</w:t>
              </w:r>
            </w:hyperlink>
          </w:p>
        </w:tc>
        <w:tc>
          <w:tcPr>
            <w:tcW w:w="10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60" w:type="dxa"/>
            <w:vAlign w:val="bottom"/>
            <w:tcBorders>
              <w:top w:val="single" w:sz="8" w:color="0000FF"/>
              <w:bottom w:val="single" w:sz="8" w:color="0000FF"/>
            </w:tcBorders>
          </w:tcPr>
          <w:p>
            <w:pPr>
              <w:spacing w:after="0"/>
              <w:rPr>
                <w:sz w:val="15"/>
                <w:szCs w:val="15"/>
                <w:color w:val="auto"/>
              </w:rPr>
            </w:pPr>
          </w:p>
        </w:tc>
        <w:tc>
          <w:tcPr>
            <w:tcW w:w="460" w:type="dxa"/>
            <w:vAlign w:val="bottom"/>
            <w:tcBorders>
              <w:top w:val="single" w:sz="8" w:color="0000FF"/>
              <w:bottom w:val="single" w:sz="8" w:color="0000FF"/>
            </w:tcBorders>
          </w:tcPr>
          <w:p>
            <w:pPr>
              <w:spacing w:after="0"/>
              <w:rPr>
                <w:sz w:val="15"/>
                <w:szCs w:val="15"/>
                <w:color w:val="auto"/>
              </w:rPr>
            </w:pPr>
          </w:p>
        </w:tc>
        <w:tc>
          <w:tcPr>
            <w:tcW w:w="360" w:type="dxa"/>
            <w:vAlign w:val="bottom"/>
            <w:tcBorders>
              <w:top w:val="single" w:sz="8" w:color="0000FF"/>
              <w:bottom w:val="single" w:sz="8" w:color="0000FF"/>
            </w:tcBorders>
          </w:tcPr>
          <w:p>
            <w:pPr>
              <w:spacing w:after="0"/>
              <w:rPr>
                <w:sz w:val="15"/>
                <w:szCs w:val="15"/>
                <w:color w:val="auto"/>
              </w:rPr>
            </w:pPr>
          </w:p>
        </w:tc>
        <w:tc>
          <w:tcPr>
            <w:tcW w:w="480" w:type="dxa"/>
            <w:vAlign w:val="bottom"/>
            <w:tcBorders>
              <w:top w:val="single" w:sz="8" w:color="0000FF"/>
              <w:bottom w:val="single" w:sz="8" w:color="0000FF"/>
            </w:tcBorders>
            <w:gridSpan w:val="3"/>
          </w:tcPr>
          <w:p>
            <w:pPr>
              <w:spacing w:after="0"/>
              <w:rPr>
                <w:sz w:val="15"/>
                <w:szCs w:val="15"/>
                <w:color w:val="auto"/>
              </w:rPr>
            </w:pPr>
          </w:p>
        </w:tc>
        <w:tc>
          <w:tcPr>
            <w:tcW w:w="140" w:type="dxa"/>
            <w:vAlign w:val="bottom"/>
            <w:tcBorders>
              <w:top w:val="single" w:sz="8" w:color="0000FF"/>
              <w:bottom w:val="single" w:sz="8" w:color="0000FF"/>
            </w:tcBorders>
            <w:gridSpan w:val="3"/>
          </w:tcPr>
          <w:p>
            <w:pPr>
              <w:spacing w:after="0"/>
              <w:rPr>
                <w:sz w:val="15"/>
                <w:szCs w:val="15"/>
                <w:color w:val="auto"/>
              </w:rPr>
            </w:pPr>
          </w:p>
        </w:tc>
        <w:tc>
          <w:tcPr>
            <w:tcW w:w="60" w:type="dxa"/>
            <w:vAlign w:val="bottom"/>
            <w:tcBorders>
              <w:top w:val="single" w:sz="8" w:color="0000FF"/>
              <w:bottom w:val="single" w:sz="8" w:color="0000FF"/>
            </w:tcBorders>
          </w:tcPr>
          <w:p>
            <w:pPr>
              <w:spacing w:after="0"/>
              <w:rPr>
                <w:sz w:val="15"/>
                <w:szCs w:val="15"/>
                <w:color w:val="auto"/>
              </w:rPr>
            </w:pPr>
          </w:p>
        </w:tc>
        <w:tc>
          <w:tcPr>
            <w:tcW w:w="60" w:type="dxa"/>
            <w:vAlign w:val="bottom"/>
            <w:tcBorders>
              <w:top w:val="single" w:sz="8" w:color="0000FF"/>
              <w:bottom w:val="single" w:sz="8" w:color="0000FF"/>
            </w:tcBorders>
          </w:tcPr>
          <w:p>
            <w:pPr>
              <w:spacing w:after="0"/>
              <w:rPr>
                <w:sz w:val="15"/>
                <w:szCs w:val="15"/>
                <w:color w:val="auto"/>
              </w:rPr>
            </w:pPr>
          </w:p>
        </w:tc>
        <w:tc>
          <w:tcPr>
            <w:tcW w:w="180" w:type="dxa"/>
            <w:vAlign w:val="bottom"/>
            <w:tcBorders>
              <w:top w:val="single" w:sz="8" w:color="0000FF"/>
              <w:bottom w:val="single" w:sz="8" w:color="0000FF"/>
            </w:tcBorders>
          </w:tcPr>
          <w:p>
            <w:pPr>
              <w:spacing w:after="0"/>
              <w:rPr>
                <w:sz w:val="15"/>
                <w:szCs w:val="15"/>
                <w:color w:val="auto"/>
              </w:rPr>
            </w:pPr>
          </w:p>
        </w:tc>
        <w:tc>
          <w:tcPr>
            <w:tcW w:w="6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gridSpan w:val="2"/>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gridSpan w:val="2"/>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37"/>
            <w:vMerge w:val="restart"/>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Warrant Agreement, dated September 29, 2020, between the Company</w:t>
              </w:r>
            </w:hyperlink>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37"/>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and Continental Stock Transfer &amp; Trust Company, as warrant agent</w:t>
              </w:r>
            </w:hyperlink>
          </w:p>
        </w:tc>
        <w:tc>
          <w:tcPr>
            <w:tcW w:w="180" w:type="dxa"/>
            <w:vAlign w:val="bottom"/>
            <w:tcBorders>
              <w:top w:val="single" w:sz="8" w:color="0000FF"/>
              <w:bottom w:val="single" w:sz="8" w:color="0000FF"/>
            </w:tcBorders>
          </w:tcPr>
          <w:p>
            <w:pPr>
              <w:spacing w:after="0"/>
              <w:rPr>
                <w:sz w:val="15"/>
                <w:szCs w:val="15"/>
                <w:color w:val="auto"/>
              </w:rPr>
            </w:pPr>
          </w:p>
        </w:tc>
        <w:tc>
          <w:tcPr>
            <w:tcW w:w="60" w:type="dxa"/>
            <w:vAlign w:val="bottom"/>
            <w:tcBorders>
              <w:top w:val="single" w:sz="8" w:color="0000FF"/>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37"/>
            <w:vMerge w:val="restart"/>
          </w:tcPr>
          <w:p>
            <w:pPr>
              <w:spacing w:after="0"/>
              <w:rPr>
                <w:sz w:val="20"/>
                <w:szCs w:val="20"/>
                <w:color w:val="auto"/>
              </w:rPr>
            </w:pPr>
            <w:r>
              <w:rPr>
                <w:rFonts w:ascii="Times New Roman" w:cs="Times New Roman" w:eastAsia="Times New Roman" w:hAnsi="Times New Roman"/>
                <w:sz w:val="18"/>
                <w:szCs w:val="18"/>
                <w:color w:val="0000FF"/>
              </w:rPr>
              <w:t>Description of Registrant’s Securities Registered Pursuant to Section 12</w:t>
            </w: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37"/>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8"/>
              </w:rPr>
              <w:t>of the Securities Exchange Act of 1934</w:t>
            </w:r>
          </w:p>
        </w:tc>
        <w:tc>
          <w:tcPr>
            <w:tcW w:w="38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gridSpan w:val="3"/>
          </w:tcPr>
          <w:p>
            <w:pPr>
              <w:spacing w:after="0"/>
              <w:rPr>
                <w:sz w:val="15"/>
                <w:szCs w:val="15"/>
                <w:color w:val="auto"/>
              </w:rPr>
            </w:pPr>
          </w:p>
        </w:tc>
        <w:tc>
          <w:tcPr>
            <w:tcW w:w="140" w:type="dxa"/>
            <w:vAlign w:val="bottom"/>
            <w:tcBorders>
              <w:top w:val="single" w:sz="8" w:color="0000FF"/>
            </w:tcBorders>
            <w:gridSpan w:val="3"/>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gridSpan w:val="2"/>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gridSpan w:val="2"/>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37"/>
            <w:vMerge w:val="restart"/>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Amended and Restated Registration Rights Agreement dated as of May</w:t>
              </w:r>
            </w:hyperlink>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37"/>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20" w:type="dxa"/>
            <w:vAlign w:val="bottom"/>
            <w:gridSpan w:val="2"/>
            <w:vMerge w:val="restart"/>
          </w:tcPr>
          <w:p>
            <w:pPr>
              <w:spacing w:after="0"/>
              <w:rPr>
                <w:rFonts w:ascii="Times New Roman" w:cs="Times New Roman" w:eastAsia="Times New Roman" w:hAnsi="Times New Roman"/>
                <w:sz w:val="18"/>
                <w:szCs w:val="18"/>
                <w:color w:val="0000FF"/>
                <w:w w:val="95"/>
              </w:rPr>
            </w:pPr>
            <w:hyperlink r:id="rId15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4, 2021, by and among the Company, BLS Investor Group LLC and the</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gridSpan w:val="28"/>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stockholders of LCP Edge Intermediate, Inc.</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37"/>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Investor Rights Agreement dated as of May 4, 2021, by and between the</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0" w:type="dxa"/>
            <w:vAlign w:val="bottom"/>
            <w:gridSpan w:val="3"/>
          </w:tcPr>
          <w:p>
            <w:pPr>
              <w:ind w:left="20"/>
              <w:spacing w:after="0" w:line="182" w:lineRule="exact"/>
              <w:rPr>
                <w:rFonts w:ascii="Times New Roman" w:cs="Times New Roman" w:eastAsia="Times New Roman" w:hAnsi="Times New Roman"/>
                <w:sz w:val="18"/>
                <w:szCs w:val="18"/>
                <w:color w:val="0000FF"/>
                <w:w w:val="95"/>
              </w:rPr>
            </w:pPr>
            <w:hyperlink r:id="rId16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Company and LCP Edge Holdco, LLC</w:t>
              </w:r>
            </w:hyperlink>
          </w:p>
        </w:tc>
        <w:tc>
          <w:tcPr>
            <w:tcW w:w="440" w:type="dxa"/>
            <w:vAlign w:val="bottom"/>
            <w:tcBorders>
              <w:top w:val="single" w:sz="8" w:color="0000FF"/>
            </w:tcBorders>
            <w:gridSpan w:val="4"/>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gridSpan w:val="3"/>
          </w:tcPr>
          <w:p>
            <w:pPr>
              <w:spacing w:after="0"/>
              <w:rPr>
                <w:sz w:val="15"/>
                <w:szCs w:val="15"/>
                <w:color w:val="auto"/>
              </w:rPr>
            </w:pPr>
          </w:p>
        </w:tc>
        <w:tc>
          <w:tcPr>
            <w:tcW w:w="140" w:type="dxa"/>
            <w:vAlign w:val="bottom"/>
            <w:tcBorders>
              <w:top w:val="single" w:sz="8" w:color="0000FF"/>
            </w:tcBorders>
            <w:gridSpan w:val="3"/>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gridSpan w:val="2"/>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gridSpan w:val="6"/>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6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w:t>
              </w:r>
            </w:hyperlink>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The Beauty Health Company 2021 Incentive Award Plan</w:t>
              </w:r>
            </w:hyperlink>
          </w:p>
        </w:tc>
        <w:tc>
          <w:tcPr>
            <w:tcW w:w="1280" w:type="dxa"/>
            <w:vAlign w:val="bottom"/>
            <w:gridSpan w:val="23"/>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gridSpan w:val="3"/>
          </w:tcPr>
          <w:p>
            <w:pPr>
              <w:spacing w:after="0"/>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w:t>
              </w:r>
            </w:hyperlink>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gridSpan w:val="37"/>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The Beauty Health Company 2021 Employee Stock Purchase Plan</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 w:type="dxa"/>
            <w:vAlign w:val="bottom"/>
            <w:tcBorders>
              <w:top w:val="single" w:sz="8" w:color="0000FF"/>
            </w:tcBorders>
            <w:gridSpan w:val="3"/>
            <w:vMerge w:val="restart"/>
          </w:tcPr>
          <w:p>
            <w:pPr>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The Beauty Health Company Amended and Restated Executive</w:t>
              </w:r>
            </w:hyperlink>
          </w:p>
        </w:tc>
        <w:tc>
          <w:tcPr>
            <w:tcW w:w="600" w:type="dxa"/>
            <w:vAlign w:val="bottom"/>
            <w:gridSpan w:val="16"/>
          </w:tcPr>
          <w:p>
            <w:pPr>
              <w:spacing w:after="0"/>
              <w:rPr>
                <w:sz w:val="18"/>
                <w:szCs w:val="18"/>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20" w:type="dxa"/>
            <w:vAlign w:val="bottom"/>
            <w:tcBorders>
              <w:top w:val="single" w:sz="8" w:color="0000FF"/>
              <w:bottom w:val="single" w:sz="8" w:color="0000FF"/>
            </w:tcBorders>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Severance Plan</w:t>
              </w:r>
            </w:hyperlink>
          </w:p>
        </w:tc>
        <w:tc>
          <w:tcPr>
            <w:tcW w:w="3480" w:type="dxa"/>
            <w:vAlign w:val="bottom"/>
            <w:tcBorders>
              <w:top w:val="single" w:sz="8" w:color="0000FF"/>
            </w:tcBorders>
            <w:gridSpan w:val="14"/>
          </w:tcPr>
          <w:p>
            <w:pPr>
              <w:spacing w:after="0"/>
              <w:rPr>
                <w:sz w:val="14"/>
                <w:szCs w:val="14"/>
                <w:color w:val="auto"/>
              </w:rPr>
            </w:pPr>
          </w:p>
        </w:tc>
        <w:tc>
          <w:tcPr>
            <w:tcW w:w="140" w:type="dxa"/>
            <w:vAlign w:val="bottom"/>
            <w:gridSpan w:val="3"/>
          </w:tcPr>
          <w:p>
            <w:pPr>
              <w:spacing w:after="0"/>
              <w:rPr>
                <w:sz w:val="14"/>
                <w:szCs w:val="14"/>
                <w:color w:val="auto"/>
              </w:rPr>
            </w:pPr>
          </w:p>
        </w:tc>
        <w:tc>
          <w:tcPr>
            <w:tcW w:w="30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 w:type="dxa"/>
            <w:vAlign w:val="bottom"/>
            <w:gridSpan w:val="3"/>
          </w:tcPr>
          <w:p>
            <w:pPr>
              <w:spacing w:after="0"/>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6#</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80" w:type="dxa"/>
            <w:vAlign w:val="bottom"/>
            <w:gridSpan w:val="3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Confirmation for Capped Call Transactions</w:t>
              </w:r>
            </w:hyperlink>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3"/>
            <w:vMerge w:val="restart"/>
          </w:tcPr>
          <w:p>
            <w:pPr>
              <w:spacing w:after="0"/>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7†</w:t>
            </w:r>
          </w:p>
        </w:tc>
        <w:tc>
          <w:tcPr>
            <w:tcW w:w="520" w:type="dxa"/>
            <w:vAlign w:val="bottom"/>
            <w:gridSpan w:val="2"/>
            <w:vMerge w:val="restart"/>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37"/>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Separation and Transition Agreement, dated November 11, 2024, by and</w:t>
              </w:r>
            </w:hyperlink>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 w:type="dxa"/>
            <w:vAlign w:val="bottom"/>
            <w:tcBorders>
              <w:bottom w:val="single" w:sz="8" w:color="0000FF"/>
            </w:tcBorders>
            <w:gridSpan w:val="3"/>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between Hydrafacial LLC and Daniel Watson</w:t>
              </w:r>
            </w:hyperlink>
          </w:p>
        </w:tc>
        <w:tc>
          <w:tcPr>
            <w:tcW w:w="1440" w:type="dxa"/>
            <w:vAlign w:val="bottom"/>
            <w:tcBorders>
              <w:top w:val="single" w:sz="8" w:color="0000FF"/>
            </w:tcBorders>
            <w:gridSpan w:val="8"/>
          </w:tcPr>
          <w:p>
            <w:pPr>
              <w:spacing w:after="0"/>
              <w:rPr>
                <w:sz w:val="14"/>
                <w:szCs w:val="14"/>
                <w:color w:val="auto"/>
              </w:rPr>
            </w:pPr>
          </w:p>
        </w:tc>
        <w:tc>
          <w:tcPr>
            <w:tcW w:w="300" w:type="dxa"/>
            <w:vAlign w:val="bottom"/>
            <w:tcBorders>
              <w:top w:val="single" w:sz="8" w:color="0000FF"/>
            </w:tcBorders>
            <w:gridSpan w:val="3"/>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gridSpan w:val="6"/>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Subsidiaries of The Beauty Health Company</w:t>
            </w:r>
          </w:p>
        </w:tc>
        <w:tc>
          <w:tcPr>
            <w:tcW w:w="2160" w:type="dxa"/>
            <w:vAlign w:val="bottom"/>
            <w:gridSpan w:val="26"/>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0" w:type="dxa"/>
            <w:vAlign w:val="bottom"/>
            <w:gridSpan w:val="1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420" w:type="dxa"/>
            <w:vAlign w:val="bottom"/>
            <w:tcBorders>
              <w:right w:val="single" w:sz="8" w:color="0000FF"/>
            </w:tcBorders>
            <w:gridSpan w:val="15"/>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gridSpan w:val="37"/>
          </w:tcPr>
          <w:p>
            <w:pPr>
              <w:spacing w:after="0" w:line="156" w:lineRule="exact"/>
              <w:rPr>
                <w:sz w:val="20"/>
                <w:szCs w:val="20"/>
                <w:color w:val="auto"/>
              </w:rPr>
            </w:pPr>
            <w:r>
              <w:rPr>
                <w:rFonts w:ascii="Times New Roman" w:cs="Times New Roman" w:eastAsia="Times New Roman" w:hAnsi="Times New Roman"/>
                <w:sz w:val="18"/>
                <w:szCs w:val="18"/>
                <w:color w:val="0000FF"/>
              </w:rPr>
              <w:t>Exchange Act Rules 13a-14(a), as adopted Pursuant to Section 302 of</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420" w:type="dxa"/>
            <w:vAlign w:val="bottom"/>
            <w:gridSpan w:val="1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Securities</w:t>
            </w:r>
          </w:p>
        </w:tc>
        <w:tc>
          <w:tcPr>
            <w:tcW w:w="660" w:type="dxa"/>
            <w:vAlign w:val="bottom"/>
            <w:gridSpan w:val="17"/>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gridSpan w:val="37"/>
          </w:tcPr>
          <w:p>
            <w:pPr>
              <w:spacing w:after="0" w:line="156" w:lineRule="exact"/>
              <w:rPr>
                <w:sz w:val="20"/>
                <w:szCs w:val="20"/>
                <w:color w:val="auto"/>
              </w:rPr>
            </w:pPr>
            <w:r>
              <w:rPr>
                <w:rFonts w:ascii="Times New Roman" w:cs="Times New Roman" w:eastAsia="Times New Roman" w:hAnsi="Times New Roman"/>
                <w:sz w:val="18"/>
                <w:szCs w:val="18"/>
                <w:color w:val="0000FF"/>
              </w:rPr>
              <w:t>Exchange Act Rules 13a-14(a), as adopted Pursuant to Section 302 of</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420" w:type="dxa"/>
            <w:vAlign w:val="bottom"/>
            <w:gridSpan w:val="1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60" w:type="dxa"/>
            <w:vAlign w:val="bottom"/>
            <w:tcBorders>
              <w:right w:val="single" w:sz="8" w:color="0000FF"/>
            </w:tcBorders>
            <w:gridSpan w:val="18"/>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gridSpan w:val="37"/>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20" w:type="dxa"/>
            <w:vAlign w:val="bottom"/>
            <w:tcBorders>
              <w:bottom w:val="single" w:sz="8" w:color="0000FF"/>
            </w:tcBorders>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4380" w:type="dxa"/>
            <w:vAlign w:val="bottom"/>
            <w:tcBorders>
              <w:top w:val="single" w:sz="8" w:color="0000FF"/>
            </w:tcBorders>
            <w:gridSpan w:val="29"/>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35"/>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6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20" w:type="dxa"/>
            <w:vAlign w:val="bottom"/>
            <w:tcBorders>
              <w:bottom w:val="single" w:sz="8" w:color="0000FF"/>
            </w:tcBorders>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2002</w:t>
            </w:r>
          </w:p>
        </w:tc>
        <w:tc>
          <w:tcPr>
            <w:tcW w:w="5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166">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The Beauty Health Company Amended and Restated Clawback Policy</w:t>
              </w:r>
            </w:hyperlink>
          </w:p>
        </w:tc>
        <w:tc>
          <w:tcPr>
            <w:tcW w:w="300" w:type="dxa"/>
            <w:vAlign w:val="bottom"/>
            <w:gridSpan w:val="13"/>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gridSpan w:val="2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-6196965</wp:posOffset>
            </wp:positionV>
            <wp:extent cx="7132320" cy="274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-5657215</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-5228590</wp:posOffset>
            </wp:positionV>
            <wp:extent cx="7132320" cy="291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-4645660</wp:posOffset>
            </wp:positionV>
            <wp:extent cx="7132320" cy="291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291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-3522980</wp:posOffset>
            </wp:positionV>
            <wp:extent cx="713232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-3093720</wp:posOffset>
            </wp:positionV>
            <wp:extent cx="713232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-2374265</wp:posOffset>
            </wp:positionV>
            <wp:extent cx="713232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3771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3771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vMerge w:val="restart"/>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vMerge w:val="restart"/>
          </w:tcPr>
          <w:p>
            <w:pPr>
              <w:spacing w:after="0"/>
              <w:rPr>
                <w:sz w:val="17"/>
                <w:szCs w:val="17"/>
                <w:color w:val="auto"/>
              </w:rPr>
            </w:pPr>
          </w:p>
        </w:tc>
        <w:tc>
          <w:tcPr>
            <w:tcW w:w="15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80" w:type="dxa"/>
            <w:vAlign w:val="bottom"/>
            <w:vMerge w:val="restart"/>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43"/>
        </w:trPr>
        <w:tc>
          <w:tcPr>
            <w:tcW w:w="86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412"/>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June 11, 2024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June 11, 2024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10, 2021</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14,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14,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October 5,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9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2"/>
                <w:szCs w:val="22"/>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30, 2021</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2"/>
                <w:szCs w:val="22"/>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30, 2021</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8, 2024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2"/>
                <w:szCs w:val="22"/>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14, 2021</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November 12, 2024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9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9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94"/>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94"/>
        </w:trPr>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001-39565</w:t>
            </w:r>
          </w:p>
        </w:tc>
        <w:tc>
          <w:tcPr>
            <w:tcW w:w="12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24"/>
                <w:szCs w:val="24"/>
                <w:color w:val="auto"/>
              </w:rPr>
            </w:pPr>
          </w:p>
        </w:tc>
        <w:tc>
          <w:tcPr>
            <w:tcW w:w="1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March 12, 2024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2">
            <w:col w:w="7040" w:space="80"/>
            <w:col w:w="4120"/>
          </w:cols>
          <w:pgMar w:left="320" w:top="1035"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0" w:type="dxa"/>
            <w:vAlign w:val="bottom"/>
            <w:gridSpan w:val="2"/>
          </w:tcPr>
          <w:p>
            <w:pPr>
              <w:ind w:left="39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540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7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File No.   Exhibit</w:t>
            </w: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243"/>
        </w:trPr>
        <w:tc>
          <w:tcPr>
            <w:tcW w:w="980" w:type="dxa"/>
            <w:vAlign w:val="bottom"/>
            <w:gridSpan w:val="2"/>
            <w:vMerge w:val="continue"/>
          </w:tcPr>
          <w:p>
            <w:pPr>
              <w:spacing w:after="0"/>
              <w:rPr>
                <w:sz w:val="21"/>
                <w:szCs w:val="21"/>
                <w:color w:val="auto"/>
              </w:rPr>
            </w:pPr>
          </w:p>
        </w:tc>
        <w:tc>
          <w:tcPr>
            <w:tcW w:w="5400" w:type="dxa"/>
            <w:vAlign w:val="bottom"/>
            <w:gridSpan w:val="2"/>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700" w:type="dxa"/>
            <w:vAlign w:val="bottom"/>
            <w:gridSpan w:val="4"/>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8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21"/>
                <w:szCs w:val="21"/>
                <w:color w:val="auto"/>
              </w:rPr>
            </w:pPr>
          </w:p>
        </w:tc>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contained in Exhibit 101 attachments</w:t>
            </w: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9" w:lineRule="exact"/>
        <w:rPr>
          <w:sz w:val="20"/>
          <w:szCs w:val="20"/>
          <w:color w:val="auto"/>
        </w:rPr>
      </w:pPr>
    </w:p>
    <w:p>
      <w:pPr>
        <w:ind w:left="340" w:right="360" w:hanging="332"/>
        <w:spacing w:after="0" w:line="253" w:lineRule="auto"/>
        <w:tabs>
          <w:tab w:leader="none" w:pos="22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w:t>
      </w:r>
    </w:p>
    <w:p>
      <w:pPr>
        <w:ind w:left="340"/>
        <w:spacing w:after="0" w:line="222" w:lineRule="auto"/>
        <w:rPr>
          <w:sz w:val="20"/>
          <w:szCs w:val="20"/>
          <w:color w:val="auto"/>
        </w:rPr>
      </w:pPr>
      <w:r>
        <w:rPr>
          <w:rFonts w:ascii="Times New Roman" w:cs="Times New Roman" w:eastAsia="Times New Roman" w:hAnsi="Times New Roman"/>
          <w:sz w:val="14"/>
          <w:szCs w:val="14"/>
          <w:color w:val="auto"/>
        </w:rPr>
        <w:t>language in such filing.</w:t>
      </w:r>
    </w:p>
    <w:p>
      <w:pPr>
        <w:jc w:val="both"/>
        <w:ind w:left="300" w:right="40" w:hanging="323"/>
        <w:spacing w:after="0" w:line="241" w:lineRule="auto"/>
        <w:tabs>
          <w:tab w:leader="none" w:pos="280" w:val="left"/>
        </w:tabs>
        <w:rPr>
          <w:sz w:val="20"/>
          <w:szCs w:val="20"/>
          <w:color w:val="auto"/>
        </w:rPr>
      </w:pPr>
      <w:r>
        <w:rPr>
          <w:rFonts w:ascii="Times New Roman" w:cs="Times New Roman" w:eastAsia="Times New Roman" w:hAnsi="Times New Roman"/>
          <w:sz w:val="14"/>
          <w:szCs w:val="14"/>
          <w:color w:val="auto"/>
        </w:rPr>
        <w:t>**</w:t>
        <w:tab/>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spacing w:after="0" w:line="1" w:lineRule="exact"/>
        <w:rPr>
          <w:sz w:val="20"/>
          <w:szCs w:val="20"/>
          <w:color w:val="auto"/>
        </w:rPr>
      </w:pPr>
    </w:p>
    <w:p>
      <w:pPr>
        <w:ind w:left="220" w:right="220" w:hanging="323"/>
        <w:spacing w:after="0" w:line="241" w:lineRule="auto"/>
        <w:tabs>
          <w:tab w:leader="none" w:pos="200" w:val="left"/>
        </w:tabs>
        <w:rPr>
          <w:sz w:val="20"/>
          <w:szCs w:val="20"/>
          <w:color w:val="auto"/>
        </w:rPr>
      </w:pPr>
      <w:r>
        <w:rPr>
          <w:rFonts w:ascii="Times New Roman" w:cs="Times New Roman" w:eastAsia="Times New Roman" w:hAnsi="Times New Roman"/>
          <w:sz w:val="14"/>
          <w:szCs w:val="14"/>
          <w:color w:val="auto"/>
        </w:rPr>
        <w:t>†</w:t>
        <w:tab/>
        <w:t>Certain confidential information (indicated by brackets and asterisks) has been omitted from this exhibit because it is both (i) not material and (ii) the type of information that the registrant treats as private or confidential.</w:t>
      </w:r>
    </w:p>
    <w:p>
      <w:pPr>
        <w:spacing w:after="0" w:line="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plan or arrangement.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Financial Statement Schedule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15(a)(2)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7980" w:type="dxa"/>
            <w:vAlign w:val="bottom"/>
            <w:gridSpan w:val="2"/>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8"/>
              </w:rPr>
              <w:t>THE BEAUTY HEALTH COMPANY</w:t>
            </w:r>
          </w:p>
        </w:tc>
      </w:tr>
      <w:tr>
        <w:trPr>
          <w:trHeight w:val="48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79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Marla Beck</w:t>
            </w:r>
          </w:p>
        </w:tc>
      </w:tr>
      <w:tr>
        <w:trPr>
          <w:trHeight w:val="218"/>
        </w:trPr>
        <w:tc>
          <w:tcPr>
            <w:tcW w:w="3020" w:type="dxa"/>
            <w:vAlign w:val="bottom"/>
          </w:tcPr>
          <w:p>
            <w:pPr>
              <w:spacing w:after="0"/>
              <w:rPr>
                <w:sz w:val="18"/>
                <w:szCs w:val="18"/>
                <w:color w:val="auto"/>
              </w:rPr>
            </w:pPr>
          </w:p>
        </w:tc>
        <w:tc>
          <w:tcPr>
            <w:tcW w:w="2260" w:type="dxa"/>
            <w:vAlign w:val="bottom"/>
          </w:tcPr>
          <w:p>
            <w:pPr>
              <w:ind w:left="1760"/>
              <w:spacing w:after="0"/>
              <w:rPr>
                <w:sz w:val="20"/>
                <w:szCs w:val="20"/>
                <w:color w:val="auto"/>
              </w:rPr>
            </w:pPr>
            <w:r>
              <w:rPr>
                <w:rFonts w:ascii="Times New Roman" w:cs="Times New Roman" w:eastAsia="Times New Roman" w:hAnsi="Times New Roman"/>
                <w:sz w:val="18"/>
                <w:szCs w:val="18"/>
                <w:color w:val="auto"/>
                <w:w w:val="99"/>
              </w:rPr>
              <w:t>Name:</w:t>
            </w:r>
          </w:p>
        </w:tc>
        <w:tc>
          <w:tcPr>
            <w:tcW w:w="5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Marla Beck</w:t>
            </w:r>
          </w:p>
        </w:tc>
      </w:tr>
      <w:tr>
        <w:trPr>
          <w:trHeight w:val="230"/>
        </w:trPr>
        <w:tc>
          <w:tcPr>
            <w:tcW w:w="3020" w:type="dxa"/>
            <w:vAlign w:val="bottom"/>
          </w:tcPr>
          <w:p>
            <w:pPr>
              <w:spacing w:after="0"/>
              <w:rPr>
                <w:sz w:val="19"/>
                <w:szCs w:val="19"/>
                <w:color w:val="auto"/>
              </w:rPr>
            </w:pPr>
          </w:p>
        </w:tc>
        <w:tc>
          <w:tcPr>
            <w:tcW w:w="7980" w:type="dxa"/>
            <w:vAlign w:val="bottom"/>
            <w:gridSpan w:val="2"/>
          </w:tcPr>
          <w:p>
            <w:pPr>
              <w:jc w:val="center"/>
              <w:ind w:right="2030"/>
              <w:spacing w:after="0"/>
              <w:rPr>
                <w:sz w:val="20"/>
                <w:szCs w:val="20"/>
                <w:color w:val="auto"/>
              </w:rPr>
            </w:pPr>
            <w:r>
              <w:rPr>
                <w:rFonts w:ascii="Times New Roman" w:cs="Times New Roman" w:eastAsia="Times New Roman" w:hAnsi="Times New Roman"/>
                <w:sz w:val="18"/>
                <w:szCs w:val="18"/>
                <w:color w:val="auto"/>
                <w:w w:val="98"/>
              </w:rPr>
              <w:t>Title: Chief Executive Officer</w:t>
            </w:r>
          </w:p>
        </w:tc>
      </w:tr>
      <w:tr>
        <w:trPr>
          <w:trHeight w:val="234"/>
        </w:trPr>
        <w:tc>
          <w:tcPr>
            <w:tcW w:w="3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3" w:name="page134"/>
    <w:bookmarkEnd w:id="13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right="80"/>
        <w:spacing w:after="0" w:line="219" w:lineRule="exact"/>
        <w:rPr>
          <w:sz w:val="20"/>
          <w:szCs w:val="20"/>
          <w:color w:val="auto"/>
        </w:rPr>
      </w:pPr>
      <w:r>
        <w:rPr>
          <w:rFonts w:ascii="Times New Roman" w:cs="Times New Roman" w:eastAsia="Times New Roman" w:hAnsi="Times New Roman"/>
          <w:sz w:val="18"/>
          <w:szCs w:val="18"/>
          <w:color w:val="auto"/>
        </w:rPr>
        <w:t>Each person whose individual signature appears below hereby authorizes, constitutes, and appoints Marla Beck and Michael Monahan, and each of them, with full power of substitution and re-substitution and full power to act without the other, as his or her true and lawful attorney-in-fact and agent to act in his or her name, place, and stead, in any and all capacities, to execute in the name and on behalf of each person, individually and in each capacity stated below, and to file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that all said attorneys-in-fact and agents, or any of them or their or his or her substitute or substitutes may lawfully do or cause to be done by virtue thereof.</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3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8"/>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Marla Beck</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March 12, 2025</w:t>
            </w:r>
          </w:p>
        </w:tc>
      </w:tr>
      <w:tr>
        <w:trPr>
          <w:trHeight w:val="22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Marla Beck</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Monahan</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March 12, 2025</w:t>
            </w:r>
          </w:p>
        </w:tc>
      </w:tr>
      <w:tr>
        <w:trPr>
          <w:trHeight w:val="22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Monahan</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Brenton L. Saunders</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w:t>
            </w:r>
          </w:p>
        </w:tc>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March 12, 2025</w:t>
            </w:r>
          </w:p>
        </w:tc>
      </w:tr>
      <w:tr>
        <w:trPr>
          <w:trHeight w:val="22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Brenton L. Saunders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D. Capellas</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March 12, 2025</w:t>
            </w:r>
          </w:p>
        </w:tc>
      </w:tr>
      <w:tr>
        <w:trPr>
          <w:trHeight w:val="22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D. Capellas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Stephen J. Fanning</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March 12, 2025</w:t>
            </w:r>
          </w:p>
        </w:tc>
      </w:tr>
      <w:tr>
        <w:trPr>
          <w:trHeight w:val="22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J. Fanning</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Desiree Gruber</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March 12, 2025</w:t>
            </w:r>
          </w:p>
        </w:tc>
      </w:tr>
      <w:tr>
        <w:trPr>
          <w:trHeight w:val="22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Desiree Gruber</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Michelle Kerrick</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March 12, 2025</w:t>
            </w:r>
          </w:p>
        </w:tc>
      </w:tr>
      <w:tr>
        <w:trPr>
          <w:trHeight w:val="22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Kerrick</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Miller</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March 12, 2025</w:t>
            </w:r>
          </w:p>
        </w:tc>
      </w:tr>
      <w:tr>
        <w:trPr>
          <w:trHeight w:val="22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Miller</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Doug Schillinger</w:t>
            </w:r>
          </w:p>
        </w:tc>
        <w:tc>
          <w:tcPr>
            <w:tcW w:w="4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7"/>
              </w:rPr>
              <w:t>March 12, 2025</w:t>
            </w:r>
          </w:p>
        </w:tc>
      </w:tr>
      <w:tr>
        <w:trPr>
          <w:trHeight w:val="22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 Schillinger</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90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6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134</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180"/>
          </w:cols>
          <w:pgMar w:left="320" w:top="981" w:right="39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PURSUANT TO SECTION 12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0"/>
          <w:szCs w:val="20"/>
          <w:color w:val="auto"/>
        </w:rPr>
      </w:pPr>
    </w:p>
    <w:p>
      <w:pPr>
        <w:jc w:val="both"/>
        <w:ind w:right="280" w:firstLine="441"/>
        <w:spacing w:after="0" w:line="301" w:lineRule="auto"/>
        <w:rPr>
          <w:sz w:val="20"/>
          <w:szCs w:val="20"/>
          <w:color w:val="auto"/>
        </w:rPr>
      </w:pPr>
      <w:r>
        <w:rPr>
          <w:rFonts w:ascii="Times New Roman" w:cs="Times New Roman" w:eastAsia="Times New Roman" w:hAnsi="Times New Roman"/>
          <w:sz w:val="18"/>
          <w:szCs w:val="18"/>
          <w:color w:val="auto"/>
        </w:rPr>
        <w:t>The following summary of the material terms of the securities of The Beauty Health Company registered pursuant to Section 12 of the Securities Exchange Act of 1934, as amended (the “Exchange Act”). This description of the terms of our stock does not purport to be a complete summary of the rights and preferences of such securities and is subject to and qualified by reference to the full text of the Second Amended and Restated Certificate of Incorporation, including the Certificates of Amendment to the Second Amended and Restated Certificate of Incorporation (as amended, the “Second</w:t>
      </w:r>
    </w:p>
    <w:p>
      <w:pPr>
        <w:spacing w:after="0" w:line="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color w:val="auto"/>
        </w:rPr>
        <w:t>Amended and Restated Certificate of Incorporation”), and Amended and Restated Bylaws, copies of which have been filed as exhibits to this Annual Report on Form 10-K filed with the Securities and Exchange Commission (“SEC”). We urge you to read our Second Amended and Restated Certificate of</w:t>
      </w:r>
    </w:p>
    <w:p>
      <w:pPr>
        <w:ind w:right="40"/>
        <w:spacing w:after="0" w:line="261" w:lineRule="auto"/>
        <w:rPr>
          <w:sz w:val="20"/>
          <w:szCs w:val="20"/>
          <w:color w:val="auto"/>
        </w:rPr>
      </w:pPr>
      <w:r>
        <w:rPr>
          <w:rFonts w:ascii="Times New Roman" w:cs="Times New Roman" w:eastAsia="Times New Roman" w:hAnsi="Times New Roman"/>
          <w:sz w:val="18"/>
          <w:szCs w:val="18"/>
          <w:color w:val="auto"/>
        </w:rPr>
        <w:t>Incorporation and our Amended and Restated Bylaws in their entirety for a complete description of the rights and preferences of our securities. As used in this “Description of Registrant’s Securities Registered Pursuant to Section 12 of the Securities Exchange Act of 1934,” references to the “Company,” “we,” “our” or “us” refer solely to The Beauty Health Company and not to any of its subsidiaries, unless otherwise expressly stated or the context otherwise requires.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56"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The Second Amended and Restated Certificate of Incorporation authorizes the issuance of 321,000,000 shares of capital stock, consisting of (i) 320,000,000 shares of Common Stock, consisting entirely of 320,000,000 shares of Class A Common Stock, $0.0001 par value per share (after giving effect to the conversion of each outstanding share of Class B Stock immediately prior to the closing of the Business Combination into one share of Class A Common Stock) and (ii) 1,000,000 shares of preferred stock, par value $0.0001 per share. The outstanding shares of our Common Stock are, and the shares of Common Stock issuable in connection with the Business Combination pursuant to the Merger Agreement and the Private Placement will be, duly authorized, validly issued, fully paid and non assessable.</w:t>
      </w:r>
    </w:p>
    <w:p>
      <w:pPr>
        <w:spacing w:after="0" w:line="214" w:lineRule="exact"/>
        <w:rPr>
          <w:sz w:val="20"/>
          <w:szCs w:val="20"/>
          <w:color w:val="auto"/>
        </w:rPr>
      </w:pPr>
    </w:p>
    <w:p>
      <w:pPr>
        <w:ind w:firstLine="441"/>
        <w:spacing w:after="0" w:line="329" w:lineRule="auto"/>
        <w:rPr>
          <w:sz w:val="20"/>
          <w:szCs w:val="20"/>
          <w:color w:val="auto"/>
        </w:rPr>
      </w:pPr>
      <w:r>
        <w:rPr>
          <w:rFonts w:ascii="Times New Roman" w:cs="Times New Roman" w:eastAsia="Times New Roman" w:hAnsi="Times New Roman"/>
          <w:sz w:val="18"/>
          <w:szCs w:val="18"/>
          <w:color w:val="auto"/>
        </w:rPr>
        <w:t>As of December 31, 2024, we had 124,924,185 shares of Class A Common Stock outstanding. The outstanding shares of our Common Stock are duly authorized, validly issued, fully paid and non assessable.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295" w:lineRule="exact"/>
        <w:rPr>
          <w:sz w:val="20"/>
          <w:szCs w:val="20"/>
          <w:color w:val="auto"/>
        </w:rPr>
      </w:pPr>
    </w:p>
    <w:p>
      <w:pPr>
        <w:ind w:right="20" w:firstLine="441"/>
        <w:spacing w:after="0" w:line="305"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and are entitled to one vote per</w:t>
      </w:r>
    </w:p>
    <w:p>
      <w:pPr>
        <w:ind w:right="740"/>
        <w:spacing w:after="0" w:line="282" w:lineRule="auto"/>
        <w:rPr>
          <w:sz w:val="20"/>
          <w:szCs w:val="20"/>
          <w:color w:val="auto"/>
        </w:rPr>
      </w:pPr>
      <w:r>
        <w:rPr>
          <w:rFonts w:ascii="Times New Roman" w:cs="Times New Roman" w:eastAsia="Times New Roman" w:hAnsi="Times New Roman"/>
          <w:sz w:val="18"/>
          <w:szCs w:val="18"/>
          <w:color w:val="auto"/>
        </w:rPr>
        <w:t>share on matters to be voted on by stockholders. The holders of Class A Common Stock shall at all times vote together as one class on all matters submitted to a vote of the holders of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holders of Common Stock are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Dissolution and Winding Up</w:t>
      </w:r>
    </w:p>
    <w:p>
      <w:pPr>
        <w:sectPr>
          <w:pgSz w:w="11900" w:h="16838" w:orient="portrait"/>
          <w:cols w:equalWidth="0" w:num="1">
            <w:col w:w="11240"/>
          </w:cols>
          <w:pgMar w:left="320" w:top="1413" w:right="339" w:bottom="1440" w:gutter="0" w:footer="0" w:header="0"/>
        </w:sectPr>
      </w:pPr>
    </w:p>
    <w:bookmarkStart w:id="135" w:name="page136"/>
    <w:bookmarkEnd w:id="135"/>
    <w:p>
      <w:pPr>
        <w:spacing w:after="0" w:line="221" w:lineRule="exact"/>
        <w:rPr>
          <w:sz w:val="20"/>
          <w:szCs w:val="20"/>
          <w:color w:val="auto"/>
        </w:rPr>
      </w:pPr>
    </w:p>
    <w:p>
      <w:pPr>
        <w:jc w:val="both"/>
        <w:ind w:right="160" w:firstLine="405"/>
        <w:spacing w:after="0" w:line="313"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the holders of Common Stock will be entitled to receive all the remaining assets of the post- combination company available for distribution to stockholders, ratably in proportion to the number of shares of Common Stock held by them, after the rights of the holders of the preferred stock have been satisfied.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3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stockholders have no preemptive or other subscription rights and there are no sinking fund or redemption provisions applicable to our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295" w:lineRule="exact"/>
        <w:rPr>
          <w:sz w:val="20"/>
          <w:szCs w:val="20"/>
          <w:color w:val="auto"/>
        </w:rPr>
      </w:pPr>
    </w:p>
    <w:p>
      <w:pPr>
        <w:ind w:right="120" w:firstLine="405"/>
        <w:spacing w:after="0" w:line="329" w:lineRule="auto"/>
        <w:rPr>
          <w:sz w:val="20"/>
          <w:szCs w:val="20"/>
          <w:color w:val="auto"/>
        </w:rPr>
      </w:pPr>
      <w:r>
        <w:rPr>
          <w:rFonts w:ascii="Times New Roman" w:cs="Times New Roman" w:eastAsia="Times New Roman" w:hAnsi="Times New Roman"/>
          <w:sz w:val="18"/>
          <w:szCs w:val="18"/>
          <w:color w:val="auto"/>
        </w:rPr>
        <w:t>There is no cumulative voting with respect to the election of directors, with the result that directions will be elected by a plurality of the votes cast at a meeting of stockholders by holders of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56"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56" w:lineRule="exact"/>
        <w:rPr>
          <w:sz w:val="20"/>
          <w:szCs w:val="20"/>
          <w:color w:val="auto"/>
        </w:rPr>
      </w:pPr>
    </w:p>
    <w:p>
      <w:pPr>
        <w:ind w:right="120" w:firstLine="441"/>
        <w:spacing w:after="0" w:line="271" w:lineRule="auto"/>
        <w:rPr>
          <w:sz w:val="20"/>
          <w:szCs w:val="20"/>
          <w:color w:val="auto"/>
        </w:rPr>
      </w:pPr>
      <w:r>
        <w:rPr>
          <w:rFonts w:ascii="Times New Roman" w:cs="Times New Roman" w:eastAsia="Times New Roman" w:hAnsi="Times New Roman"/>
          <w:sz w:val="17"/>
          <w:szCs w:val="17"/>
          <w:color w:val="auto"/>
        </w:rPr>
        <w:t>Our Second Amended and Restated Certificate of Incorporation requires, unless the Company consents in writing to the selection of an alternative forum, that the Court of Chancery of the State of Delaware (or, in the event that the Court of Chancery does not have jurisdiction, the federal district court for the District of Delaware or, in the event that the federal district court for the District of Delaware does not have jurisdiction, other state courts of the State of Delaware) will be the sole and exclusive forum for (i) any derivative action, suit or proceeding brought on behalf of the Company, (ii) any action, suit or proceeding asserting a claim of breach of a fiduciary duty owed by any director, officer, employee or stockholder of the Company to the Company or its stockholders, (iii) any action, suit or proceeding asserting a claim against the Company, its directors, officers or employees arising pursuant to any provision of the DGCL or the Amended and Restated Bylaws or the Second Amended and Restated Certificate of Incorporation or (iv) any action, suit or proceeding asserting a claim against the Company, its directors, officers or employees governed by the internal affairs doctrine. If an action is brought outside of Delaware, the stockholder bringing the suit will be deemed to have consented to service of process on such stockholder’ s counsel.</w:t>
      </w:r>
    </w:p>
    <w:p>
      <w:pPr>
        <w:spacing w:after="0" w:line="200"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In addition, our Second Amended and Restated Certificate of Incorporation requires, unless the Company consents in writing to the selection of an alternative forum, that the federal district courts of the United States of America will be the exclusive forum for the resolution of any complaint asserting a cause of action arising under the Securities Act of 1933, as amended, or the rules and regulations promulgated thereunder. We note, however, that investors cannot waive compliance with the federal securities laws and the rules and regulations thereunder. Section</w:t>
      </w:r>
    </w:p>
    <w:p>
      <w:pPr>
        <w:sectPr>
          <w:pgSz w:w="11900" w:h="16838" w:orient="portrait"/>
          <w:cols w:equalWidth="0" w:num="1">
            <w:col w:w="11220"/>
          </w:cols>
          <w:pgMar w:left="320" w:top="1440" w:right="359" w:bottom="1440" w:gutter="0" w:footer="0" w:header="0"/>
        </w:sectPr>
      </w:pPr>
    </w:p>
    <w:bookmarkStart w:id="136" w:name="page137"/>
    <w:bookmarkEnd w:id="136"/>
    <w:p>
      <w:pPr>
        <w:ind w:right="460"/>
        <w:spacing w:after="0" w:line="282" w:lineRule="auto"/>
        <w:rPr>
          <w:sz w:val="20"/>
          <w:szCs w:val="20"/>
          <w:color w:val="auto"/>
        </w:rPr>
      </w:pPr>
      <w:r>
        <w:rPr>
          <w:rFonts w:ascii="Times New Roman" w:cs="Times New Roman" w:eastAsia="Times New Roman" w:hAnsi="Times New Roman"/>
          <w:sz w:val="18"/>
          <w:szCs w:val="18"/>
          <w:color w:val="auto"/>
        </w:rPr>
        <w:t>22 of the Securities Act creates concurrent jurisdiction for federal and state courts over all suits brought to enforce any duty or liability created by the Securities Act or the rules and regulations thereunder.</w:t>
      </w:r>
    </w:p>
    <w:p>
      <w:pPr>
        <w:spacing w:after="0" w:line="189"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Second Amended and Restated Certificate of Incorporation and the Amended and Restated Bylaws, as well as provisions of Delaware law, could impair a takeover attempt.</w:t>
      </w:r>
    </w:p>
    <w:p>
      <w:pPr>
        <w:spacing w:after="0" w:line="18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Second Amended and Restated Certificate of Incorporation and the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247" w:lineRule="exact"/>
        <w:rPr>
          <w:sz w:val="20"/>
          <w:szCs w:val="20"/>
          <w:color w:val="auto"/>
        </w:rPr>
      </w:pPr>
    </w:p>
    <w:p>
      <w:pPr>
        <w:ind w:left="1220" w:right="1800" w:hanging="339"/>
        <w:spacing w:after="0" w:line="237" w:lineRule="auto"/>
        <w:tabs>
          <w:tab w:leader="none" w:pos="1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9" w:lineRule="exact"/>
        <w:rPr>
          <w:rFonts w:ascii="Times New Roman" w:cs="Times New Roman" w:eastAsia="Times New Roman" w:hAnsi="Times New Roman"/>
          <w:sz w:val="18"/>
          <w:szCs w:val="18"/>
          <w:color w:val="auto"/>
        </w:rPr>
      </w:pPr>
    </w:p>
    <w:p>
      <w:pPr>
        <w:ind w:left="1220" w:hanging="339"/>
        <w:spacing w:after="0"/>
        <w:tabs>
          <w:tab w:leader="none" w:pos="1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for cause;</w:t>
      </w:r>
    </w:p>
    <w:p>
      <w:pPr>
        <w:spacing w:after="0" w:line="27" w:lineRule="exact"/>
        <w:rPr>
          <w:rFonts w:ascii="Times New Roman" w:cs="Times New Roman" w:eastAsia="Times New Roman" w:hAnsi="Times New Roman"/>
          <w:sz w:val="18"/>
          <w:szCs w:val="18"/>
          <w:color w:val="auto"/>
        </w:rPr>
      </w:pPr>
    </w:p>
    <w:p>
      <w:pPr>
        <w:jc w:val="both"/>
        <w:ind w:left="1220" w:right="1160" w:hanging="339"/>
        <w:spacing w:after="0" w:line="253" w:lineRule="auto"/>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 w:lineRule="exact"/>
        <w:rPr>
          <w:rFonts w:ascii="Times New Roman" w:cs="Times New Roman" w:eastAsia="Times New Roman" w:hAnsi="Times New Roman"/>
          <w:sz w:val="17"/>
          <w:szCs w:val="17"/>
          <w:color w:val="auto"/>
        </w:rPr>
      </w:pPr>
    </w:p>
    <w:p>
      <w:pPr>
        <w:ind w:left="1220" w:right="1240" w:hanging="339"/>
        <w:spacing w:after="0" w:line="237" w:lineRule="auto"/>
        <w:tabs>
          <w:tab w:leader="none" w:pos="1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9" w:lineRule="exact"/>
        <w:rPr>
          <w:rFonts w:ascii="Times New Roman" w:cs="Times New Roman" w:eastAsia="Times New Roman" w:hAnsi="Times New Roman"/>
          <w:sz w:val="18"/>
          <w:szCs w:val="18"/>
          <w:color w:val="auto"/>
        </w:rPr>
      </w:pPr>
    </w:p>
    <w:p>
      <w:pPr>
        <w:ind w:left="1220" w:right="1180" w:hanging="339"/>
        <w:spacing w:after="0" w:line="231" w:lineRule="auto"/>
        <w:tabs>
          <w:tab w:leader="none" w:pos="1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1" w:lineRule="exact"/>
        <w:rPr>
          <w:rFonts w:ascii="Times New Roman" w:cs="Times New Roman" w:eastAsia="Times New Roman" w:hAnsi="Times New Roman"/>
          <w:sz w:val="18"/>
          <w:szCs w:val="18"/>
          <w:color w:val="auto"/>
        </w:rPr>
      </w:pPr>
    </w:p>
    <w:p>
      <w:pPr>
        <w:ind w:left="1220" w:right="1460" w:hanging="339"/>
        <w:spacing w:after="0" w:line="234" w:lineRule="auto"/>
        <w:tabs>
          <w:tab w:leader="none" w:pos="1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changes or amendments to certain provisions of our certificate of incorporation or bylaws must be approved by holders of a majority of the Common Stock of the post-combination company; and</w:t>
      </w:r>
    </w:p>
    <w:p>
      <w:pPr>
        <w:spacing w:after="0" w:line="10" w:lineRule="exact"/>
        <w:rPr>
          <w:rFonts w:ascii="Times New Roman" w:cs="Times New Roman" w:eastAsia="Times New Roman" w:hAnsi="Times New Roman"/>
          <w:sz w:val="18"/>
          <w:szCs w:val="18"/>
          <w:color w:val="auto"/>
        </w:rPr>
      </w:pPr>
    </w:p>
    <w:p>
      <w:pPr>
        <w:ind w:left="1220" w:right="1040" w:hanging="339"/>
        <w:spacing w:after="0" w:line="247" w:lineRule="auto"/>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“SKIN”.</w:t>
      </w:r>
    </w:p>
    <w:p>
      <w:pPr>
        <w:sectPr>
          <w:pgSz w:w="11900" w:h="16838" w:orient="portrait"/>
          <w:cols w:equalWidth="0" w:num="1">
            <w:col w:w="11220"/>
          </w:cols>
          <w:pgMar w:left="320" w:top="1417" w:right="35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auto"/>
        </w:rPr>
        <w:t>Effective May 4, 2021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BEAUTY HEALTH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3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This Insider Trading Policy (the “Policy”) provides guidelines with respect to transactions in the securities of </w:t>
      </w:r>
      <w:r>
        <w:rPr>
          <w:rFonts w:ascii="Times New Roman" w:cs="Times New Roman" w:eastAsia="Times New Roman" w:hAnsi="Times New Roman"/>
          <w:sz w:val="22"/>
          <w:szCs w:val="22"/>
          <w:color w:val="231F20"/>
        </w:rPr>
        <w:t>The Beauty Health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 xml:space="preserve">Company </w:t>
      </w:r>
      <w:r>
        <w:rPr>
          <w:rFonts w:ascii="Times New Roman" w:cs="Times New Roman" w:eastAsia="Times New Roman" w:hAnsi="Times New Roman"/>
          <w:sz w:val="22"/>
          <w:szCs w:val="22"/>
          <w:color w:val="000000"/>
        </w:rPr>
        <w:t>(the “Company”) and the handling of confidential information about the Company and its subsidiaries and the</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color w:val="000000"/>
        </w:rPr>
        <w:t>companies with which the Company and its subsidiaries do business. The Company’s Board of Directors (the “Board”)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Regulators have adopted sophisticated surveillance techniques to identify insider trading transactions, and it is important to the Company to avoid even the appearance of impropriety.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Disclosing material nonpublic information directly or indirectly to others who then trade based on that information or making recommendations or expressing opinions as to transactions in securities while aware of material nonpublic information (which is sometimes referred to as “tipping”) is also illegal. Both the person who provides the information, recommendation or opinion and the person who trades based on it may be liable.</w:t>
      </w:r>
    </w:p>
    <w:p>
      <w:pPr>
        <w:spacing w:after="0" w:line="1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These illegal activities are commonly referred to as “insider trading.” State securities laws and securities laws of other jurisdictions also impose restrictions on insider trading.</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addition, a company, as well as individual directors, officers and other supervisory personnel, may be subject to liability as “controlling persons” for failure to take appropriate steps to prevent insider trading by those under their supervision, influence or control.</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Securities and Exchange Commission (the “SEC”), the Financial Industry Regulatory Authority and other authorities use sophisticated electronic surveillance techniques to investigate and detect insider trading, and the SEC and the U.S. Department of Justice pursue insider trading violations vigorously. Cases involving trading through foreign accounts, trading by family</w:t>
      </w:r>
    </w:p>
    <w:p>
      <w:pPr>
        <w:sectPr>
          <w:pgSz w:w="11900" w:h="16838" w:orient="portrait"/>
          <w:cols w:equalWidth="0" w:num="1">
            <w:col w:w="11240"/>
          </w:cols>
          <w:pgMar w:left="320" w:top="1417" w:right="339" w:bottom="1440" w:gutter="0" w:footer="0" w:header="0"/>
        </w:sectPr>
      </w:pPr>
    </w:p>
    <w:bookmarkStart w:id="138" w:name="page139"/>
    <w:bookmarkEnd w:id="138"/>
    <w:p>
      <w:pPr>
        <w:ind w:right="1780"/>
        <w:spacing w:after="0" w:line="448" w:lineRule="auto"/>
        <w:rPr>
          <w:sz w:val="20"/>
          <w:szCs w:val="20"/>
          <w:color w:val="auto"/>
        </w:rPr>
      </w:pPr>
      <w:r>
        <w:rPr>
          <w:rFonts w:ascii="Times New Roman" w:cs="Times New Roman" w:eastAsia="Times New Roman" w:hAnsi="Times New Roman"/>
          <w:sz w:val="22"/>
          <w:szCs w:val="22"/>
          <w:color w:val="auto"/>
        </w:rPr>
        <w:t xml:space="preserve">members and friends and trading involving only a small number of shares have been successfully prosecuted. </w:t>
      </w:r>
      <w:r>
        <w:rPr>
          <w:rFonts w:ascii="Times New Roman" w:cs="Times New Roman" w:eastAsia="Times New Roman" w:hAnsi="Times New Roman"/>
          <w:sz w:val="22"/>
          <w:szCs w:val="22"/>
          <w:b w:val="1"/>
          <w:bCs w:val="1"/>
          <w:color w:val="auto"/>
        </w:rPr>
        <w:t>PERSONS SUBJECT TO THE POLICY</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This Policy applies to all directors, officers and employees of the Company and its subsidiaries, including persons employed on a temporary or contract basis or through a staffing agency. The Company may also determine that other persons should be subject to this Policy, such as contractors or consultants who have access to material nonpublic information, in each case other than Linden Capital III, LLC, Linden Manager LLC and DW Healthcare Partners and any of their respective affiliated investment funds. This Policy also applies to family members, other members of a person’s household and entities controlled by a person covered by this Policy, as described below. You are expected to comply with this Policy until such time as you are no longer affiliated with the Company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you no longer possess any material nonpublic information subject to this Policy. In addition, if you are listed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 and subject to a trading blackout under this Policy at the time you cease to be affiliated with the Company, you are expected to abide by the applicable trading restrictions until at least the end of the relevant blackout period.</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Please direct any questions or requests as to any of the matters discussed in this Policy to the General Counsel of the Company. The General Counsel is generally responsible for the administration of this Policy. The General Counsel may select others to assist with the execution of his or her duties.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 SUBJECT TO THE POLICY</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This Policy applies to </w:t>
      </w:r>
      <w:r>
        <w:rPr>
          <w:rFonts w:ascii="Times New Roman" w:cs="Times New Roman" w:eastAsia="Times New Roman" w:hAnsi="Times New Roman"/>
          <w:sz w:val="22"/>
          <w:szCs w:val="22"/>
          <w:i w:val="1"/>
          <w:iCs w:val="1"/>
          <w:color w:val="auto"/>
        </w:rPr>
        <w:t>all</w:t>
      </w:r>
      <w:r>
        <w:rPr>
          <w:rFonts w:ascii="Times New Roman" w:cs="Times New Roman" w:eastAsia="Times New Roman" w:hAnsi="Times New Roman"/>
          <w:sz w:val="22"/>
          <w:szCs w:val="22"/>
          <w:color w:val="auto"/>
        </w:rPr>
        <w:t xml:space="preserve"> transactions </w:t>
      </w:r>
      <w:r>
        <w:rPr>
          <w:rFonts w:ascii="Times New Roman" w:cs="Times New Roman" w:eastAsia="Times New Roman" w:hAnsi="Times New Roman"/>
          <w:sz w:val="22"/>
          <w:szCs w:val="22"/>
          <w:i w:val="1"/>
          <w:iCs w:val="1"/>
          <w:color w:val="auto"/>
        </w:rPr>
        <w:t>involving</w:t>
      </w:r>
      <w:r>
        <w:rPr>
          <w:rFonts w:ascii="Times New Roman" w:cs="Times New Roman" w:eastAsia="Times New Roman" w:hAnsi="Times New Roman"/>
          <w:sz w:val="22"/>
          <w:szCs w:val="22"/>
          <w:color w:val="auto"/>
        </w:rPr>
        <w:t xml:space="preserve"> the Company’s securities (collectively referred to in this Policy as “Company Securities”), including the Company’s common stock, options to purchase common stock, or any other type of securities that the Company may issue, including (but not limited to) preferred stock, convertible debentures and warrants, debt securities, as well as derivative securities that are not issued by the Company, such as exchange-traded put or call options or swaps relating to Company Securities. This Policy also applies to the securities of other companies as to which you possess material nonpublic information obtained in the course of your service to this Company, and to the securities of companies with which the Company may have a business relationship.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INDIVIDUAL RESPONSIBILITY</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General Counsel or any other employee or director pursuant to this Policy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21" w:right="339" w:bottom="1440" w:gutter="0" w:footer="0" w:header="0"/>
        </w:sectPr>
      </w:pPr>
    </w:p>
    <w:bookmarkStart w:id="139" w:name="page140"/>
    <w:bookmarkEnd w:id="139"/>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18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231F20"/>
        </w:rPr>
        <w:t>It is also your responsibility to help enforce this Policy. You should be alert to possible violations and should promptly report violations or suspected violations of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You may report suspected violations of this Policy as follows: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380" w:type="dxa"/>
            <w:vAlign w:val="bottom"/>
            <w:tcBorders>
              <w:top w:val="single" w:sz="8" w:color="231F20"/>
              <w:left w:val="single" w:sz="8" w:color="231F20"/>
              <w:bottom w:val="single" w:sz="8" w:color="231F20"/>
              <w:right w:val="single" w:sz="8" w:color="231F20"/>
            </w:tcBorders>
            <w:shd w:val="clear" w:color="auto" w:fill="E2E3E4"/>
          </w:tcPr>
          <w:p>
            <w:pPr>
              <w:ind w:left="40"/>
              <w:spacing w:after="0"/>
              <w:rPr>
                <w:sz w:val="20"/>
                <w:szCs w:val="20"/>
                <w:color w:val="auto"/>
              </w:rPr>
            </w:pPr>
            <w:r>
              <w:rPr>
                <w:rFonts w:ascii="Times New Roman" w:cs="Times New Roman" w:eastAsia="Times New Roman" w:hAnsi="Times New Roman"/>
                <w:sz w:val="22"/>
                <w:szCs w:val="22"/>
                <w:b w:val="1"/>
                <w:bCs w:val="1"/>
                <w:color w:val="auto"/>
              </w:rPr>
              <w:t>Position with the Company</w:t>
            </w:r>
          </w:p>
        </w:tc>
        <w:tc>
          <w:tcPr>
            <w:tcW w:w="6880" w:type="dxa"/>
            <w:vAlign w:val="bottom"/>
            <w:tcBorders>
              <w:top w:val="single" w:sz="8" w:color="231F20"/>
              <w:bottom w:val="single" w:sz="8" w:color="231F20"/>
              <w:right w:val="single" w:sz="8" w:color="231F20"/>
            </w:tcBorders>
            <w:gridSpan w:val="2"/>
            <w:shd w:val="clear" w:color="auto" w:fill="E2E3E4"/>
          </w:tcPr>
          <w:p>
            <w:pPr>
              <w:ind w:left="20"/>
              <w:spacing w:after="0"/>
              <w:rPr>
                <w:sz w:val="20"/>
                <w:szCs w:val="20"/>
                <w:color w:val="auto"/>
              </w:rPr>
            </w:pPr>
            <w:r>
              <w:rPr>
                <w:rFonts w:ascii="Times New Roman" w:cs="Times New Roman" w:eastAsia="Times New Roman" w:hAnsi="Times New Roman"/>
                <w:sz w:val="22"/>
                <w:szCs w:val="22"/>
                <w:b w:val="1"/>
                <w:bCs w:val="1"/>
                <w:color w:val="auto"/>
              </w:rPr>
              <w:t>Permissible Methods of Reporting</w:t>
            </w:r>
          </w:p>
        </w:tc>
      </w:tr>
      <w:tr>
        <w:trPr>
          <w:trHeight w:val="289"/>
        </w:trPr>
        <w:tc>
          <w:tcPr>
            <w:tcW w:w="438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22"/>
                <w:szCs w:val="22"/>
                <w:color w:val="auto"/>
              </w:rPr>
              <w:t>Employee, officer, director or consultant</w:t>
            </w: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600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22"/>
                <w:szCs w:val="22"/>
                <w:color w:val="auto"/>
              </w:rPr>
              <w:t>Via electronic mail to pbokota@hydrafacial.com; or</w:t>
            </w:r>
          </w:p>
        </w:tc>
      </w:tr>
      <w:tr>
        <w:trPr>
          <w:trHeight w:val="460"/>
        </w:trPr>
        <w:tc>
          <w:tcPr>
            <w:tcW w:w="4380" w:type="dxa"/>
            <w:vAlign w:val="bottom"/>
            <w:tcBorders>
              <w:left w:val="single" w:sz="8" w:color="231F20"/>
              <w:right w:val="single" w:sz="8" w:color="231F20"/>
            </w:tcBorders>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600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22"/>
                <w:szCs w:val="22"/>
                <w:color w:val="auto"/>
                <w:w w:val="97"/>
              </w:rPr>
              <w:t>Via regular mail to the General Counsel at the Company’s principal</w:t>
            </w:r>
          </w:p>
        </w:tc>
      </w:tr>
      <w:tr>
        <w:trPr>
          <w:trHeight w:val="257"/>
        </w:trPr>
        <w:tc>
          <w:tcPr>
            <w:tcW w:w="4380" w:type="dxa"/>
            <w:vAlign w:val="bottom"/>
            <w:tcBorders>
              <w:left w:val="single" w:sz="8" w:color="231F20"/>
              <w:right w:val="single" w:sz="8" w:color="231F20"/>
            </w:tcBorders>
          </w:tcPr>
          <w:p>
            <w:pPr>
              <w:spacing w:after="0"/>
              <w:rPr>
                <w:sz w:val="22"/>
                <w:szCs w:val="22"/>
                <w:color w:val="auto"/>
              </w:rPr>
            </w:pPr>
          </w:p>
        </w:tc>
        <w:tc>
          <w:tcPr>
            <w:tcW w:w="880" w:type="dxa"/>
            <w:vAlign w:val="bottom"/>
          </w:tcPr>
          <w:p>
            <w:pPr>
              <w:spacing w:after="0"/>
              <w:rPr>
                <w:sz w:val="22"/>
                <w:szCs w:val="22"/>
                <w:color w:val="auto"/>
              </w:rPr>
            </w:pPr>
          </w:p>
        </w:tc>
        <w:tc>
          <w:tcPr>
            <w:tcW w:w="6000" w:type="dxa"/>
            <w:vAlign w:val="bottom"/>
            <w:tcBorders>
              <w:right w:val="single" w:sz="8" w:color="231F20"/>
            </w:tcBorders>
          </w:tcPr>
          <w:p>
            <w:pPr>
              <w:ind w:left="300"/>
              <w:spacing w:after="0"/>
              <w:rPr>
                <w:sz w:val="20"/>
                <w:szCs w:val="20"/>
                <w:color w:val="auto"/>
              </w:rPr>
            </w:pPr>
            <w:r>
              <w:rPr>
                <w:rFonts w:ascii="Times New Roman" w:cs="Times New Roman" w:eastAsia="Times New Roman" w:hAnsi="Times New Roman"/>
                <w:sz w:val="22"/>
                <w:szCs w:val="22"/>
                <w:color w:val="auto"/>
              </w:rPr>
              <w:t>executive offices located at 2165 Spring St., Long Beach, CA,</w:t>
            </w:r>
          </w:p>
        </w:tc>
      </w:tr>
      <w:tr>
        <w:trPr>
          <w:trHeight w:val="282"/>
        </w:trPr>
        <w:tc>
          <w:tcPr>
            <w:tcW w:w="4380" w:type="dxa"/>
            <w:vAlign w:val="bottom"/>
            <w:tcBorders>
              <w:left w:val="single" w:sz="8" w:color="231F20"/>
              <w:right w:val="single" w:sz="8" w:color="231F20"/>
            </w:tcBorders>
          </w:tcPr>
          <w:p>
            <w:pPr>
              <w:spacing w:after="0"/>
              <w:rPr>
                <w:sz w:val="24"/>
                <w:szCs w:val="24"/>
                <w:color w:val="auto"/>
              </w:rPr>
            </w:pPr>
          </w:p>
        </w:tc>
        <w:tc>
          <w:tcPr>
            <w:tcW w:w="880" w:type="dxa"/>
            <w:vAlign w:val="bottom"/>
          </w:tcPr>
          <w:p>
            <w:pPr>
              <w:spacing w:after="0"/>
              <w:rPr>
                <w:sz w:val="24"/>
                <w:szCs w:val="24"/>
                <w:color w:val="auto"/>
              </w:rPr>
            </w:pPr>
          </w:p>
        </w:tc>
        <w:tc>
          <w:tcPr>
            <w:tcW w:w="6000" w:type="dxa"/>
            <w:vAlign w:val="bottom"/>
            <w:tcBorders>
              <w:right w:val="single" w:sz="8" w:color="231F20"/>
            </w:tcBorders>
          </w:tcPr>
          <w:p>
            <w:pPr>
              <w:ind w:left="300"/>
              <w:spacing w:after="0"/>
              <w:rPr>
                <w:sz w:val="20"/>
                <w:szCs w:val="20"/>
                <w:color w:val="auto"/>
              </w:rPr>
            </w:pPr>
            <w:r>
              <w:rPr>
                <w:rFonts w:ascii="Times New Roman" w:cs="Times New Roman" w:eastAsia="Times New Roman" w:hAnsi="Times New Roman"/>
                <w:sz w:val="22"/>
                <w:szCs w:val="22"/>
                <w:color w:val="auto"/>
              </w:rPr>
              <w:t>90806</w:t>
            </w:r>
          </w:p>
        </w:tc>
      </w:tr>
      <w:tr>
        <w:trPr>
          <w:trHeight w:val="231"/>
        </w:trPr>
        <w:tc>
          <w:tcPr>
            <w:tcW w:w="4380" w:type="dxa"/>
            <w:vAlign w:val="bottom"/>
            <w:tcBorders>
              <w:left w:val="single" w:sz="8" w:color="231F20"/>
              <w:bottom w:val="single" w:sz="8" w:color="231F20"/>
              <w:right w:val="single" w:sz="8" w:color="231F20"/>
            </w:tcBorders>
          </w:tcPr>
          <w:p>
            <w:pPr>
              <w:spacing w:after="0"/>
              <w:rPr>
                <w:sz w:val="20"/>
                <w:szCs w:val="20"/>
                <w:color w:val="auto"/>
              </w:rPr>
            </w:pPr>
          </w:p>
        </w:tc>
        <w:tc>
          <w:tcPr>
            <w:tcW w:w="880" w:type="dxa"/>
            <w:vAlign w:val="bottom"/>
            <w:tcBorders>
              <w:bottom w:val="single" w:sz="8" w:color="231F20"/>
            </w:tcBorders>
          </w:tcPr>
          <w:p>
            <w:pPr>
              <w:spacing w:after="0"/>
              <w:rPr>
                <w:sz w:val="20"/>
                <w:szCs w:val="20"/>
                <w:color w:val="auto"/>
              </w:rPr>
            </w:pPr>
          </w:p>
        </w:tc>
        <w:tc>
          <w:tcPr>
            <w:tcW w:w="6000" w:type="dxa"/>
            <w:vAlign w:val="bottom"/>
            <w:tcBorders>
              <w:bottom w:val="single" w:sz="8" w:color="231F20"/>
              <w:right w:val="single" w:sz="8" w:color="231F20"/>
            </w:tcBorders>
          </w:tcPr>
          <w:p>
            <w:pPr>
              <w:spacing w:after="0"/>
              <w:rPr>
                <w:sz w:val="20"/>
                <w:szCs w:val="20"/>
                <w:color w:val="auto"/>
              </w:rPr>
            </w:pPr>
          </w:p>
        </w:tc>
      </w:tr>
    </w:tbl>
    <w:p>
      <w:pPr>
        <w:spacing w:after="0" w:line="8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color w:val="231F20"/>
        </w:rPr>
        <w:t>Reports to the General Counsel may be made anonymously or by identifying oneself. Because it may be more difficult to thoroughly investigate reports that are made anonymously, you are encouraged to share your identity when reporting rather than reporting anonymously. If you make an anonymous report, please provide as much detail as possible, including any evidence that you believe may be relevant to the issue. All reports, whether provided with your identity or anonymously, will be treated confidentially to the extent consistent with applicable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 OF POLICY</w:t>
      </w:r>
    </w:p>
    <w:p>
      <w:pPr>
        <w:spacing w:after="0" w:line="22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It is the policy of the Company that no director, officer or other employee of the Company (or any other person designated by this Policy or by the General Counsel as subject to this Policy) who is aware of material nonpublic information relating to the Company may, directly, or indirectly through family members or other persons or entities:</w:t>
      </w:r>
    </w:p>
    <w:p>
      <w:pPr>
        <w:spacing w:after="0" w:line="146" w:lineRule="exact"/>
        <w:rPr>
          <w:sz w:val="20"/>
          <w:szCs w:val="20"/>
          <w:color w:val="auto"/>
        </w:rPr>
      </w:pPr>
    </w:p>
    <w:p>
      <w:pPr>
        <w:jc w:val="both"/>
        <w:ind w:left="660" w:right="20" w:hanging="652"/>
        <w:spacing w:after="0" w:line="220" w:lineRule="auto"/>
        <w:tabs>
          <w:tab w:leader="none" w:pos="660"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Engage in transactions in Company Securities while aware of material nonpublic information relating to the Company, noting that it is no excuse that you did not “use” the information in your transaction, except as otherwise specified in this Policy under the headings “Transactions Under Company Plans,” “Transactions Not Involving a Purchase or Sale,” “Rule 10b5-1 Plans” and “Other Limited Exceptions;”</w:t>
      </w:r>
    </w:p>
    <w:p>
      <w:pPr>
        <w:spacing w:after="0" w:line="152"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Recommend the purchase or sale of any Company Securities;</w:t>
      </w:r>
    </w:p>
    <w:p>
      <w:pPr>
        <w:spacing w:after="0" w:line="179" w:lineRule="exact"/>
        <w:rPr>
          <w:rFonts w:ascii="Times New Roman" w:cs="Times New Roman" w:eastAsia="Times New Roman" w:hAnsi="Times New Roman"/>
          <w:sz w:val="22"/>
          <w:szCs w:val="22"/>
          <w:color w:val="010000"/>
        </w:rPr>
      </w:pPr>
    </w:p>
    <w:p>
      <w:pPr>
        <w:jc w:val="both"/>
        <w:ind w:left="660" w:right="20" w:hanging="652"/>
        <w:spacing w:after="0" w:line="217" w:lineRule="auto"/>
        <w:tabs>
          <w:tab w:leader="none" w:pos="660"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Disclose, including via internet and social media,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w:t>
      </w:r>
      <w:r>
        <w:rPr>
          <w:rFonts w:ascii="Times New Roman" w:cs="Times New Roman" w:eastAsia="Times New Roman" w:hAnsi="Times New Roman"/>
          <w:sz w:val="22"/>
          <w:szCs w:val="22"/>
          <w:color w:val="231F20"/>
        </w:rPr>
        <w:t>made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accordance with the Company’s policies regarding the protection or authorized external disclosure of information regarding the Company; or</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8" w:lineRule="exact"/>
        <w:rPr>
          <w:rFonts w:ascii="Times New Roman" w:cs="Times New Roman" w:eastAsia="Times New Roman" w:hAnsi="Times New Roman"/>
          <w:sz w:val="22"/>
          <w:szCs w:val="22"/>
          <w:color w:val="010000"/>
        </w:rPr>
      </w:pPr>
    </w:p>
    <w:p>
      <w:pPr>
        <w:ind w:left="360" w:hanging="136"/>
        <w:spacing w:after="0"/>
        <w:tabs>
          <w:tab w:leader="none" w:pos="3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60"/>
          </w:cols>
          <w:pgMar w:left="320" w:top="1421" w:right="319" w:bottom="1440" w:gutter="0" w:footer="0" w:header="0"/>
        </w:sectPr>
      </w:pPr>
    </w:p>
    <w:bookmarkStart w:id="140" w:name="page141"/>
    <w:bookmarkEnd w:id="140"/>
    <w:p>
      <w:pPr>
        <w:ind w:left="660" w:hanging="652"/>
        <w:spacing w:after="0"/>
        <w:tabs>
          <w:tab w:leader="none" w:pos="660"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Assist anyone engaged in the above activities.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231F20"/>
        </w:rPr>
        <w:t>In addition, it is the policy of the Company that no director, officer or other employee of the Company (or any other person designated as subject to this Policy) may engage in transactions involving the securities of any other company if such person is aware of material nonpublic information about that company except, in each case, as otherwise specified in this Policy under the headings “Transactions Under Company Plans,” “Gifts of Securities; Mutual Fund Transactions,” “Rule 10b5-1 Plans” and “Other Limited Exceptions.”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231F20"/>
        </w:rPr>
        <w:t>There are no exceptions to this Policy, except as specifically noted herein. Financial hardship does not excuse your non-compliance with this Policy. From time to time, you may have to forego a proposed transaction in the Company Securities even if you planned to make the transaction before learning of the material nonpublic information and even though you believe that you may suffer an economic loss. The following are specifically exempted from this Policy: where (A) disclosure of nonpublic information is required by law, or when (B)(i) disclosure is required for legitimate Company business purposes, (ii) you are authorized by the Company to disclose the information and (iii) appropriate steps have been taken to prevent misuse of that information (including entering an appropriate nondisclosure agreement that restricts the disclosure and use of the information, if applicable). You may not enter into any transaction, including those discussed in the section entitled under the headings “Transactions Under Company Plans,” “Gifts of Securities; Mutual Fund Transactions,” and “Rule 10b5-1 Plans” unless you have disclosed any material nonpublic information that you become aware of in the course of your service with the Company, and that senior management is not aware of, to the General Counsel. If you are a member of senior management, the information must be disclosed to the Chief Executive Officer, and if you are the Chief Executive Officer or a director, you must disclose the information to the board of directors, before any transaction is permissible.</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231F20"/>
        </w:rPr>
        <w:t>In the event you receive an inquiry from someone outside of the Company, such as a stock analyst, for information about the Company, you should refer the inquiry to the Chief Financial Officer or General Counsel.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Regulation FD Policy for more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 OF MATERIAL NONPUBLIC INFORMATION</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Material Information.</w:t>
      </w:r>
      <w:r>
        <w:rPr>
          <w:rFonts w:ascii="Times New Roman" w:cs="Times New Roman" w:eastAsia="Times New Roman" w:hAnsi="Times New Roman"/>
          <w:sz w:val="22"/>
          <w:szCs w:val="22"/>
          <w:color w:val="auto"/>
        </w:rPr>
        <w:t xml:space="preserve"> 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394" w:right="339" w:bottom="1440" w:gutter="0" w:footer="0" w:header="0"/>
        </w:sectPr>
      </w:pPr>
    </w:p>
    <w:bookmarkStart w:id="141" w:name="page142"/>
    <w:bookmarkEnd w:id="141"/>
    <w:p>
      <w:pPr>
        <w:spacing w:after="0" w:line="271" w:lineRule="auto"/>
        <w:rPr>
          <w:sz w:val="20"/>
          <w:szCs w:val="20"/>
          <w:color w:val="auto"/>
        </w:rPr>
      </w:pPr>
      <w:r>
        <w:rPr>
          <w:rFonts w:ascii="Times New Roman" w:cs="Times New Roman" w:eastAsia="Times New Roman" w:hAnsi="Times New Roman"/>
          <w:sz w:val="22"/>
          <w:szCs w:val="22"/>
          <w:color w:val="auto"/>
        </w:rPr>
        <w:t>and is often evaluated by enforcement authorities with the benefit of hindsight. While it is not possible to define all categories of material information, some examples of information that ordinarily would be regarded as material are:</w:t>
      </w:r>
    </w:p>
    <w:p>
      <w:pPr>
        <w:spacing w:after="0" w:line="158"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earnings, financial condition, results of operations or cash flows;</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to previously announced earnings guidance, or the decision to suspend earnings guidance;</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31F20"/>
        </w:rPr>
        <w:t>significant corporate events;</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or tender offer;</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acquisition or disposition of a significant asset;</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joint venture;</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restructuring;</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dividend policy, the declaration of a stock split, or an offering of additional securities;</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borrowings or other financing transactions out of the ordinary course;</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repurchase program for Company Securities;</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Company’s pricing or cost structure;</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marketing changes;</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management;</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notification that the auditor’s reports may no longer be relied upon;</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of a significant new product or service;</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customer or supplier;</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events concerning the Company’s physical assets;</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the resolution of such litigation;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40"/>
          </w:cols>
          <w:pgMar w:left="320" w:top="1421" w:right="339" w:bottom="1440" w:gutter="0" w:footer="0" w:header="0"/>
        </w:sectPr>
      </w:pPr>
    </w:p>
    <w:bookmarkStart w:id="142" w:name="page143"/>
    <w:bookmarkEnd w:id="142"/>
    <w:p>
      <w:pPr>
        <w:ind w:left="360" w:hanging="352"/>
        <w:spacing w:after="0"/>
        <w:tabs>
          <w:tab w:leader="none" w:pos="3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approvals or changes in regulations and any analysis of how they affect the Company;</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the existence of severe liquidity problems;</w:t>
      </w:r>
    </w:p>
    <w:p>
      <w:pPr>
        <w:spacing w:after="0" w:line="219"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incidents; and</w:t>
      </w:r>
    </w:p>
    <w:p>
      <w:pPr>
        <w:spacing w:after="0" w:line="23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 ban on trading in Company Securities or the securities of another company.</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231F20"/>
        </w:rPr>
        <w:t>If you are unsure whether information is material, you should either consult the General Counsel before making any decision to disclose such information (other than to persons who need to know it) or to trade in or recommend securities to which that information relates or assume that the information is material.</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When Information is Considered Public.</w:t>
      </w:r>
      <w:r>
        <w:rPr>
          <w:rFonts w:ascii="Times New Roman" w:cs="Times New Roman" w:eastAsia="Times New Roman" w:hAnsi="Times New Roman"/>
          <w:sz w:val="22"/>
          <w:szCs w:val="22"/>
          <w:color w:val="auto"/>
        </w:rPr>
        <w:t xml:space="preserve">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 available radio or television programs, publication in a widely-available newspaper, magazine or news website, or public disclosure documents filed with the SEC that are available on the SEC’s website. By contrast, information should be considered to be nonpublic if it is available only to the Company’s employees, or if it is only available to a select group of analysts, brokers and institutional investors.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TRANSACTIONS BY FAMILY MEMBERS AND OTHERS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Policy applies to your family members who reside with you (including a spouse, parents, children, siblings, mothers and fathers-in-law, sons and daughters-in-law, brothers and sisters-in- law) and anyone else who lives in your household (excluding domestic employees)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40"/>
          </w:cols>
          <w:pgMar w:left="320" w:top="14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2"/>
          <w:szCs w:val="22"/>
          <w:b w:val="1"/>
          <w:bCs w:val="1"/>
          <w:color w:val="auto"/>
        </w:rPr>
        <w:t>TRANSACTIONS BY ENTITIES THAT YOU INFLUENCE OR CONTROL</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Policy applies to any entities that you influence or control, including any corporations, partnerships or trusts, in each case other than Linden Capital III LLC, Linden Manager LLC and DW Healthcare Partners and any of their respective affiliated investment funds (collectively referred to as “Controlled Entities”), and transactions by these Controlled Entities should be treated for the purposes of this Policy and applicable securities laws as if they were for your own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AND PROHIBITED TRANSACTIONS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xml:space="preserve"> Short sales of Company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at any time are prohibited by this Policy. In addition, Section 16(c) of the Securities Exchange Act of 1934, as amended (the “Exchange Act”) prohibits officers and directors from engaging in short sales. (Short sales arising from certain types of hedging transactions are governed by the paragraph below captioned “Hedging Transactions.”)</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Publicly-Traded Options.</w:t>
      </w:r>
      <w:r>
        <w:rPr>
          <w:rFonts w:ascii="Times New Roman" w:cs="Times New Roman" w:eastAsia="Times New Roman" w:hAnsi="Times New Roman"/>
          <w:sz w:val="22"/>
          <w:szCs w:val="22"/>
          <w:color w:val="auto"/>
        </w:rPr>
        <w:t xml:space="preserve"> Given the relatively short term of publicly-traded options, transactions in options may create the appearance that a director, officer or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at any time are prohibited by this Policy. (Option positions arising from certain types of hedging transactions are governed by the next paragraph below.)</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Hedging Transactions.</w:t>
      </w:r>
      <w:r>
        <w:rPr>
          <w:rFonts w:ascii="Times New Roman" w:cs="Times New Roman" w:eastAsia="Times New Roman" w:hAnsi="Times New Roman"/>
          <w:sz w:val="22"/>
          <w:szCs w:val="22"/>
          <w:color w:val="auto"/>
        </w:rPr>
        <w:t xml:space="preserve">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prohibits you from engaging in such transactions at any time.</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u w:val="single" w:color="auto"/>
          <w:color w:val="auto"/>
        </w:rPr>
        <w:t>Margin Accounts and Pledged Securities.</w:t>
      </w:r>
      <w:r>
        <w:rPr>
          <w:rFonts w:ascii="Times New Roman" w:cs="Times New Roman" w:eastAsia="Times New Roman" w:hAnsi="Times New Roman"/>
          <w:sz w:val="22"/>
          <w:szCs w:val="22"/>
          <w:color w:val="auto"/>
        </w:rPr>
        <w:t xml:space="preserve"> Securities held in a margin account as collateral for a margin loan may be sold by the broker without the customer’s consent if the customer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17" w:right="339" w:bottom="1440" w:gutter="0" w:footer="0" w:header="0"/>
        </w:sectPr>
      </w:pPr>
    </w:p>
    <w:bookmarkStart w:id="144" w:name="page145"/>
    <w:bookmarkEnd w:id="144"/>
    <w:p>
      <w:pPr>
        <w:jc w:val="both"/>
        <w:spacing w:after="0" w:line="251" w:lineRule="auto"/>
        <w:rPr>
          <w:sz w:val="20"/>
          <w:szCs w:val="20"/>
          <w:color w:val="auto"/>
        </w:rPr>
      </w:pPr>
      <w:r>
        <w:rPr>
          <w:rFonts w:ascii="Times New Roman" w:cs="Times New Roman" w:eastAsia="Times New Roman" w:hAnsi="Times New Roman"/>
          <w:sz w:val="22"/>
          <w:szCs w:val="22"/>
          <w:color w:val="auto"/>
        </w:rPr>
        <w:t>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Standing and Limit Orders.</w:t>
      </w:r>
      <w:r>
        <w:rPr>
          <w:rFonts w:ascii="Times New Roman" w:cs="Times New Roman" w:eastAsia="Times New Roman" w:hAnsi="Times New Roman"/>
          <w:sz w:val="22"/>
          <w:szCs w:val="22"/>
          <w:color w:val="auto"/>
        </w:rPr>
        <w:t xml:space="preserve">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“Pre-Clearance &amp; Blackouts—Pre- Clearance Procedures.”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PRE-CLEARANCE &amp; BLACKOUTS</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Pre-Clearance Procedures.</w:t>
      </w:r>
      <w:r>
        <w:rPr>
          <w:rFonts w:ascii="Times New Roman" w:cs="Times New Roman" w:eastAsia="Times New Roman" w:hAnsi="Times New Roman"/>
          <w:sz w:val="22"/>
          <w:szCs w:val="22"/>
          <w:color w:val="auto"/>
        </w:rPr>
        <w:t xml:space="preserve"> Individuals holding any position listed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(“Covered Persons”) may not engage in any transaction in Company Securities without first obtaining pre- clearance of the transaction from the General Counsel. A request for pre-clearance should be submitted to the General Counsel at least two business days in advance of the proposed transaction. The General Counsel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When a request for pre-clearance is made, the requestor should carefully consider whether he or she may be aware of any material nonpublic information about the Company, and should describe fully those circumstances to the General Counsel. The requestor should be prepared to file a Form 4 for the proposed transaction and to comply with SEC Rule 144 and file Form 144, if necessary, at the time of sale. The Company assists its directors and executive officers in completing and filing the appropriate forms and advance notice of the transactions allows the Company to complete these filings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56" w:lineRule="auto"/>
        <w:rPr>
          <w:sz w:val="20"/>
          <w:szCs w:val="20"/>
          <w:color w:val="auto"/>
        </w:rPr>
      </w:pPr>
      <w:r>
        <w:rPr>
          <w:rFonts w:ascii="Times New Roman" w:cs="Times New Roman" w:eastAsia="Times New Roman" w:hAnsi="Times New Roman"/>
          <w:sz w:val="22"/>
          <w:szCs w:val="22"/>
          <w:color w:val="auto"/>
        </w:rPr>
        <w:t>If a person seeks pre-clearance and permission to engage in the transaction is granted, then such trade must be effected within five business days of receipt of pre-clearance unless an exception is granted. Such person must promptly notify the General Counsel in writing following the completion of the transaction. A person who has not effected a transaction within the time limit may not engage in such transaction without again obtaining pre-clearance of the transaction from the General Counsel.</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u w:val="single" w:color="auto"/>
          <w:color w:val="auto"/>
        </w:rPr>
        <w:t>Quarterly Blackout Periods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Covered Persons may not conduct any transactions involving the Company’s Securities (other than as specified by this Policy), during a “Blackout Period” beginning fourteen days prior to the end of each fiscal quarter and ending on the second business day following the date of the public release of the Company’s earnings results for that quarter. In other words, these persons may only conduct transactions in Company Securities during the “Window Period” beginning on the second business day following the public release of the Company’s quarterly earnings and ending fourteen days prior to the close of the next fiscal quarter. The first quarterly Blackout Period will begin May 5, 2021 and no Blackout Period will apply prior to such time except under the circumstances described under “Interim Earnings Guidance and Event -Specific Blackout Periods.”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auto"/>
        </w:rPr>
        <w:t>Interim Earnings Guidance and Event-Specific Blackout Periods.</w:t>
      </w:r>
      <w:r>
        <w:rPr>
          <w:rFonts w:ascii="Times New Roman" w:cs="Times New Roman" w:eastAsia="Times New Roman" w:hAnsi="Times New Roman"/>
          <w:sz w:val="22"/>
          <w:szCs w:val="22"/>
          <w:color w:val="auto"/>
        </w:rPr>
        <w:t xml:space="preserve"> From time to time, an event may occur that is material to the Company and is known by only a few directors, officers and/or employees, such as an M&amp;A transaction or a cybersecurity incident. So long as the event remains material and nonpublic, the persons designated by the General Counsel may not trade Company Securities. In addition, the Company’s financial results may be sufficiently material in a particular fiscal quarter that, in the judgment of the General Counsel, designated persons should refrain from trading in Company Securities even sooner than the typical Blackout Period described above. In that situation, the General Counsel may notify these persons that they should not trade in the Company’s Securities, without disclosing the reason for the restriction. The existence of an event- specific trading restriction period or extension of a Blackout Period will not be announced to the Company as a whole, and should not be communicated to any other person. Even if the General Counsel has not designated you as a person who should not trade because of an event-specific restriction, you should not trade while aware of material nonpublic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231F20"/>
        </w:rPr>
        <w:t>Regulation BTR Blackouts.</w:t>
      </w:r>
      <w:r>
        <w:rPr>
          <w:rFonts w:ascii="Times New Roman" w:cs="Times New Roman" w:eastAsia="Times New Roman" w:hAnsi="Times New Roman"/>
          <w:sz w:val="21"/>
          <w:szCs w:val="21"/>
          <w:color w:val="231F20"/>
        </w:rPr>
        <w:t xml:space="preserve"> Directors and Section 16 executive officers may also be subject to trading blackouts pursuant to Regulation Blackout Trading Restriction (“Regulation BTR”), under U.S. federal securities laws. In general, and with certain limited exemptions, Regulation BTR prohibits any director or Section 16 executive officer from engaging in certain transactions involving Company Securities during periods when participants are prevented from purchasing, selling or otherwise acquiring or transferring an interest in certain securities held in individual account plans. The rules encompass a variety of pension plans, including Section 401(k) plans, profit-sharing and savings plans, stock bonus plans and money purchase pension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has provided, or will provide, separate memoranda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50" w:lineRule="auto"/>
        <w:rPr>
          <w:sz w:val="20"/>
          <w:szCs w:val="20"/>
          <w:color w:val="auto"/>
        </w:rPr>
      </w:pPr>
      <w:r>
        <w:rPr>
          <w:rFonts w:ascii="Times New Roman" w:cs="Times New Roman" w:eastAsia="Times New Roman" w:hAnsi="Times New Roman"/>
          <w:sz w:val="22"/>
          <w:szCs w:val="22"/>
          <w:color w:val="231F20"/>
        </w:rPr>
        <w:t>other appropriate materials to its directors and executive officers regarding compliance with Regulation BTR. The Company will notify directors and officers if they are subject to a blackout trading restriction under Regulation BTR. Failure to comply with an applicable trading blackout in accordance with Regulation BTR is a violation of law and this Policy. “Section 16 officer” means the Company’s president, principal financial officer, principal accounting officer (or if none, the controller), any vice-president of the Company in charge of a principal business unit, division or function (such as sales, administration or finance), and any other officer who performs a policy- making function, as determined from time to time by the Board, or any other person who performs similar policy-making functions of the Company, as determined from time to time by the Board. Officers of the Company’s subsidiaries shall also be deemed officers of the Company if they perform policy-making functions for the Company, as determined from time to time by the Board.</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u w:val="single" w:color="auto"/>
          <w:color w:val="231F20"/>
        </w:rPr>
        <w:t>No “Safe Harbors.”</w:t>
      </w:r>
      <w:r>
        <w:rPr>
          <w:rFonts w:ascii="Times New Roman" w:cs="Times New Roman" w:eastAsia="Times New Roman" w:hAnsi="Times New Roman"/>
          <w:sz w:val="22"/>
          <w:szCs w:val="22"/>
          <w:color w:val="231F20"/>
        </w:rPr>
        <w:t xml:space="preserve"> 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 Securities because you possess material nonpublic information, are subject to a special blackout period or are otherwise restricted under this Policy</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xml:space="preserve"> The quarterly trading restrictions and event-driven trading restrictions do not apply to those transactions to which this Policy does not apply, as described below under the heading “Transactions Under Company Plans” and “Gifts of Securities; Mutual Fund Transactions.”. Further, the requirement for pre-clearance, the quarterly trading restrictions and event-driven trading restrictions do not apply to transactions conducted pursuant to approved Rule 10b5-1 plans, described under the heading “Rule 10b5-1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TRANSACTIONS UNDER COMPANY PLANS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This Policy does not apply in the case of the following transactions, except as specifically noted:</w:t>
      </w:r>
    </w:p>
    <w:p>
      <w:pPr>
        <w:spacing w:after="0" w:line="193" w:lineRule="exact"/>
        <w:rPr>
          <w:sz w:val="20"/>
          <w:szCs w:val="20"/>
          <w:color w:val="auto"/>
        </w:rPr>
      </w:pPr>
    </w:p>
    <w:p>
      <w:pPr>
        <w:jc w:val="both"/>
        <w:ind w:left="660" w:hanging="652"/>
        <w:spacing w:after="0" w:line="217" w:lineRule="auto"/>
        <w:tabs>
          <w:tab w:leader="none" w:pos="660"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Stock Option Exercises.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the underlying stock or to any sale of stock as part of a broker-assisted cashless exercise of an option, or any other market sale for the purpose of generating the cash needed to pay the exercise price of an option.</w:t>
      </w:r>
    </w:p>
    <w:p>
      <w:pPr>
        <w:spacing w:after="0" w:line="152" w:lineRule="exact"/>
        <w:rPr>
          <w:rFonts w:ascii="Times New Roman" w:cs="Times New Roman" w:eastAsia="Times New Roman" w:hAnsi="Times New Roman"/>
          <w:sz w:val="22"/>
          <w:szCs w:val="22"/>
          <w:color w:val="010000"/>
        </w:rPr>
      </w:pPr>
    </w:p>
    <w:p>
      <w:pPr>
        <w:jc w:val="both"/>
        <w:ind w:left="660" w:hanging="652"/>
        <w:spacing w:after="0" w:line="220" w:lineRule="auto"/>
        <w:tabs>
          <w:tab w:leader="none" w:pos="660"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Restricted Stock Awards. 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shares in connection with such vesting.</w:t>
      </w:r>
    </w:p>
    <w:p>
      <w:pPr>
        <w:spacing w:after="0" w:line="152" w:lineRule="exact"/>
        <w:rPr>
          <w:rFonts w:ascii="Times New Roman" w:cs="Times New Roman" w:eastAsia="Times New Roman" w:hAnsi="Times New Roman"/>
          <w:sz w:val="22"/>
          <w:szCs w:val="22"/>
          <w:color w:val="010000"/>
        </w:rPr>
      </w:pPr>
    </w:p>
    <w:p>
      <w:pPr>
        <w:jc w:val="both"/>
        <w:ind w:left="660" w:hanging="652"/>
        <w:spacing w:after="0" w:line="220" w:lineRule="auto"/>
        <w:tabs>
          <w:tab w:leader="none" w:pos="660"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401(k) Plan. 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8" w:lineRule="exact"/>
        <w:rPr>
          <w:rFonts w:ascii="Times New Roman" w:cs="Times New Roman" w:eastAsia="Times New Roman" w:hAnsi="Times New Roman"/>
          <w:sz w:val="22"/>
          <w:szCs w:val="22"/>
          <w:color w:val="010000"/>
        </w:rPr>
      </w:pPr>
    </w:p>
    <w:p>
      <w:pPr>
        <w:ind w:left="360" w:hanging="136"/>
        <w:spacing w:after="0"/>
        <w:tabs>
          <w:tab w:leader="none" w:pos="3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421" w:right="339" w:bottom="1440" w:gutter="0" w:footer="0" w:header="0"/>
        </w:sectPr>
      </w:pPr>
    </w:p>
    <w:bookmarkStart w:id="147" w:name="page148"/>
    <w:bookmarkEnd w:id="147"/>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152" w:lineRule="exact"/>
        <w:rPr>
          <w:sz w:val="20"/>
          <w:szCs w:val="20"/>
          <w:color w:val="auto"/>
        </w:rPr>
      </w:pPr>
    </w:p>
    <w:p>
      <w:pPr>
        <w:jc w:val="both"/>
        <w:ind w:left="660" w:hanging="652"/>
        <w:spacing w:after="0" w:line="217" w:lineRule="auto"/>
        <w:tabs>
          <w:tab w:leader="none" w:pos="660"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Employee Stock Purchase Plan. This Policy does not apply to purchases of Company Securities </w:t>
      </w:r>
      <w:r>
        <w:rPr>
          <w:rFonts w:ascii="Times New Roman" w:cs="Times New Roman" w:eastAsia="Times New Roman" w:hAnsi="Times New Roman"/>
          <w:sz w:val="22"/>
          <w:szCs w:val="22"/>
          <w:color w:val="231F20"/>
        </w:rPr>
        <w:t>in any employee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purchase plan resulting from your periodic or lump sum contribution of money to the plan pursuant to the election you made at the time of your enrollment in such plan. This Policy does apply, however, to your initial election to participate in such plan, changes to your election to participate in such plan for any enrollment period, and to your sales of Company Securities purchased pursuant to such plan.</w:t>
      </w:r>
    </w:p>
    <w:p>
      <w:pPr>
        <w:spacing w:after="0" w:line="152" w:lineRule="exact"/>
        <w:rPr>
          <w:rFonts w:ascii="Times New Roman" w:cs="Times New Roman" w:eastAsia="Times New Roman" w:hAnsi="Times New Roman"/>
          <w:sz w:val="22"/>
          <w:szCs w:val="22"/>
          <w:color w:val="010000"/>
        </w:rPr>
      </w:pPr>
    </w:p>
    <w:p>
      <w:pPr>
        <w:jc w:val="both"/>
        <w:ind w:left="660" w:hanging="652"/>
        <w:spacing w:after="0" w:line="227" w:lineRule="auto"/>
        <w:tabs>
          <w:tab w:leader="none" w:pos="660" w:val="left"/>
        </w:tabs>
        <w:numPr>
          <w:ilvl w:val="0"/>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Dividend Reinvestment Plan. This Policy does not apply to purchases of Company Securities under any Company dividend reinvestment plan resulting from your reinvestment of dividends paid on Company Securities. This Policy does apply, however, to voluntary purchases of Company Securities resulting from additional contributions you choose to make to such dividend reinvestment plan, and to your election to participate in the plan or change your level of participation in such plan. This Policy also applies to your sale of any Company Securities purchased pursuant to such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GIFTS OF SECURITIES; MUTUAL FUND TRANSACTIONS</w:t>
      </w: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231F20"/>
        </w:rPr>
        <w:t>Bona fide gifts are not transactions subject to this Policy, unless the person making the gift has reason to believe that the recipient intends to sell the Company Securities while the officer, employee or director is aware of material nonpublic information, or the person making the gift is subject to the trading restrictions specified below under the heading “</w:t>
      </w:r>
      <w:r>
        <w:rPr>
          <w:rFonts w:ascii="Times New Roman" w:cs="Times New Roman" w:eastAsia="Times New Roman" w:hAnsi="Times New Roman"/>
          <w:sz w:val="21"/>
          <w:szCs w:val="21"/>
          <w:color w:val="000000"/>
        </w:rPr>
        <w:t>Pre-Clearance &amp; Blackouts—</w:t>
      </w:r>
      <w:r>
        <w:rPr>
          <w:rFonts w:ascii="Times New Roman" w:cs="Times New Roman" w:eastAsia="Times New Roman" w:hAnsi="Times New Roman"/>
          <w:sz w:val="21"/>
          <w:szCs w:val="21"/>
          <w:color w:val="231F20"/>
        </w:rPr>
        <w:t xml:space="preserve"> Pre-Clearance Procedures” and the sales by the recipient of the Company Securities occur during a blackout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Further, transactions in mutual funds that are invested in Company Securities are not transactions subject to this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RULE 10B5-1 PLANS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Rule 10b-5 (a “Rule 10b5-1 Plan”). If the plan meets the requirements of Rule 10b5-1, Company Securities may be purchased or sold without regard to certain insider trading restrictions. To comply with the Policy, a Rule 10b5-1 Plan must be approved by the General Counsel and meet the requirements of Rule 10b5-1.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394" w:right="339" w:bottom="1440" w:gutter="0" w:footer="0" w:header="0"/>
        </w:sectPr>
      </w:pPr>
    </w:p>
    <w:bookmarkStart w:id="148" w:name="page149"/>
    <w:bookmarkEnd w:id="148"/>
    <w:p>
      <w:pPr>
        <w:jc w:val="both"/>
        <w:spacing w:after="0" w:line="271" w:lineRule="auto"/>
        <w:rPr>
          <w:sz w:val="20"/>
          <w:szCs w:val="20"/>
          <w:color w:val="auto"/>
        </w:rPr>
      </w:pPr>
      <w:r>
        <w:rPr>
          <w:rFonts w:ascii="Times New Roman" w:cs="Times New Roman" w:eastAsia="Times New Roman" w:hAnsi="Times New Roman"/>
          <w:sz w:val="22"/>
          <w:szCs w:val="22"/>
          <w:color w:val="auto"/>
        </w:rPr>
        <w:t>Any Rule 10b5-1 Plan must be submitted for approval five days prior to the entry into the Rule 10b5-1 Plan. No further pre-approval of transactions conducted pursuant to the Rule 10b5-1 Plan will be required.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LIMITED EXCEPTIONS</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231F20"/>
        </w:rPr>
        <w:t>Stock Splits, Stock Dividends and Similar Transactions.</w:t>
      </w:r>
      <w:r>
        <w:rPr>
          <w:rFonts w:ascii="Times New Roman" w:cs="Times New Roman" w:eastAsia="Times New Roman" w:hAnsi="Times New Roman"/>
          <w:sz w:val="22"/>
          <w:szCs w:val="22"/>
          <w:color w:val="231F20"/>
        </w:rPr>
        <w:t xml:space="preserve"> The trading restrictions under this Policy do not apply to a change in the number of securities held as a result of a stock split or stock dividend applying equally to all securities of a class, or similar transactions.</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u w:val="single" w:color="auto"/>
          <w:color w:val="231F20"/>
        </w:rPr>
        <w:t>Change in Form of Ownership.</w:t>
      </w:r>
      <w:r>
        <w:rPr>
          <w:rFonts w:ascii="Times New Roman" w:cs="Times New Roman" w:eastAsia="Times New Roman" w:hAnsi="Times New Roman"/>
          <w:sz w:val="22"/>
          <w:szCs w:val="22"/>
          <w:color w:val="231F20"/>
        </w:rPr>
        <w:t xml:space="preserve"> Transactions that involve merely a change in the form in which you own securities are permissible. For example, you may transfer shares to an </w:t>
      </w:r>
      <w:r>
        <w:rPr>
          <w:rFonts w:ascii="Times New Roman" w:cs="Times New Roman" w:eastAsia="Times New Roman" w:hAnsi="Times New Roman"/>
          <w:sz w:val="22"/>
          <w:szCs w:val="22"/>
          <w:i w:val="1"/>
          <w:iCs w:val="1"/>
          <w:color w:val="231F20"/>
        </w:rPr>
        <w:t>inter vivos</w:t>
      </w:r>
      <w:r>
        <w:rPr>
          <w:rFonts w:ascii="Times New Roman" w:cs="Times New Roman" w:eastAsia="Times New Roman" w:hAnsi="Times New Roman"/>
          <w:sz w:val="22"/>
          <w:szCs w:val="22"/>
          <w:color w:val="231F20"/>
        </w:rPr>
        <w:t xml:space="preserve"> trust of which you are the sole beneficiary during your lifetime.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POST-TERMINATION TRANSACTIONS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“Pre-Clearance &amp; Blackouts—Pre-Clearance Procedures” above, however, will cease to apply to transactions in Company Securities upon the expiration of any Blackout Period or other Company-imposed trading restrictions applicable at the time of the termination of service.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231F20"/>
        </w:rPr>
        <w:t xml:space="preserve">If you are listed on </w:t>
      </w:r>
      <w:r>
        <w:rPr>
          <w:rFonts w:ascii="Times New Roman" w:cs="Times New Roman" w:eastAsia="Times New Roman" w:hAnsi="Times New Roman"/>
          <w:sz w:val="22"/>
          <w:szCs w:val="22"/>
          <w:u w:val="single" w:color="auto"/>
          <w:color w:val="231F20"/>
        </w:rPr>
        <w:t>Schedule III</w:t>
      </w:r>
      <w:r>
        <w:rPr>
          <w:rFonts w:ascii="Times New Roman" w:cs="Times New Roman" w:eastAsia="Times New Roman" w:hAnsi="Times New Roman"/>
          <w:sz w:val="22"/>
          <w:szCs w:val="22"/>
          <w:color w:val="231F20"/>
        </w:rPr>
        <w:t>, the Section 16 reporting requirements and “short-swing” profit disgorgement provisions may continue to apply to you up to six months after your termination of employment or services. As a result, Section 16 reporting persons should consult with the Company’s General Counsel about any continuing Section 16 obligations after the termination of employment or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CONSEQUENCES OF VIOLATIONS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purchase or sale of securities while aware of material nonpublic information, or the disclosure of material nonpublic information to others who then trade in the Company’s Securities, is prohibited by federal and state laws. Insider trading violations are pursued vigorously by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Attorneys and state enforcement authorities as well as authorities in foreign jurisdictions.</w:t>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Punishment for insider trading violations is severe, and could include significant fines and imprisonment. As of the effective date of this Policy, potential penalties for insider trading violations under U.S. federal securities laws include:</w:t>
      </w:r>
    </w:p>
    <w:p>
      <w:pPr>
        <w:spacing w:after="0" w:line="158"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damages in a private lawsuit;</w:t>
      </w:r>
    </w:p>
    <w:p>
      <w:pPr>
        <w:spacing w:after="0" w:line="219" w:lineRule="exact"/>
        <w:rPr>
          <w:rFonts w:ascii="Times New Roman" w:cs="Times New Roman" w:eastAsia="Times New Roman" w:hAnsi="Times New Roman"/>
          <w:sz w:val="22"/>
          <w:szCs w:val="22"/>
          <w:color w:val="231F20"/>
        </w:rPr>
      </w:pPr>
    </w:p>
    <w:p>
      <w:pPr>
        <w:ind w:left="360" w:hanging="352"/>
        <w:spacing w:after="0"/>
        <w:tabs>
          <w:tab w:leader="none" w:pos="360" w:val="left"/>
        </w:tabs>
        <w:numPr>
          <w:ilvl w:val="0"/>
          <w:numId w:val="51"/>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disgorging any profits made or losses avoided;</w:t>
      </w:r>
    </w:p>
    <w:p>
      <w:pPr>
        <w:spacing w:after="0" w:line="200" w:lineRule="exact"/>
        <w:rPr>
          <w:rFonts w:ascii="Times New Roman" w:cs="Times New Roman" w:eastAsia="Times New Roman" w:hAnsi="Times New Roman"/>
          <w:sz w:val="22"/>
          <w:szCs w:val="22"/>
          <w:color w:val="231F20"/>
        </w:rPr>
      </w:pPr>
    </w:p>
    <w:p>
      <w:pPr>
        <w:spacing w:after="0" w:line="200" w:lineRule="exact"/>
        <w:rPr>
          <w:rFonts w:ascii="Times New Roman" w:cs="Times New Roman" w:eastAsia="Times New Roman" w:hAnsi="Times New Roman"/>
          <w:sz w:val="22"/>
          <w:szCs w:val="22"/>
          <w:color w:val="231F20"/>
        </w:rPr>
      </w:pPr>
    </w:p>
    <w:p>
      <w:pPr>
        <w:spacing w:after="0" w:line="200" w:lineRule="exact"/>
        <w:rPr>
          <w:rFonts w:ascii="Times New Roman" w:cs="Times New Roman" w:eastAsia="Times New Roman" w:hAnsi="Times New Roman"/>
          <w:sz w:val="22"/>
          <w:szCs w:val="22"/>
          <w:color w:val="231F20"/>
        </w:rPr>
      </w:pPr>
    </w:p>
    <w:p>
      <w:pPr>
        <w:spacing w:after="0" w:line="200" w:lineRule="exact"/>
        <w:rPr>
          <w:rFonts w:ascii="Times New Roman" w:cs="Times New Roman" w:eastAsia="Times New Roman" w:hAnsi="Times New Roman"/>
          <w:sz w:val="22"/>
          <w:szCs w:val="22"/>
          <w:color w:val="231F20"/>
        </w:rPr>
      </w:pPr>
    </w:p>
    <w:p>
      <w:pPr>
        <w:spacing w:after="0" w:line="200" w:lineRule="exact"/>
        <w:rPr>
          <w:rFonts w:ascii="Times New Roman" w:cs="Times New Roman" w:eastAsia="Times New Roman" w:hAnsi="Times New Roman"/>
          <w:sz w:val="22"/>
          <w:szCs w:val="22"/>
          <w:color w:val="231F20"/>
        </w:rPr>
      </w:pPr>
    </w:p>
    <w:p>
      <w:pPr>
        <w:spacing w:after="0" w:line="259" w:lineRule="exact"/>
        <w:rPr>
          <w:rFonts w:ascii="Times New Roman" w:cs="Times New Roman" w:eastAsia="Times New Roman" w:hAnsi="Times New Roman"/>
          <w:sz w:val="22"/>
          <w:szCs w:val="22"/>
          <w:color w:val="231F20"/>
        </w:rPr>
      </w:pPr>
    </w:p>
    <w:p>
      <w:pPr>
        <w:ind w:left="360" w:hanging="136"/>
        <w:spacing w:after="0"/>
        <w:tabs>
          <w:tab w:leader="none" w:pos="3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1240"/>
          </w:cols>
          <w:pgMar w:left="320" w:top="1421" w:right="339" w:bottom="1440" w:gutter="0" w:footer="0" w:header="0"/>
        </w:sectPr>
      </w:pPr>
    </w:p>
    <w:bookmarkStart w:id="149" w:name="page150"/>
    <w:bookmarkEnd w:id="149"/>
    <w:p>
      <w:pPr>
        <w:ind w:left="360" w:hanging="352"/>
        <w:spacing w:after="0"/>
        <w:tabs>
          <w:tab w:leader="none" w:pos="360" w:val="left"/>
        </w:tabs>
        <w:numPr>
          <w:ilvl w:val="0"/>
          <w:numId w:val="5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imprisonment for up to 20 years;</w:t>
      </w:r>
    </w:p>
    <w:p>
      <w:pPr>
        <w:spacing w:after="0" w:line="219" w:lineRule="exact"/>
        <w:rPr>
          <w:rFonts w:ascii="Times New Roman" w:cs="Times New Roman" w:eastAsia="Times New Roman" w:hAnsi="Times New Roman"/>
          <w:sz w:val="22"/>
          <w:szCs w:val="22"/>
          <w:color w:val="231F20"/>
        </w:rPr>
      </w:pPr>
    </w:p>
    <w:p>
      <w:pPr>
        <w:ind w:left="360" w:hanging="352"/>
        <w:spacing w:after="0"/>
        <w:tabs>
          <w:tab w:leader="none" w:pos="360" w:val="left"/>
        </w:tabs>
        <w:numPr>
          <w:ilvl w:val="0"/>
          <w:numId w:val="5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substantial criminal fines of up to $5 million;</w:t>
      </w:r>
    </w:p>
    <w:p>
      <w:pPr>
        <w:spacing w:after="0" w:line="219" w:lineRule="exact"/>
        <w:rPr>
          <w:rFonts w:ascii="Times New Roman" w:cs="Times New Roman" w:eastAsia="Times New Roman" w:hAnsi="Times New Roman"/>
          <w:sz w:val="22"/>
          <w:szCs w:val="22"/>
          <w:color w:val="231F20"/>
        </w:rPr>
      </w:pPr>
    </w:p>
    <w:p>
      <w:pPr>
        <w:ind w:left="360" w:hanging="352"/>
        <w:spacing w:after="0"/>
        <w:tabs>
          <w:tab w:leader="none" w:pos="360" w:val="left"/>
        </w:tabs>
        <w:numPr>
          <w:ilvl w:val="0"/>
          <w:numId w:val="5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substantial civil fines up to three times the profit gained or loss avoided;</w:t>
      </w:r>
    </w:p>
    <w:p>
      <w:pPr>
        <w:spacing w:after="0" w:line="233" w:lineRule="exact"/>
        <w:rPr>
          <w:rFonts w:ascii="Times New Roman" w:cs="Times New Roman" w:eastAsia="Times New Roman" w:hAnsi="Times New Roman"/>
          <w:sz w:val="22"/>
          <w:szCs w:val="22"/>
          <w:color w:val="231F20"/>
        </w:rPr>
      </w:pPr>
    </w:p>
    <w:p>
      <w:pPr>
        <w:ind w:left="360" w:hanging="352"/>
        <w:spacing w:after="0"/>
        <w:tabs>
          <w:tab w:leader="none" w:pos="360" w:val="left"/>
        </w:tabs>
        <w:numPr>
          <w:ilvl w:val="0"/>
          <w:numId w:val="5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bar against serving as an officer or director of a public company; and</w:t>
      </w:r>
    </w:p>
    <w:p>
      <w:pPr>
        <w:spacing w:after="0" w:line="219" w:lineRule="exact"/>
        <w:rPr>
          <w:rFonts w:ascii="Times New Roman" w:cs="Times New Roman" w:eastAsia="Times New Roman" w:hAnsi="Times New Roman"/>
          <w:sz w:val="22"/>
          <w:szCs w:val="22"/>
          <w:color w:val="231F20"/>
        </w:rPr>
      </w:pPr>
    </w:p>
    <w:p>
      <w:pPr>
        <w:ind w:left="360" w:hanging="352"/>
        <w:spacing w:after="0"/>
        <w:tabs>
          <w:tab w:leader="none" w:pos="360" w:val="left"/>
        </w:tabs>
        <w:numPr>
          <w:ilvl w:val="0"/>
          <w:numId w:val="52"/>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an injunction against future violations.</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Civil and criminal penalties also apply to tipping. The SEC has imposed large penalties in tipping cases even when the disclosing person did not trade or gain any benefit from another person’s trading.</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As of the effective date of this policy, the penalty for “controlling person liability” includes civil fines, as well as potential criminal fines and imprisonment. If the Company has a reasonable basis to conclude that an employee, officer, director, or consultant has failed to comply with this Policy, such person may be subject to disciplinary action by the Company, up to and including dismissal for cause if the person is an employee or officer, or subject to termination of services if the person is a director or consultant, regardless of whether or not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COMPLIANCE WITH SECTION 16 OF THE SECURITIES EXCHANGE ACT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231F20"/>
        </w:rPr>
        <w:t>Obligations under Section 16 (“Section 16”) of the Exchange Act.</w:t>
      </w:r>
      <w:r>
        <w:rPr>
          <w:rFonts w:ascii="Times New Roman" w:cs="Times New Roman" w:eastAsia="Times New Roman" w:hAnsi="Times New Roman"/>
          <w:sz w:val="22"/>
          <w:szCs w:val="22"/>
          <w:color w:val="231F20"/>
        </w:rPr>
        <w:t xml:space="preserve"> Section 16, and the related rules and regulations, set forth (i) reporting obligations, (ii) limitations on “short-swing” transactions and (iii) limitations on short sales and other transactions applicable to directors, officers, large shareholders and certain other persons. The Company has determined that those persons listed on </w:t>
      </w:r>
      <w:r>
        <w:rPr>
          <w:rFonts w:ascii="Times New Roman" w:cs="Times New Roman" w:eastAsia="Times New Roman" w:hAnsi="Times New Roman"/>
          <w:sz w:val="22"/>
          <w:szCs w:val="22"/>
          <w:u w:val="single" w:color="auto"/>
          <w:color w:val="231F20"/>
        </w:rPr>
        <w:t>Schedule III</w:t>
      </w:r>
      <w:r>
        <w:rPr>
          <w:rFonts w:ascii="Times New Roman" w:cs="Times New Roman" w:eastAsia="Times New Roman" w:hAnsi="Times New Roman"/>
          <w:sz w:val="22"/>
          <w:szCs w:val="22"/>
          <w:color w:val="231F20"/>
        </w:rPr>
        <w:t xml:space="preserve"> are required to comply with Section 16 of the Exchange Act, and the related rules and regulations, because of their positions with the Company. The General Counsel may amend </w:t>
      </w:r>
      <w:r>
        <w:rPr>
          <w:rFonts w:ascii="Times New Roman" w:cs="Times New Roman" w:eastAsia="Times New Roman" w:hAnsi="Times New Roman"/>
          <w:sz w:val="22"/>
          <w:szCs w:val="22"/>
          <w:u w:val="single" w:color="auto"/>
          <w:color w:val="231F20"/>
        </w:rPr>
        <w:t>Schedule III</w:t>
      </w:r>
      <w:r>
        <w:rPr>
          <w:rFonts w:ascii="Times New Roman" w:cs="Times New Roman" w:eastAsia="Times New Roman" w:hAnsi="Times New Roman"/>
          <w:sz w:val="22"/>
          <w:szCs w:val="22"/>
          <w:color w:val="231F20"/>
        </w:rPr>
        <w:t xml:space="preserve"> from time to time as appropriate to reflect the election of new officers or directors, any change in the responsibilities of officers or other employees and any promotions, demotions, resignations or departures. </w:t>
      </w:r>
      <w:r>
        <w:rPr>
          <w:rFonts w:ascii="Times New Roman" w:cs="Times New Roman" w:eastAsia="Times New Roman" w:hAnsi="Times New Roman"/>
          <w:sz w:val="22"/>
          <w:szCs w:val="22"/>
          <w:u w:val="single" w:color="auto"/>
          <w:color w:val="231F20"/>
        </w:rPr>
        <w:t>Schedule III</w:t>
      </w:r>
      <w:r>
        <w:rPr>
          <w:rFonts w:ascii="Times New Roman" w:cs="Times New Roman" w:eastAsia="Times New Roman" w:hAnsi="Times New Roman"/>
          <w:sz w:val="22"/>
          <w:szCs w:val="22"/>
          <w:color w:val="231F20"/>
        </w:rPr>
        <w:t xml:space="preserve"> is not necessarily an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57" w:lineRule="auto"/>
        <w:rPr>
          <w:sz w:val="20"/>
          <w:szCs w:val="20"/>
          <w:color w:val="auto"/>
        </w:rPr>
      </w:pPr>
      <w:r>
        <w:rPr>
          <w:rFonts w:ascii="Times New Roman" w:cs="Times New Roman" w:eastAsia="Times New Roman" w:hAnsi="Times New Roman"/>
          <w:sz w:val="22"/>
          <w:szCs w:val="22"/>
          <w:color w:val="231F20"/>
        </w:rPr>
        <w:t xml:space="preserve">list of persons subject to Section 16 requirements at any given time. Even if you are not listed on </w:t>
      </w:r>
      <w:r>
        <w:rPr>
          <w:rFonts w:ascii="Times New Roman" w:cs="Times New Roman" w:eastAsia="Times New Roman" w:hAnsi="Times New Roman"/>
          <w:sz w:val="22"/>
          <w:szCs w:val="22"/>
          <w:u w:val="single" w:color="auto"/>
          <w:color w:val="231F20"/>
        </w:rPr>
        <w:t>Schedule III</w:t>
      </w:r>
      <w:r>
        <w:rPr>
          <w:rFonts w:ascii="Times New Roman" w:cs="Times New Roman" w:eastAsia="Times New Roman" w:hAnsi="Times New Roman"/>
          <w:sz w:val="22"/>
          <w:szCs w:val="22"/>
          <w:color w:val="231F20"/>
        </w:rPr>
        <w:t>, you may be subject to Section 16 reporting obligations because of your shareholdings, for example. Note that executive officers, as referred to in this section, refer to the specific definition of “officers” in Section 16.</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231F20"/>
        </w:rPr>
        <w:t>Notification Requirements to Facilitate Section 16 Reporting.</w:t>
      </w:r>
      <w:r>
        <w:rPr>
          <w:rFonts w:ascii="Times New Roman" w:cs="Times New Roman" w:eastAsia="Times New Roman" w:hAnsi="Times New Roman"/>
          <w:sz w:val="22"/>
          <w:szCs w:val="22"/>
          <w:color w:val="231F20"/>
        </w:rPr>
        <w:t xml:space="preserve"> To facilitate timely reporting of transactions pursuant to Section 16 requirements, each person subject to Section 16 reporting requirements must provide, or must ensure that his or her broker provides, the Company with detailed information (e.g., trade date, number of shares, exact price, etc.) regarding his or her transactions involving the Company Securities, including gifts, transfers, pledges and transactions pursuant to a trading plan, both prior to (to confirm compliance with pre-clearance procedures, if applicable) and promptly following execution.</w:t>
      </w:r>
    </w:p>
    <w:p>
      <w:pPr>
        <w:spacing w:after="0" w:line="1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231F20"/>
        </w:rPr>
        <w:t>Personal responsibility.</w:t>
      </w:r>
      <w:r>
        <w:rPr>
          <w:rFonts w:ascii="Times New Roman" w:cs="Times New Roman" w:eastAsia="Times New Roman" w:hAnsi="Times New Roman"/>
          <w:sz w:val="22"/>
          <w:szCs w:val="22"/>
          <w:color w:val="231F20"/>
        </w:rPr>
        <w:t xml:space="preserve"> The obligation to file Section 16 reports, and to otherwise comply with Section 16, is personal. The Company is not responsible for the failure to comply with Section 16 requirements.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ASSISTANCE</w:t>
      </w:r>
    </w:p>
    <w:p>
      <w:pPr>
        <w:spacing w:after="0" w:line="22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Any person who has a question about this Policy or its application to any proposed transaction may obtain additional guidance from the Legal Department, who can be reached by e-mail at </w:t>
      </w:r>
      <w:r>
        <w:rPr>
          <w:rFonts w:ascii="Times New Roman" w:cs="Times New Roman" w:eastAsia="Times New Roman" w:hAnsi="Times New Roman"/>
          <w:sz w:val="22"/>
          <w:szCs w:val="22"/>
          <w:color w:val="231F20"/>
        </w:rPr>
        <w:t>pbokota@hydrafacial.com.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Delivery of this Policy.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This Policy will be delivered to all directors, officers, employees and agents, such as consultants,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independent contractors, or other outside personnel retained by the Company who may obtain material nonpublic information about the Company, when they commence service with the Company. In addition, this Policy (or a summary of this Policy) will be circulated periodically. Each director, officer and employee, and such agents of the Company, are required to acknowledge that he or she understands this Policy.</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We are committed to continuously reviewing and updating our policies and procedures. The Company therefore reserves the right to amend, alter or terminate this Policy at any time and for any reason, subject to applicable law. A current copy of the Company’s policies regarding insider trading may be obtained by contacting the General Counsel.</w:t>
      </w:r>
    </w:p>
    <w:p>
      <w:pPr>
        <w:spacing w:after="0" w:line="1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231F20"/>
        </w:rPr>
        <w:t>The policies in this Insider Trading Policy do not constitute a complete list of Company policies or a complete list of the types of conduct that can result in discipline, up to and including 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1240"/>
          </w:cols>
          <w:pgMar w:left="320" w:top="1421" w:right="339" w:bottom="1440" w:gutter="0" w:footer="0" w:header="0"/>
        </w:sectPr>
      </w:pPr>
    </w:p>
    <w:bookmarkStart w:id="151" w:name="page152"/>
    <w:bookmarkEnd w:id="151"/>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2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231F20"/>
        </w:rPr>
        <w:t>INDIVIDUALS SUBJECT TO</w:t>
      </w:r>
    </w:p>
    <w:p>
      <w:pPr>
        <w:spacing w:after="0" w:line="32"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2"/>
          <w:szCs w:val="22"/>
          <w:b w:val="1"/>
          <w:bCs w:val="1"/>
          <w:color w:val="231F20"/>
        </w:rPr>
        <w:t>QUARTERLY BLACKOUT PERIODS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All members of the Board of Directors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All officers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All employees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- 15 -</w:t>
      </w:r>
    </w:p>
    <w:p>
      <w:pPr>
        <w:sectPr>
          <w:pgSz w:w="11900" w:h="16838" w:orient="portrait"/>
          <w:cols w:equalWidth="0" w:num="1">
            <w:col w:w="10139"/>
          </w:cols>
          <w:pgMar w:left="320" w:top="1417" w:right="1440" w:bottom="1440" w:gutter="0" w:footer="0" w:header="0"/>
        </w:sectPr>
      </w:pPr>
    </w:p>
    <w:bookmarkStart w:id="152" w:name="page153"/>
    <w:bookmarkEnd w:id="152"/>
    <w:p>
      <w:pPr>
        <w:jc w:val="center"/>
        <w:ind w:right="-939"/>
        <w:spacing w:after="0"/>
        <w:rPr>
          <w:sz w:val="20"/>
          <w:szCs w:val="20"/>
          <w:color w:val="auto"/>
        </w:rPr>
      </w:pPr>
      <w:r>
        <w:rPr>
          <w:rFonts w:ascii="Times New Roman" w:cs="Times New Roman" w:eastAsia="Times New Roman" w:hAnsi="Times New Roman"/>
          <w:sz w:val="22"/>
          <w:szCs w:val="22"/>
          <w:b w:val="1"/>
          <w:bCs w:val="1"/>
          <w:u w:val="single" w:color="auto"/>
          <w:color w:val="auto"/>
        </w:rPr>
        <w:t>SCHEDULE II</w:t>
      </w:r>
    </w:p>
    <w:p>
      <w:pPr>
        <w:spacing w:after="0" w:line="2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231F20"/>
        </w:rPr>
        <w:t>INDIVIDUALS SUBJECT TO</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231F20"/>
        </w:rPr>
        <w:t>PRE-CLEARANCE REQUIREMENTS</w:t>
      </w:r>
    </w:p>
    <w:p>
      <w:pPr>
        <w:spacing w:after="0" w:line="209" w:lineRule="exact"/>
        <w:rPr>
          <w:sz w:val="20"/>
          <w:szCs w:val="20"/>
          <w:color w:val="auto"/>
        </w:rPr>
      </w:pPr>
    </w:p>
    <w:p>
      <w:pPr>
        <w:spacing w:after="0" w:line="476" w:lineRule="auto"/>
        <w:rPr>
          <w:sz w:val="20"/>
          <w:szCs w:val="20"/>
          <w:color w:val="auto"/>
        </w:rPr>
      </w:pPr>
      <w:r>
        <w:rPr>
          <w:rFonts w:ascii="Times New Roman" w:cs="Times New Roman" w:eastAsia="Times New Roman" w:hAnsi="Times New Roman"/>
          <w:sz w:val="22"/>
          <w:szCs w:val="22"/>
          <w:color w:val="231F20"/>
        </w:rPr>
        <w:t>All officers, employees with the title of “director” or higher and all members of the Board of Directors of the Company Independent contractors/consultants with access to sensitive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- 16 -</w:t>
      </w:r>
    </w:p>
    <w:p>
      <w:pPr>
        <w:sectPr>
          <w:pgSz w:w="11900" w:h="16838" w:orient="portrait"/>
          <w:cols w:equalWidth="0" w:num="1">
            <w:col w:w="10320"/>
          </w:cols>
          <w:pgMar w:left="320" w:top="1418" w:right="1259" w:bottom="1440" w:gutter="0" w:footer="0" w:header="0"/>
        </w:sectPr>
      </w:pPr>
    </w:p>
    <w:bookmarkStart w:id="153" w:name="page154"/>
    <w:bookmarkEnd w:id="153"/>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III</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231F20"/>
        </w:rPr>
        <w:t>INDIVIDUALS SUBJECT TO</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231F20"/>
        </w:rPr>
        <w:t>SECTION 16 REPORTING AND LIABILITY PROVISIONS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The Company determines the list of Section 16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- 17 -</w:t>
      </w:r>
    </w:p>
    <w:p>
      <w:pPr>
        <w:sectPr>
          <w:pgSz w:w="11900" w:h="16838" w:orient="portrait"/>
          <w:cols w:equalWidth="0" w:num="1">
            <w:col w:w="10139"/>
          </w:cols>
          <w:pgMar w:left="320" w:top="1418" w:right="1440" w:bottom="1440" w:gutter="0" w:footer="0" w:header="0"/>
        </w:sectPr>
      </w:pPr>
    </w:p>
    <w:bookmarkStart w:id="154" w:name="page155"/>
    <w:bookmarkEnd w:id="154"/>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231F20"/>
        </w:rPr>
        <w:t>Form of Acknowledgement of Insider Trading Policy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231F20"/>
        </w:rPr>
        <w:t>for Employees, Officers and Directors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231F20"/>
        </w:rPr>
        <w:t>I have received and read The Beauty Health Company Insider Trading Policy (the “Policy”). I understand the standards, obligations and restrictions contained in the Policy and understand that there may be additional standards, obligations, or restrictions specific to my position with The Beauty Health Company. I agree to comply with the Policy.</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231F20"/>
        </w:rPr>
        <w:t>If I have questions concerning the meaning or application of the Policy, any other The Beauty Health Company policies or procedures, or the legal and regulatory requirements applicable to my position with The Beauty Health Company, I know that I can consult with The Beauty Health Company’s General Counsel, knowing that my questions will be maintained in confidence, consistent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Please sign and return this form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- 18 -</w:t>
      </w:r>
    </w:p>
    <w:p>
      <w:pPr>
        <w:sectPr>
          <w:pgSz w:w="11900" w:h="16838" w:orient="portrait"/>
          <w:cols w:equalWidth="0" w:num="1">
            <w:col w:w="11240"/>
          </w:cols>
          <w:pgMar w:left="320" w:top="1418" w:right="339" w:bottom="1440" w:gutter="0" w:footer="0" w:header="0"/>
        </w:sectPr>
      </w:pPr>
    </w:p>
    <w:bookmarkStart w:id="155" w:name="page156"/>
    <w:bookmarkEnd w:id="155"/>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231F20"/>
        </w:rPr>
        <w:t>Form of Acknowledgement of Insider Trading Policy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231F20"/>
        </w:rPr>
        <w:t>for Outside Personnel</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231F20"/>
        </w:rPr>
        <w:t>I have received and read The Beauty Health Company Insider Trading Policy. I understand the standards, obligations and restrictions contained in the Policy and understand that there may be additional standards, obligations or restrictions specific to my consulting services for The Beauty Health Company. I agree to comply with the Policy.</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231F20"/>
        </w:rPr>
        <w:t>If I have questions concerning the meaning or application of the Policy, any applicable The Beauty Health Company policies or procedures, or the legal and regulatory requirements applicable to my consulting services for The Beauty Health Company, I know that I can consult with The Beauty Health Company’s General Counsel, knowing that my questions will be maintained in confidence, consistent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31F20"/>
        </w:rPr>
        <w:t>Please sign and return this form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- 19 -</w:t>
      </w:r>
    </w:p>
    <w:p>
      <w:pPr>
        <w:sectPr>
          <w:pgSz w:w="11900" w:h="16838" w:orient="portrait"/>
          <w:cols w:equalWidth="0" w:num="1">
            <w:col w:w="11240"/>
          </w:cols>
          <w:pgMar w:left="320" w:top="1418"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40" w:type="dxa"/>
            <w:vAlign w:val="bottom"/>
            <w:gridSpan w:val="3"/>
          </w:tcPr>
          <w:p>
            <w:pPr>
              <w:ind w:left="3340"/>
              <w:spacing w:after="0"/>
              <w:rPr>
                <w:sz w:val="20"/>
                <w:szCs w:val="20"/>
                <w:color w:val="auto"/>
              </w:rPr>
            </w:pPr>
            <w:r>
              <w:rPr>
                <w:rFonts w:ascii="Times New Roman" w:cs="Times New Roman" w:eastAsia="Times New Roman" w:hAnsi="Times New Roman"/>
                <w:sz w:val="18"/>
                <w:szCs w:val="18"/>
                <w:b w:val="1"/>
                <w:bCs w:val="1"/>
                <w:color w:val="auto"/>
              </w:rPr>
              <w:t>SUBSIDIARIES OF THE BEAUTY HEALTH COMPANY</w:t>
            </w:r>
          </w:p>
        </w:tc>
      </w:tr>
      <w:tr>
        <w:trPr>
          <w:trHeight w:val="49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State or Jurisdiction of Incorporation</w:t>
            </w:r>
          </w:p>
        </w:tc>
      </w:tr>
      <w:tr>
        <w:trPr>
          <w:trHeight w:val="223"/>
        </w:trPr>
        <w:tc>
          <w:tcPr>
            <w:tcW w:w="6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LCP Edge Intermediate, LLC</w:t>
            </w:r>
          </w:p>
        </w:tc>
        <w:tc>
          <w:tcPr>
            <w:tcW w:w="80" w:type="dxa"/>
            <w:vAlign w:val="bottom"/>
          </w:tcPr>
          <w:p>
            <w:pPr>
              <w:spacing w:after="0"/>
              <w:rPr>
                <w:sz w:val="19"/>
                <w:szCs w:val="19"/>
                <w:color w:val="auto"/>
              </w:rPr>
            </w:pP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Delaware</w:t>
            </w: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Edge Systems Holdings Corporation</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Delaware</w:t>
            </w: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Edge Systems Intermediate, LLC</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Delaware</w:t>
            </w: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Esthetic Medical Inc.</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California</w:t>
            </w: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HydraFacial LLC</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California</w:t>
            </w: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The HydraFacial Company Mexico Holdings, LLC</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Delaware</w:t>
            </w: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The HydraFacial Company MX, S. de R.L. de C.V.</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Mexico</w:t>
            </w: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HydraFacial Australia and New Zealand Pty Ltd.</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Australia</w:t>
            </w: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HydraFacial France</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France</w:t>
            </w: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The HydraFacial Company Iberia, S.L.U</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Spain</w:t>
            </w: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The HydraFacial (Hong Kong) Company Limited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Hong Kong</w:t>
            </w: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HydraFacial Trading (Shanghai) Co., Ltd.</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China</w:t>
            </w: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Hydrafacial Canada Esthetic Products Inc.</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Canada</w:t>
            </w: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HydraFacial Germany GmbH</w:t>
            </w: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Germany</w:t>
            </w:r>
          </w:p>
        </w:tc>
      </w:tr>
      <w:tr>
        <w:trPr>
          <w:trHeight w:val="234"/>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HydraFacial UK Limited</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United Kingdom</w:t>
            </w:r>
          </w:p>
        </w:tc>
      </w:tr>
    </w:tbl>
    <w:p>
      <w:pPr>
        <w:sectPr>
          <w:pgSz w:w="11900" w:h="16838" w:orient="portrait"/>
          <w:cols w:equalWidth="0" w:num="1">
            <w:col w:w="11240"/>
          </w:cols>
          <w:pgMar w:left="320" w:top="36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Nos. 333-257995 and 333-267051 on Form S-3 and Registration Statement No. 333-259430 on Form S-8 of our reports dated March 12, 2025, relating to the consolidated financial statements of The Beauty Health Company and its subsidiaries (the “Company”) and the effectiveness of the Company’s internal control over financial reporting, appearing in this Annual Report on Form 10-K for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12, 2025</w:t>
      </w:r>
    </w:p>
    <w:p>
      <w:pPr>
        <w:sectPr>
          <w:pgSz w:w="11900" w:h="16838" w:orient="portrait"/>
          <w:cols w:equalWidth="0" w:num="1">
            <w:col w:w="11240"/>
          </w:cols>
          <w:pgMar w:left="320" w:top="1008" w:right="339" w:bottom="1440" w:gutter="0" w:footer="0" w:header="0"/>
        </w:sectPr>
      </w:pPr>
    </w:p>
    <w:bookmarkStart w:id="158" w:name="page159"/>
    <w:bookmarkEnd w:id="158"/>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64" w:lineRule="exact"/>
        <w:rPr>
          <w:sz w:val="20"/>
          <w:szCs w:val="20"/>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Marla Beck, certify that:</w:t>
      </w:r>
    </w:p>
    <w:p>
      <w:pPr>
        <w:spacing w:after="0" w:line="25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Beauty Health Company;</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March 12, 2025</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Marla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Marla Beck</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46" w:right="339" w:bottom="1440" w:gutter="0" w:footer="0" w:header="0"/>
        </w:sectPr>
      </w:pPr>
    </w:p>
    <w:bookmarkStart w:id="159" w:name="page160"/>
    <w:bookmarkEnd w:id="159"/>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6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Monahan, certify that:</w:t>
      </w:r>
    </w:p>
    <w:p>
      <w:pPr>
        <w:spacing w:after="0" w:line="252"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Beauty Health Company;</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March 12, 2025</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Michael Monahan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40"/>
          </w:cols>
          <w:pgMar w:left="320" w:top="846" w:right="339" w:bottom="1440" w:gutter="0" w:footer="0" w:header="0"/>
        </w:sectPr>
      </w:pPr>
    </w:p>
    <w:bookmarkStart w:id="160" w:name="page161"/>
    <w:bookmarkEnd w:id="160"/>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 AS ADOPTED PURSUANT TO SECTION 906 OF THE SARBANES-OXLEY ACT OF 2002</w:t>
      </w:r>
    </w:p>
    <w:p>
      <w:pPr>
        <w:spacing w:after="0" w:line="18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Beauty Health Company (the “Company”) on Form 10-K for the annual period ended December 31, 2024, as filed with the Securities and Exchange Commission (the “Report”), I, Marla Beck, Chief Executive Officer of the Company, certify, pursuant to 18 U.S.C. §1350, as added by §906 of the Sarbanes-Oxley Act of 2002, that, to my knowledge:</w:t>
      </w:r>
    </w:p>
    <w:p>
      <w:pPr>
        <w:spacing w:after="0" w:line="203"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March 12, 2025</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Marla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Marla Beck</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161" w:name="page162"/>
    <w:bookmarkEnd w:id="161"/>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64"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 AS ADOPTED PURSUANT TO SECTION 906 OF THE SARBANES-OXLEY ACT OF 2002</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Beauty Health Company (the “Company”) on Form 10-K for the annual period ended December 31, 2024, as filed with the Securities and Exchange Commission (the “Report”), I, Michael Monahan, Chief Financial Officer of the Company, certify, pursuant to 18 U.S.C. §1350, as added by §906 of the Sarbanes-Oxley Act of 2002, that, to my knowledge:</w:t>
      </w:r>
    </w:p>
    <w:p>
      <w:pPr>
        <w:spacing w:after="0" w:line="203"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March 12, 2025</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Michael Monahan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Accounting and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Roman"/>
      <w:start w:val="2"/>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lvl w:ilvl="1">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2"/>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lowerRoman"/>
      <w:start w:val="2"/>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decimal"/>
      <w:start w:val="1"/>
    </w:lvl>
    <w:lvl w:ilvl="1">
      <w:lvlJc w:val="left"/>
      <w:lvlText w:val="-"/>
      <w:numFmt w:val="bullet"/>
      <w:start w:val="1"/>
    </w:lvl>
  </w:abstractNum>
  <w:abstractNum w:abstractNumId="45">
    <w:nsid w:val="1BA026FA"/>
    <w:multiLevelType w:val="hybridMultilevel"/>
    <w:lvl w:ilvl="0">
      <w:lvlJc w:val="left"/>
      <w:lvlText w:val="%1."/>
      <w:numFmt w:val="decimal"/>
      <w:start w:val="4"/>
    </w:lvl>
  </w:abstractNum>
  <w:abstractNum w:abstractNumId="46">
    <w:nsid w:val="79A1DEAA"/>
    <w:multiLevelType w:val="hybridMultilevel"/>
    <w:lvl w:ilvl="0">
      <w:lvlJc w:val="left"/>
      <w:lvlText w:val="●"/>
      <w:numFmt w:val="bullet"/>
      <w:start w:val="1"/>
    </w:lvl>
    <w:lvl w:ilvl="1">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decimal"/>
      <w:start w:val="1"/>
    </w:lvl>
    <w:lvl w:ilvl="1">
      <w:lvlJc w:val="left"/>
      <w:lvlText w:val="-"/>
      <w:numFmt w:val="bullet"/>
      <w:start w:val="1"/>
    </w:lvl>
  </w:abstractNum>
  <w:abstractNum w:abstractNumId="49">
    <w:nsid w:val="70C6A529"/>
    <w:multiLevelType w:val="hybridMultilevel"/>
    <w:lvl w:ilvl="0">
      <w:lvlJc w:val="left"/>
      <w:lvlText w:val="%1."/>
      <w:numFmt w:val="decimal"/>
      <w:start w:val="4"/>
    </w:lvl>
  </w:abstractNum>
  <w:abstractNum w:abstractNumId="50">
    <w:nsid w:val="520EEDD1"/>
    <w:multiLevelType w:val="hybridMultilevel"/>
    <w:lvl w:ilvl="0">
      <w:lvlJc w:val="left"/>
      <w:lvlText w:val="●"/>
      <w:numFmt w:val="bullet"/>
      <w:start w:val="1"/>
    </w:lvl>
    <w:lvl w:ilvl="1">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3"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51" Type="http://schemas.openxmlformats.org/officeDocument/2006/relationships/hyperlink" Target="https://www.sec.gov/Archives/edgar/data/1818093/000121390020041690/ea131234ex2-1_vesperhealth.htm" TargetMode="External"/><Relationship Id="rId152" Type="http://schemas.openxmlformats.org/officeDocument/2006/relationships/hyperlink" Target="https://www.sec.gov/Archives/edgar/data/1818093/000119312521156433/d422189dex31.htm" TargetMode="External"/><Relationship Id="rId154" Type="http://schemas.openxmlformats.org/officeDocument/2006/relationships/hyperlink" Target="https://www.sec.gov/Archives/edgar/data/1818093/000162828024027695/exhibit31-amendmenttocoide.htm" TargetMode="External"/><Relationship Id="rId155" Type="http://schemas.openxmlformats.org/officeDocument/2006/relationships/hyperlink" Target="https://www.sec.gov/Archives/edgar/data/1818093/000162828024027695/exhibit32-amendmenttocoiel.htm" TargetMode="External"/><Relationship Id="rId156" Type="http://schemas.openxmlformats.org/officeDocument/2006/relationships/hyperlink" Target="https://www.sec.gov/Archives/edgar/data/1818093/000119312521156433/d422189dex32.htm" TargetMode="External"/><Relationship Id="rId157" Type="http://schemas.openxmlformats.org/officeDocument/2006/relationships/hyperlink" Target="https://www.sec.gov/Archives/edgar/data/1818093/000181809321000062/exhibit41-convdebtclosing.htm" TargetMode="External"/><Relationship Id="rId158" Type="http://schemas.openxmlformats.org/officeDocument/2006/relationships/hyperlink" Target="https://www.sec.gov/Archives/edgar/data/1818093/000121390020030149/ea127784ex4-1_vesper.htm" TargetMode="External"/><Relationship Id="rId159" Type="http://schemas.openxmlformats.org/officeDocument/2006/relationships/hyperlink" Target="https://www.sec.gov/Archives/edgar/data/1818093/000119312521156433/d422189dex102.htm" TargetMode="External"/><Relationship Id="rId160" Type="http://schemas.openxmlformats.org/officeDocument/2006/relationships/hyperlink" Target="https://www.sec.gov/Archives/edgar/data/1818093/000119312521156433/d422189dex103.htm" TargetMode="External"/><Relationship Id="rId161" Type="http://schemas.openxmlformats.org/officeDocument/2006/relationships/hyperlink" Target="https://www.sec.gov/Archives/edgar/data/1818093/000119312521145386/d133045dex101.htm" TargetMode="External"/><Relationship Id="rId162" Type="http://schemas.openxmlformats.org/officeDocument/2006/relationships/hyperlink" Target="https://www.sec.gov/Archives/edgar/data/1818093/000119312521145386/d133045dex102.htm" TargetMode="External"/><Relationship Id="rId163" Type="http://schemas.openxmlformats.org/officeDocument/2006/relationships/hyperlink" Target="https://www.sec.gov/Archives/edgar/data/1818093/000162828024015295/ex102-amendedandrestated.htm" TargetMode="External"/><Relationship Id="rId164" Type="http://schemas.openxmlformats.org/officeDocument/2006/relationships/hyperlink" Target="https://www.sec.gov/Archives/edgar/data/1818093/000181809321000062/exhibit101-convdebtclosing.htm" TargetMode="External"/><Relationship Id="rId165" Type="http://schemas.openxmlformats.org/officeDocument/2006/relationships/hyperlink" Target="https://www.sec.gov/Archives/edgar/data/1818093/000162828024047098/exhibit101-watsontransitio.htm" TargetMode="External"/><Relationship Id="rId166" Type="http://schemas.openxmlformats.org/officeDocument/2006/relationships/hyperlink" Target="https://www.sec.gov/Archives/edgar/data/1818093/000162828024010638/exhibit971-amendedclaw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2025-03-12T16:36:45Z</dcterms:created>
  <dcterms:modified xsi:type="dcterms:W3CDTF">2025-03-12T16:36:45Z</dcterms:modified>
</cp:coreProperties>
</file>