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SkinHealth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Miller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Linden Capital Partners, 110 N. Wacker Dr., 55th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506-5600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LCP Edge Holdco,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33,360,741.00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33,360,741.00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33,360,741.00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25.74 %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Calculated based on 129,600,040 shares of Class A Common Stock, par value $0.0001 per share ("Class A</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080" w:type="dxa"/>
            <w:vAlign w:val="bottom"/>
          </w:tcPr>
          <w:p>
            <w:pPr>
              <w:ind w:left="280"/>
              <w:spacing w:after="0" w:line="229" w:lineRule="exact"/>
              <w:rPr>
                <w:sz w:val="20"/>
                <w:szCs w:val="20"/>
                <w:color w:val="auto"/>
              </w:rPr>
            </w:pPr>
            <w:r>
              <w:rPr>
                <w:rFonts w:ascii="Times New Roman" w:cs="Times New Roman" w:eastAsia="Times New Roman" w:hAnsi="Times New Roman"/>
                <w:sz w:val="22"/>
                <w:szCs w:val="22"/>
                <w:color w:val="auto"/>
              </w:rPr>
              <w:t>Shares"), outstanding as of May 5, 2026, as reported on the Issuer's Form 10-Q,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080" w:type="dxa"/>
            <w:vAlign w:val="bottom"/>
          </w:tcPr>
          <w:p>
            <w:pPr>
              <w:ind w:left="280"/>
              <w:spacing w:after="0" w:line="240" w:lineRule="exact"/>
              <w:rPr>
                <w:sz w:val="20"/>
                <w:szCs w:val="20"/>
                <w:color w:val="auto"/>
              </w:rPr>
            </w:pPr>
            <w:r>
              <w:rPr>
                <w:rFonts w:ascii="Times New Roman" w:cs="Times New Roman" w:eastAsia="Times New Roman" w:hAnsi="Times New Roman"/>
                <w:sz w:val="22"/>
                <w:szCs w:val="22"/>
                <w:color w:val="auto"/>
              </w:rPr>
              <w:t>Exchange Commission ("SEC") on May 7, 2026 (the "Form 10-Q").</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Linden Capital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20"/>
          </w:cols>
          <w:pgMar w:left="320" w:top="126" w:right="35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20"/>
          </w:cols>
          <w:pgMar w:left="320" w:top="126" w:right="35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33,360,741.00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Linden Manager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33,360,741.00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33,360,741.00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25.74 %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PN</w:t>
            </w:r>
          </w:p>
        </w:tc>
        <w:tc>
          <w:tcPr>
            <w:tcW w:w="9020" w:type="dxa"/>
            <w:vAlign w:val="bottom"/>
          </w:tcPr>
          <w:p>
            <w:pPr>
              <w:spacing w:after="0"/>
              <w:rPr>
                <w:sz w:val="24"/>
                <w:szCs w:val="24"/>
                <w:color w:val="auto"/>
              </w:rPr>
            </w:pPr>
          </w:p>
        </w:tc>
      </w:tr>
      <w:tr>
        <w:trPr>
          <w:trHeight w:val="4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Linden Capital Partners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33,360,741.00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25.74 %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PN</w:t>
            </w:r>
          </w:p>
        </w:tc>
        <w:tc>
          <w:tcPr>
            <w:tcW w:w="9020" w:type="dxa"/>
            <w:vAlign w:val="bottom"/>
          </w:tcPr>
          <w:p>
            <w:pPr>
              <w:spacing w:after="0"/>
              <w:rPr>
                <w:sz w:val="24"/>
                <w:szCs w:val="24"/>
                <w:color w:val="auto"/>
              </w:rPr>
            </w:pPr>
          </w:p>
        </w:tc>
      </w:tr>
      <w:tr>
        <w:trPr>
          <w:trHeight w:val="4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Linden Capital Partners III-A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355" w:right="339" w:bottom="475"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33,360,741.00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475"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ectPr>
          <w:pgSz w:w="11900" w:h="16838" w:orient="portrait"/>
          <w:cols w:equalWidth="0" w:num="1">
            <w:col w:w="11240"/>
          </w:cols>
          <w:pgMar w:left="320" w:top="355" w:right="339" w:bottom="475"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Anthony Davis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0" w:right="339" w:bottom="113"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33,360,741.00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0" w:right="339" w:bottom="113"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Brian Miller</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0" w:right="339" w:bottom="113" w:gutter="0" w:footer="0" w:header="0"/>
          <w:type w:val="continuous"/>
        </w:sectPr>
      </w:pPr>
    </w:p>
    <w:bookmarkStart w:id="6" w:name="page7"/>
    <w:bookmarkEnd w:id="6"/>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33,360,741.00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33,360,741.00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Calculated based on 129,600,040 shares of Class A Shares outstanding as of May 5, 2026, as</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reported on the Issuer's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SkinHealth Systems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3600 E. Burnett Street, Long Beach, CALIFORNIA , 90815.</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the statement on Schedule 13D amends and supplements the statement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by the Reporting Persons with the SEC on May 14, 2021 (the "Original Schedule 13D") as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filed by the Reporting Persons with the SEC on May 21, 2021, Amendment No. 2 filed by the Reporting Persons with the SEC on July 19, 2021, Amendment No. 3 filed by the Reporting Persons with the SEC on July 7, 2023, and Amendment No. 4 filed by the Reporting Persons with the SEC on March 14, 2024 (together with this Amendment No. 5, the "Schedule 13D" or the "Statement"). Except as amended herein, the Original Schedule</w:t>
      </w:r>
    </w:p>
    <w:p>
      <w:pPr>
        <w:spacing w:after="0" w:line="3" w:lineRule="exact"/>
        <w:rPr>
          <w:sz w:val="20"/>
          <w:szCs w:val="20"/>
          <w:color w:val="auto"/>
        </w:rPr>
      </w:pPr>
    </w:p>
    <w:p>
      <w:pPr>
        <w:ind w:left="40" w:right="620" w:firstLine="952"/>
        <w:spacing w:after="0" w:line="270" w:lineRule="auto"/>
        <w:rPr>
          <w:sz w:val="20"/>
          <w:szCs w:val="20"/>
          <w:color w:val="auto"/>
        </w:rPr>
      </w:pPr>
      <w:r>
        <w:rPr>
          <w:rFonts w:ascii="Times New Roman" w:cs="Times New Roman" w:eastAsia="Times New Roman" w:hAnsi="Times New Roman"/>
          <w:sz w:val="22"/>
          <w:szCs w:val="22"/>
          <w:color w:val="auto"/>
        </w:rPr>
        <w:t>13D remains in full force and effect. Terms defined in the Original Schedule 13D are used herein as so defined. Item 5. Interest in Securities of the Issuer</w:t>
      </w:r>
    </w:p>
    <w:p>
      <w:pPr>
        <w:spacing w:after="0" w:line="1"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the Schedule 13D is hereby amended and restated as follows: The information set forth in rows (11) and</w:t>
      </w:r>
    </w:p>
    <w:p>
      <w:pPr>
        <w:sectPr>
          <w:pgSz w:w="11900" w:h="16838" w:orient="portrait"/>
          <w:cols w:equalWidth="0" w:num="1">
            <w:col w:w="11240"/>
          </w:cols>
          <w:pgMar w:left="320" w:top="126" w:right="339" w:bottom="0" w:gutter="0" w:footer="0" w:header="0"/>
          <w:type w:val="continuous"/>
        </w:sectPr>
      </w:pPr>
    </w:p>
    <w:bookmarkStart w:id="7" w:name="page8"/>
    <w:bookmarkEnd w:id="7"/>
    <w:p>
      <w:pPr>
        <w:ind w:left="920" w:right="80"/>
        <w:spacing w:after="0" w:line="244" w:lineRule="auto"/>
        <w:rPr>
          <w:sz w:val="20"/>
          <w:szCs w:val="20"/>
          <w:color w:val="auto"/>
        </w:rPr>
      </w:pPr>
      <w:r>
        <w:rPr>
          <w:rFonts w:ascii="Times New Roman" w:cs="Times New Roman" w:eastAsia="Times New Roman" w:hAnsi="Times New Roman"/>
          <w:sz w:val="21"/>
          <w:szCs w:val="21"/>
          <w:color w:val="auto"/>
        </w:rPr>
        <w:t>(13) of the cover pages hereto is incorporated by reference into this Item 5. The Reporting Persons hold an aggregate 33,360,741 shares of Class A Shares, representing approximately 25.74% of the Class A Shares outstanding as of May 5, 2026. All such ownership percentages of the securities reported herein are based upon 129,600,040 shares of Class A Shares outstanding as of May 5, 2026 as reported in the Issuer's Form 10-Q. LCP directly holds the 33,360,741 shares of Class A Shares referred to herein. As a result of the relationships described in Item 2, the 33,360,741 shares of Class A Shares may be deemed to be beneficially owned by each of Linden Capital III, LLC, Linden Manager III, LP, Linden Capital Partners III, LP, Linden Capital Partners III-A, LP, Brian Miller and Anthony Davis. This Amendment No. 5 is being filed to reflect a change in the percentage previously reported solely as a result of the change in the outstanding Class A Shares. There have been no other material changes to the information previously reported since the filing of Amendment No. 4. Neither the filing of this Schedule 13D nor any of its contents shall be deemed to constitute an admission by any of the Reporting Persons that it is the beneficial owner of any of the Class A Shares referred to herein for the purposes of Section 13(d) of the Act, or for any other purpose.</w:t>
      </w:r>
    </w:p>
    <w:p>
      <w:pPr>
        <w:spacing w:after="0" w:line="24" w:lineRule="exact"/>
        <w:rPr>
          <w:sz w:val="20"/>
          <w:szCs w:val="20"/>
          <w:color w:val="auto"/>
        </w:rPr>
      </w:pPr>
    </w:p>
    <w:p>
      <w:pPr>
        <w:ind w:left="920" w:right="60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Schedule 13D is hereby amended and restated as follows: The information set forth in rows (7) through (10) of the cover pages hereto and in Item 5(a) hereof is incorporated by reference into this Item 5.</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effected any transactions related to the Class A Shares during the past 60 days.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LCP Edge Holdco, LLC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Brian Miller / President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Linden Capital III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Brian Miller / Managing Partner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Linden Manager 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Brian Miller / Managing Partner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Linden Capital Partners 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Brian Miller / Managing Partner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Linden Capital Partners III-A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Brian Miller / Managing Partner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Anthony Davis</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Brian Miller / Attorney-in-Fact</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Brian Miller</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Miller</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Brian Miller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Comments</w:t>
      </w:r>
      <w:r>
        <w:rPr>
          <w:sz w:val="20"/>
          <w:szCs w:val="20"/>
          <w:color w:val="auto"/>
        </w:rPr>
        <w:tab/>
      </w:r>
      <w:r>
        <w:rPr>
          <w:rFonts w:ascii="Times New Roman" w:cs="Times New Roman" w:eastAsia="Times New Roman" w:hAnsi="Times New Roman"/>
          <w:sz w:val="22"/>
          <w:szCs w:val="22"/>
          <w:color w:val="auto"/>
        </w:rPr>
        <w:t>Linden Manager III LP, By: Linden Capital III LLC Its: General Partner. Linden Capital Partners III LP, By:</w:t>
      </w:r>
    </w:p>
    <w:p>
      <w:pPr>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accompanying </w:t>
      </w:r>
      <w:r>
        <w:rPr>
          <w:rFonts w:ascii="Times New Roman" w:cs="Times New Roman" w:eastAsia="Times New Roman" w:hAnsi="Times New Roman"/>
          <w:sz w:val="21"/>
          <w:szCs w:val="21"/>
          <w:color w:val="auto"/>
        </w:rPr>
        <w:t>Linden Manager III LP Its: General Partner, By: Linden Capital III LLC Its: General Partner. Linden Capital</w:t>
      </w:r>
    </w:p>
    <w:p>
      <w:pPr>
        <w:ind w:left="1280" w:hanging="1279"/>
        <w:spacing w:after="0"/>
        <w:tabs>
          <w:tab w:leader="none" w:pos="1260" w:val="left"/>
        </w:tabs>
        <w:rPr>
          <w:sz w:val="20"/>
          <w:szCs w:val="20"/>
          <w:color w:val="auto"/>
        </w:rPr>
      </w:pPr>
      <w:r>
        <w:rPr>
          <w:rFonts w:ascii="Times New Roman" w:cs="Times New Roman" w:eastAsia="Times New Roman" w:hAnsi="Times New Roman"/>
          <w:sz w:val="38"/>
          <w:szCs w:val="38"/>
          <w:b w:val="1"/>
          <w:bCs w:val="1"/>
          <w:color w:val="auto"/>
          <w:vertAlign w:val="superscript"/>
        </w:rPr>
        <w:t>signature:</w:t>
      </w:r>
      <w:r>
        <w:rPr>
          <w:sz w:val="20"/>
          <w:szCs w:val="20"/>
          <w:color w:val="auto"/>
        </w:rPr>
        <w:tab/>
      </w:r>
      <w:r>
        <w:rPr>
          <w:rFonts w:ascii="Times New Roman" w:cs="Times New Roman" w:eastAsia="Times New Roman" w:hAnsi="Times New Roman"/>
          <w:sz w:val="21"/>
          <w:szCs w:val="21"/>
          <w:color w:val="auto"/>
        </w:rPr>
        <w:t>Partners III-A LP, By: Linden Manager III LP Its: General Partner, By: Linden Capital III LLC Its: General Partner.</w:t>
      </w:r>
    </w:p>
    <w:sectPr>
      <w:pgSz w:w="11900" w:h="16838" w:orient="portrait"/>
      <w:cols w:equalWidth="0" w:num="1">
        <w:col w:w="11160"/>
      </w:cols>
      <w:pgMar w:left="360" w:top="111" w:right="379" w:bottom="2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2026-05-11T18:31:26Z</dcterms:created>
  <dcterms:modified xsi:type="dcterms:W3CDTF">2026-05-11T18:31:26Z</dcterms:modified>
</cp:coreProperties>
</file>